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2.xml" ContentType="application/vnd.openxmlformats-officedocument.themeOverride+xml"/>
  <Override PartName="/word/charts/chart8.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3.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charts/chart9.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4.xml" ContentType="application/vnd.openxmlformats-officedocument.themeOverride+xml"/>
  <Override PartName="/word/charts/chart10.xml" ContentType="application/vnd.openxmlformats-officedocument.drawingml.chart+xml"/>
  <Override PartName="/word/theme/themeOverride5.xml" ContentType="application/vnd.openxmlformats-officedocument.themeOverride+xml"/>
  <Override PartName="/word/charts/chart11.xml" ContentType="application/vnd.openxmlformats-officedocument.drawingml.chart+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E0DAC0" w14:textId="77777777" w:rsidR="00DA0A93" w:rsidRPr="00BA4F8E" w:rsidRDefault="00DA0A93" w:rsidP="00DA0A93">
      <w:pPr>
        <w:autoSpaceDE w:val="0"/>
        <w:autoSpaceDN w:val="0"/>
        <w:adjustRightInd w:val="0"/>
        <w:spacing w:after="0" w:line="240" w:lineRule="auto"/>
        <w:rPr>
          <w:rFonts w:eastAsia="Times New Roman" w:cs="Arial"/>
          <w:color w:val="000000"/>
          <w:lang w:eastAsia="cs-CZ"/>
        </w:rPr>
      </w:pPr>
      <w:r w:rsidRPr="00BA4F8E">
        <w:rPr>
          <w:rFonts w:eastAsia="Times New Roman" w:cs="Arial"/>
          <w:noProof/>
          <w:color w:val="000000"/>
          <w:lang w:eastAsia="cs-CZ"/>
        </w:rPr>
        <w:drawing>
          <wp:anchor distT="0" distB="0" distL="114300" distR="114300" simplePos="0" relativeHeight="251664384" behindDoc="1" locked="0" layoutInCell="1" allowOverlap="1" wp14:anchorId="3C1D51A9" wp14:editId="4BD285B4">
            <wp:simplePos x="0" y="0"/>
            <wp:positionH relativeFrom="column">
              <wp:posOffset>-1378</wp:posOffset>
            </wp:positionH>
            <wp:positionV relativeFrom="paragraph">
              <wp:posOffset>-267335</wp:posOffset>
            </wp:positionV>
            <wp:extent cx="1698625" cy="798195"/>
            <wp:effectExtent l="0" t="0" r="0" b="0"/>
            <wp:wrapSquare wrapText="bothSides"/>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98625" cy="79819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anchor>
        </w:drawing>
      </w:r>
    </w:p>
    <w:p w14:paraId="54E169E9" w14:textId="460C80E4" w:rsidR="003319EA" w:rsidRPr="00BA4F8E" w:rsidRDefault="006F4EBE" w:rsidP="003319EA">
      <w:pPr>
        <w:autoSpaceDE w:val="0"/>
        <w:autoSpaceDN w:val="0"/>
        <w:adjustRightInd w:val="0"/>
        <w:spacing w:after="0" w:line="241" w:lineRule="atLeast"/>
        <w:ind w:left="6372"/>
        <w:jc w:val="center"/>
        <w:rPr>
          <w:rFonts w:eastAsia="Times New Roman" w:cs="Arial"/>
          <w:color w:val="365F91"/>
          <w:lang w:eastAsia="cs-CZ"/>
        </w:rPr>
      </w:pPr>
      <w:r w:rsidRPr="00BA4F8E">
        <w:rPr>
          <w:rFonts w:eastAsia="Times New Roman" w:cs="Arial"/>
          <w:color w:val="365F91"/>
          <w:lang w:eastAsia="cs-CZ"/>
        </w:rPr>
        <w:t xml:space="preserve">         </w:t>
      </w:r>
      <w:r w:rsidR="00BC0A21">
        <w:rPr>
          <w:rFonts w:eastAsia="Times New Roman" w:cs="Arial"/>
          <w:color w:val="365F91"/>
          <w:lang w:eastAsia="cs-CZ"/>
        </w:rPr>
        <w:t>Sekce technologií 4.0</w:t>
      </w:r>
    </w:p>
    <w:p w14:paraId="193AC603" w14:textId="7CFA5EB6" w:rsidR="00DA0A93" w:rsidRPr="00BA4F8E" w:rsidRDefault="003319EA" w:rsidP="003319EA">
      <w:pPr>
        <w:autoSpaceDE w:val="0"/>
        <w:autoSpaceDN w:val="0"/>
        <w:adjustRightInd w:val="0"/>
        <w:spacing w:after="0" w:line="241" w:lineRule="atLeast"/>
        <w:ind w:left="6372"/>
        <w:jc w:val="center"/>
        <w:rPr>
          <w:rFonts w:eastAsia="Times New Roman" w:cs="Times New Roman"/>
          <w:color w:val="365F91"/>
          <w:lang w:eastAsia="cs-CZ"/>
        </w:rPr>
      </w:pPr>
      <w:r w:rsidRPr="00BA4F8E">
        <w:rPr>
          <w:rFonts w:eastAsia="Times New Roman" w:cs="Arial"/>
          <w:color w:val="365F91"/>
          <w:lang w:eastAsia="cs-CZ"/>
        </w:rPr>
        <w:t xml:space="preserve">               </w:t>
      </w:r>
      <w:r w:rsidR="005130B0" w:rsidRPr="00BA4F8E">
        <w:rPr>
          <w:rFonts w:eastAsia="Times New Roman" w:cs="Times New Roman"/>
          <w:color w:val="365F91"/>
          <w:lang w:eastAsia="cs-CZ"/>
        </w:rPr>
        <w:t>Prosinec</w:t>
      </w:r>
      <w:r w:rsidR="00DA0A93" w:rsidRPr="00BA4F8E">
        <w:rPr>
          <w:rFonts w:eastAsia="Times New Roman" w:cs="Times New Roman"/>
          <w:color w:val="365F91"/>
          <w:lang w:eastAsia="cs-CZ"/>
        </w:rPr>
        <w:t xml:space="preserve"> 201</w:t>
      </w:r>
      <w:r w:rsidR="005130B0" w:rsidRPr="00BA4F8E">
        <w:rPr>
          <w:rFonts w:eastAsia="Times New Roman" w:cs="Times New Roman"/>
          <w:color w:val="365F91"/>
          <w:lang w:eastAsia="cs-CZ"/>
        </w:rPr>
        <w:t>8</w:t>
      </w:r>
      <w:bookmarkStart w:id="0" w:name="_GoBack"/>
      <w:bookmarkEnd w:id="0"/>
    </w:p>
    <w:p w14:paraId="7ECB2904" w14:textId="77777777" w:rsidR="00DA0A93" w:rsidRPr="00BA4F8E" w:rsidRDefault="00DA0A93" w:rsidP="00DA0A93">
      <w:pPr>
        <w:overflowPunct w:val="0"/>
        <w:autoSpaceDE w:val="0"/>
        <w:autoSpaceDN w:val="0"/>
        <w:adjustRightInd w:val="0"/>
        <w:spacing w:line="276" w:lineRule="auto"/>
        <w:ind w:left="4956" w:firstLine="708"/>
        <w:jc w:val="right"/>
        <w:textAlignment w:val="baseline"/>
        <w:rPr>
          <w:rFonts w:eastAsia="Times New Roman" w:cs="Times New Roman"/>
          <w:color w:val="365F91"/>
          <w:lang w:eastAsia="cs-CZ"/>
        </w:rPr>
      </w:pPr>
    </w:p>
    <w:p w14:paraId="52F18D0A" w14:textId="77777777" w:rsidR="00DA0A93" w:rsidRPr="00BA4F8E" w:rsidRDefault="00DA0A93" w:rsidP="00DA0A93">
      <w:pPr>
        <w:overflowPunct w:val="0"/>
        <w:autoSpaceDE w:val="0"/>
        <w:autoSpaceDN w:val="0"/>
        <w:adjustRightInd w:val="0"/>
        <w:spacing w:line="276" w:lineRule="auto"/>
        <w:ind w:left="4956" w:firstLine="708"/>
        <w:jc w:val="right"/>
        <w:textAlignment w:val="baseline"/>
        <w:rPr>
          <w:rFonts w:eastAsia="Times New Roman" w:cs="Times New Roman"/>
          <w:color w:val="365F91"/>
          <w:lang w:eastAsia="cs-CZ"/>
        </w:rPr>
      </w:pPr>
    </w:p>
    <w:p w14:paraId="17BCABF3" w14:textId="0AC36C9A" w:rsidR="00DA0A93" w:rsidRDefault="00DA0A93" w:rsidP="00DA0A93">
      <w:pPr>
        <w:overflowPunct w:val="0"/>
        <w:autoSpaceDE w:val="0"/>
        <w:autoSpaceDN w:val="0"/>
        <w:adjustRightInd w:val="0"/>
        <w:spacing w:after="0" w:line="276" w:lineRule="auto"/>
        <w:jc w:val="center"/>
        <w:textAlignment w:val="baseline"/>
        <w:rPr>
          <w:rFonts w:eastAsia="Times New Roman" w:cs="Times New Roman"/>
          <w:b/>
          <w:color w:val="365F91"/>
          <w:sz w:val="72"/>
          <w:szCs w:val="72"/>
          <w:lang w:eastAsia="cs-CZ"/>
        </w:rPr>
      </w:pPr>
      <w:r w:rsidRPr="00BA4F8E">
        <w:rPr>
          <w:rFonts w:eastAsia="Times New Roman" w:cs="Times New Roman"/>
          <w:noProof/>
          <w:color w:val="365F91"/>
          <w:lang w:eastAsia="cs-CZ"/>
        </w:rPr>
        <w:drawing>
          <wp:anchor distT="0" distB="0" distL="114300" distR="114300" simplePos="0" relativeHeight="251663360" behindDoc="1" locked="0" layoutInCell="1" allowOverlap="1" wp14:anchorId="666024E7" wp14:editId="11749BF2">
            <wp:simplePos x="0" y="0"/>
            <wp:positionH relativeFrom="column">
              <wp:posOffset>1152741</wp:posOffset>
            </wp:positionH>
            <wp:positionV relativeFrom="paragraph">
              <wp:posOffset>4186739</wp:posOffset>
            </wp:positionV>
            <wp:extent cx="5507666" cy="4383153"/>
            <wp:effectExtent l="0" t="0" r="0" b="0"/>
            <wp:wrapNone/>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47104" cy="4414539"/>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0089451E">
        <w:rPr>
          <w:rFonts w:eastAsia="Times New Roman" w:cs="Times New Roman"/>
          <w:b/>
          <w:color w:val="365F91"/>
          <w:sz w:val="72"/>
          <w:szCs w:val="72"/>
          <w:lang w:eastAsia="cs-CZ"/>
        </w:rPr>
        <w:t>N</w:t>
      </w:r>
      <w:r w:rsidR="00EC65AA" w:rsidRPr="0089451E">
        <w:rPr>
          <w:rFonts w:eastAsia="Times New Roman" w:cs="Times New Roman"/>
          <w:b/>
          <w:color w:val="365F91"/>
          <w:sz w:val="72"/>
          <w:szCs w:val="72"/>
          <w:lang w:eastAsia="cs-CZ"/>
        </w:rPr>
        <w:t>árodní výzkumná a inovační strategie pro inteligentní specializaci České republiky (Národní RIS3 strategie)</w:t>
      </w:r>
    </w:p>
    <w:p w14:paraId="30FEACEF" w14:textId="50CAF3E1" w:rsidR="00A97438" w:rsidRDefault="00A97438" w:rsidP="00DA0A93">
      <w:pPr>
        <w:overflowPunct w:val="0"/>
        <w:autoSpaceDE w:val="0"/>
        <w:autoSpaceDN w:val="0"/>
        <w:adjustRightInd w:val="0"/>
        <w:spacing w:after="0" w:line="276" w:lineRule="auto"/>
        <w:jc w:val="center"/>
        <w:textAlignment w:val="baseline"/>
        <w:rPr>
          <w:rFonts w:eastAsia="Times New Roman" w:cs="Times New Roman"/>
          <w:b/>
          <w:color w:val="365F91"/>
          <w:sz w:val="72"/>
          <w:szCs w:val="72"/>
          <w:lang w:eastAsia="cs-CZ"/>
        </w:rPr>
      </w:pPr>
      <w:r>
        <w:rPr>
          <w:rFonts w:eastAsia="Times New Roman" w:cs="Times New Roman"/>
          <w:b/>
          <w:color w:val="365F91"/>
          <w:sz w:val="72"/>
          <w:szCs w:val="72"/>
          <w:lang w:eastAsia="cs-CZ"/>
        </w:rPr>
        <w:t>2014 – 2020</w:t>
      </w:r>
    </w:p>
    <w:p w14:paraId="34197E21" w14:textId="14FAF188" w:rsidR="00A97438" w:rsidRPr="0089451E" w:rsidRDefault="00A97438" w:rsidP="00DA0A93">
      <w:pPr>
        <w:overflowPunct w:val="0"/>
        <w:autoSpaceDE w:val="0"/>
        <w:autoSpaceDN w:val="0"/>
        <w:adjustRightInd w:val="0"/>
        <w:spacing w:after="0" w:line="276" w:lineRule="auto"/>
        <w:jc w:val="center"/>
        <w:textAlignment w:val="baseline"/>
        <w:rPr>
          <w:rFonts w:eastAsia="Times New Roman" w:cs="Times New Roman"/>
          <w:b/>
          <w:color w:val="365F91"/>
          <w:sz w:val="72"/>
          <w:szCs w:val="72"/>
          <w:lang w:eastAsia="cs-CZ"/>
        </w:rPr>
      </w:pPr>
      <w:r>
        <w:rPr>
          <w:rFonts w:eastAsia="Times New Roman" w:cs="Times New Roman"/>
          <w:b/>
          <w:color w:val="365F91"/>
          <w:sz w:val="72"/>
          <w:szCs w:val="72"/>
          <w:lang w:eastAsia="cs-CZ"/>
        </w:rPr>
        <w:t>(aktualizace 2018)</w:t>
      </w:r>
    </w:p>
    <w:p w14:paraId="6A253F48" w14:textId="77777777" w:rsidR="00F26AA7" w:rsidRPr="00BA4F8E" w:rsidRDefault="00F26AA7" w:rsidP="00605759">
      <w:pPr>
        <w:rPr>
          <w:rFonts w:eastAsia="Times New Roman" w:cs="Arial"/>
          <w:color w:val="365F91"/>
          <w:lang w:eastAsia="cs-CZ"/>
        </w:rPr>
      </w:pPr>
    </w:p>
    <w:p w14:paraId="31F98F63" w14:textId="77777777" w:rsidR="00F26AA7" w:rsidRPr="00BA4F8E" w:rsidRDefault="00F26AA7" w:rsidP="00605759">
      <w:pPr>
        <w:rPr>
          <w:rFonts w:eastAsia="Times New Roman" w:cs="Arial"/>
          <w:color w:val="365F91"/>
          <w:lang w:eastAsia="cs-CZ"/>
        </w:rPr>
      </w:pPr>
    </w:p>
    <w:p w14:paraId="23DA4D2F" w14:textId="34361714" w:rsidR="00DA0A93" w:rsidRPr="00BA4F8E" w:rsidRDefault="009F6141" w:rsidP="00605759">
      <w:pPr>
        <w:rPr>
          <w:rFonts w:eastAsia="Times New Roman" w:cs="Arial"/>
          <w:color w:val="365F91"/>
          <w:lang w:eastAsia="cs-CZ"/>
        </w:rPr>
      </w:pPr>
      <w:r w:rsidRPr="00BA4F8E">
        <w:rPr>
          <w:rFonts w:eastAsia="Times New Roman" w:cs="Arial"/>
          <w:color w:val="365F91"/>
          <w:lang w:eastAsia="cs-CZ"/>
        </w:rPr>
        <w:t>Zpracována ke dni 31. 12. 2018</w:t>
      </w:r>
    </w:p>
    <w:p w14:paraId="08CFBF1F" w14:textId="77777777" w:rsidR="00DA0A93" w:rsidRPr="00BA4F8E" w:rsidRDefault="00DA0A93" w:rsidP="00605759"/>
    <w:p w14:paraId="24E3C0D6" w14:textId="77777777" w:rsidR="00DA0A93" w:rsidRPr="00BA4F8E" w:rsidRDefault="00DA0A93" w:rsidP="00605759"/>
    <w:p w14:paraId="50698A8A" w14:textId="77777777" w:rsidR="00DA0A93" w:rsidRPr="00BA4F8E" w:rsidRDefault="00DA0A93" w:rsidP="00605759"/>
    <w:p w14:paraId="7BF49DD5" w14:textId="77777777" w:rsidR="00DA0A93" w:rsidRPr="00BA4F8E" w:rsidRDefault="00DA0A93" w:rsidP="00605759"/>
    <w:p w14:paraId="7257DC14" w14:textId="77777777" w:rsidR="00DA0A93" w:rsidRPr="00BA4F8E" w:rsidRDefault="00DA0A93" w:rsidP="00605759"/>
    <w:p w14:paraId="2FA2D417" w14:textId="77777777" w:rsidR="00DA0A93" w:rsidRPr="00BA4F8E" w:rsidRDefault="00DA0A93" w:rsidP="00605759"/>
    <w:p w14:paraId="14AF54B1" w14:textId="77777777" w:rsidR="00DA0A93" w:rsidRPr="00BA4F8E" w:rsidRDefault="00DA0A93" w:rsidP="00605759"/>
    <w:p w14:paraId="2550D814" w14:textId="77777777" w:rsidR="00DA0A93" w:rsidRPr="00BA4F8E" w:rsidRDefault="00DA0A93" w:rsidP="00605759"/>
    <w:p w14:paraId="297E3F93" w14:textId="77777777" w:rsidR="00DA0A93" w:rsidRPr="00BA4F8E" w:rsidRDefault="00DA0A93" w:rsidP="00605759"/>
    <w:p w14:paraId="69AB5FA8" w14:textId="77777777" w:rsidR="00DA0A93" w:rsidRPr="00BA4F8E" w:rsidRDefault="00DA0A93" w:rsidP="00605759"/>
    <w:p w14:paraId="234E3FF1" w14:textId="77777777" w:rsidR="00D4344E" w:rsidRPr="00BA4F8E" w:rsidRDefault="00D4344E" w:rsidP="00605759">
      <w:pPr>
        <w:sectPr w:rsidR="00D4344E" w:rsidRPr="00BA4F8E" w:rsidSect="00D4344E">
          <w:headerReference w:type="default" r:id="rId10"/>
          <w:footerReference w:type="default" r:id="rId11"/>
          <w:pgSz w:w="11906" w:h="16838"/>
          <w:pgMar w:top="1417" w:right="1417" w:bottom="1417" w:left="1417" w:header="708" w:footer="708" w:gutter="0"/>
          <w:pgNumType w:start="0"/>
          <w:cols w:space="708"/>
          <w:docGrid w:linePitch="360"/>
        </w:sectPr>
      </w:pPr>
    </w:p>
    <w:sdt>
      <w:sdtPr>
        <w:rPr>
          <w:rFonts w:asciiTheme="minorHAnsi" w:hAnsiTheme="minorHAnsi"/>
          <w:b w:val="0"/>
          <w:sz w:val="22"/>
        </w:rPr>
        <w:id w:val="-739326117"/>
        <w:docPartObj>
          <w:docPartGallery w:val="Table of Contents"/>
          <w:docPartUnique/>
        </w:docPartObj>
      </w:sdtPr>
      <w:sdtEndPr>
        <w:rPr>
          <w:bCs/>
        </w:rPr>
      </w:sdtEndPr>
      <w:sdtContent>
        <w:p w14:paraId="314804BB" w14:textId="77777777" w:rsidR="006E6688" w:rsidRPr="00BA4F8E" w:rsidRDefault="006E6688">
          <w:pPr>
            <w:pStyle w:val="Nadpisobsahu"/>
            <w:rPr>
              <w:rFonts w:asciiTheme="minorHAnsi" w:hAnsiTheme="minorHAnsi"/>
              <w:sz w:val="22"/>
            </w:rPr>
          </w:pPr>
          <w:r w:rsidRPr="00BA4F8E">
            <w:rPr>
              <w:rFonts w:asciiTheme="minorHAnsi" w:hAnsiTheme="minorHAnsi"/>
              <w:sz w:val="22"/>
            </w:rPr>
            <w:t>Obsah</w:t>
          </w:r>
        </w:p>
        <w:p w14:paraId="043E36B5" w14:textId="77777777" w:rsidR="001669F2" w:rsidRDefault="00BA4F8E">
          <w:pPr>
            <w:pStyle w:val="Obsah1"/>
            <w:rPr>
              <w:rFonts w:asciiTheme="minorHAnsi" w:eastAsiaTheme="minorEastAsia" w:hAnsiTheme="minorHAnsi"/>
              <w:noProof/>
              <w:lang w:eastAsia="cs-CZ"/>
            </w:rPr>
          </w:pPr>
          <w:r w:rsidRPr="00BA4F8E">
            <w:rPr>
              <w:rFonts w:asciiTheme="minorHAnsi" w:hAnsiTheme="minorHAnsi"/>
            </w:rPr>
            <w:fldChar w:fldCharType="begin"/>
          </w:r>
          <w:r w:rsidRPr="00BA4F8E">
            <w:rPr>
              <w:rFonts w:asciiTheme="minorHAnsi" w:hAnsiTheme="minorHAnsi"/>
            </w:rPr>
            <w:instrText xml:space="preserve"> TOC \o "1-4" \h \z \u </w:instrText>
          </w:r>
          <w:r w:rsidRPr="00BA4F8E">
            <w:rPr>
              <w:rFonts w:asciiTheme="minorHAnsi" w:hAnsiTheme="minorHAnsi"/>
            </w:rPr>
            <w:fldChar w:fldCharType="separate"/>
          </w:r>
          <w:hyperlink w:anchor="_Toc525716158" w:history="1">
            <w:r w:rsidR="001669F2" w:rsidRPr="00180F2B">
              <w:rPr>
                <w:rStyle w:val="Hypertextovodkaz"/>
                <w:noProof/>
              </w:rPr>
              <w:t>1</w:t>
            </w:r>
            <w:r w:rsidR="001669F2">
              <w:rPr>
                <w:rFonts w:asciiTheme="minorHAnsi" w:eastAsiaTheme="minorEastAsia" w:hAnsiTheme="minorHAnsi"/>
                <w:noProof/>
                <w:lang w:eastAsia="cs-CZ"/>
              </w:rPr>
              <w:tab/>
            </w:r>
            <w:r w:rsidR="001669F2" w:rsidRPr="00180F2B">
              <w:rPr>
                <w:rStyle w:val="Hypertextovodkaz"/>
                <w:noProof/>
              </w:rPr>
              <w:t>ÚVOD</w:t>
            </w:r>
            <w:r w:rsidR="001669F2">
              <w:rPr>
                <w:noProof/>
                <w:webHidden/>
              </w:rPr>
              <w:tab/>
            </w:r>
            <w:r w:rsidR="001669F2">
              <w:rPr>
                <w:noProof/>
                <w:webHidden/>
              </w:rPr>
              <w:fldChar w:fldCharType="begin"/>
            </w:r>
            <w:r w:rsidR="001669F2">
              <w:rPr>
                <w:noProof/>
                <w:webHidden/>
              </w:rPr>
              <w:instrText xml:space="preserve"> PAGEREF _Toc525716158 \h </w:instrText>
            </w:r>
            <w:r w:rsidR="001669F2">
              <w:rPr>
                <w:noProof/>
                <w:webHidden/>
              </w:rPr>
            </w:r>
            <w:r w:rsidR="001669F2">
              <w:rPr>
                <w:noProof/>
                <w:webHidden/>
              </w:rPr>
              <w:fldChar w:fldCharType="separate"/>
            </w:r>
            <w:r w:rsidR="001669F2">
              <w:rPr>
                <w:noProof/>
                <w:webHidden/>
              </w:rPr>
              <w:t>11</w:t>
            </w:r>
            <w:r w:rsidR="001669F2">
              <w:rPr>
                <w:noProof/>
                <w:webHidden/>
              </w:rPr>
              <w:fldChar w:fldCharType="end"/>
            </w:r>
          </w:hyperlink>
        </w:p>
        <w:p w14:paraId="61C566BD" w14:textId="77777777" w:rsidR="001669F2" w:rsidRDefault="00663FF6">
          <w:pPr>
            <w:pStyle w:val="Obsah2"/>
            <w:rPr>
              <w:rFonts w:eastAsiaTheme="minorEastAsia"/>
              <w:noProof/>
              <w:lang w:eastAsia="cs-CZ"/>
            </w:rPr>
          </w:pPr>
          <w:hyperlink w:anchor="_Toc525716159" w:history="1">
            <w:r w:rsidR="001669F2" w:rsidRPr="00180F2B">
              <w:rPr>
                <w:rStyle w:val="Hypertextovodkaz"/>
                <w:noProof/>
              </w:rPr>
              <w:t>1.1</w:t>
            </w:r>
            <w:r w:rsidR="001669F2">
              <w:rPr>
                <w:rFonts w:eastAsiaTheme="minorEastAsia"/>
                <w:noProof/>
                <w:lang w:eastAsia="cs-CZ"/>
              </w:rPr>
              <w:tab/>
            </w:r>
            <w:r w:rsidR="001669F2" w:rsidRPr="00180F2B">
              <w:rPr>
                <w:rStyle w:val="Hypertextovodkaz"/>
                <w:noProof/>
              </w:rPr>
              <w:t>Účel a zaměření Národní RIS3 strategie</w:t>
            </w:r>
            <w:r w:rsidR="001669F2">
              <w:rPr>
                <w:noProof/>
                <w:webHidden/>
              </w:rPr>
              <w:tab/>
            </w:r>
            <w:r w:rsidR="001669F2">
              <w:rPr>
                <w:noProof/>
                <w:webHidden/>
              </w:rPr>
              <w:fldChar w:fldCharType="begin"/>
            </w:r>
            <w:r w:rsidR="001669F2">
              <w:rPr>
                <w:noProof/>
                <w:webHidden/>
              </w:rPr>
              <w:instrText xml:space="preserve"> PAGEREF _Toc525716159 \h </w:instrText>
            </w:r>
            <w:r w:rsidR="001669F2">
              <w:rPr>
                <w:noProof/>
                <w:webHidden/>
              </w:rPr>
            </w:r>
            <w:r w:rsidR="001669F2">
              <w:rPr>
                <w:noProof/>
                <w:webHidden/>
              </w:rPr>
              <w:fldChar w:fldCharType="separate"/>
            </w:r>
            <w:r w:rsidR="001669F2">
              <w:rPr>
                <w:noProof/>
                <w:webHidden/>
              </w:rPr>
              <w:t>11</w:t>
            </w:r>
            <w:r w:rsidR="001669F2">
              <w:rPr>
                <w:noProof/>
                <w:webHidden/>
              </w:rPr>
              <w:fldChar w:fldCharType="end"/>
            </w:r>
          </w:hyperlink>
        </w:p>
        <w:p w14:paraId="6D034835" w14:textId="77777777" w:rsidR="001669F2" w:rsidRDefault="00663FF6">
          <w:pPr>
            <w:pStyle w:val="Obsah2"/>
            <w:rPr>
              <w:rFonts w:eastAsiaTheme="minorEastAsia"/>
              <w:noProof/>
              <w:lang w:eastAsia="cs-CZ"/>
            </w:rPr>
          </w:pPr>
          <w:hyperlink w:anchor="_Toc525716160" w:history="1">
            <w:r w:rsidR="001669F2" w:rsidRPr="00180F2B">
              <w:rPr>
                <w:rStyle w:val="Hypertextovodkaz"/>
                <w:noProof/>
              </w:rPr>
              <w:t>1.2</w:t>
            </w:r>
            <w:r w:rsidR="001669F2">
              <w:rPr>
                <w:rFonts w:eastAsiaTheme="minorEastAsia"/>
                <w:noProof/>
                <w:lang w:eastAsia="cs-CZ"/>
              </w:rPr>
              <w:tab/>
            </w:r>
            <w:r w:rsidR="001669F2" w:rsidRPr="00180F2B">
              <w:rPr>
                <w:rStyle w:val="Hypertextovodkaz"/>
                <w:noProof/>
              </w:rPr>
              <w:t>Vztah RIS3 k dalším koncepčním a strategickým dokumentům</w:t>
            </w:r>
            <w:r w:rsidR="001669F2">
              <w:rPr>
                <w:noProof/>
                <w:webHidden/>
              </w:rPr>
              <w:tab/>
            </w:r>
            <w:r w:rsidR="001669F2">
              <w:rPr>
                <w:noProof/>
                <w:webHidden/>
              </w:rPr>
              <w:fldChar w:fldCharType="begin"/>
            </w:r>
            <w:r w:rsidR="001669F2">
              <w:rPr>
                <w:noProof/>
                <w:webHidden/>
              </w:rPr>
              <w:instrText xml:space="preserve"> PAGEREF _Toc525716160 \h </w:instrText>
            </w:r>
            <w:r w:rsidR="001669F2">
              <w:rPr>
                <w:noProof/>
                <w:webHidden/>
              </w:rPr>
            </w:r>
            <w:r w:rsidR="001669F2">
              <w:rPr>
                <w:noProof/>
                <w:webHidden/>
              </w:rPr>
              <w:fldChar w:fldCharType="separate"/>
            </w:r>
            <w:r w:rsidR="001669F2">
              <w:rPr>
                <w:noProof/>
                <w:webHidden/>
              </w:rPr>
              <w:t>12</w:t>
            </w:r>
            <w:r w:rsidR="001669F2">
              <w:rPr>
                <w:noProof/>
                <w:webHidden/>
              </w:rPr>
              <w:fldChar w:fldCharType="end"/>
            </w:r>
          </w:hyperlink>
        </w:p>
        <w:p w14:paraId="31F61A82" w14:textId="77777777" w:rsidR="001669F2" w:rsidRDefault="00663FF6">
          <w:pPr>
            <w:pStyle w:val="Obsah2"/>
            <w:rPr>
              <w:rFonts w:eastAsiaTheme="minorEastAsia"/>
              <w:noProof/>
              <w:lang w:eastAsia="cs-CZ"/>
            </w:rPr>
          </w:pPr>
          <w:hyperlink w:anchor="_Toc525716161" w:history="1">
            <w:r w:rsidR="001669F2" w:rsidRPr="00180F2B">
              <w:rPr>
                <w:rStyle w:val="Hypertextovodkaz"/>
                <w:noProof/>
              </w:rPr>
              <w:t>1.3</w:t>
            </w:r>
            <w:r w:rsidR="001669F2">
              <w:rPr>
                <w:rFonts w:eastAsiaTheme="minorEastAsia"/>
                <w:noProof/>
                <w:lang w:eastAsia="cs-CZ"/>
              </w:rPr>
              <w:tab/>
            </w:r>
            <w:r w:rsidR="001669F2" w:rsidRPr="00180F2B">
              <w:rPr>
                <w:rStyle w:val="Hypertextovodkaz"/>
                <w:noProof/>
              </w:rPr>
              <w:t>Vznik Strategie inteligentní specializace v ČR</w:t>
            </w:r>
            <w:r w:rsidR="001669F2">
              <w:rPr>
                <w:noProof/>
                <w:webHidden/>
              </w:rPr>
              <w:tab/>
            </w:r>
            <w:r w:rsidR="001669F2">
              <w:rPr>
                <w:noProof/>
                <w:webHidden/>
              </w:rPr>
              <w:fldChar w:fldCharType="begin"/>
            </w:r>
            <w:r w:rsidR="001669F2">
              <w:rPr>
                <w:noProof/>
                <w:webHidden/>
              </w:rPr>
              <w:instrText xml:space="preserve"> PAGEREF _Toc525716161 \h </w:instrText>
            </w:r>
            <w:r w:rsidR="001669F2">
              <w:rPr>
                <w:noProof/>
                <w:webHidden/>
              </w:rPr>
            </w:r>
            <w:r w:rsidR="001669F2">
              <w:rPr>
                <w:noProof/>
                <w:webHidden/>
              </w:rPr>
              <w:fldChar w:fldCharType="separate"/>
            </w:r>
            <w:r w:rsidR="001669F2">
              <w:rPr>
                <w:noProof/>
                <w:webHidden/>
              </w:rPr>
              <w:t>13</w:t>
            </w:r>
            <w:r w:rsidR="001669F2">
              <w:rPr>
                <w:noProof/>
                <w:webHidden/>
              </w:rPr>
              <w:fldChar w:fldCharType="end"/>
            </w:r>
          </w:hyperlink>
        </w:p>
        <w:p w14:paraId="4963AD71" w14:textId="77777777" w:rsidR="001669F2" w:rsidRDefault="00663FF6">
          <w:pPr>
            <w:pStyle w:val="Obsah2"/>
            <w:rPr>
              <w:rFonts w:eastAsiaTheme="minorEastAsia"/>
              <w:noProof/>
              <w:lang w:eastAsia="cs-CZ"/>
            </w:rPr>
          </w:pPr>
          <w:hyperlink w:anchor="_Toc525716162" w:history="1">
            <w:r w:rsidR="001669F2" w:rsidRPr="00180F2B">
              <w:rPr>
                <w:rStyle w:val="Hypertextovodkaz"/>
                <w:noProof/>
              </w:rPr>
              <w:t>1.4</w:t>
            </w:r>
            <w:r w:rsidR="001669F2">
              <w:rPr>
                <w:rFonts w:eastAsiaTheme="minorEastAsia"/>
                <w:noProof/>
                <w:lang w:eastAsia="cs-CZ"/>
              </w:rPr>
              <w:tab/>
            </w:r>
            <w:r w:rsidR="001669F2" w:rsidRPr="00180F2B">
              <w:rPr>
                <w:rStyle w:val="Hypertextovodkaz"/>
                <w:noProof/>
              </w:rPr>
              <w:t>Účast podnikatelů, výzkumníků a partnerů z triple/quadruple helix na přípravě a realizaci strategie inteligentní specializace (EDP)</w:t>
            </w:r>
            <w:r w:rsidR="001669F2">
              <w:rPr>
                <w:noProof/>
                <w:webHidden/>
              </w:rPr>
              <w:tab/>
            </w:r>
            <w:r w:rsidR="001669F2">
              <w:rPr>
                <w:noProof/>
                <w:webHidden/>
              </w:rPr>
              <w:fldChar w:fldCharType="begin"/>
            </w:r>
            <w:r w:rsidR="001669F2">
              <w:rPr>
                <w:noProof/>
                <w:webHidden/>
              </w:rPr>
              <w:instrText xml:space="preserve"> PAGEREF _Toc525716162 \h </w:instrText>
            </w:r>
            <w:r w:rsidR="001669F2">
              <w:rPr>
                <w:noProof/>
                <w:webHidden/>
              </w:rPr>
            </w:r>
            <w:r w:rsidR="001669F2">
              <w:rPr>
                <w:noProof/>
                <w:webHidden/>
              </w:rPr>
              <w:fldChar w:fldCharType="separate"/>
            </w:r>
            <w:r w:rsidR="001669F2">
              <w:rPr>
                <w:noProof/>
                <w:webHidden/>
              </w:rPr>
              <w:t>14</w:t>
            </w:r>
            <w:r w:rsidR="001669F2">
              <w:rPr>
                <w:noProof/>
                <w:webHidden/>
              </w:rPr>
              <w:fldChar w:fldCharType="end"/>
            </w:r>
          </w:hyperlink>
        </w:p>
        <w:p w14:paraId="10019515" w14:textId="77777777" w:rsidR="001669F2" w:rsidRDefault="00663FF6">
          <w:pPr>
            <w:pStyle w:val="Obsah1"/>
            <w:rPr>
              <w:rFonts w:asciiTheme="minorHAnsi" w:eastAsiaTheme="minorEastAsia" w:hAnsiTheme="minorHAnsi"/>
              <w:noProof/>
              <w:lang w:eastAsia="cs-CZ"/>
            </w:rPr>
          </w:pPr>
          <w:hyperlink w:anchor="_Toc525716163" w:history="1">
            <w:r w:rsidR="001669F2" w:rsidRPr="00180F2B">
              <w:rPr>
                <w:rStyle w:val="Hypertextovodkaz"/>
                <w:noProof/>
              </w:rPr>
              <w:t>2</w:t>
            </w:r>
            <w:r w:rsidR="001669F2">
              <w:rPr>
                <w:rFonts w:asciiTheme="minorHAnsi" w:eastAsiaTheme="minorEastAsia" w:hAnsiTheme="minorHAnsi"/>
                <w:noProof/>
                <w:lang w:eastAsia="cs-CZ"/>
              </w:rPr>
              <w:tab/>
            </w:r>
            <w:r w:rsidR="001669F2" w:rsidRPr="00180F2B">
              <w:rPr>
                <w:rStyle w:val="Hypertextovodkaz"/>
                <w:noProof/>
              </w:rPr>
              <w:t>Východiska strategie inteligentní specializace v ČR</w:t>
            </w:r>
            <w:r w:rsidR="001669F2">
              <w:rPr>
                <w:noProof/>
                <w:webHidden/>
              </w:rPr>
              <w:tab/>
            </w:r>
            <w:r w:rsidR="001669F2">
              <w:rPr>
                <w:noProof/>
                <w:webHidden/>
              </w:rPr>
              <w:fldChar w:fldCharType="begin"/>
            </w:r>
            <w:r w:rsidR="001669F2">
              <w:rPr>
                <w:noProof/>
                <w:webHidden/>
              </w:rPr>
              <w:instrText xml:space="preserve"> PAGEREF _Toc525716163 \h </w:instrText>
            </w:r>
            <w:r w:rsidR="001669F2">
              <w:rPr>
                <w:noProof/>
                <w:webHidden/>
              </w:rPr>
            </w:r>
            <w:r w:rsidR="001669F2">
              <w:rPr>
                <w:noProof/>
                <w:webHidden/>
              </w:rPr>
              <w:fldChar w:fldCharType="separate"/>
            </w:r>
            <w:r w:rsidR="001669F2">
              <w:rPr>
                <w:noProof/>
                <w:webHidden/>
              </w:rPr>
              <w:t>17</w:t>
            </w:r>
            <w:r w:rsidR="001669F2">
              <w:rPr>
                <w:noProof/>
                <w:webHidden/>
              </w:rPr>
              <w:fldChar w:fldCharType="end"/>
            </w:r>
          </w:hyperlink>
        </w:p>
        <w:p w14:paraId="27C0EF9E" w14:textId="77777777" w:rsidR="001669F2" w:rsidRDefault="00663FF6">
          <w:pPr>
            <w:pStyle w:val="Obsah2"/>
            <w:rPr>
              <w:rFonts w:eastAsiaTheme="minorEastAsia"/>
              <w:noProof/>
              <w:lang w:eastAsia="cs-CZ"/>
            </w:rPr>
          </w:pPr>
          <w:hyperlink w:anchor="_Toc525716164" w:history="1">
            <w:r w:rsidR="001669F2" w:rsidRPr="00180F2B">
              <w:rPr>
                <w:rStyle w:val="Hypertextovodkaz"/>
                <w:noProof/>
              </w:rPr>
              <w:t>2.1</w:t>
            </w:r>
            <w:r w:rsidR="001669F2">
              <w:rPr>
                <w:rFonts w:eastAsiaTheme="minorEastAsia"/>
                <w:noProof/>
                <w:lang w:eastAsia="cs-CZ"/>
              </w:rPr>
              <w:tab/>
            </w:r>
            <w:r w:rsidR="001669F2" w:rsidRPr="00180F2B">
              <w:rPr>
                <w:rStyle w:val="Hypertextovodkaz"/>
                <w:noProof/>
              </w:rPr>
              <w:t>Východiska pro hodnocení konkurenceschopnosti</w:t>
            </w:r>
            <w:r w:rsidR="001669F2">
              <w:rPr>
                <w:noProof/>
                <w:webHidden/>
              </w:rPr>
              <w:tab/>
            </w:r>
            <w:r w:rsidR="001669F2">
              <w:rPr>
                <w:noProof/>
                <w:webHidden/>
              </w:rPr>
              <w:fldChar w:fldCharType="begin"/>
            </w:r>
            <w:r w:rsidR="001669F2">
              <w:rPr>
                <w:noProof/>
                <w:webHidden/>
              </w:rPr>
              <w:instrText xml:space="preserve"> PAGEREF _Toc525716164 \h </w:instrText>
            </w:r>
            <w:r w:rsidR="001669F2">
              <w:rPr>
                <w:noProof/>
                <w:webHidden/>
              </w:rPr>
            </w:r>
            <w:r w:rsidR="001669F2">
              <w:rPr>
                <w:noProof/>
                <w:webHidden/>
              </w:rPr>
              <w:fldChar w:fldCharType="separate"/>
            </w:r>
            <w:r w:rsidR="001669F2">
              <w:rPr>
                <w:noProof/>
                <w:webHidden/>
              </w:rPr>
              <w:t>17</w:t>
            </w:r>
            <w:r w:rsidR="001669F2">
              <w:rPr>
                <w:noProof/>
                <w:webHidden/>
              </w:rPr>
              <w:fldChar w:fldCharType="end"/>
            </w:r>
          </w:hyperlink>
        </w:p>
        <w:p w14:paraId="2FB54196" w14:textId="77777777" w:rsidR="001669F2" w:rsidRDefault="00663FF6">
          <w:pPr>
            <w:pStyle w:val="Obsah2"/>
            <w:rPr>
              <w:rFonts w:eastAsiaTheme="minorEastAsia"/>
              <w:noProof/>
              <w:lang w:eastAsia="cs-CZ"/>
            </w:rPr>
          </w:pPr>
          <w:hyperlink w:anchor="_Toc525716165" w:history="1">
            <w:r w:rsidR="001669F2" w:rsidRPr="00180F2B">
              <w:rPr>
                <w:rStyle w:val="Hypertextovodkaz"/>
                <w:noProof/>
              </w:rPr>
              <w:t>2.2</w:t>
            </w:r>
            <w:r w:rsidR="001669F2">
              <w:rPr>
                <w:rFonts w:eastAsiaTheme="minorEastAsia"/>
                <w:noProof/>
                <w:lang w:eastAsia="cs-CZ"/>
              </w:rPr>
              <w:tab/>
            </w:r>
            <w:r w:rsidR="001669F2" w:rsidRPr="00180F2B">
              <w:rPr>
                <w:rStyle w:val="Hypertextovodkaz"/>
                <w:noProof/>
              </w:rPr>
              <w:t>Makroekonomický rámec</w:t>
            </w:r>
            <w:r w:rsidR="001669F2">
              <w:rPr>
                <w:noProof/>
                <w:webHidden/>
              </w:rPr>
              <w:tab/>
            </w:r>
            <w:r w:rsidR="001669F2">
              <w:rPr>
                <w:noProof/>
                <w:webHidden/>
              </w:rPr>
              <w:fldChar w:fldCharType="begin"/>
            </w:r>
            <w:r w:rsidR="001669F2">
              <w:rPr>
                <w:noProof/>
                <w:webHidden/>
              </w:rPr>
              <w:instrText xml:space="preserve"> PAGEREF _Toc525716165 \h </w:instrText>
            </w:r>
            <w:r w:rsidR="001669F2">
              <w:rPr>
                <w:noProof/>
                <w:webHidden/>
              </w:rPr>
            </w:r>
            <w:r w:rsidR="001669F2">
              <w:rPr>
                <w:noProof/>
                <w:webHidden/>
              </w:rPr>
              <w:fldChar w:fldCharType="separate"/>
            </w:r>
            <w:r w:rsidR="001669F2">
              <w:rPr>
                <w:noProof/>
                <w:webHidden/>
              </w:rPr>
              <w:t>21</w:t>
            </w:r>
            <w:r w:rsidR="001669F2">
              <w:rPr>
                <w:noProof/>
                <w:webHidden/>
              </w:rPr>
              <w:fldChar w:fldCharType="end"/>
            </w:r>
          </w:hyperlink>
        </w:p>
        <w:p w14:paraId="57A1F261" w14:textId="77777777" w:rsidR="001669F2" w:rsidRDefault="00663FF6">
          <w:pPr>
            <w:pStyle w:val="Obsah2"/>
            <w:rPr>
              <w:rFonts w:eastAsiaTheme="minorEastAsia"/>
              <w:noProof/>
              <w:lang w:eastAsia="cs-CZ"/>
            </w:rPr>
          </w:pPr>
          <w:hyperlink w:anchor="_Toc525716166" w:history="1">
            <w:r w:rsidR="001669F2" w:rsidRPr="00180F2B">
              <w:rPr>
                <w:rStyle w:val="Hypertextovodkaz"/>
                <w:noProof/>
              </w:rPr>
              <w:t>2.3</w:t>
            </w:r>
            <w:r w:rsidR="001669F2">
              <w:rPr>
                <w:rFonts w:eastAsiaTheme="minorEastAsia"/>
                <w:noProof/>
                <w:lang w:eastAsia="cs-CZ"/>
              </w:rPr>
              <w:tab/>
            </w:r>
            <w:r w:rsidR="001669F2" w:rsidRPr="00180F2B">
              <w:rPr>
                <w:rStyle w:val="Hypertextovodkaz"/>
                <w:noProof/>
              </w:rPr>
              <w:t>Světové trendy</w:t>
            </w:r>
            <w:r w:rsidR="001669F2">
              <w:rPr>
                <w:noProof/>
                <w:webHidden/>
              </w:rPr>
              <w:tab/>
            </w:r>
            <w:r w:rsidR="001669F2">
              <w:rPr>
                <w:noProof/>
                <w:webHidden/>
              </w:rPr>
              <w:fldChar w:fldCharType="begin"/>
            </w:r>
            <w:r w:rsidR="001669F2">
              <w:rPr>
                <w:noProof/>
                <w:webHidden/>
              </w:rPr>
              <w:instrText xml:space="preserve"> PAGEREF _Toc525716166 \h </w:instrText>
            </w:r>
            <w:r w:rsidR="001669F2">
              <w:rPr>
                <w:noProof/>
                <w:webHidden/>
              </w:rPr>
            </w:r>
            <w:r w:rsidR="001669F2">
              <w:rPr>
                <w:noProof/>
                <w:webHidden/>
              </w:rPr>
              <w:fldChar w:fldCharType="separate"/>
            </w:r>
            <w:r w:rsidR="001669F2">
              <w:rPr>
                <w:noProof/>
                <w:webHidden/>
              </w:rPr>
              <w:t>29</w:t>
            </w:r>
            <w:r w:rsidR="001669F2">
              <w:rPr>
                <w:noProof/>
                <w:webHidden/>
              </w:rPr>
              <w:fldChar w:fldCharType="end"/>
            </w:r>
          </w:hyperlink>
        </w:p>
        <w:p w14:paraId="7ADC59BD" w14:textId="77777777" w:rsidR="001669F2" w:rsidRDefault="00663FF6">
          <w:pPr>
            <w:pStyle w:val="Obsah3"/>
            <w:rPr>
              <w:rFonts w:eastAsiaTheme="minorEastAsia"/>
              <w:noProof/>
              <w:lang w:eastAsia="cs-CZ"/>
            </w:rPr>
          </w:pPr>
          <w:hyperlink w:anchor="_Toc525716167" w:history="1">
            <w:r w:rsidR="001669F2" w:rsidRPr="00180F2B">
              <w:rPr>
                <w:rStyle w:val="Hypertextovodkaz"/>
                <w:noProof/>
              </w:rPr>
              <w:t>2.3.1</w:t>
            </w:r>
            <w:r w:rsidR="001669F2">
              <w:rPr>
                <w:rFonts w:eastAsiaTheme="minorEastAsia"/>
                <w:noProof/>
                <w:lang w:eastAsia="cs-CZ"/>
              </w:rPr>
              <w:tab/>
            </w:r>
            <w:r w:rsidR="001669F2" w:rsidRPr="00180F2B">
              <w:rPr>
                <w:rStyle w:val="Hypertextovodkaz"/>
                <w:noProof/>
              </w:rPr>
              <w:t>Organizační trendy</w:t>
            </w:r>
            <w:r w:rsidR="001669F2">
              <w:rPr>
                <w:noProof/>
                <w:webHidden/>
              </w:rPr>
              <w:tab/>
            </w:r>
            <w:r w:rsidR="001669F2">
              <w:rPr>
                <w:noProof/>
                <w:webHidden/>
              </w:rPr>
              <w:fldChar w:fldCharType="begin"/>
            </w:r>
            <w:r w:rsidR="001669F2">
              <w:rPr>
                <w:noProof/>
                <w:webHidden/>
              </w:rPr>
              <w:instrText xml:space="preserve"> PAGEREF _Toc525716167 \h </w:instrText>
            </w:r>
            <w:r w:rsidR="001669F2">
              <w:rPr>
                <w:noProof/>
                <w:webHidden/>
              </w:rPr>
            </w:r>
            <w:r w:rsidR="001669F2">
              <w:rPr>
                <w:noProof/>
                <w:webHidden/>
              </w:rPr>
              <w:fldChar w:fldCharType="separate"/>
            </w:r>
            <w:r w:rsidR="001669F2">
              <w:rPr>
                <w:noProof/>
                <w:webHidden/>
              </w:rPr>
              <w:t>29</w:t>
            </w:r>
            <w:r w:rsidR="001669F2">
              <w:rPr>
                <w:noProof/>
                <w:webHidden/>
              </w:rPr>
              <w:fldChar w:fldCharType="end"/>
            </w:r>
          </w:hyperlink>
        </w:p>
        <w:p w14:paraId="726B9414" w14:textId="77777777" w:rsidR="001669F2" w:rsidRDefault="00663FF6">
          <w:pPr>
            <w:pStyle w:val="Obsah3"/>
            <w:rPr>
              <w:rFonts w:eastAsiaTheme="minorEastAsia"/>
              <w:noProof/>
              <w:lang w:eastAsia="cs-CZ"/>
            </w:rPr>
          </w:pPr>
          <w:hyperlink w:anchor="_Toc525716168" w:history="1">
            <w:r w:rsidR="001669F2" w:rsidRPr="00180F2B">
              <w:rPr>
                <w:rStyle w:val="Hypertextovodkaz"/>
                <w:noProof/>
              </w:rPr>
              <w:t>2.3.2</w:t>
            </w:r>
            <w:r w:rsidR="001669F2">
              <w:rPr>
                <w:rFonts w:eastAsiaTheme="minorEastAsia"/>
                <w:noProof/>
                <w:lang w:eastAsia="cs-CZ"/>
              </w:rPr>
              <w:tab/>
            </w:r>
            <w:r w:rsidR="001669F2" w:rsidRPr="00180F2B">
              <w:rPr>
                <w:rStyle w:val="Hypertextovodkaz"/>
                <w:noProof/>
              </w:rPr>
              <w:t>Globální spotřební megatrendy</w:t>
            </w:r>
            <w:r w:rsidR="001669F2">
              <w:rPr>
                <w:noProof/>
                <w:webHidden/>
              </w:rPr>
              <w:tab/>
            </w:r>
            <w:r w:rsidR="001669F2">
              <w:rPr>
                <w:noProof/>
                <w:webHidden/>
              </w:rPr>
              <w:fldChar w:fldCharType="begin"/>
            </w:r>
            <w:r w:rsidR="001669F2">
              <w:rPr>
                <w:noProof/>
                <w:webHidden/>
              </w:rPr>
              <w:instrText xml:space="preserve"> PAGEREF _Toc525716168 \h </w:instrText>
            </w:r>
            <w:r w:rsidR="001669F2">
              <w:rPr>
                <w:noProof/>
                <w:webHidden/>
              </w:rPr>
            </w:r>
            <w:r w:rsidR="001669F2">
              <w:rPr>
                <w:noProof/>
                <w:webHidden/>
              </w:rPr>
              <w:fldChar w:fldCharType="separate"/>
            </w:r>
            <w:r w:rsidR="001669F2">
              <w:rPr>
                <w:noProof/>
                <w:webHidden/>
              </w:rPr>
              <w:t>31</w:t>
            </w:r>
            <w:r w:rsidR="001669F2">
              <w:rPr>
                <w:noProof/>
                <w:webHidden/>
              </w:rPr>
              <w:fldChar w:fldCharType="end"/>
            </w:r>
          </w:hyperlink>
        </w:p>
        <w:p w14:paraId="241CBD2D" w14:textId="77777777" w:rsidR="001669F2" w:rsidRDefault="00663FF6">
          <w:pPr>
            <w:pStyle w:val="Obsah1"/>
            <w:rPr>
              <w:rFonts w:asciiTheme="minorHAnsi" w:eastAsiaTheme="minorEastAsia" w:hAnsiTheme="minorHAnsi"/>
              <w:noProof/>
              <w:lang w:eastAsia="cs-CZ"/>
            </w:rPr>
          </w:pPr>
          <w:hyperlink w:anchor="_Toc525716169" w:history="1">
            <w:r w:rsidR="001669F2" w:rsidRPr="00180F2B">
              <w:rPr>
                <w:rStyle w:val="Hypertextovodkaz"/>
                <w:noProof/>
              </w:rPr>
              <w:t>3</w:t>
            </w:r>
            <w:r w:rsidR="001669F2">
              <w:rPr>
                <w:rFonts w:asciiTheme="minorHAnsi" w:eastAsiaTheme="minorEastAsia" w:hAnsiTheme="minorHAnsi"/>
                <w:noProof/>
                <w:lang w:eastAsia="cs-CZ"/>
              </w:rPr>
              <w:tab/>
            </w:r>
            <w:r w:rsidR="001669F2" w:rsidRPr="00180F2B">
              <w:rPr>
                <w:rStyle w:val="Hypertextovodkaz"/>
                <w:noProof/>
              </w:rPr>
              <w:t>Analytická část</w:t>
            </w:r>
            <w:r w:rsidR="001669F2">
              <w:rPr>
                <w:noProof/>
                <w:webHidden/>
              </w:rPr>
              <w:tab/>
            </w:r>
            <w:r w:rsidR="001669F2">
              <w:rPr>
                <w:noProof/>
                <w:webHidden/>
              </w:rPr>
              <w:fldChar w:fldCharType="begin"/>
            </w:r>
            <w:r w:rsidR="001669F2">
              <w:rPr>
                <w:noProof/>
                <w:webHidden/>
              </w:rPr>
              <w:instrText xml:space="preserve"> PAGEREF _Toc525716169 \h </w:instrText>
            </w:r>
            <w:r w:rsidR="001669F2">
              <w:rPr>
                <w:noProof/>
                <w:webHidden/>
              </w:rPr>
            </w:r>
            <w:r w:rsidR="001669F2">
              <w:rPr>
                <w:noProof/>
                <w:webHidden/>
              </w:rPr>
              <w:fldChar w:fldCharType="separate"/>
            </w:r>
            <w:r w:rsidR="001669F2">
              <w:rPr>
                <w:noProof/>
                <w:webHidden/>
              </w:rPr>
              <w:t>33</w:t>
            </w:r>
            <w:r w:rsidR="001669F2">
              <w:rPr>
                <w:noProof/>
                <w:webHidden/>
              </w:rPr>
              <w:fldChar w:fldCharType="end"/>
            </w:r>
          </w:hyperlink>
        </w:p>
        <w:p w14:paraId="7D922F33" w14:textId="77777777" w:rsidR="001669F2" w:rsidRDefault="00663FF6">
          <w:pPr>
            <w:pStyle w:val="Obsah2"/>
            <w:rPr>
              <w:rFonts w:eastAsiaTheme="minorEastAsia"/>
              <w:noProof/>
              <w:lang w:eastAsia="cs-CZ"/>
            </w:rPr>
          </w:pPr>
          <w:hyperlink w:anchor="_Toc525716170" w:history="1">
            <w:r w:rsidR="001669F2" w:rsidRPr="00180F2B">
              <w:rPr>
                <w:rStyle w:val="Hypertextovodkaz"/>
                <w:noProof/>
              </w:rPr>
              <w:t>3.1</w:t>
            </w:r>
            <w:r w:rsidR="001669F2">
              <w:rPr>
                <w:rFonts w:eastAsiaTheme="minorEastAsia"/>
                <w:noProof/>
                <w:lang w:eastAsia="cs-CZ"/>
              </w:rPr>
              <w:tab/>
            </w:r>
            <w:r w:rsidR="001669F2" w:rsidRPr="00180F2B">
              <w:rPr>
                <w:rStyle w:val="Hypertextovodkaz"/>
                <w:noProof/>
              </w:rPr>
              <w:t>Podnikání a inovace</w:t>
            </w:r>
            <w:r w:rsidR="001669F2">
              <w:rPr>
                <w:noProof/>
                <w:webHidden/>
              </w:rPr>
              <w:tab/>
            </w:r>
            <w:r w:rsidR="001669F2">
              <w:rPr>
                <w:noProof/>
                <w:webHidden/>
              </w:rPr>
              <w:fldChar w:fldCharType="begin"/>
            </w:r>
            <w:r w:rsidR="001669F2">
              <w:rPr>
                <w:noProof/>
                <w:webHidden/>
              </w:rPr>
              <w:instrText xml:space="preserve"> PAGEREF _Toc525716170 \h </w:instrText>
            </w:r>
            <w:r w:rsidR="001669F2">
              <w:rPr>
                <w:noProof/>
                <w:webHidden/>
              </w:rPr>
            </w:r>
            <w:r w:rsidR="001669F2">
              <w:rPr>
                <w:noProof/>
                <w:webHidden/>
              </w:rPr>
              <w:fldChar w:fldCharType="separate"/>
            </w:r>
            <w:r w:rsidR="001669F2">
              <w:rPr>
                <w:noProof/>
                <w:webHidden/>
              </w:rPr>
              <w:t>33</w:t>
            </w:r>
            <w:r w:rsidR="001669F2">
              <w:rPr>
                <w:noProof/>
                <w:webHidden/>
              </w:rPr>
              <w:fldChar w:fldCharType="end"/>
            </w:r>
          </w:hyperlink>
        </w:p>
        <w:p w14:paraId="6C29BF25" w14:textId="77777777" w:rsidR="001669F2" w:rsidRDefault="00663FF6">
          <w:pPr>
            <w:pStyle w:val="Obsah3"/>
            <w:rPr>
              <w:rFonts w:eastAsiaTheme="minorEastAsia"/>
              <w:noProof/>
              <w:lang w:eastAsia="cs-CZ"/>
            </w:rPr>
          </w:pPr>
          <w:hyperlink w:anchor="_Toc525716171" w:history="1">
            <w:r w:rsidR="001669F2" w:rsidRPr="00180F2B">
              <w:rPr>
                <w:rStyle w:val="Hypertextovodkaz"/>
                <w:noProof/>
              </w:rPr>
              <w:t>3.1.1</w:t>
            </w:r>
            <w:r w:rsidR="001669F2">
              <w:rPr>
                <w:rFonts w:eastAsiaTheme="minorEastAsia"/>
                <w:noProof/>
                <w:lang w:eastAsia="cs-CZ"/>
              </w:rPr>
              <w:tab/>
            </w:r>
            <w:r w:rsidR="001669F2" w:rsidRPr="00180F2B">
              <w:rPr>
                <w:rStyle w:val="Hypertextovodkaz"/>
                <w:noProof/>
              </w:rPr>
              <w:t>Úvod</w:t>
            </w:r>
            <w:r w:rsidR="001669F2">
              <w:rPr>
                <w:noProof/>
                <w:webHidden/>
              </w:rPr>
              <w:tab/>
            </w:r>
            <w:r w:rsidR="001669F2">
              <w:rPr>
                <w:noProof/>
                <w:webHidden/>
              </w:rPr>
              <w:fldChar w:fldCharType="begin"/>
            </w:r>
            <w:r w:rsidR="001669F2">
              <w:rPr>
                <w:noProof/>
                <w:webHidden/>
              </w:rPr>
              <w:instrText xml:space="preserve"> PAGEREF _Toc525716171 \h </w:instrText>
            </w:r>
            <w:r w:rsidR="001669F2">
              <w:rPr>
                <w:noProof/>
                <w:webHidden/>
              </w:rPr>
            </w:r>
            <w:r w:rsidR="001669F2">
              <w:rPr>
                <w:noProof/>
                <w:webHidden/>
              </w:rPr>
              <w:fldChar w:fldCharType="separate"/>
            </w:r>
            <w:r w:rsidR="001669F2">
              <w:rPr>
                <w:noProof/>
                <w:webHidden/>
              </w:rPr>
              <w:t>33</w:t>
            </w:r>
            <w:r w:rsidR="001669F2">
              <w:rPr>
                <w:noProof/>
                <w:webHidden/>
              </w:rPr>
              <w:fldChar w:fldCharType="end"/>
            </w:r>
          </w:hyperlink>
        </w:p>
        <w:p w14:paraId="1896E5F4" w14:textId="77777777" w:rsidR="001669F2" w:rsidRDefault="00663FF6">
          <w:pPr>
            <w:pStyle w:val="Obsah3"/>
            <w:rPr>
              <w:rFonts w:eastAsiaTheme="minorEastAsia"/>
              <w:noProof/>
              <w:lang w:eastAsia="cs-CZ"/>
            </w:rPr>
          </w:pPr>
          <w:hyperlink w:anchor="_Toc525716172" w:history="1">
            <w:r w:rsidR="001669F2" w:rsidRPr="00180F2B">
              <w:rPr>
                <w:rStyle w:val="Hypertextovodkaz"/>
                <w:noProof/>
              </w:rPr>
              <w:t>3.1.2</w:t>
            </w:r>
            <w:r w:rsidR="001669F2">
              <w:rPr>
                <w:rFonts w:eastAsiaTheme="minorEastAsia"/>
                <w:noProof/>
                <w:lang w:eastAsia="cs-CZ"/>
              </w:rPr>
              <w:tab/>
            </w:r>
            <w:r w:rsidR="001669F2" w:rsidRPr="00180F2B">
              <w:rPr>
                <w:rStyle w:val="Hypertextovodkaz"/>
                <w:noProof/>
              </w:rPr>
              <w:t>Problémový okruh 1: Nedostatečně silný endogenní podnikatelský sektor</w:t>
            </w:r>
            <w:r w:rsidR="001669F2">
              <w:rPr>
                <w:noProof/>
                <w:webHidden/>
              </w:rPr>
              <w:tab/>
            </w:r>
            <w:r w:rsidR="001669F2">
              <w:rPr>
                <w:noProof/>
                <w:webHidden/>
              </w:rPr>
              <w:fldChar w:fldCharType="begin"/>
            </w:r>
            <w:r w:rsidR="001669F2">
              <w:rPr>
                <w:noProof/>
                <w:webHidden/>
              </w:rPr>
              <w:instrText xml:space="preserve"> PAGEREF _Toc525716172 \h </w:instrText>
            </w:r>
            <w:r w:rsidR="001669F2">
              <w:rPr>
                <w:noProof/>
                <w:webHidden/>
              </w:rPr>
            </w:r>
            <w:r w:rsidR="001669F2">
              <w:rPr>
                <w:noProof/>
                <w:webHidden/>
              </w:rPr>
              <w:fldChar w:fldCharType="separate"/>
            </w:r>
            <w:r w:rsidR="001669F2">
              <w:rPr>
                <w:noProof/>
                <w:webHidden/>
              </w:rPr>
              <w:t>34</w:t>
            </w:r>
            <w:r w:rsidR="001669F2">
              <w:rPr>
                <w:noProof/>
                <w:webHidden/>
              </w:rPr>
              <w:fldChar w:fldCharType="end"/>
            </w:r>
          </w:hyperlink>
        </w:p>
        <w:p w14:paraId="700090B0" w14:textId="77777777" w:rsidR="001669F2" w:rsidRDefault="00663FF6">
          <w:pPr>
            <w:pStyle w:val="Obsah3"/>
            <w:rPr>
              <w:rFonts w:eastAsiaTheme="minorEastAsia"/>
              <w:noProof/>
              <w:lang w:eastAsia="cs-CZ"/>
            </w:rPr>
          </w:pPr>
          <w:hyperlink w:anchor="_Toc525716173" w:history="1">
            <w:r w:rsidR="001669F2" w:rsidRPr="00180F2B">
              <w:rPr>
                <w:rStyle w:val="Hypertextovodkaz"/>
                <w:noProof/>
              </w:rPr>
              <w:t>3.1.3</w:t>
            </w:r>
            <w:r w:rsidR="001669F2">
              <w:rPr>
                <w:rFonts w:eastAsiaTheme="minorEastAsia"/>
                <w:noProof/>
                <w:lang w:eastAsia="cs-CZ"/>
              </w:rPr>
              <w:tab/>
            </w:r>
            <w:r w:rsidR="001669F2" w:rsidRPr="00180F2B">
              <w:rPr>
                <w:rStyle w:val="Hypertextovodkaz"/>
                <w:noProof/>
              </w:rPr>
              <w:t>Problémový okruh 2: Vysoká závislost hospodářského vývoje ČR na aktivitách zahraničních firem</w:t>
            </w:r>
            <w:r w:rsidR="001669F2">
              <w:rPr>
                <w:noProof/>
                <w:webHidden/>
              </w:rPr>
              <w:tab/>
            </w:r>
            <w:r w:rsidR="001669F2">
              <w:rPr>
                <w:noProof/>
                <w:webHidden/>
              </w:rPr>
              <w:fldChar w:fldCharType="begin"/>
            </w:r>
            <w:r w:rsidR="001669F2">
              <w:rPr>
                <w:noProof/>
                <w:webHidden/>
              </w:rPr>
              <w:instrText xml:space="preserve"> PAGEREF _Toc525716173 \h </w:instrText>
            </w:r>
            <w:r w:rsidR="001669F2">
              <w:rPr>
                <w:noProof/>
                <w:webHidden/>
              </w:rPr>
            </w:r>
            <w:r w:rsidR="001669F2">
              <w:rPr>
                <w:noProof/>
                <w:webHidden/>
              </w:rPr>
              <w:fldChar w:fldCharType="separate"/>
            </w:r>
            <w:r w:rsidR="001669F2">
              <w:rPr>
                <w:noProof/>
                <w:webHidden/>
              </w:rPr>
              <w:t>35</w:t>
            </w:r>
            <w:r w:rsidR="001669F2">
              <w:rPr>
                <w:noProof/>
                <w:webHidden/>
              </w:rPr>
              <w:fldChar w:fldCharType="end"/>
            </w:r>
          </w:hyperlink>
        </w:p>
        <w:p w14:paraId="60BBA1FA" w14:textId="77777777" w:rsidR="001669F2" w:rsidRDefault="00663FF6">
          <w:pPr>
            <w:pStyle w:val="Obsah3"/>
            <w:rPr>
              <w:rFonts w:eastAsiaTheme="minorEastAsia"/>
              <w:noProof/>
              <w:lang w:eastAsia="cs-CZ"/>
            </w:rPr>
          </w:pPr>
          <w:hyperlink w:anchor="_Toc525716174" w:history="1">
            <w:r w:rsidR="001669F2" w:rsidRPr="00180F2B">
              <w:rPr>
                <w:rStyle w:val="Hypertextovodkaz"/>
                <w:noProof/>
              </w:rPr>
              <w:t>3.1.4</w:t>
            </w:r>
            <w:r w:rsidR="001669F2">
              <w:rPr>
                <w:rFonts w:eastAsiaTheme="minorEastAsia"/>
                <w:noProof/>
                <w:lang w:eastAsia="cs-CZ"/>
              </w:rPr>
              <w:tab/>
            </w:r>
            <w:r w:rsidR="001669F2" w:rsidRPr="00180F2B">
              <w:rPr>
                <w:rStyle w:val="Hypertextovodkaz"/>
                <w:noProof/>
              </w:rPr>
              <w:t>Problémový okruh 3: Nestabilita regulačního rámce a administrativní náročnost plnění regulačních pravidel</w:t>
            </w:r>
            <w:r w:rsidR="001669F2">
              <w:rPr>
                <w:noProof/>
                <w:webHidden/>
              </w:rPr>
              <w:tab/>
            </w:r>
            <w:r w:rsidR="001669F2">
              <w:rPr>
                <w:noProof/>
                <w:webHidden/>
              </w:rPr>
              <w:fldChar w:fldCharType="begin"/>
            </w:r>
            <w:r w:rsidR="001669F2">
              <w:rPr>
                <w:noProof/>
                <w:webHidden/>
              </w:rPr>
              <w:instrText xml:space="preserve"> PAGEREF _Toc525716174 \h </w:instrText>
            </w:r>
            <w:r w:rsidR="001669F2">
              <w:rPr>
                <w:noProof/>
                <w:webHidden/>
              </w:rPr>
            </w:r>
            <w:r w:rsidR="001669F2">
              <w:rPr>
                <w:noProof/>
                <w:webHidden/>
              </w:rPr>
              <w:fldChar w:fldCharType="separate"/>
            </w:r>
            <w:r w:rsidR="001669F2">
              <w:rPr>
                <w:noProof/>
                <w:webHidden/>
              </w:rPr>
              <w:t>36</w:t>
            </w:r>
            <w:r w:rsidR="001669F2">
              <w:rPr>
                <w:noProof/>
                <w:webHidden/>
              </w:rPr>
              <w:fldChar w:fldCharType="end"/>
            </w:r>
          </w:hyperlink>
        </w:p>
        <w:p w14:paraId="1941DF58" w14:textId="77777777" w:rsidR="001669F2" w:rsidRDefault="00663FF6">
          <w:pPr>
            <w:pStyle w:val="Obsah3"/>
            <w:rPr>
              <w:rFonts w:eastAsiaTheme="minorEastAsia"/>
              <w:noProof/>
              <w:lang w:eastAsia="cs-CZ"/>
            </w:rPr>
          </w:pPr>
          <w:hyperlink w:anchor="_Toc525716175" w:history="1">
            <w:r w:rsidR="001669F2" w:rsidRPr="00180F2B">
              <w:rPr>
                <w:rStyle w:val="Hypertextovodkaz"/>
                <w:noProof/>
              </w:rPr>
              <w:t>3.1.5</w:t>
            </w:r>
            <w:r w:rsidR="001669F2">
              <w:rPr>
                <w:rFonts w:eastAsiaTheme="minorEastAsia"/>
                <w:noProof/>
                <w:lang w:eastAsia="cs-CZ"/>
              </w:rPr>
              <w:tab/>
            </w:r>
            <w:r w:rsidR="001669F2" w:rsidRPr="00180F2B">
              <w:rPr>
                <w:rStyle w:val="Hypertextovodkaz"/>
                <w:noProof/>
              </w:rPr>
              <w:t>Problémový okruh 4: Přetrvávající podcenění digitální agendy v podnikání</w:t>
            </w:r>
            <w:r w:rsidR="001669F2">
              <w:rPr>
                <w:noProof/>
                <w:webHidden/>
              </w:rPr>
              <w:tab/>
            </w:r>
            <w:r w:rsidR="001669F2">
              <w:rPr>
                <w:noProof/>
                <w:webHidden/>
              </w:rPr>
              <w:fldChar w:fldCharType="begin"/>
            </w:r>
            <w:r w:rsidR="001669F2">
              <w:rPr>
                <w:noProof/>
                <w:webHidden/>
              </w:rPr>
              <w:instrText xml:space="preserve"> PAGEREF _Toc525716175 \h </w:instrText>
            </w:r>
            <w:r w:rsidR="001669F2">
              <w:rPr>
                <w:noProof/>
                <w:webHidden/>
              </w:rPr>
            </w:r>
            <w:r w:rsidR="001669F2">
              <w:rPr>
                <w:noProof/>
                <w:webHidden/>
              </w:rPr>
              <w:fldChar w:fldCharType="separate"/>
            </w:r>
            <w:r w:rsidR="001669F2">
              <w:rPr>
                <w:noProof/>
                <w:webHidden/>
              </w:rPr>
              <w:t>38</w:t>
            </w:r>
            <w:r w:rsidR="001669F2">
              <w:rPr>
                <w:noProof/>
                <w:webHidden/>
              </w:rPr>
              <w:fldChar w:fldCharType="end"/>
            </w:r>
          </w:hyperlink>
        </w:p>
        <w:p w14:paraId="0F21FF8C" w14:textId="77777777" w:rsidR="001669F2" w:rsidRDefault="00663FF6">
          <w:pPr>
            <w:pStyle w:val="Obsah2"/>
            <w:rPr>
              <w:rFonts w:eastAsiaTheme="minorEastAsia"/>
              <w:noProof/>
              <w:lang w:eastAsia="cs-CZ"/>
            </w:rPr>
          </w:pPr>
          <w:hyperlink w:anchor="_Toc525716176" w:history="1">
            <w:r w:rsidR="001669F2" w:rsidRPr="00180F2B">
              <w:rPr>
                <w:rStyle w:val="Hypertextovodkaz"/>
                <w:noProof/>
              </w:rPr>
              <w:t>3.2</w:t>
            </w:r>
            <w:r w:rsidR="001669F2">
              <w:rPr>
                <w:rFonts w:eastAsiaTheme="minorEastAsia"/>
                <w:noProof/>
                <w:lang w:eastAsia="cs-CZ"/>
              </w:rPr>
              <w:tab/>
            </w:r>
            <w:r w:rsidR="001669F2" w:rsidRPr="00180F2B">
              <w:rPr>
                <w:rStyle w:val="Hypertextovodkaz"/>
                <w:noProof/>
              </w:rPr>
              <w:t>Výzkum a vývoj</w:t>
            </w:r>
            <w:r w:rsidR="001669F2">
              <w:rPr>
                <w:noProof/>
                <w:webHidden/>
              </w:rPr>
              <w:tab/>
            </w:r>
            <w:r w:rsidR="001669F2">
              <w:rPr>
                <w:noProof/>
                <w:webHidden/>
              </w:rPr>
              <w:fldChar w:fldCharType="begin"/>
            </w:r>
            <w:r w:rsidR="001669F2">
              <w:rPr>
                <w:noProof/>
                <w:webHidden/>
              </w:rPr>
              <w:instrText xml:space="preserve"> PAGEREF _Toc525716176 \h </w:instrText>
            </w:r>
            <w:r w:rsidR="001669F2">
              <w:rPr>
                <w:noProof/>
                <w:webHidden/>
              </w:rPr>
            </w:r>
            <w:r w:rsidR="001669F2">
              <w:rPr>
                <w:noProof/>
                <w:webHidden/>
              </w:rPr>
              <w:fldChar w:fldCharType="separate"/>
            </w:r>
            <w:r w:rsidR="001669F2">
              <w:rPr>
                <w:noProof/>
                <w:webHidden/>
              </w:rPr>
              <w:t>38</w:t>
            </w:r>
            <w:r w:rsidR="001669F2">
              <w:rPr>
                <w:noProof/>
                <w:webHidden/>
              </w:rPr>
              <w:fldChar w:fldCharType="end"/>
            </w:r>
          </w:hyperlink>
        </w:p>
        <w:p w14:paraId="265569C3" w14:textId="77777777" w:rsidR="001669F2" w:rsidRDefault="00663FF6">
          <w:pPr>
            <w:pStyle w:val="Obsah3"/>
            <w:rPr>
              <w:rFonts w:eastAsiaTheme="minorEastAsia"/>
              <w:noProof/>
              <w:lang w:eastAsia="cs-CZ"/>
            </w:rPr>
          </w:pPr>
          <w:hyperlink w:anchor="_Toc525716177" w:history="1">
            <w:r w:rsidR="001669F2" w:rsidRPr="00180F2B">
              <w:rPr>
                <w:rStyle w:val="Hypertextovodkaz"/>
                <w:noProof/>
              </w:rPr>
              <w:t>3.2.1</w:t>
            </w:r>
            <w:r w:rsidR="001669F2">
              <w:rPr>
                <w:rFonts w:eastAsiaTheme="minorEastAsia"/>
                <w:noProof/>
                <w:lang w:eastAsia="cs-CZ"/>
              </w:rPr>
              <w:tab/>
            </w:r>
            <w:r w:rsidR="001669F2" w:rsidRPr="00180F2B">
              <w:rPr>
                <w:rStyle w:val="Hypertextovodkaz"/>
                <w:noProof/>
              </w:rPr>
              <w:t>Úvod</w:t>
            </w:r>
            <w:r w:rsidR="001669F2">
              <w:rPr>
                <w:noProof/>
                <w:webHidden/>
              </w:rPr>
              <w:tab/>
            </w:r>
            <w:r w:rsidR="001669F2">
              <w:rPr>
                <w:noProof/>
                <w:webHidden/>
              </w:rPr>
              <w:fldChar w:fldCharType="begin"/>
            </w:r>
            <w:r w:rsidR="001669F2">
              <w:rPr>
                <w:noProof/>
                <w:webHidden/>
              </w:rPr>
              <w:instrText xml:space="preserve"> PAGEREF _Toc525716177 \h </w:instrText>
            </w:r>
            <w:r w:rsidR="001669F2">
              <w:rPr>
                <w:noProof/>
                <w:webHidden/>
              </w:rPr>
            </w:r>
            <w:r w:rsidR="001669F2">
              <w:rPr>
                <w:noProof/>
                <w:webHidden/>
              </w:rPr>
              <w:fldChar w:fldCharType="separate"/>
            </w:r>
            <w:r w:rsidR="001669F2">
              <w:rPr>
                <w:noProof/>
                <w:webHidden/>
              </w:rPr>
              <w:t>38</w:t>
            </w:r>
            <w:r w:rsidR="001669F2">
              <w:rPr>
                <w:noProof/>
                <w:webHidden/>
              </w:rPr>
              <w:fldChar w:fldCharType="end"/>
            </w:r>
          </w:hyperlink>
        </w:p>
        <w:p w14:paraId="35C737C1" w14:textId="77777777" w:rsidR="001669F2" w:rsidRDefault="00663FF6">
          <w:pPr>
            <w:pStyle w:val="Obsah3"/>
            <w:rPr>
              <w:rFonts w:eastAsiaTheme="minorEastAsia"/>
              <w:noProof/>
              <w:lang w:eastAsia="cs-CZ"/>
            </w:rPr>
          </w:pPr>
          <w:hyperlink w:anchor="_Toc525716178" w:history="1">
            <w:r w:rsidR="001669F2" w:rsidRPr="00180F2B">
              <w:rPr>
                <w:rStyle w:val="Hypertextovodkaz"/>
                <w:noProof/>
              </w:rPr>
              <w:t>3.2.2</w:t>
            </w:r>
            <w:r w:rsidR="001669F2">
              <w:rPr>
                <w:rFonts w:eastAsiaTheme="minorEastAsia"/>
                <w:noProof/>
                <w:lang w:eastAsia="cs-CZ"/>
              </w:rPr>
              <w:tab/>
            </w:r>
            <w:r w:rsidR="001669F2" w:rsidRPr="00180F2B">
              <w:rPr>
                <w:rStyle w:val="Hypertextovodkaz"/>
                <w:noProof/>
              </w:rPr>
              <w:t>Problémový okruh 1: Nevyrovnaná kvalita veřejného výzkumu</w:t>
            </w:r>
            <w:r w:rsidR="001669F2">
              <w:rPr>
                <w:noProof/>
                <w:webHidden/>
              </w:rPr>
              <w:tab/>
            </w:r>
            <w:r w:rsidR="001669F2">
              <w:rPr>
                <w:noProof/>
                <w:webHidden/>
              </w:rPr>
              <w:fldChar w:fldCharType="begin"/>
            </w:r>
            <w:r w:rsidR="001669F2">
              <w:rPr>
                <w:noProof/>
                <w:webHidden/>
              </w:rPr>
              <w:instrText xml:space="preserve"> PAGEREF _Toc525716178 \h </w:instrText>
            </w:r>
            <w:r w:rsidR="001669F2">
              <w:rPr>
                <w:noProof/>
                <w:webHidden/>
              </w:rPr>
            </w:r>
            <w:r w:rsidR="001669F2">
              <w:rPr>
                <w:noProof/>
                <w:webHidden/>
              </w:rPr>
              <w:fldChar w:fldCharType="separate"/>
            </w:r>
            <w:r w:rsidR="001669F2">
              <w:rPr>
                <w:noProof/>
                <w:webHidden/>
              </w:rPr>
              <w:t>40</w:t>
            </w:r>
            <w:r w:rsidR="001669F2">
              <w:rPr>
                <w:noProof/>
                <w:webHidden/>
              </w:rPr>
              <w:fldChar w:fldCharType="end"/>
            </w:r>
          </w:hyperlink>
        </w:p>
        <w:p w14:paraId="36B2BFC1" w14:textId="77777777" w:rsidR="001669F2" w:rsidRDefault="00663FF6">
          <w:pPr>
            <w:pStyle w:val="Obsah3"/>
            <w:rPr>
              <w:rFonts w:eastAsiaTheme="minorEastAsia"/>
              <w:noProof/>
              <w:lang w:eastAsia="cs-CZ"/>
            </w:rPr>
          </w:pPr>
          <w:hyperlink w:anchor="_Toc525716179" w:history="1">
            <w:r w:rsidR="001669F2" w:rsidRPr="00180F2B">
              <w:rPr>
                <w:rStyle w:val="Hypertextovodkaz"/>
                <w:noProof/>
              </w:rPr>
              <w:t>3.2.3</w:t>
            </w:r>
            <w:r w:rsidR="001669F2">
              <w:rPr>
                <w:rFonts w:eastAsiaTheme="minorEastAsia"/>
                <w:noProof/>
                <w:lang w:eastAsia="cs-CZ"/>
              </w:rPr>
              <w:tab/>
            </w:r>
            <w:r w:rsidR="001669F2" w:rsidRPr="00180F2B">
              <w:rPr>
                <w:rStyle w:val="Hypertextovodkaz"/>
                <w:noProof/>
              </w:rPr>
              <w:t>Problémový okruh 2: Rizika digitální agendy ve veřejném výzkumu</w:t>
            </w:r>
            <w:r w:rsidR="001669F2">
              <w:rPr>
                <w:noProof/>
                <w:webHidden/>
              </w:rPr>
              <w:tab/>
            </w:r>
            <w:r w:rsidR="001669F2">
              <w:rPr>
                <w:noProof/>
                <w:webHidden/>
              </w:rPr>
              <w:fldChar w:fldCharType="begin"/>
            </w:r>
            <w:r w:rsidR="001669F2">
              <w:rPr>
                <w:noProof/>
                <w:webHidden/>
              </w:rPr>
              <w:instrText xml:space="preserve"> PAGEREF _Toc525716179 \h </w:instrText>
            </w:r>
            <w:r w:rsidR="001669F2">
              <w:rPr>
                <w:noProof/>
                <w:webHidden/>
              </w:rPr>
            </w:r>
            <w:r w:rsidR="001669F2">
              <w:rPr>
                <w:noProof/>
                <w:webHidden/>
              </w:rPr>
              <w:fldChar w:fldCharType="separate"/>
            </w:r>
            <w:r w:rsidR="001669F2">
              <w:rPr>
                <w:noProof/>
                <w:webHidden/>
              </w:rPr>
              <w:t>42</w:t>
            </w:r>
            <w:r w:rsidR="001669F2">
              <w:rPr>
                <w:noProof/>
                <w:webHidden/>
              </w:rPr>
              <w:fldChar w:fldCharType="end"/>
            </w:r>
          </w:hyperlink>
        </w:p>
        <w:p w14:paraId="02732463" w14:textId="77777777" w:rsidR="001669F2" w:rsidRDefault="00663FF6">
          <w:pPr>
            <w:pStyle w:val="Obsah3"/>
            <w:rPr>
              <w:rFonts w:eastAsiaTheme="minorEastAsia"/>
              <w:noProof/>
              <w:lang w:eastAsia="cs-CZ"/>
            </w:rPr>
          </w:pPr>
          <w:hyperlink w:anchor="_Toc525716180" w:history="1">
            <w:r w:rsidR="001669F2" w:rsidRPr="00180F2B">
              <w:rPr>
                <w:rStyle w:val="Hypertextovodkaz"/>
                <w:noProof/>
              </w:rPr>
              <w:t>3.2.4</w:t>
            </w:r>
            <w:r w:rsidR="001669F2">
              <w:rPr>
                <w:rFonts w:eastAsiaTheme="minorEastAsia"/>
                <w:noProof/>
                <w:lang w:eastAsia="cs-CZ"/>
              </w:rPr>
              <w:tab/>
            </w:r>
            <w:r w:rsidR="001669F2" w:rsidRPr="00180F2B">
              <w:rPr>
                <w:rStyle w:val="Hypertextovodkaz"/>
                <w:noProof/>
              </w:rPr>
              <w:t>Problémový okruh 3: Nízká relevance a málo rozvinutá spolupráce veřejného výzkumu s aplikační sférou</w:t>
            </w:r>
            <w:r w:rsidR="001669F2">
              <w:rPr>
                <w:noProof/>
                <w:webHidden/>
              </w:rPr>
              <w:tab/>
            </w:r>
            <w:r w:rsidR="001669F2">
              <w:rPr>
                <w:noProof/>
                <w:webHidden/>
              </w:rPr>
              <w:fldChar w:fldCharType="begin"/>
            </w:r>
            <w:r w:rsidR="001669F2">
              <w:rPr>
                <w:noProof/>
                <w:webHidden/>
              </w:rPr>
              <w:instrText xml:space="preserve"> PAGEREF _Toc525716180 \h </w:instrText>
            </w:r>
            <w:r w:rsidR="001669F2">
              <w:rPr>
                <w:noProof/>
                <w:webHidden/>
              </w:rPr>
            </w:r>
            <w:r w:rsidR="001669F2">
              <w:rPr>
                <w:noProof/>
                <w:webHidden/>
              </w:rPr>
              <w:fldChar w:fldCharType="separate"/>
            </w:r>
            <w:r w:rsidR="001669F2">
              <w:rPr>
                <w:noProof/>
                <w:webHidden/>
              </w:rPr>
              <w:t>43</w:t>
            </w:r>
            <w:r w:rsidR="001669F2">
              <w:rPr>
                <w:noProof/>
                <w:webHidden/>
              </w:rPr>
              <w:fldChar w:fldCharType="end"/>
            </w:r>
          </w:hyperlink>
        </w:p>
        <w:p w14:paraId="16479234" w14:textId="77777777" w:rsidR="001669F2" w:rsidRDefault="00663FF6">
          <w:pPr>
            <w:pStyle w:val="Obsah3"/>
            <w:rPr>
              <w:rFonts w:eastAsiaTheme="minorEastAsia"/>
              <w:noProof/>
              <w:lang w:eastAsia="cs-CZ"/>
            </w:rPr>
          </w:pPr>
          <w:hyperlink w:anchor="_Toc525716181" w:history="1">
            <w:r w:rsidR="001669F2" w:rsidRPr="00180F2B">
              <w:rPr>
                <w:rStyle w:val="Hypertextovodkaz"/>
                <w:noProof/>
              </w:rPr>
              <w:t>3.2.5</w:t>
            </w:r>
            <w:r w:rsidR="001669F2">
              <w:rPr>
                <w:rFonts w:eastAsiaTheme="minorEastAsia"/>
                <w:noProof/>
                <w:lang w:eastAsia="cs-CZ"/>
              </w:rPr>
              <w:tab/>
            </w:r>
            <w:r w:rsidR="001669F2" w:rsidRPr="00180F2B">
              <w:rPr>
                <w:rStyle w:val="Hypertextovodkaz"/>
                <w:noProof/>
              </w:rPr>
              <w:t>Problémový okruh 4: Nedostatečná mezinárodní otevřenost výzkumného prostředí v ČR</w:t>
            </w:r>
            <w:r w:rsidR="001669F2">
              <w:rPr>
                <w:noProof/>
                <w:webHidden/>
              </w:rPr>
              <w:tab/>
            </w:r>
            <w:r w:rsidR="001669F2">
              <w:rPr>
                <w:noProof/>
                <w:webHidden/>
              </w:rPr>
              <w:fldChar w:fldCharType="begin"/>
            </w:r>
            <w:r w:rsidR="001669F2">
              <w:rPr>
                <w:noProof/>
                <w:webHidden/>
              </w:rPr>
              <w:instrText xml:space="preserve"> PAGEREF _Toc525716181 \h </w:instrText>
            </w:r>
            <w:r w:rsidR="001669F2">
              <w:rPr>
                <w:noProof/>
                <w:webHidden/>
              </w:rPr>
            </w:r>
            <w:r w:rsidR="001669F2">
              <w:rPr>
                <w:noProof/>
                <w:webHidden/>
              </w:rPr>
              <w:fldChar w:fldCharType="separate"/>
            </w:r>
            <w:r w:rsidR="001669F2">
              <w:rPr>
                <w:noProof/>
                <w:webHidden/>
              </w:rPr>
              <w:t>45</w:t>
            </w:r>
            <w:r w:rsidR="001669F2">
              <w:rPr>
                <w:noProof/>
                <w:webHidden/>
              </w:rPr>
              <w:fldChar w:fldCharType="end"/>
            </w:r>
          </w:hyperlink>
        </w:p>
        <w:p w14:paraId="52C09D1F" w14:textId="77777777" w:rsidR="001669F2" w:rsidRDefault="00663FF6">
          <w:pPr>
            <w:pStyle w:val="Obsah3"/>
            <w:rPr>
              <w:rFonts w:eastAsiaTheme="minorEastAsia"/>
              <w:noProof/>
              <w:lang w:eastAsia="cs-CZ"/>
            </w:rPr>
          </w:pPr>
          <w:hyperlink w:anchor="_Toc525716182" w:history="1">
            <w:r w:rsidR="001669F2" w:rsidRPr="00180F2B">
              <w:rPr>
                <w:rStyle w:val="Hypertextovodkaz"/>
                <w:noProof/>
              </w:rPr>
              <w:t>3.2.6</w:t>
            </w:r>
            <w:r w:rsidR="001669F2">
              <w:rPr>
                <w:rFonts w:eastAsiaTheme="minorEastAsia"/>
                <w:noProof/>
                <w:lang w:eastAsia="cs-CZ"/>
              </w:rPr>
              <w:tab/>
            </w:r>
            <w:r w:rsidR="001669F2" w:rsidRPr="00180F2B">
              <w:rPr>
                <w:rStyle w:val="Hypertextovodkaz"/>
                <w:noProof/>
              </w:rPr>
              <w:t>Problémový okruh 5: Nedostatky v řízení a správě (governance) v oblasti politiky VaVaI</w:t>
            </w:r>
            <w:r w:rsidR="001669F2">
              <w:rPr>
                <w:noProof/>
                <w:webHidden/>
              </w:rPr>
              <w:tab/>
            </w:r>
            <w:r w:rsidR="001669F2">
              <w:rPr>
                <w:noProof/>
                <w:webHidden/>
              </w:rPr>
              <w:fldChar w:fldCharType="begin"/>
            </w:r>
            <w:r w:rsidR="001669F2">
              <w:rPr>
                <w:noProof/>
                <w:webHidden/>
              </w:rPr>
              <w:instrText xml:space="preserve"> PAGEREF _Toc525716182 \h </w:instrText>
            </w:r>
            <w:r w:rsidR="001669F2">
              <w:rPr>
                <w:noProof/>
                <w:webHidden/>
              </w:rPr>
            </w:r>
            <w:r w:rsidR="001669F2">
              <w:rPr>
                <w:noProof/>
                <w:webHidden/>
              </w:rPr>
              <w:fldChar w:fldCharType="separate"/>
            </w:r>
            <w:r w:rsidR="001669F2">
              <w:rPr>
                <w:noProof/>
                <w:webHidden/>
              </w:rPr>
              <w:t>48</w:t>
            </w:r>
            <w:r w:rsidR="001669F2">
              <w:rPr>
                <w:noProof/>
                <w:webHidden/>
              </w:rPr>
              <w:fldChar w:fldCharType="end"/>
            </w:r>
          </w:hyperlink>
        </w:p>
        <w:p w14:paraId="4258A300" w14:textId="77777777" w:rsidR="001669F2" w:rsidRDefault="00663FF6">
          <w:pPr>
            <w:pStyle w:val="Obsah2"/>
            <w:rPr>
              <w:rFonts w:eastAsiaTheme="minorEastAsia"/>
              <w:noProof/>
              <w:lang w:eastAsia="cs-CZ"/>
            </w:rPr>
          </w:pPr>
          <w:hyperlink w:anchor="_Toc525716183" w:history="1">
            <w:r w:rsidR="001669F2" w:rsidRPr="00180F2B">
              <w:rPr>
                <w:rStyle w:val="Hypertextovodkaz"/>
                <w:noProof/>
              </w:rPr>
              <w:t>3.3</w:t>
            </w:r>
            <w:r w:rsidR="001669F2">
              <w:rPr>
                <w:rFonts w:eastAsiaTheme="minorEastAsia"/>
                <w:noProof/>
                <w:lang w:eastAsia="cs-CZ"/>
              </w:rPr>
              <w:tab/>
            </w:r>
            <w:r w:rsidR="001669F2" w:rsidRPr="00180F2B">
              <w:rPr>
                <w:rStyle w:val="Hypertextovodkaz"/>
                <w:noProof/>
              </w:rPr>
              <w:t>Lidské zdroje</w:t>
            </w:r>
            <w:r w:rsidR="001669F2">
              <w:rPr>
                <w:noProof/>
                <w:webHidden/>
              </w:rPr>
              <w:tab/>
            </w:r>
            <w:r w:rsidR="001669F2">
              <w:rPr>
                <w:noProof/>
                <w:webHidden/>
              </w:rPr>
              <w:fldChar w:fldCharType="begin"/>
            </w:r>
            <w:r w:rsidR="001669F2">
              <w:rPr>
                <w:noProof/>
                <w:webHidden/>
              </w:rPr>
              <w:instrText xml:space="preserve"> PAGEREF _Toc525716183 \h </w:instrText>
            </w:r>
            <w:r w:rsidR="001669F2">
              <w:rPr>
                <w:noProof/>
                <w:webHidden/>
              </w:rPr>
            </w:r>
            <w:r w:rsidR="001669F2">
              <w:rPr>
                <w:noProof/>
                <w:webHidden/>
              </w:rPr>
              <w:fldChar w:fldCharType="separate"/>
            </w:r>
            <w:r w:rsidR="001669F2">
              <w:rPr>
                <w:noProof/>
                <w:webHidden/>
              </w:rPr>
              <w:t>49</w:t>
            </w:r>
            <w:r w:rsidR="001669F2">
              <w:rPr>
                <w:noProof/>
                <w:webHidden/>
              </w:rPr>
              <w:fldChar w:fldCharType="end"/>
            </w:r>
          </w:hyperlink>
        </w:p>
        <w:p w14:paraId="5D7210B0" w14:textId="77777777" w:rsidR="001669F2" w:rsidRDefault="00663FF6">
          <w:pPr>
            <w:pStyle w:val="Obsah3"/>
            <w:rPr>
              <w:rFonts w:eastAsiaTheme="minorEastAsia"/>
              <w:noProof/>
              <w:lang w:eastAsia="cs-CZ"/>
            </w:rPr>
          </w:pPr>
          <w:hyperlink w:anchor="_Toc525716184" w:history="1">
            <w:r w:rsidR="001669F2" w:rsidRPr="00180F2B">
              <w:rPr>
                <w:rStyle w:val="Hypertextovodkaz"/>
                <w:noProof/>
              </w:rPr>
              <w:t>3.3.1</w:t>
            </w:r>
            <w:r w:rsidR="001669F2">
              <w:rPr>
                <w:rFonts w:eastAsiaTheme="minorEastAsia"/>
                <w:noProof/>
                <w:lang w:eastAsia="cs-CZ"/>
              </w:rPr>
              <w:tab/>
            </w:r>
            <w:r w:rsidR="001669F2" w:rsidRPr="00180F2B">
              <w:rPr>
                <w:rStyle w:val="Hypertextovodkaz"/>
                <w:noProof/>
              </w:rPr>
              <w:t>Úvod</w:t>
            </w:r>
            <w:r w:rsidR="001669F2">
              <w:rPr>
                <w:noProof/>
                <w:webHidden/>
              </w:rPr>
              <w:tab/>
            </w:r>
            <w:r w:rsidR="001669F2">
              <w:rPr>
                <w:noProof/>
                <w:webHidden/>
              </w:rPr>
              <w:fldChar w:fldCharType="begin"/>
            </w:r>
            <w:r w:rsidR="001669F2">
              <w:rPr>
                <w:noProof/>
                <w:webHidden/>
              </w:rPr>
              <w:instrText xml:space="preserve"> PAGEREF _Toc525716184 \h </w:instrText>
            </w:r>
            <w:r w:rsidR="001669F2">
              <w:rPr>
                <w:noProof/>
                <w:webHidden/>
              </w:rPr>
            </w:r>
            <w:r w:rsidR="001669F2">
              <w:rPr>
                <w:noProof/>
                <w:webHidden/>
              </w:rPr>
              <w:fldChar w:fldCharType="separate"/>
            </w:r>
            <w:r w:rsidR="001669F2">
              <w:rPr>
                <w:noProof/>
                <w:webHidden/>
              </w:rPr>
              <w:t>49</w:t>
            </w:r>
            <w:r w:rsidR="001669F2">
              <w:rPr>
                <w:noProof/>
                <w:webHidden/>
              </w:rPr>
              <w:fldChar w:fldCharType="end"/>
            </w:r>
          </w:hyperlink>
        </w:p>
        <w:p w14:paraId="7BF71A08" w14:textId="77777777" w:rsidR="001669F2" w:rsidRDefault="00663FF6">
          <w:pPr>
            <w:pStyle w:val="Obsah3"/>
            <w:rPr>
              <w:rFonts w:eastAsiaTheme="minorEastAsia"/>
              <w:noProof/>
              <w:lang w:eastAsia="cs-CZ"/>
            </w:rPr>
          </w:pPr>
          <w:hyperlink w:anchor="_Toc525716185" w:history="1">
            <w:r w:rsidR="001669F2" w:rsidRPr="00180F2B">
              <w:rPr>
                <w:rStyle w:val="Hypertextovodkaz"/>
                <w:noProof/>
              </w:rPr>
              <w:t>3.3.2</w:t>
            </w:r>
            <w:r w:rsidR="001669F2">
              <w:rPr>
                <w:rFonts w:eastAsiaTheme="minorEastAsia"/>
                <w:noProof/>
                <w:lang w:eastAsia="cs-CZ"/>
              </w:rPr>
              <w:tab/>
            </w:r>
            <w:r w:rsidR="001669F2" w:rsidRPr="00180F2B">
              <w:rPr>
                <w:rStyle w:val="Hypertextovodkaz"/>
                <w:noProof/>
              </w:rPr>
              <w:t>Problémový okruh 1: Průměrná kvalita výstupů vzdělávacího systému</w:t>
            </w:r>
            <w:r w:rsidR="001669F2">
              <w:rPr>
                <w:noProof/>
                <w:webHidden/>
              </w:rPr>
              <w:tab/>
            </w:r>
            <w:r w:rsidR="001669F2">
              <w:rPr>
                <w:noProof/>
                <w:webHidden/>
              </w:rPr>
              <w:fldChar w:fldCharType="begin"/>
            </w:r>
            <w:r w:rsidR="001669F2">
              <w:rPr>
                <w:noProof/>
                <w:webHidden/>
              </w:rPr>
              <w:instrText xml:space="preserve"> PAGEREF _Toc525716185 \h </w:instrText>
            </w:r>
            <w:r w:rsidR="001669F2">
              <w:rPr>
                <w:noProof/>
                <w:webHidden/>
              </w:rPr>
            </w:r>
            <w:r w:rsidR="001669F2">
              <w:rPr>
                <w:noProof/>
                <w:webHidden/>
              </w:rPr>
              <w:fldChar w:fldCharType="separate"/>
            </w:r>
            <w:r w:rsidR="001669F2">
              <w:rPr>
                <w:noProof/>
                <w:webHidden/>
              </w:rPr>
              <w:t>49</w:t>
            </w:r>
            <w:r w:rsidR="001669F2">
              <w:rPr>
                <w:noProof/>
                <w:webHidden/>
              </w:rPr>
              <w:fldChar w:fldCharType="end"/>
            </w:r>
          </w:hyperlink>
        </w:p>
        <w:p w14:paraId="51AEACE6" w14:textId="77777777" w:rsidR="001669F2" w:rsidRDefault="00663FF6">
          <w:pPr>
            <w:pStyle w:val="Obsah3"/>
            <w:rPr>
              <w:rFonts w:eastAsiaTheme="minorEastAsia"/>
              <w:noProof/>
              <w:lang w:eastAsia="cs-CZ"/>
            </w:rPr>
          </w:pPr>
          <w:hyperlink w:anchor="_Toc525716186" w:history="1">
            <w:r w:rsidR="001669F2" w:rsidRPr="00180F2B">
              <w:rPr>
                <w:rStyle w:val="Hypertextovodkaz"/>
                <w:noProof/>
              </w:rPr>
              <w:t>3.3.3</w:t>
            </w:r>
            <w:r w:rsidR="001669F2">
              <w:rPr>
                <w:rFonts w:eastAsiaTheme="minorEastAsia"/>
                <w:noProof/>
                <w:lang w:eastAsia="cs-CZ"/>
              </w:rPr>
              <w:tab/>
            </w:r>
            <w:r w:rsidR="001669F2" w:rsidRPr="00180F2B">
              <w:rPr>
                <w:rStyle w:val="Hypertextovodkaz"/>
                <w:noProof/>
              </w:rPr>
              <w:t>Problémový okruh 2: Nefunkční systém identifikace talentů a práce s nimi</w:t>
            </w:r>
            <w:r w:rsidR="001669F2">
              <w:rPr>
                <w:noProof/>
                <w:webHidden/>
              </w:rPr>
              <w:tab/>
            </w:r>
            <w:r w:rsidR="001669F2">
              <w:rPr>
                <w:noProof/>
                <w:webHidden/>
              </w:rPr>
              <w:fldChar w:fldCharType="begin"/>
            </w:r>
            <w:r w:rsidR="001669F2">
              <w:rPr>
                <w:noProof/>
                <w:webHidden/>
              </w:rPr>
              <w:instrText xml:space="preserve"> PAGEREF _Toc525716186 \h </w:instrText>
            </w:r>
            <w:r w:rsidR="001669F2">
              <w:rPr>
                <w:noProof/>
                <w:webHidden/>
              </w:rPr>
            </w:r>
            <w:r w:rsidR="001669F2">
              <w:rPr>
                <w:noProof/>
                <w:webHidden/>
              </w:rPr>
              <w:fldChar w:fldCharType="separate"/>
            </w:r>
            <w:r w:rsidR="001669F2">
              <w:rPr>
                <w:noProof/>
                <w:webHidden/>
              </w:rPr>
              <w:t>51</w:t>
            </w:r>
            <w:r w:rsidR="001669F2">
              <w:rPr>
                <w:noProof/>
                <w:webHidden/>
              </w:rPr>
              <w:fldChar w:fldCharType="end"/>
            </w:r>
          </w:hyperlink>
        </w:p>
        <w:p w14:paraId="352BE778" w14:textId="77777777" w:rsidR="001669F2" w:rsidRDefault="00663FF6">
          <w:pPr>
            <w:pStyle w:val="Obsah3"/>
            <w:rPr>
              <w:rFonts w:eastAsiaTheme="minorEastAsia"/>
              <w:noProof/>
              <w:lang w:eastAsia="cs-CZ"/>
            </w:rPr>
          </w:pPr>
          <w:hyperlink w:anchor="_Toc525716187" w:history="1">
            <w:r w:rsidR="001669F2" w:rsidRPr="00180F2B">
              <w:rPr>
                <w:rStyle w:val="Hypertextovodkaz"/>
                <w:noProof/>
              </w:rPr>
              <w:t>3.3.4</w:t>
            </w:r>
            <w:r w:rsidR="001669F2">
              <w:rPr>
                <w:rFonts w:eastAsiaTheme="minorEastAsia"/>
                <w:noProof/>
                <w:lang w:eastAsia="cs-CZ"/>
              </w:rPr>
              <w:tab/>
            </w:r>
            <w:r w:rsidR="001669F2" w:rsidRPr="00180F2B">
              <w:rPr>
                <w:rStyle w:val="Hypertextovodkaz"/>
                <w:noProof/>
              </w:rPr>
              <w:t>Problémový okruh 3: Nedostatek kvalitních lidských zdrojů pro výzkum a vývoj</w:t>
            </w:r>
            <w:r w:rsidR="001669F2">
              <w:rPr>
                <w:noProof/>
                <w:webHidden/>
              </w:rPr>
              <w:tab/>
            </w:r>
            <w:r w:rsidR="001669F2">
              <w:rPr>
                <w:noProof/>
                <w:webHidden/>
              </w:rPr>
              <w:fldChar w:fldCharType="begin"/>
            </w:r>
            <w:r w:rsidR="001669F2">
              <w:rPr>
                <w:noProof/>
                <w:webHidden/>
              </w:rPr>
              <w:instrText xml:space="preserve"> PAGEREF _Toc525716187 \h </w:instrText>
            </w:r>
            <w:r w:rsidR="001669F2">
              <w:rPr>
                <w:noProof/>
                <w:webHidden/>
              </w:rPr>
            </w:r>
            <w:r w:rsidR="001669F2">
              <w:rPr>
                <w:noProof/>
                <w:webHidden/>
              </w:rPr>
              <w:fldChar w:fldCharType="separate"/>
            </w:r>
            <w:r w:rsidR="001669F2">
              <w:rPr>
                <w:noProof/>
                <w:webHidden/>
              </w:rPr>
              <w:t>52</w:t>
            </w:r>
            <w:r w:rsidR="001669F2">
              <w:rPr>
                <w:noProof/>
                <w:webHidden/>
              </w:rPr>
              <w:fldChar w:fldCharType="end"/>
            </w:r>
          </w:hyperlink>
        </w:p>
        <w:p w14:paraId="705BC05B" w14:textId="77777777" w:rsidR="001669F2" w:rsidRDefault="00663FF6">
          <w:pPr>
            <w:pStyle w:val="Obsah3"/>
            <w:rPr>
              <w:rFonts w:eastAsiaTheme="minorEastAsia"/>
              <w:noProof/>
              <w:lang w:eastAsia="cs-CZ"/>
            </w:rPr>
          </w:pPr>
          <w:hyperlink w:anchor="_Toc525716188" w:history="1">
            <w:r w:rsidR="001669F2" w:rsidRPr="00180F2B">
              <w:rPr>
                <w:rStyle w:val="Hypertextovodkaz"/>
                <w:noProof/>
              </w:rPr>
              <w:t>3.3.5</w:t>
            </w:r>
            <w:r w:rsidR="001669F2">
              <w:rPr>
                <w:rFonts w:eastAsiaTheme="minorEastAsia"/>
                <w:noProof/>
                <w:lang w:eastAsia="cs-CZ"/>
              </w:rPr>
              <w:tab/>
            </w:r>
            <w:r w:rsidR="001669F2" w:rsidRPr="00180F2B">
              <w:rPr>
                <w:rStyle w:val="Hypertextovodkaz"/>
                <w:noProof/>
              </w:rPr>
              <w:t>Problémový okruh 4: Nedostatečná podpora digitální agendy v lidských zdrojích</w:t>
            </w:r>
            <w:r w:rsidR="001669F2">
              <w:rPr>
                <w:noProof/>
                <w:webHidden/>
              </w:rPr>
              <w:tab/>
            </w:r>
            <w:r w:rsidR="001669F2">
              <w:rPr>
                <w:noProof/>
                <w:webHidden/>
              </w:rPr>
              <w:fldChar w:fldCharType="begin"/>
            </w:r>
            <w:r w:rsidR="001669F2">
              <w:rPr>
                <w:noProof/>
                <w:webHidden/>
              </w:rPr>
              <w:instrText xml:space="preserve"> PAGEREF _Toc525716188 \h </w:instrText>
            </w:r>
            <w:r w:rsidR="001669F2">
              <w:rPr>
                <w:noProof/>
                <w:webHidden/>
              </w:rPr>
            </w:r>
            <w:r w:rsidR="001669F2">
              <w:rPr>
                <w:noProof/>
                <w:webHidden/>
              </w:rPr>
              <w:fldChar w:fldCharType="separate"/>
            </w:r>
            <w:r w:rsidR="001669F2">
              <w:rPr>
                <w:noProof/>
                <w:webHidden/>
              </w:rPr>
              <w:t>53</w:t>
            </w:r>
            <w:r w:rsidR="001669F2">
              <w:rPr>
                <w:noProof/>
                <w:webHidden/>
              </w:rPr>
              <w:fldChar w:fldCharType="end"/>
            </w:r>
          </w:hyperlink>
        </w:p>
        <w:p w14:paraId="0AEF5421" w14:textId="77777777" w:rsidR="001669F2" w:rsidRDefault="00663FF6">
          <w:pPr>
            <w:pStyle w:val="Obsah2"/>
            <w:rPr>
              <w:rFonts w:eastAsiaTheme="minorEastAsia"/>
              <w:noProof/>
              <w:lang w:eastAsia="cs-CZ"/>
            </w:rPr>
          </w:pPr>
          <w:hyperlink w:anchor="_Toc525716189" w:history="1">
            <w:r w:rsidR="001669F2" w:rsidRPr="00180F2B">
              <w:rPr>
                <w:rStyle w:val="Hypertextovodkaz"/>
                <w:noProof/>
              </w:rPr>
              <w:t>3.4</w:t>
            </w:r>
            <w:r w:rsidR="001669F2">
              <w:rPr>
                <w:rFonts w:eastAsiaTheme="minorEastAsia"/>
                <w:noProof/>
                <w:lang w:eastAsia="cs-CZ"/>
              </w:rPr>
              <w:tab/>
            </w:r>
            <w:r w:rsidR="001669F2" w:rsidRPr="00180F2B">
              <w:rPr>
                <w:rStyle w:val="Hypertextovodkaz"/>
                <w:noProof/>
              </w:rPr>
              <w:t>Sociální inovace</w:t>
            </w:r>
            <w:r w:rsidR="001669F2">
              <w:rPr>
                <w:noProof/>
                <w:webHidden/>
              </w:rPr>
              <w:tab/>
            </w:r>
            <w:r w:rsidR="001669F2">
              <w:rPr>
                <w:noProof/>
                <w:webHidden/>
              </w:rPr>
              <w:fldChar w:fldCharType="begin"/>
            </w:r>
            <w:r w:rsidR="001669F2">
              <w:rPr>
                <w:noProof/>
                <w:webHidden/>
              </w:rPr>
              <w:instrText xml:space="preserve"> PAGEREF _Toc525716189 \h </w:instrText>
            </w:r>
            <w:r w:rsidR="001669F2">
              <w:rPr>
                <w:noProof/>
                <w:webHidden/>
              </w:rPr>
            </w:r>
            <w:r w:rsidR="001669F2">
              <w:rPr>
                <w:noProof/>
                <w:webHidden/>
              </w:rPr>
              <w:fldChar w:fldCharType="separate"/>
            </w:r>
            <w:r w:rsidR="001669F2">
              <w:rPr>
                <w:noProof/>
                <w:webHidden/>
              </w:rPr>
              <w:t>53</w:t>
            </w:r>
            <w:r w:rsidR="001669F2">
              <w:rPr>
                <w:noProof/>
                <w:webHidden/>
              </w:rPr>
              <w:fldChar w:fldCharType="end"/>
            </w:r>
          </w:hyperlink>
        </w:p>
        <w:p w14:paraId="1A7B2D37" w14:textId="77777777" w:rsidR="001669F2" w:rsidRDefault="00663FF6">
          <w:pPr>
            <w:pStyle w:val="Obsah3"/>
            <w:rPr>
              <w:rFonts w:eastAsiaTheme="minorEastAsia"/>
              <w:noProof/>
              <w:lang w:eastAsia="cs-CZ"/>
            </w:rPr>
          </w:pPr>
          <w:hyperlink w:anchor="_Toc525716190" w:history="1">
            <w:r w:rsidR="001669F2" w:rsidRPr="00180F2B">
              <w:rPr>
                <w:rStyle w:val="Hypertextovodkaz"/>
                <w:noProof/>
              </w:rPr>
              <w:t>3.4.1</w:t>
            </w:r>
            <w:r w:rsidR="001669F2">
              <w:rPr>
                <w:rFonts w:eastAsiaTheme="minorEastAsia"/>
                <w:noProof/>
                <w:lang w:eastAsia="cs-CZ"/>
              </w:rPr>
              <w:tab/>
            </w:r>
            <w:r w:rsidR="001669F2" w:rsidRPr="00180F2B">
              <w:rPr>
                <w:rStyle w:val="Hypertextovodkaz"/>
                <w:noProof/>
              </w:rPr>
              <w:t>Úvod</w:t>
            </w:r>
            <w:r w:rsidR="001669F2">
              <w:rPr>
                <w:noProof/>
                <w:webHidden/>
              </w:rPr>
              <w:tab/>
            </w:r>
            <w:r w:rsidR="001669F2">
              <w:rPr>
                <w:noProof/>
                <w:webHidden/>
              </w:rPr>
              <w:fldChar w:fldCharType="begin"/>
            </w:r>
            <w:r w:rsidR="001669F2">
              <w:rPr>
                <w:noProof/>
                <w:webHidden/>
              </w:rPr>
              <w:instrText xml:space="preserve"> PAGEREF _Toc525716190 \h </w:instrText>
            </w:r>
            <w:r w:rsidR="001669F2">
              <w:rPr>
                <w:noProof/>
                <w:webHidden/>
              </w:rPr>
            </w:r>
            <w:r w:rsidR="001669F2">
              <w:rPr>
                <w:noProof/>
                <w:webHidden/>
              </w:rPr>
              <w:fldChar w:fldCharType="separate"/>
            </w:r>
            <w:r w:rsidR="001669F2">
              <w:rPr>
                <w:noProof/>
                <w:webHidden/>
              </w:rPr>
              <w:t>53</w:t>
            </w:r>
            <w:r w:rsidR="001669F2">
              <w:rPr>
                <w:noProof/>
                <w:webHidden/>
              </w:rPr>
              <w:fldChar w:fldCharType="end"/>
            </w:r>
          </w:hyperlink>
        </w:p>
        <w:p w14:paraId="02824571" w14:textId="77777777" w:rsidR="001669F2" w:rsidRDefault="00663FF6">
          <w:pPr>
            <w:pStyle w:val="Obsah3"/>
            <w:rPr>
              <w:rFonts w:eastAsiaTheme="minorEastAsia"/>
              <w:noProof/>
              <w:lang w:eastAsia="cs-CZ"/>
            </w:rPr>
          </w:pPr>
          <w:hyperlink w:anchor="_Toc525716191" w:history="1">
            <w:r w:rsidR="001669F2" w:rsidRPr="00180F2B">
              <w:rPr>
                <w:rStyle w:val="Hypertextovodkaz"/>
                <w:noProof/>
              </w:rPr>
              <w:t>3.4.2</w:t>
            </w:r>
            <w:r w:rsidR="001669F2">
              <w:rPr>
                <w:rFonts w:eastAsiaTheme="minorEastAsia"/>
                <w:noProof/>
                <w:lang w:eastAsia="cs-CZ"/>
              </w:rPr>
              <w:tab/>
            </w:r>
            <w:r w:rsidR="001669F2" w:rsidRPr="00180F2B">
              <w:rPr>
                <w:rStyle w:val="Hypertextovodkaz"/>
                <w:noProof/>
              </w:rPr>
              <w:t>Problémový okruh 1: Nedostatečné využívání partnerské spolupráce a kreativity klíčových aktérů při řešení komplexních společenských výzev</w:t>
            </w:r>
            <w:r w:rsidR="001669F2">
              <w:rPr>
                <w:noProof/>
                <w:webHidden/>
              </w:rPr>
              <w:tab/>
            </w:r>
            <w:r w:rsidR="001669F2">
              <w:rPr>
                <w:noProof/>
                <w:webHidden/>
              </w:rPr>
              <w:fldChar w:fldCharType="begin"/>
            </w:r>
            <w:r w:rsidR="001669F2">
              <w:rPr>
                <w:noProof/>
                <w:webHidden/>
              </w:rPr>
              <w:instrText xml:space="preserve"> PAGEREF _Toc525716191 \h </w:instrText>
            </w:r>
            <w:r w:rsidR="001669F2">
              <w:rPr>
                <w:noProof/>
                <w:webHidden/>
              </w:rPr>
            </w:r>
            <w:r w:rsidR="001669F2">
              <w:rPr>
                <w:noProof/>
                <w:webHidden/>
              </w:rPr>
              <w:fldChar w:fldCharType="separate"/>
            </w:r>
            <w:r w:rsidR="001669F2">
              <w:rPr>
                <w:noProof/>
                <w:webHidden/>
              </w:rPr>
              <w:t>54</w:t>
            </w:r>
            <w:r w:rsidR="001669F2">
              <w:rPr>
                <w:noProof/>
                <w:webHidden/>
              </w:rPr>
              <w:fldChar w:fldCharType="end"/>
            </w:r>
          </w:hyperlink>
        </w:p>
        <w:p w14:paraId="5AAEA4D7" w14:textId="77777777" w:rsidR="001669F2" w:rsidRDefault="00663FF6">
          <w:pPr>
            <w:pStyle w:val="Obsah2"/>
            <w:rPr>
              <w:rFonts w:eastAsiaTheme="minorEastAsia"/>
              <w:noProof/>
              <w:lang w:eastAsia="cs-CZ"/>
            </w:rPr>
          </w:pPr>
          <w:hyperlink w:anchor="_Toc525716192" w:history="1">
            <w:r w:rsidR="001669F2" w:rsidRPr="00180F2B">
              <w:rPr>
                <w:rStyle w:val="Hypertextovodkaz"/>
                <w:noProof/>
              </w:rPr>
              <w:t>3.5</w:t>
            </w:r>
            <w:r w:rsidR="001669F2">
              <w:rPr>
                <w:rFonts w:eastAsiaTheme="minorEastAsia"/>
                <w:noProof/>
                <w:lang w:eastAsia="cs-CZ"/>
              </w:rPr>
              <w:tab/>
            </w:r>
            <w:r w:rsidR="001669F2" w:rsidRPr="00180F2B">
              <w:rPr>
                <w:rStyle w:val="Hypertextovodkaz"/>
                <w:noProof/>
              </w:rPr>
              <w:t>SWOT analýzy</w:t>
            </w:r>
            <w:r w:rsidR="001669F2">
              <w:rPr>
                <w:noProof/>
                <w:webHidden/>
              </w:rPr>
              <w:tab/>
            </w:r>
            <w:r w:rsidR="001669F2">
              <w:rPr>
                <w:noProof/>
                <w:webHidden/>
              </w:rPr>
              <w:fldChar w:fldCharType="begin"/>
            </w:r>
            <w:r w:rsidR="001669F2">
              <w:rPr>
                <w:noProof/>
                <w:webHidden/>
              </w:rPr>
              <w:instrText xml:space="preserve"> PAGEREF _Toc525716192 \h </w:instrText>
            </w:r>
            <w:r w:rsidR="001669F2">
              <w:rPr>
                <w:noProof/>
                <w:webHidden/>
              </w:rPr>
            </w:r>
            <w:r w:rsidR="001669F2">
              <w:rPr>
                <w:noProof/>
                <w:webHidden/>
              </w:rPr>
              <w:fldChar w:fldCharType="separate"/>
            </w:r>
            <w:r w:rsidR="001669F2">
              <w:rPr>
                <w:noProof/>
                <w:webHidden/>
              </w:rPr>
              <w:t>54</w:t>
            </w:r>
            <w:r w:rsidR="001669F2">
              <w:rPr>
                <w:noProof/>
                <w:webHidden/>
              </w:rPr>
              <w:fldChar w:fldCharType="end"/>
            </w:r>
          </w:hyperlink>
        </w:p>
        <w:p w14:paraId="78F6AD10" w14:textId="77777777" w:rsidR="001669F2" w:rsidRDefault="00663FF6">
          <w:pPr>
            <w:pStyle w:val="Obsah1"/>
            <w:rPr>
              <w:rFonts w:asciiTheme="minorHAnsi" w:eastAsiaTheme="minorEastAsia" w:hAnsiTheme="minorHAnsi"/>
              <w:noProof/>
              <w:lang w:eastAsia="cs-CZ"/>
            </w:rPr>
          </w:pPr>
          <w:hyperlink w:anchor="_Toc525716193" w:history="1">
            <w:r w:rsidR="001669F2" w:rsidRPr="00180F2B">
              <w:rPr>
                <w:rStyle w:val="Hypertextovodkaz"/>
                <w:noProof/>
              </w:rPr>
              <w:t>4</w:t>
            </w:r>
            <w:r w:rsidR="001669F2">
              <w:rPr>
                <w:rFonts w:asciiTheme="minorHAnsi" w:eastAsiaTheme="minorEastAsia" w:hAnsiTheme="minorHAnsi"/>
                <w:noProof/>
                <w:lang w:eastAsia="cs-CZ"/>
              </w:rPr>
              <w:tab/>
            </w:r>
            <w:r w:rsidR="001669F2" w:rsidRPr="00180F2B">
              <w:rPr>
                <w:rStyle w:val="Hypertextovodkaz"/>
                <w:noProof/>
              </w:rPr>
              <w:t>Výzkumná a ekonomická specializace ČR</w:t>
            </w:r>
            <w:r w:rsidR="001669F2">
              <w:rPr>
                <w:noProof/>
                <w:webHidden/>
              </w:rPr>
              <w:tab/>
            </w:r>
            <w:r w:rsidR="001669F2">
              <w:rPr>
                <w:noProof/>
                <w:webHidden/>
              </w:rPr>
              <w:fldChar w:fldCharType="begin"/>
            </w:r>
            <w:r w:rsidR="001669F2">
              <w:rPr>
                <w:noProof/>
                <w:webHidden/>
              </w:rPr>
              <w:instrText xml:space="preserve"> PAGEREF _Toc525716193 \h </w:instrText>
            </w:r>
            <w:r w:rsidR="001669F2">
              <w:rPr>
                <w:noProof/>
                <w:webHidden/>
              </w:rPr>
            </w:r>
            <w:r w:rsidR="001669F2">
              <w:rPr>
                <w:noProof/>
                <w:webHidden/>
              </w:rPr>
              <w:fldChar w:fldCharType="separate"/>
            </w:r>
            <w:r w:rsidR="001669F2">
              <w:rPr>
                <w:noProof/>
                <w:webHidden/>
              </w:rPr>
              <w:t>61</w:t>
            </w:r>
            <w:r w:rsidR="001669F2">
              <w:rPr>
                <w:noProof/>
                <w:webHidden/>
              </w:rPr>
              <w:fldChar w:fldCharType="end"/>
            </w:r>
          </w:hyperlink>
        </w:p>
        <w:p w14:paraId="2A5A314E" w14:textId="77777777" w:rsidR="001669F2" w:rsidRDefault="00663FF6">
          <w:pPr>
            <w:pStyle w:val="Obsah2"/>
            <w:rPr>
              <w:rFonts w:eastAsiaTheme="minorEastAsia"/>
              <w:noProof/>
              <w:lang w:eastAsia="cs-CZ"/>
            </w:rPr>
          </w:pPr>
          <w:hyperlink w:anchor="_Toc525716194" w:history="1">
            <w:r w:rsidR="001669F2" w:rsidRPr="00180F2B">
              <w:rPr>
                <w:rStyle w:val="Hypertextovodkaz"/>
                <w:noProof/>
              </w:rPr>
              <w:t>4.1</w:t>
            </w:r>
            <w:r w:rsidR="001669F2">
              <w:rPr>
                <w:rFonts w:eastAsiaTheme="minorEastAsia"/>
                <w:noProof/>
                <w:lang w:eastAsia="cs-CZ"/>
              </w:rPr>
              <w:tab/>
            </w:r>
            <w:r w:rsidR="001669F2" w:rsidRPr="00180F2B">
              <w:rPr>
                <w:rStyle w:val="Hypertextovodkaz"/>
                <w:noProof/>
              </w:rPr>
              <w:t>Pojetí specializace</w:t>
            </w:r>
            <w:r w:rsidR="001669F2">
              <w:rPr>
                <w:noProof/>
                <w:webHidden/>
              </w:rPr>
              <w:tab/>
            </w:r>
            <w:r w:rsidR="001669F2">
              <w:rPr>
                <w:noProof/>
                <w:webHidden/>
              </w:rPr>
              <w:fldChar w:fldCharType="begin"/>
            </w:r>
            <w:r w:rsidR="001669F2">
              <w:rPr>
                <w:noProof/>
                <w:webHidden/>
              </w:rPr>
              <w:instrText xml:space="preserve"> PAGEREF _Toc525716194 \h </w:instrText>
            </w:r>
            <w:r w:rsidR="001669F2">
              <w:rPr>
                <w:noProof/>
                <w:webHidden/>
              </w:rPr>
            </w:r>
            <w:r w:rsidR="001669F2">
              <w:rPr>
                <w:noProof/>
                <w:webHidden/>
              </w:rPr>
              <w:fldChar w:fldCharType="separate"/>
            </w:r>
            <w:r w:rsidR="001669F2">
              <w:rPr>
                <w:noProof/>
                <w:webHidden/>
              </w:rPr>
              <w:t>61</w:t>
            </w:r>
            <w:r w:rsidR="001669F2">
              <w:rPr>
                <w:noProof/>
                <w:webHidden/>
              </w:rPr>
              <w:fldChar w:fldCharType="end"/>
            </w:r>
          </w:hyperlink>
        </w:p>
        <w:p w14:paraId="612245CA" w14:textId="77777777" w:rsidR="001669F2" w:rsidRDefault="00663FF6">
          <w:pPr>
            <w:pStyle w:val="Obsah2"/>
            <w:rPr>
              <w:rFonts w:eastAsiaTheme="minorEastAsia"/>
              <w:noProof/>
              <w:lang w:eastAsia="cs-CZ"/>
            </w:rPr>
          </w:pPr>
          <w:hyperlink w:anchor="_Toc525716195" w:history="1">
            <w:r w:rsidR="001669F2" w:rsidRPr="00180F2B">
              <w:rPr>
                <w:rStyle w:val="Hypertextovodkaz"/>
                <w:noProof/>
              </w:rPr>
              <w:t>4.2</w:t>
            </w:r>
            <w:r w:rsidR="001669F2">
              <w:rPr>
                <w:rFonts w:eastAsiaTheme="minorEastAsia"/>
                <w:noProof/>
                <w:lang w:eastAsia="cs-CZ"/>
              </w:rPr>
              <w:tab/>
            </w:r>
            <w:r w:rsidR="001669F2" w:rsidRPr="00180F2B">
              <w:rPr>
                <w:rStyle w:val="Hypertextovodkaz"/>
                <w:noProof/>
              </w:rPr>
              <w:t>Specializace ČR</w:t>
            </w:r>
            <w:r w:rsidR="001669F2">
              <w:rPr>
                <w:noProof/>
                <w:webHidden/>
              </w:rPr>
              <w:tab/>
            </w:r>
            <w:r w:rsidR="001669F2">
              <w:rPr>
                <w:noProof/>
                <w:webHidden/>
              </w:rPr>
              <w:fldChar w:fldCharType="begin"/>
            </w:r>
            <w:r w:rsidR="001669F2">
              <w:rPr>
                <w:noProof/>
                <w:webHidden/>
              </w:rPr>
              <w:instrText xml:space="preserve"> PAGEREF _Toc525716195 \h </w:instrText>
            </w:r>
            <w:r w:rsidR="001669F2">
              <w:rPr>
                <w:noProof/>
                <w:webHidden/>
              </w:rPr>
            </w:r>
            <w:r w:rsidR="001669F2">
              <w:rPr>
                <w:noProof/>
                <w:webHidden/>
              </w:rPr>
              <w:fldChar w:fldCharType="separate"/>
            </w:r>
            <w:r w:rsidR="001669F2">
              <w:rPr>
                <w:noProof/>
                <w:webHidden/>
              </w:rPr>
              <w:t>63</w:t>
            </w:r>
            <w:r w:rsidR="001669F2">
              <w:rPr>
                <w:noProof/>
                <w:webHidden/>
              </w:rPr>
              <w:fldChar w:fldCharType="end"/>
            </w:r>
          </w:hyperlink>
        </w:p>
        <w:p w14:paraId="7ADC4905" w14:textId="77777777" w:rsidR="001669F2" w:rsidRDefault="00663FF6">
          <w:pPr>
            <w:pStyle w:val="Obsah3"/>
            <w:rPr>
              <w:rFonts w:eastAsiaTheme="minorEastAsia"/>
              <w:noProof/>
              <w:lang w:eastAsia="cs-CZ"/>
            </w:rPr>
          </w:pPr>
          <w:hyperlink w:anchor="_Toc525716196" w:history="1">
            <w:r w:rsidR="001669F2" w:rsidRPr="00180F2B">
              <w:rPr>
                <w:rStyle w:val="Hypertextovodkaz"/>
                <w:noProof/>
              </w:rPr>
              <w:t>4.2.1</w:t>
            </w:r>
            <w:r w:rsidR="001669F2">
              <w:rPr>
                <w:rFonts w:eastAsiaTheme="minorEastAsia"/>
                <w:noProof/>
                <w:lang w:eastAsia="cs-CZ"/>
              </w:rPr>
              <w:tab/>
            </w:r>
            <w:r w:rsidR="001669F2" w:rsidRPr="00180F2B">
              <w:rPr>
                <w:rStyle w:val="Hypertextovodkaz"/>
                <w:noProof/>
              </w:rPr>
              <w:t>Ekonomická specializace</w:t>
            </w:r>
            <w:r w:rsidR="001669F2">
              <w:rPr>
                <w:noProof/>
                <w:webHidden/>
              </w:rPr>
              <w:tab/>
            </w:r>
            <w:r w:rsidR="001669F2">
              <w:rPr>
                <w:noProof/>
                <w:webHidden/>
              </w:rPr>
              <w:fldChar w:fldCharType="begin"/>
            </w:r>
            <w:r w:rsidR="001669F2">
              <w:rPr>
                <w:noProof/>
                <w:webHidden/>
              </w:rPr>
              <w:instrText xml:space="preserve"> PAGEREF _Toc525716196 \h </w:instrText>
            </w:r>
            <w:r w:rsidR="001669F2">
              <w:rPr>
                <w:noProof/>
                <w:webHidden/>
              </w:rPr>
            </w:r>
            <w:r w:rsidR="001669F2">
              <w:rPr>
                <w:noProof/>
                <w:webHidden/>
              </w:rPr>
              <w:fldChar w:fldCharType="separate"/>
            </w:r>
            <w:r w:rsidR="001669F2">
              <w:rPr>
                <w:noProof/>
                <w:webHidden/>
              </w:rPr>
              <w:t>63</w:t>
            </w:r>
            <w:r w:rsidR="001669F2">
              <w:rPr>
                <w:noProof/>
                <w:webHidden/>
              </w:rPr>
              <w:fldChar w:fldCharType="end"/>
            </w:r>
          </w:hyperlink>
        </w:p>
        <w:p w14:paraId="6FEA4192" w14:textId="77777777" w:rsidR="001669F2" w:rsidRDefault="00663FF6">
          <w:pPr>
            <w:pStyle w:val="Obsah3"/>
            <w:rPr>
              <w:rFonts w:eastAsiaTheme="minorEastAsia"/>
              <w:noProof/>
              <w:lang w:eastAsia="cs-CZ"/>
            </w:rPr>
          </w:pPr>
          <w:hyperlink w:anchor="_Toc525716197" w:history="1">
            <w:r w:rsidR="001669F2" w:rsidRPr="00180F2B">
              <w:rPr>
                <w:rStyle w:val="Hypertextovodkaz"/>
                <w:noProof/>
              </w:rPr>
              <w:t>4.2.2</w:t>
            </w:r>
            <w:r w:rsidR="001669F2">
              <w:rPr>
                <w:rFonts w:eastAsiaTheme="minorEastAsia"/>
                <w:noProof/>
                <w:lang w:eastAsia="cs-CZ"/>
              </w:rPr>
              <w:tab/>
            </w:r>
            <w:r w:rsidR="001669F2" w:rsidRPr="00180F2B">
              <w:rPr>
                <w:rStyle w:val="Hypertextovodkaz"/>
                <w:noProof/>
              </w:rPr>
              <w:t>Výzkumná specializace</w:t>
            </w:r>
            <w:r w:rsidR="001669F2">
              <w:rPr>
                <w:noProof/>
                <w:webHidden/>
              </w:rPr>
              <w:tab/>
            </w:r>
            <w:r w:rsidR="001669F2">
              <w:rPr>
                <w:noProof/>
                <w:webHidden/>
              </w:rPr>
              <w:fldChar w:fldCharType="begin"/>
            </w:r>
            <w:r w:rsidR="001669F2">
              <w:rPr>
                <w:noProof/>
                <w:webHidden/>
              </w:rPr>
              <w:instrText xml:space="preserve"> PAGEREF _Toc525716197 \h </w:instrText>
            </w:r>
            <w:r w:rsidR="001669F2">
              <w:rPr>
                <w:noProof/>
                <w:webHidden/>
              </w:rPr>
            </w:r>
            <w:r w:rsidR="001669F2">
              <w:rPr>
                <w:noProof/>
                <w:webHidden/>
              </w:rPr>
              <w:fldChar w:fldCharType="separate"/>
            </w:r>
            <w:r w:rsidR="001669F2">
              <w:rPr>
                <w:noProof/>
                <w:webHidden/>
              </w:rPr>
              <w:t>80</w:t>
            </w:r>
            <w:r w:rsidR="001669F2">
              <w:rPr>
                <w:noProof/>
                <w:webHidden/>
              </w:rPr>
              <w:fldChar w:fldCharType="end"/>
            </w:r>
          </w:hyperlink>
        </w:p>
        <w:p w14:paraId="08E26884" w14:textId="77777777" w:rsidR="001669F2" w:rsidRDefault="00663FF6">
          <w:pPr>
            <w:pStyle w:val="Obsah4"/>
            <w:rPr>
              <w:rFonts w:eastAsiaTheme="minorEastAsia"/>
              <w:noProof/>
              <w:lang w:eastAsia="cs-CZ"/>
            </w:rPr>
          </w:pPr>
          <w:hyperlink w:anchor="_Toc525716198" w:history="1">
            <w:r w:rsidR="001669F2" w:rsidRPr="00180F2B">
              <w:rPr>
                <w:rStyle w:val="Hypertextovodkaz"/>
                <w:noProof/>
              </w:rPr>
              <w:t>4.2.2.1</w:t>
            </w:r>
            <w:r w:rsidR="001669F2">
              <w:rPr>
                <w:rFonts w:eastAsiaTheme="minorEastAsia"/>
                <w:noProof/>
                <w:lang w:eastAsia="cs-CZ"/>
              </w:rPr>
              <w:tab/>
            </w:r>
            <w:r w:rsidR="001669F2" w:rsidRPr="00180F2B">
              <w:rPr>
                <w:rStyle w:val="Hypertextovodkaz"/>
                <w:noProof/>
              </w:rPr>
              <w:t>Megatrendy v oblasti vědy, technologií a inovací</w:t>
            </w:r>
            <w:r w:rsidR="001669F2">
              <w:rPr>
                <w:noProof/>
                <w:webHidden/>
              </w:rPr>
              <w:tab/>
            </w:r>
            <w:r w:rsidR="001669F2">
              <w:rPr>
                <w:noProof/>
                <w:webHidden/>
              </w:rPr>
              <w:fldChar w:fldCharType="begin"/>
            </w:r>
            <w:r w:rsidR="001669F2">
              <w:rPr>
                <w:noProof/>
                <w:webHidden/>
              </w:rPr>
              <w:instrText xml:space="preserve"> PAGEREF _Toc525716198 \h </w:instrText>
            </w:r>
            <w:r w:rsidR="001669F2">
              <w:rPr>
                <w:noProof/>
                <w:webHidden/>
              </w:rPr>
            </w:r>
            <w:r w:rsidR="001669F2">
              <w:rPr>
                <w:noProof/>
                <w:webHidden/>
              </w:rPr>
              <w:fldChar w:fldCharType="separate"/>
            </w:r>
            <w:r w:rsidR="001669F2">
              <w:rPr>
                <w:noProof/>
                <w:webHidden/>
              </w:rPr>
              <w:t>84</w:t>
            </w:r>
            <w:r w:rsidR="001669F2">
              <w:rPr>
                <w:noProof/>
                <w:webHidden/>
              </w:rPr>
              <w:fldChar w:fldCharType="end"/>
            </w:r>
          </w:hyperlink>
        </w:p>
        <w:p w14:paraId="70D047C6" w14:textId="77777777" w:rsidR="001669F2" w:rsidRDefault="00663FF6">
          <w:pPr>
            <w:pStyle w:val="Obsah4"/>
            <w:rPr>
              <w:rFonts w:eastAsiaTheme="minorEastAsia"/>
              <w:noProof/>
              <w:lang w:eastAsia="cs-CZ"/>
            </w:rPr>
          </w:pPr>
          <w:hyperlink w:anchor="_Toc525716199" w:history="1">
            <w:r w:rsidR="001669F2" w:rsidRPr="00180F2B">
              <w:rPr>
                <w:rStyle w:val="Hypertextovodkaz"/>
                <w:noProof/>
              </w:rPr>
              <w:t>4.2.2.2</w:t>
            </w:r>
            <w:r w:rsidR="001669F2">
              <w:rPr>
                <w:rFonts w:eastAsiaTheme="minorEastAsia"/>
                <w:noProof/>
                <w:lang w:eastAsia="cs-CZ"/>
              </w:rPr>
              <w:tab/>
            </w:r>
            <w:r w:rsidR="001669F2" w:rsidRPr="00180F2B">
              <w:rPr>
                <w:rStyle w:val="Hypertextovodkaz"/>
                <w:noProof/>
              </w:rPr>
              <w:t>Nové klíčové technologie pro země EU</w:t>
            </w:r>
            <w:r w:rsidR="001669F2">
              <w:rPr>
                <w:noProof/>
                <w:webHidden/>
              </w:rPr>
              <w:tab/>
            </w:r>
            <w:r w:rsidR="001669F2">
              <w:rPr>
                <w:noProof/>
                <w:webHidden/>
              </w:rPr>
              <w:fldChar w:fldCharType="begin"/>
            </w:r>
            <w:r w:rsidR="001669F2">
              <w:rPr>
                <w:noProof/>
                <w:webHidden/>
              </w:rPr>
              <w:instrText xml:space="preserve"> PAGEREF _Toc525716199 \h </w:instrText>
            </w:r>
            <w:r w:rsidR="001669F2">
              <w:rPr>
                <w:noProof/>
                <w:webHidden/>
              </w:rPr>
            </w:r>
            <w:r w:rsidR="001669F2">
              <w:rPr>
                <w:noProof/>
                <w:webHidden/>
              </w:rPr>
              <w:fldChar w:fldCharType="separate"/>
            </w:r>
            <w:r w:rsidR="001669F2">
              <w:rPr>
                <w:noProof/>
                <w:webHidden/>
              </w:rPr>
              <w:t>91</w:t>
            </w:r>
            <w:r w:rsidR="001669F2">
              <w:rPr>
                <w:noProof/>
                <w:webHidden/>
              </w:rPr>
              <w:fldChar w:fldCharType="end"/>
            </w:r>
          </w:hyperlink>
        </w:p>
        <w:p w14:paraId="015E5D23" w14:textId="77777777" w:rsidR="001669F2" w:rsidRDefault="00663FF6">
          <w:pPr>
            <w:pStyle w:val="Obsah3"/>
            <w:rPr>
              <w:rFonts w:eastAsiaTheme="minorEastAsia"/>
              <w:noProof/>
              <w:lang w:eastAsia="cs-CZ"/>
            </w:rPr>
          </w:pPr>
          <w:hyperlink w:anchor="_Toc525716200" w:history="1">
            <w:r w:rsidR="001669F2" w:rsidRPr="00180F2B">
              <w:rPr>
                <w:rStyle w:val="Hypertextovodkaz"/>
                <w:noProof/>
              </w:rPr>
              <w:t>4.2.3</w:t>
            </w:r>
            <w:r w:rsidR="001669F2">
              <w:rPr>
                <w:rFonts w:eastAsiaTheme="minorEastAsia"/>
                <w:noProof/>
                <w:lang w:eastAsia="cs-CZ"/>
              </w:rPr>
              <w:tab/>
            </w:r>
            <w:r w:rsidR="001669F2" w:rsidRPr="00180F2B">
              <w:rPr>
                <w:rStyle w:val="Hypertextovodkaz"/>
                <w:noProof/>
              </w:rPr>
              <w:t>Identifikace znalostních domén a aplikačních odvětví inteligentní specializace</w:t>
            </w:r>
            <w:r w:rsidR="001669F2">
              <w:rPr>
                <w:noProof/>
                <w:webHidden/>
              </w:rPr>
              <w:tab/>
            </w:r>
            <w:r w:rsidR="001669F2">
              <w:rPr>
                <w:noProof/>
                <w:webHidden/>
              </w:rPr>
              <w:fldChar w:fldCharType="begin"/>
            </w:r>
            <w:r w:rsidR="001669F2">
              <w:rPr>
                <w:noProof/>
                <w:webHidden/>
              </w:rPr>
              <w:instrText xml:space="preserve"> PAGEREF _Toc525716200 \h </w:instrText>
            </w:r>
            <w:r w:rsidR="001669F2">
              <w:rPr>
                <w:noProof/>
                <w:webHidden/>
              </w:rPr>
            </w:r>
            <w:r w:rsidR="001669F2">
              <w:rPr>
                <w:noProof/>
                <w:webHidden/>
              </w:rPr>
              <w:fldChar w:fldCharType="separate"/>
            </w:r>
            <w:r w:rsidR="001669F2">
              <w:rPr>
                <w:noProof/>
                <w:webHidden/>
              </w:rPr>
              <w:t>93</w:t>
            </w:r>
            <w:r w:rsidR="001669F2">
              <w:rPr>
                <w:noProof/>
                <w:webHidden/>
              </w:rPr>
              <w:fldChar w:fldCharType="end"/>
            </w:r>
          </w:hyperlink>
        </w:p>
        <w:p w14:paraId="1C27B1E7" w14:textId="77777777" w:rsidR="001669F2" w:rsidRDefault="00663FF6">
          <w:pPr>
            <w:pStyle w:val="Obsah1"/>
            <w:rPr>
              <w:rFonts w:asciiTheme="minorHAnsi" w:eastAsiaTheme="minorEastAsia" w:hAnsiTheme="minorHAnsi"/>
              <w:noProof/>
              <w:lang w:eastAsia="cs-CZ"/>
            </w:rPr>
          </w:pPr>
          <w:hyperlink w:anchor="_Toc525716201" w:history="1">
            <w:r w:rsidR="001669F2" w:rsidRPr="00180F2B">
              <w:rPr>
                <w:rStyle w:val="Hypertextovodkaz"/>
                <w:noProof/>
              </w:rPr>
              <w:t>5</w:t>
            </w:r>
            <w:r w:rsidR="001669F2">
              <w:rPr>
                <w:rFonts w:asciiTheme="minorHAnsi" w:eastAsiaTheme="minorEastAsia" w:hAnsiTheme="minorHAnsi"/>
                <w:noProof/>
                <w:lang w:eastAsia="cs-CZ"/>
              </w:rPr>
              <w:tab/>
            </w:r>
            <w:r w:rsidR="001669F2" w:rsidRPr="00180F2B">
              <w:rPr>
                <w:rStyle w:val="Hypertextovodkaz"/>
                <w:noProof/>
              </w:rPr>
              <w:t>Návrhová část</w:t>
            </w:r>
            <w:r w:rsidR="001669F2">
              <w:rPr>
                <w:noProof/>
                <w:webHidden/>
              </w:rPr>
              <w:tab/>
            </w:r>
            <w:r w:rsidR="001669F2">
              <w:rPr>
                <w:noProof/>
                <w:webHidden/>
              </w:rPr>
              <w:fldChar w:fldCharType="begin"/>
            </w:r>
            <w:r w:rsidR="001669F2">
              <w:rPr>
                <w:noProof/>
                <w:webHidden/>
              </w:rPr>
              <w:instrText xml:space="preserve"> PAGEREF _Toc525716201 \h </w:instrText>
            </w:r>
            <w:r w:rsidR="001669F2">
              <w:rPr>
                <w:noProof/>
                <w:webHidden/>
              </w:rPr>
            </w:r>
            <w:r w:rsidR="001669F2">
              <w:rPr>
                <w:noProof/>
                <w:webHidden/>
              </w:rPr>
              <w:fldChar w:fldCharType="separate"/>
            </w:r>
            <w:r w:rsidR="001669F2">
              <w:rPr>
                <w:noProof/>
                <w:webHidden/>
              </w:rPr>
              <w:t>96</w:t>
            </w:r>
            <w:r w:rsidR="001669F2">
              <w:rPr>
                <w:noProof/>
                <w:webHidden/>
              </w:rPr>
              <w:fldChar w:fldCharType="end"/>
            </w:r>
          </w:hyperlink>
        </w:p>
        <w:p w14:paraId="39E0A883" w14:textId="77777777" w:rsidR="001669F2" w:rsidRDefault="00663FF6">
          <w:pPr>
            <w:pStyle w:val="Obsah2"/>
            <w:rPr>
              <w:rFonts w:eastAsiaTheme="minorEastAsia"/>
              <w:noProof/>
              <w:lang w:eastAsia="cs-CZ"/>
            </w:rPr>
          </w:pPr>
          <w:hyperlink w:anchor="_Toc525716202" w:history="1">
            <w:r w:rsidR="001669F2" w:rsidRPr="00180F2B">
              <w:rPr>
                <w:rStyle w:val="Hypertextovodkaz"/>
                <w:noProof/>
              </w:rPr>
              <w:t>5.1</w:t>
            </w:r>
            <w:r w:rsidR="001669F2">
              <w:rPr>
                <w:rFonts w:eastAsiaTheme="minorEastAsia"/>
                <w:noProof/>
                <w:lang w:eastAsia="cs-CZ"/>
              </w:rPr>
              <w:tab/>
            </w:r>
            <w:r w:rsidR="001669F2" w:rsidRPr="00180F2B">
              <w:rPr>
                <w:rStyle w:val="Hypertextovodkaz"/>
                <w:noProof/>
              </w:rPr>
              <w:t>Dlouhodobá strategická vize</w:t>
            </w:r>
            <w:r w:rsidR="001669F2">
              <w:rPr>
                <w:noProof/>
                <w:webHidden/>
              </w:rPr>
              <w:tab/>
            </w:r>
            <w:r w:rsidR="001669F2">
              <w:rPr>
                <w:noProof/>
                <w:webHidden/>
              </w:rPr>
              <w:fldChar w:fldCharType="begin"/>
            </w:r>
            <w:r w:rsidR="001669F2">
              <w:rPr>
                <w:noProof/>
                <w:webHidden/>
              </w:rPr>
              <w:instrText xml:space="preserve"> PAGEREF _Toc525716202 \h </w:instrText>
            </w:r>
            <w:r w:rsidR="001669F2">
              <w:rPr>
                <w:noProof/>
                <w:webHidden/>
              </w:rPr>
            </w:r>
            <w:r w:rsidR="001669F2">
              <w:rPr>
                <w:noProof/>
                <w:webHidden/>
              </w:rPr>
              <w:fldChar w:fldCharType="separate"/>
            </w:r>
            <w:r w:rsidR="001669F2">
              <w:rPr>
                <w:noProof/>
                <w:webHidden/>
              </w:rPr>
              <w:t>96</w:t>
            </w:r>
            <w:r w:rsidR="001669F2">
              <w:rPr>
                <w:noProof/>
                <w:webHidden/>
              </w:rPr>
              <w:fldChar w:fldCharType="end"/>
            </w:r>
          </w:hyperlink>
        </w:p>
        <w:p w14:paraId="7AAD7467" w14:textId="77777777" w:rsidR="001669F2" w:rsidRDefault="00663FF6">
          <w:pPr>
            <w:pStyle w:val="Obsah2"/>
            <w:rPr>
              <w:rFonts w:eastAsiaTheme="minorEastAsia"/>
              <w:noProof/>
              <w:lang w:eastAsia="cs-CZ"/>
            </w:rPr>
          </w:pPr>
          <w:hyperlink w:anchor="_Toc525716203" w:history="1">
            <w:r w:rsidR="001669F2" w:rsidRPr="00180F2B">
              <w:rPr>
                <w:rStyle w:val="Hypertextovodkaz"/>
                <w:noProof/>
              </w:rPr>
              <w:t>5.2</w:t>
            </w:r>
            <w:r w:rsidR="001669F2">
              <w:rPr>
                <w:rFonts w:eastAsiaTheme="minorEastAsia"/>
                <w:noProof/>
                <w:lang w:eastAsia="cs-CZ"/>
              </w:rPr>
              <w:tab/>
            </w:r>
            <w:r w:rsidR="001669F2" w:rsidRPr="00180F2B">
              <w:rPr>
                <w:rStyle w:val="Hypertextovodkaz"/>
                <w:noProof/>
              </w:rPr>
              <w:t>Struktura návrhové části – klíčové oblasti změn</w:t>
            </w:r>
            <w:r w:rsidR="001669F2">
              <w:rPr>
                <w:noProof/>
                <w:webHidden/>
              </w:rPr>
              <w:tab/>
            </w:r>
            <w:r w:rsidR="001669F2">
              <w:rPr>
                <w:noProof/>
                <w:webHidden/>
              </w:rPr>
              <w:fldChar w:fldCharType="begin"/>
            </w:r>
            <w:r w:rsidR="001669F2">
              <w:rPr>
                <w:noProof/>
                <w:webHidden/>
              </w:rPr>
              <w:instrText xml:space="preserve"> PAGEREF _Toc525716203 \h </w:instrText>
            </w:r>
            <w:r w:rsidR="001669F2">
              <w:rPr>
                <w:noProof/>
                <w:webHidden/>
              </w:rPr>
            </w:r>
            <w:r w:rsidR="001669F2">
              <w:rPr>
                <w:noProof/>
                <w:webHidden/>
              </w:rPr>
              <w:fldChar w:fldCharType="separate"/>
            </w:r>
            <w:r w:rsidR="001669F2">
              <w:rPr>
                <w:noProof/>
                <w:webHidden/>
              </w:rPr>
              <w:t>100</w:t>
            </w:r>
            <w:r w:rsidR="001669F2">
              <w:rPr>
                <w:noProof/>
                <w:webHidden/>
              </w:rPr>
              <w:fldChar w:fldCharType="end"/>
            </w:r>
          </w:hyperlink>
        </w:p>
        <w:p w14:paraId="6B578E99" w14:textId="77777777" w:rsidR="001669F2" w:rsidRDefault="00663FF6">
          <w:pPr>
            <w:pStyle w:val="Obsah2"/>
            <w:rPr>
              <w:rFonts w:eastAsiaTheme="minorEastAsia"/>
              <w:noProof/>
              <w:lang w:eastAsia="cs-CZ"/>
            </w:rPr>
          </w:pPr>
          <w:hyperlink w:anchor="_Toc525716204" w:history="1">
            <w:r w:rsidR="001669F2" w:rsidRPr="00180F2B">
              <w:rPr>
                <w:rStyle w:val="Hypertextovodkaz"/>
                <w:noProof/>
              </w:rPr>
              <w:t>5.3</w:t>
            </w:r>
            <w:r w:rsidR="001669F2">
              <w:rPr>
                <w:rFonts w:eastAsiaTheme="minorEastAsia"/>
                <w:noProof/>
                <w:lang w:eastAsia="cs-CZ"/>
              </w:rPr>
              <w:tab/>
            </w:r>
            <w:r w:rsidR="001669F2" w:rsidRPr="00180F2B">
              <w:rPr>
                <w:rStyle w:val="Hypertextovodkaz"/>
                <w:noProof/>
              </w:rPr>
              <w:t>Kombinace intervencí v Národní RIS3</w:t>
            </w:r>
            <w:r w:rsidR="001669F2">
              <w:rPr>
                <w:noProof/>
                <w:webHidden/>
              </w:rPr>
              <w:tab/>
            </w:r>
            <w:r w:rsidR="001669F2">
              <w:rPr>
                <w:noProof/>
                <w:webHidden/>
              </w:rPr>
              <w:fldChar w:fldCharType="begin"/>
            </w:r>
            <w:r w:rsidR="001669F2">
              <w:rPr>
                <w:noProof/>
                <w:webHidden/>
              </w:rPr>
              <w:instrText xml:space="preserve"> PAGEREF _Toc525716204 \h </w:instrText>
            </w:r>
            <w:r w:rsidR="001669F2">
              <w:rPr>
                <w:noProof/>
                <w:webHidden/>
              </w:rPr>
            </w:r>
            <w:r w:rsidR="001669F2">
              <w:rPr>
                <w:noProof/>
                <w:webHidden/>
              </w:rPr>
              <w:fldChar w:fldCharType="separate"/>
            </w:r>
            <w:r w:rsidR="001669F2">
              <w:rPr>
                <w:noProof/>
                <w:webHidden/>
              </w:rPr>
              <w:t>101</w:t>
            </w:r>
            <w:r w:rsidR="001669F2">
              <w:rPr>
                <w:noProof/>
                <w:webHidden/>
              </w:rPr>
              <w:fldChar w:fldCharType="end"/>
            </w:r>
          </w:hyperlink>
        </w:p>
        <w:p w14:paraId="1906751A" w14:textId="77777777" w:rsidR="001669F2" w:rsidRDefault="00663FF6">
          <w:pPr>
            <w:pStyle w:val="Obsah1"/>
            <w:rPr>
              <w:rFonts w:asciiTheme="minorHAnsi" w:eastAsiaTheme="minorEastAsia" w:hAnsiTheme="minorHAnsi"/>
              <w:noProof/>
              <w:lang w:eastAsia="cs-CZ"/>
            </w:rPr>
          </w:pPr>
          <w:hyperlink w:anchor="_Toc525716205" w:history="1">
            <w:r w:rsidR="001669F2" w:rsidRPr="00180F2B">
              <w:rPr>
                <w:rStyle w:val="Hypertextovodkaz"/>
                <w:noProof/>
              </w:rPr>
              <w:t>6</w:t>
            </w:r>
            <w:r w:rsidR="001669F2">
              <w:rPr>
                <w:rFonts w:asciiTheme="minorHAnsi" w:eastAsiaTheme="minorEastAsia" w:hAnsiTheme="minorHAnsi"/>
                <w:noProof/>
                <w:lang w:eastAsia="cs-CZ"/>
              </w:rPr>
              <w:tab/>
            </w:r>
            <w:r w:rsidR="001669F2" w:rsidRPr="00180F2B">
              <w:rPr>
                <w:rStyle w:val="Hypertextovodkaz"/>
                <w:noProof/>
              </w:rPr>
              <w:t>Klíčové oblasti změn</w:t>
            </w:r>
            <w:r w:rsidR="001669F2">
              <w:rPr>
                <w:noProof/>
                <w:webHidden/>
              </w:rPr>
              <w:tab/>
            </w:r>
            <w:r w:rsidR="001669F2">
              <w:rPr>
                <w:noProof/>
                <w:webHidden/>
              </w:rPr>
              <w:fldChar w:fldCharType="begin"/>
            </w:r>
            <w:r w:rsidR="001669F2">
              <w:rPr>
                <w:noProof/>
                <w:webHidden/>
              </w:rPr>
              <w:instrText xml:space="preserve"> PAGEREF _Toc525716205 \h </w:instrText>
            </w:r>
            <w:r w:rsidR="001669F2">
              <w:rPr>
                <w:noProof/>
                <w:webHidden/>
              </w:rPr>
            </w:r>
            <w:r w:rsidR="001669F2">
              <w:rPr>
                <w:noProof/>
                <w:webHidden/>
              </w:rPr>
              <w:fldChar w:fldCharType="separate"/>
            </w:r>
            <w:r w:rsidR="001669F2">
              <w:rPr>
                <w:noProof/>
                <w:webHidden/>
              </w:rPr>
              <w:t>102</w:t>
            </w:r>
            <w:r w:rsidR="001669F2">
              <w:rPr>
                <w:noProof/>
                <w:webHidden/>
              </w:rPr>
              <w:fldChar w:fldCharType="end"/>
            </w:r>
          </w:hyperlink>
        </w:p>
        <w:p w14:paraId="27C7211E" w14:textId="77777777" w:rsidR="001669F2" w:rsidRDefault="00663FF6">
          <w:pPr>
            <w:pStyle w:val="Obsah2"/>
            <w:rPr>
              <w:rFonts w:eastAsiaTheme="minorEastAsia"/>
              <w:noProof/>
              <w:lang w:eastAsia="cs-CZ"/>
            </w:rPr>
          </w:pPr>
          <w:hyperlink w:anchor="_Toc525716206" w:history="1">
            <w:r w:rsidR="001669F2" w:rsidRPr="00180F2B">
              <w:rPr>
                <w:rStyle w:val="Hypertextovodkaz"/>
                <w:noProof/>
              </w:rPr>
              <w:t>6.1</w:t>
            </w:r>
            <w:r w:rsidR="001669F2">
              <w:rPr>
                <w:rFonts w:eastAsiaTheme="minorEastAsia"/>
                <w:noProof/>
                <w:lang w:eastAsia="cs-CZ"/>
              </w:rPr>
              <w:tab/>
            </w:r>
            <w:r w:rsidR="001669F2" w:rsidRPr="00180F2B">
              <w:rPr>
                <w:rStyle w:val="Hypertextovodkaz"/>
                <w:noProof/>
              </w:rPr>
              <w:t>Podnikání a inovace</w:t>
            </w:r>
            <w:r w:rsidR="001669F2">
              <w:rPr>
                <w:noProof/>
                <w:webHidden/>
              </w:rPr>
              <w:tab/>
            </w:r>
            <w:r w:rsidR="001669F2">
              <w:rPr>
                <w:noProof/>
                <w:webHidden/>
              </w:rPr>
              <w:fldChar w:fldCharType="begin"/>
            </w:r>
            <w:r w:rsidR="001669F2">
              <w:rPr>
                <w:noProof/>
                <w:webHidden/>
              </w:rPr>
              <w:instrText xml:space="preserve"> PAGEREF _Toc525716206 \h </w:instrText>
            </w:r>
            <w:r w:rsidR="001669F2">
              <w:rPr>
                <w:noProof/>
                <w:webHidden/>
              </w:rPr>
            </w:r>
            <w:r w:rsidR="001669F2">
              <w:rPr>
                <w:noProof/>
                <w:webHidden/>
              </w:rPr>
              <w:fldChar w:fldCharType="separate"/>
            </w:r>
            <w:r w:rsidR="001669F2">
              <w:rPr>
                <w:noProof/>
                <w:webHidden/>
              </w:rPr>
              <w:t>102</w:t>
            </w:r>
            <w:r w:rsidR="001669F2">
              <w:rPr>
                <w:noProof/>
                <w:webHidden/>
              </w:rPr>
              <w:fldChar w:fldCharType="end"/>
            </w:r>
          </w:hyperlink>
        </w:p>
        <w:p w14:paraId="1D4E37FE" w14:textId="77777777" w:rsidR="001669F2" w:rsidRDefault="00663FF6">
          <w:pPr>
            <w:pStyle w:val="Obsah2"/>
            <w:rPr>
              <w:rFonts w:eastAsiaTheme="minorEastAsia"/>
              <w:noProof/>
              <w:lang w:eastAsia="cs-CZ"/>
            </w:rPr>
          </w:pPr>
          <w:hyperlink w:anchor="_Toc525716207" w:history="1">
            <w:r w:rsidR="001669F2" w:rsidRPr="00180F2B">
              <w:rPr>
                <w:rStyle w:val="Hypertextovodkaz"/>
                <w:noProof/>
              </w:rPr>
              <w:t>6.2</w:t>
            </w:r>
            <w:r w:rsidR="001669F2">
              <w:rPr>
                <w:rFonts w:eastAsiaTheme="minorEastAsia"/>
                <w:noProof/>
                <w:lang w:eastAsia="cs-CZ"/>
              </w:rPr>
              <w:tab/>
            </w:r>
            <w:r w:rsidR="001669F2" w:rsidRPr="00180F2B">
              <w:rPr>
                <w:rStyle w:val="Hypertextovodkaz"/>
                <w:noProof/>
              </w:rPr>
              <w:t>Výzkum a vývoj</w:t>
            </w:r>
            <w:r w:rsidR="001669F2">
              <w:rPr>
                <w:noProof/>
                <w:webHidden/>
              </w:rPr>
              <w:tab/>
            </w:r>
            <w:r w:rsidR="001669F2">
              <w:rPr>
                <w:noProof/>
                <w:webHidden/>
              </w:rPr>
              <w:fldChar w:fldCharType="begin"/>
            </w:r>
            <w:r w:rsidR="001669F2">
              <w:rPr>
                <w:noProof/>
                <w:webHidden/>
              </w:rPr>
              <w:instrText xml:space="preserve"> PAGEREF _Toc525716207 \h </w:instrText>
            </w:r>
            <w:r w:rsidR="001669F2">
              <w:rPr>
                <w:noProof/>
                <w:webHidden/>
              </w:rPr>
            </w:r>
            <w:r w:rsidR="001669F2">
              <w:rPr>
                <w:noProof/>
                <w:webHidden/>
              </w:rPr>
              <w:fldChar w:fldCharType="separate"/>
            </w:r>
            <w:r w:rsidR="001669F2">
              <w:rPr>
                <w:noProof/>
                <w:webHidden/>
              </w:rPr>
              <w:t>110</w:t>
            </w:r>
            <w:r w:rsidR="001669F2">
              <w:rPr>
                <w:noProof/>
                <w:webHidden/>
              </w:rPr>
              <w:fldChar w:fldCharType="end"/>
            </w:r>
          </w:hyperlink>
        </w:p>
        <w:p w14:paraId="5CC6D8AC" w14:textId="77777777" w:rsidR="001669F2" w:rsidRDefault="00663FF6">
          <w:pPr>
            <w:pStyle w:val="Obsah2"/>
            <w:rPr>
              <w:rFonts w:eastAsiaTheme="minorEastAsia"/>
              <w:noProof/>
              <w:lang w:eastAsia="cs-CZ"/>
            </w:rPr>
          </w:pPr>
          <w:hyperlink w:anchor="_Toc525716208" w:history="1">
            <w:r w:rsidR="001669F2" w:rsidRPr="00180F2B">
              <w:rPr>
                <w:rStyle w:val="Hypertextovodkaz"/>
                <w:noProof/>
              </w:rPr>
              <w:t>6.3</w:t>
            </w:r>
            <w:r w:rsidR="001669F2">
              <w:rPr>
                <w:rFonts w:eastAsiaTheme="minorEastAsia"/>
                <w:noProof/>
                <w:lang w:eastAsia="cs-CZ"/>
              </w:rPr>
              <w:tab/>
            </w:r>
            <w:r w:rsidR="001669F2" w:rsidRPr="00180F2B">
              <w:rPr>
                <w:rStyle w:val="Hypertextovodkaz"/>
                <w:noProof/>
              </w:rPr>
              <w:t>Lidské zdroje</w:t>
            </w:r>
            <w:r w:rsidR="001669F2">
              <w:rPr>
                <w:noProof/>
                <w:webHidden/>
              </w:rPr>
              <w:tab/>
            </w:r>
            <w:r w:rsidR="001669F2">
              <w:rPr>
                <w:noProof/>
                <w:webHidden/>
              </w:rPr>
              <w:fldChar w:fldCharType="begin"/>
            </w:r>
            <w:r w:rsidR="001669F2">
              <w:rPr>
                <w:noProof/>
                <w:webHidden/>
              </w:rPr>
              <w:instrText xml:space="preserve"> PAGEREF _Toc525716208 \h </w:instrText>
            </w:r>
            <w:r w:rsidR="001669F2">
              <w:rPr>
                <w:noProof/>
                <w:webHidden/>
              </w:rPr>
            </w:r>
            <w:r w:rsidR="001669F2">
              <w:rPr>
                <w:noProof/>
                <w:webHidden/>
              </w:rPr>
              <w:fldChar w:fldCharType="separate"/>
            </w:r>
            <w:r w:rsidR="001669F2">
              <w:rPr>
                <w:noProof/>
                <w:webHidden/>
              </w:rPr>
              <w:t>120</w:t>
            </w:r>
            <w:r w:rsidR="001669F2">
              <w:rPr>
                <w:noProof/>
                <w:webHidden/>
              </w:rPr>
              <w:fldChar w:fldCharType="end"/>
            </w:r>
          </w:hyperlink>
        </w:p>
        <w:p w14:paraId="537330AD" w14:textId="77777777" w:rsidR="001669F2" w:rsidRDefault="00663FF6">
          <w:pPr>
            <w:pStyle w:val="Obsah2"/>
            <w:rPr>
              <w:rFonts w:eastAsiaTheme="minorEastAsia"/>
              <w:noProof/>
              <w:lang w:eastAsia="cs-CZ"/>
            </w:rPr>
          </w:pPr>
          <w:hyperlink w:anchor="_Toc525716209" w:history="1">
            <w:r w:rsidR="001669F2" w:rsidRPr="00180F2B">
              <w:rPr>
                <w:rStyle w:val="Hypertextovodkaz"/>
                <w:noProof/>
              </w:rPr>
              <w:t>6.4</w:t>
            </w:r>
            <w:r w:rsidR="001669F2">
              <w:rPr>
                <w:rFonts w:eastAsiaTheme="minorEastAsia"/>
                <w:noProof/>
                <w:lang w:eastAsia="cs-CZ"/>
              </w:rPr>
              <w:tab/>
            </w:r>
            <w:r w:rsidR="001669F2" w:rsidRPr="00180F2B">
              <w:rPr>
                <w:rStyle w:val="Hypertextovodkaz"/>
                <w:noProof/>
              </w:rPr>
              <w:t>Informační a komunikační technologie – digitální agenda</w:t>
            </w:r>
            <w:r w:rsidR="001669F2">
              <w:rPr>
                <w:noProof/>
                <w:webHidden/>
              </w:rPr>
              <w:tab/>
            </w:r>
            <w:r w:rsidR="001669F2">
              <w:rPr>
                <w:noProof/>
                <w:webHidden/>
              </w:rPr>
              <w:fldChar w:fldCharType="begin"/>
            </w:r>
            <w:r w:rsidR="001669F2">
              <w:rPr>
                <w:noProof/>
                <w:webHidden/>
              </w:rPr>
              <w:instrText xml:space="preserve"> PAGEREF _Toc525716209 \h </w:instrText>
            </w:r>
            <w:r w:rsidR="001669F2">
              <w:rPr>
                <w:noProof/>
                <w:webHidden/>
              </w:rPr>
            </w:r>
            <w:r w:rsidR="001669F2">
              <w:rPr>
                <w:noProof/>
                <w:webHidden/>
              </w:rPr>
              <w:fldChar w:fldCharType="separate"/>
            </w:r>
            <w:r w:rsidR="001669F2">
              <w:rPr>
                <w:noProof/>
                <w:webHidden/>
              </w:rPr>
              <w:t>132</w:t>
            </w:r>
            <w:r w:rsidR="001669F2">
              <w:rPr>
                <w:noProof/>
                <w:webHidden/>
              </w:rPr>
              <w:fldChar w:fldCharType="end"/>
            </w:r>
          </w:hyperlink>
        </w:p>
        <w:p w14:paraId="051F2FCC" w14:textId="77777777" w:rsidR="001669F2" w:rsidRDefault="00663FF6">
          <w:pPr>
            <w:pStyle w:val="Obsah2"/>
            <w:rPr>
              <w:rFonts w:eastAsiaTheme="minorEastAsia"/>
              <w:noProof/>
              <w:lang w:eastAsia="cs-CZ"/>
            </w:rPr>
          </w:pPr>
          <w:hyperlink w:anchor="_Toc525716210" w:history="1">
            <w:r w:rsidR="001669F2" w:rsidRPr="00180F2B">
              <w:rPr>
                <w:rStyle w:val="Hypertextovodkaz"/>
                <w:noProof/>
              </w:rPr>
              <w:t>6.5</w:t>
            </w:r>
            <w:r w:rsidR="001669F2">
              <w:rPr>
                <w:rFonts w:eastAsiaTheme="minorEastAsia"/>
                <w:noProof/>
                <w:lang w:eastAsia="cs-CZ"/>
              </w:rPr>
              <w:tab/>
            </w:r>
            <w:r w:rsidR="001669F2" w:rsidRPr="00180F2B">
              <w:rPr>
                <w:rStyle w:val="Hypertextovodkaz"/>
                <w:noProof/>
              </w:rPr>
              <w:t>Sociální inovace</w:t>
            </w:r>
            <w:r w:rsidR="001669F2">
              <w:rPr>
                <w:noProof/>
                <w:webHidden/>
              </w:rPr>
              <w:tab/>
            </w:r>
            <w:r w:rsidR="001669F2">
              <w:rPr>
                <w:noProof/>
                <w:webHidden/>
              </w:rPr>
              <w:fldChar w:fldCharType="begin"/>
            </w:r>
            <w:r w:rsidR="001669F2">
              <w:rPr>
                <w:noProof/>
                <w:webHidden/>
              </w:rPr>
              <w:instrText xml:space="preserve"> PAGEREF _Toc525716210 \h </w:instrText>
            </w:r>
            <w:r w:rsidR="001669F2">
              <w:rPr>
                <w:noProof/>
                <w:webHidden/>
              </w:rPr>
            </w:r>
            <w:r w:rsidR="001669F2">
              <w:rPr>
                <w:noProof/>
                <w:webHidden/>
              </w:rPr>
              <w:fldChar w:fldCharType="separate"/>
            </w:r>
            <w:r w:rsidR="001669F2">
              <w:rPr>
                <w:noProof/>
                <w:webHidden/>
              </w:rPr>
              <w:t>139</w:t>
            </w:r>
            <w:r w:rsidR="001669F2">
              <w:rPr>
                <w:noProof/>
                <w:webHidden/>
              </w:rPr>
              <w:fldChar w:fldCharType="end"/>
            </w:r>
          </w:hyperlink>
        </w:p>
        <w:p w14:paraId="18795B83" w14:textId="77777777" w:rsidR="001669F2" w:rsidRDefault="00663FF6">
          <w:pPr>
            <w:pStyle w:val="Obsah2"/>
            <w:rPr>
              <w:rFonts w:eastAsiaTheme="minorEastAsia"/>
              <w:noProof/>
              <w:lang w:eastAsia="cs-CZ"/>
            </w:rPr>
          </w:pPr>
          <w:hyperlink w:anchor="_Toc525716211" w:history="1">
            <w:r w:rsidR="001669F2" w:rsidRPr="00180F2B">
              <w:rPr>
                <w:rStyle w:val="Hypertextovodkaz"/>
                <w:noProof/>
              </w:rPr>
              <w:t>6.6</w:t>
            </w:r>
            <w:r w:rsidR="001669F2">
              <w:rPr>
                <w:rFonts w:eastAsiaTheme="minorEastAsia"/>
                <w:noProof/>
                <w:lang w:eastAsia="cs-CZ"/>
              </w:rPr>
              <w:tab/>
            </w:r>
            <w:r w:rsidR="001669F2" w:rsidRPr="00180F2B">
              <w:rPr>
                <w:rStyle w:val="Hypertextovodkaz"/>
                <w:noProof/>
              </w:rPr>
              <w:t>Gesce za realizaci strategických cílů v jednotlivých oblastech klíčových změn</w:t>
            </w:r>
            <w:r w:rsidR="001669F2">
              <w:rPr>
                <w:noProof/>
                <w:webHidden/>
              </w:rPr>
              <w:tab/>
            </w:r>
            <w:r w:rsidR="001669F2">
              <w:rPr>
                <w:noProof/>
                <w:webHidden/>
              </w:rPr>
              <w:fldChar w:fldCharType="begin"/>
            </w:r>
            <w:r w:rsidR="001669F2">
              <w:rPr>
                <w:noProof/>
                <w:webHidden/>
              </w:rPr>
              <w:instrText xml:space="preserve"> PAGEREF _Toc525716211 \h </w:instrText>
            </w:r>
            <w:r w:rsidR="001669F2">
              <w:rPr>
                <w:noProof/>
                <w:webHidden/>
              </w:rPr>
            </w:r>
            <w:r w:rsidR="001669F2">
              <w:rPr>
                <w:noProof/>
                <w:webHidden/>
              </w:rPr>
              <w:fldChar w:fldCharType="separate"/>
            </w:r>
            <w:r w:rsidR="001669F2">
              <w:rPr>
                <w:noProof/>
                <w:webHidden/>
              </w:rPr>
              <w:t>142</w:t>
            </w:r>
            <w:r w:rsidR="001669F2">
              <w:rPr>
                <w:noProof/>
                <w:webHidden/>
              </w:rPr>
              <w:fldChar w:fldCharType="end"/>
            </w:r>
          </w:hyperlink>
        </w:p>
        <w:p w14:paraId="02B85F20" w14:textId="77777777" w:rsidR="001669F2" w:rsidRDefault="00663FF6">
          <w:pPr>
            <w:pStyle w:val="Obsah1"/>
            <w:rPr>
              <w:rFonts w:asciiTheme="minorHAnsi" w:eastAsiaTheme="minorEastAsia" w:hAnsiTheme="minorHAnsi"/>
              <w:noProof/>
              <w:lang w:eastAsia="cs-CZ"/>
            </w:rPr>
          </w:pPr>
          <w:hyperlink w:anchor="_Toc525716212" w:history="1">
            <w:r w:rsidR="001669F2" w:rsidRPr="00180F2B">
              <w:rPr>
                <w:rStyle w:val="Hypertextovodkaz"/>
                <w:noProof/>
              </w:rPr>
              <w:t>7</w:t>
            </w:r>
            <w:r w:rsidR="001669F2">
              <w:rPr>
                <w:rFonts w:asciiTheme="minorHAnsi" w:eastAsiaTheme="minorEastAsia" w:hAnsiTheme="minorHAnsi"/>
                <w:noProof/>
                <w:lang w:eastAsia="cs-CZ"/>
              </w:rPr>
              <w:tab/>
            </w:r>
            <w:r w:rsidR="001669F2" w:rsidRPr="00180F2B">
              <w:rPr>
                <w:rStyle w:val="Hypertextovodkaz"/>
                <w:noProof/>
              </w:rPr>
              <w:t>Výsledky EDP, institucionální řízení a implementace Národní RIS3 strategie</w:t>
            </w:r>
            <w:r w:rsidR="001669F2">
              <w:rPr>
                <w:noProof/>
                <w:webHidden/>
              </w:rPr>
              <w:tab/>
            </w:r>
            <w:r w:rsidR="001669F2">
              <w:rPr>
                <w:noProof/>
                <w:webHidden/>
              </w:rPr>
              <w:fldChar w:fldCharType="begin"/>
            </w:r>
            <w:r w:rsidR="001669F2">
              <w:rPr>
                <w:noProof/>
                <w:webHidden/>
              </w:rPr>
              <w:instrText xml:space="preserve"> PAGEREF _Toc525716212 \h </w:instrText>
            </w:r>
            <w:r w:rsidR="001669F2">
              <w:rPr>
                <w:noProof/>
                <w:webHidden/>
              </w:rPr>
            </w:r>
            <w:r w:rsidR="001669F2">
              <w:rPr>
                <w:noProof/>
                <w:webHidden/>
              </w:rPr>
              <w:fldChar w:fldCharType="separate"/>
            </w:r>
            <w:r w:rsidR="001669F2">
              <w:rPr>
                <w:noProof/>
                <w:webHidden/>
              </w:rPr>
              <w:t>144</w:t>
            </w:r>
            <w:r w:rsidR="001669F2">
              <w:rPr>
                <w:noProof/>
                <w:webHidden/>
              </w:rPr>
              <w:fldChar w:fldCharType="end"/>
            </w:r>
          </w:hyperlink>
        </w:p>
        <w:p w14:paraId="7625FA61" w14:textId="77777777" w:rsidR="001669F2" w:rsidRDefault="00663FF6">
          <w:pPr>
            <w:pStyle w:val="Obsah2"/>
            <w:rPr>
              <w:rFonts w:eastAsiaTheme="minorEastAsia"/>
              <w:noProof/>
              <w:lang w:eastAsia="cs-CZ"/>
            </w:rPr>
          </w:pPr>
          <w:hyperlink w:anchor="_Toc525716213" w:history="1">
            <w:r w:rsidR="001669F2" w:rsidRPr="00180F2B">
              <w:rPr>
                <w:rStyle w:val="Hypertextovodkaz"/>
                <w:noProof/>
              </w:rPr>
              <w:t>7.1</w:t>
            </w:r>
            <w:r w:rsidR="001669F2">
              <w:rPr>
                <w:rFonts w:eastAsiaTheme="minorEastAsia"/>
                <w:noProof/>
                <w:lang w:eastAsia="cs-CZ"/>
              </w:rPr>
              <w:tab/>
            </w:r>
            <w:r w:rsidR="001669F2" w:rsidRPr="00180F2B">
              <w:rPr>
                <w:rStyle w:val="Hypertextovodkaz"/>
                <w:noProof/>
              </w:rPr>
              <w:t>Oblasti inteligentní specializace v České republice</w:t>
            </w:r>
            <w:r w:rsidR="001669F2">
              <w:rPr>
                <w:noProof/>
                <w:webHidden/>
              </w:rPr>
              <w:tab/>
            </w:r>
            <w:r w:rsidR="001669F2">
              <w:rPr>
                <w:noProof/>
                <w:webHidden/>
              </w:rPr>
              <w:fldChar w:fldCharType="begin"/>
            </w:r>
            <w:r w:rsidR="001669F2">
              <w:rPr>
                <w:noProof/>
                <w:webHidden/>
              </w:rPr>
              <w:instrText xml:space="preserve"> PAGEREF _Toc525716213 \h </w:instrText>
            </w:r>
            <w:r w:rsidR="001669F2">
              <w:rPr>
                <w:noProof/>
                <w:webHidden/>
              </w:rPr>
            </w:r>
            <w:r w:rsidR="001669F2">
              <w:rPr>
                <w:noProof/>
                <w:webHidden/>
              </w:rPr>
              <w:fldChar w:fldCharType="separate"/>
            </w:r>
            <w:r w:rsidR="001669F2">
              <w:rPr>
                <w:noProof/>
                <w:webHidden/>
              </w:rPr>
              <w:t>144</w:t>
            </w:r>
            <w:r w:rsidR="001669F2">
              <w:rPr>
                <w:noProof/>
                <w:webHidden/>
              </w:rPr>
              <w:fldChar w:fldCharType="end"/>
            </w:r>
          </w:hyperlink>
        </w:p>
        <w:p w14:paraId="2A035E71" w14:textId="77777777" w:rsidR="001669F2" w:rsidRDefault="00663FF6">
          <w:pPr>
            <w:pStyle w:val="Obsah3"/>
            <w:rPr>
              <w:rFonts w:eastAsiaTheme="minorEastAsia"/>
              <w:noProof/>
              <w:lang w:eastAsia="cs-CZ"/>
            </w:rPr>
          </w:pPr>
          <w:hyperlink w:anchor="_Toc525716214" w:history="1">
            <w:r w:rsidR="001669F2" w:rsidRPr="00180F2B">
              <w:rPr>
                <w:rStyle w:val="Hypertextovodkaz"/>
                <w:noProof/>
              </w:rPr>
              <w:t>7.1.1</w:t>
            </w:r>
            <w:r w:rsidR="001669F2">
              <w:rPr>
                <w:rFonts w:eastAsiaTheme="minorEastAsia"/>
                <w:noProof/>
                <w:lang w:eastAsia="cs-CZ"/>
              </w:rPr>
              <w:tab/>
            </w:r>
            <w:r w:rsidR="001669F2" w:rsidRPr="00180F2B">
              <w:rPr>
                <w:rStyle w:val="Hypertextovodkaz"/>
                <w:noProof/>
              </w:rPr>
              <w:t>Pokročilé stroje / technologie pro silný a globálně konkurenceschopný průmysl</w:t>
            </w:r>
            <w:r w:rsidR="001669F2">
              <w:rPr>
                <w:noProof/>
                <w:webHidden/>
              </w:rPr>
              <w:tab/>
            </w:r>
            <w:r w:rsidR="001669F2">
              <w:rPr>
                <w:noProof/>
                <w:webHidden/>
              </w:rPr>
              <w:fldChar w:fldCharType="begin"/>
            </w:r>
            <w:r w:rsidR="001669F2">
              <w:rPr>
                <w:noProof/>
                <w:webHidden/>
              </w:rPr>
              <w:instrText xml:space="preserve"> PAGEREF _Toc525716214 \h </w:instrText>
            </w:r>
            <w:r w:rsidR="001669F2">
              <w:rPr>
                <w:noProof/>
                <w:webHidden/>
              </w:rPr>
            </w:r>
            <w:r w:rsidR="001669F2">
              <w:rPr>
                <w:noProof/>
                <w:webHidden/>
              </w:rPr>
              <w:fldChar w:fldCharType="separate"/>
            </w:r>
            <w:r w:rsidR="001669F2">
              <w:rPr>
                <w:noProof/>
                <w:webHidden/>
              </w:rPr>
              <w:t>145</w:t>
            </w:r>
            <w:r w:rsidR="001669F2">
              <w:rPr>
                <w:noProof/>
                <w:webHidden/>
              </w:rPr>
              <w:fldChar w:fldCharType="end"/>
            </w:r>
          </w:hyperlink>
        </w:p>
        <w:p w14:paraId="5E4AE18D" w14:textId="77777777" w:rsidR="001669F2" w:rsidRDefault="00663FF6">
          <w:pPr>
            <w:pStyle w:val="Obsah4"/>
            <w:rPr>
              <w:rFonts w:eastAsiaTheme="minorEastAsia"/>
              <w:noProof/>
              <w:lang w:eastAsia="cs-CZ"/>
            </w:rPr>
          </w:pPr>
          <w:hyperlink w:anchor="_Toc525716215" w:history="1">
            <w:r w:rsidR="001669F2" w:rsidRPr="00180F2B">
              <w:rPr>
                <w:rStyle w:val="Hypertextovodkaz"/>
                <w:noProof/>
              </w:rPr>
              <w:t>7.1.1.1</w:t>
            </w:r>
            <w:r w:rsidR="001669F2">
              <w:rPr>
                <w:rFonts w:eastAsiaTheme="minorEastAsia"/>
                <w:noProof/>
                <w:lang w:eastAsia="cs-CZ"/>
              </w:rPr>
              <w:tab/>
            </w:r>
            <w:r w:rsidR="001669F2" w:rsidRPr="00180F2B">
              <w:rPr>
                <w:rStyle w:val="Hypertextovodkaz"/>
                <w:noProof/>
              </w:rPr>
              <w:t>Strojírenství-mechatronika</w:t>
            </w:r>
            <w:r w:rsidR="001669F2">
              <w:rPr>
                <w:noProof/>
                <w:webHidden/>
              </w:rPr>
              <w:tab/>
            </w:r>
            <w:r w:rsidR="001669F2">
              <w:rPr>
                <w:noProof/>
                <w:webHidden/>
              </w:rPr>
              <w:fldChar w:fldCharType="begin"/>
            </w:r>
            <w:r w:rsidR="001669F2">
              <w:rPr>
                <w:noProof/>
                <w:webHidden/>
              </w:rPr>
              <w:instrText xml:space="preserve"> PAGEREF _Toc525716215 \h </w:instrText>
            </w:r>
            <w:r w:rsidR="001669F2">
              <w:rPr>
                <w:noProof/>
                <w:webHidden/>
              </w:rPr>
            </w:r>
            <w:r w:rsidR="001669F2">
              <w:rPr>
                <w:noProof/>
                <w:webHidden/>
              </w:rPr>
              <w:fldChar w:fldCharType="separate"/>
            </w:r>
            <w:r w:rsidR="001669F2">
              <w:rPr>
                <w:noProof/>
                <w:webHidden/>
              </w:rPr>
              <w:t>145</w:t>
            </w:r>
            <w:r w:rsidR="001669F2">
              <w:rPr>
                <w:noProof/>
                <w:webHidden/>
              </w:rPr>
              <w:fldChar w:fldCharType="end"/>
            </w:r>
          </w:hyperlink>
        </w:p>
        <w:p w14:paraId="79BBC984" w14:textId="77777777" w:rsidR="001669F2" w:rsidRDefault="00663FF6">
          <w:pPr>
            <w:pStyle w:val="Obsah4"/>
            <w:rPr>
              <w:rFonts w:eastAsiaTheme="minorEastAsia"/>
              <w:noProof/>
              <w:lang w:eastAsia="cs-CZ"/>
            </w:rPr>
          </w:pPr>
          <w:hyperlink w:anchor="_Toc525716216" w:history="1">
            <w:r w:rsidR="001669F2" w:rsidRPr="00180F2B">
              <w:rPr>
                <w:rStyle w:val="Hypertextovodkaz"/>
                <w:noProof/>
              </w:rPr>
              <w:t>7.1.1.2</w:t>
            </w:r>
            <w:r w:rsidR="001669F2">
              <w:rPr>
                <w:rFonts w:eastAsiaTheme="minorEastAsia"/>
                <w:noProof/>
                <w:lang w:eastAsia="cs-CZ"/>
              </w:rPr>
              <w:tab/>
            </w:r>
            <w:r w:rsidR="001669F2" w:rsidRPr="00180F2B">
              <w:rPr>
                <w:rStyle w:val="Hypertextovodkaz"/>
                <w:noProof/>
              </w:rPr>
              <w:t>Energetika</w:t>
            </w:r>
            <w:r w:rsidR="001669F2">
              <w:rPr>
                <w:noProof/>
                <w:webHidden/>
              </w:rPr>
              <w:tab/>
            </w:r>
            <w:r w:rsidR="001669F2">
              <w:rPr>
                <w:noProof/>
                <w:webHidden/>
              </w:rPr>
              <w:fldChar w:fldCharType="begin"/>
            </w:r>
            <w:r w:rsidR="001669F2">
              <w:rPr>
                <w:noProof/>
                <w:webHidden/>
              </w:rPr>
              <w:instrText xml:space="preserve"> PAGEREF _Toc525716216 \h </w:instrText>
            </w:r>
            <w:r w:rsidR="001669F2">
              <w:rPr>
                <w:noProof/>
                <w:webHidden/>
              </w:rPr>
            </w:r>
            <w:r w:rsidR="001669F2">
              <w:rPr>
                <w:noProof/>
                <w:webHidden/>
              </w:rPr>
              <w:fldChar w:fldCharType="separate"/>
            </w:r>
            <w:r w:rsidR="001669F2">
              <w:rPr>
                <w:noProof/>
                <w:webHidden/>
              </w:rPr>
              <w:t>149</w:t>
            </w:r>
            <w:r w:rsidR="001669F2">
              <w:rPr>
                <w:noProof/>
                <w:webHidden/>
              </w:rPr>
              <w:fldChar w:fldCharType="end"/>
            </w:r>
          </w:hyperlink>
        </w:p>
        <w:p w14:paraId="342ED15A" w14:textId="77777777" w:rsidR="001669F2" w:rsidRDefault="00663FF6">
          <w:pPr>
            <w:pStyle w:val="Obsah4"/>
            <w:rPr>
              <w:rFonts w:eastAsiaTheme="minorEastAsia"/>
              <w:noProof/>
              <w:lang w:eastAsia="cs-CZ"/>
            </w:rPr>
          </w:pPr>
          <w:hyperlink w:anchor="_Toc525716217" w:history="1">
            <w:r w:rsidR="001669F2" w:rsidRPr="00180F2B">
              <w:rPr>
                <w:rStyle w:val="Hypertextovodkaz"/>
                <w:noProof/>
              </w:rPr>
              <w:t>7.1.1.3</w:t>
            </w:r>
            <w:r w:rsidR="001669F2">
              <w:rPr>
                <w:rFonts w:eastAsiaTheme="minorEastAsia"/>
                <w:noProof/>
                <w:lang w:eastAsia="cs-CZ"/>
              </w:rPr>
              <w:tab/>
            </w:r>
            <w:r w:rsidR="001669F2" w:rsidRPr="00180F2B">
              <w:rPr>
                <w:rStyle w:val="Hypertextovodkaz"/>
                <w:noProof/>
              </w:rPr>
              <w:t>Hutnictví</w:t>
            </w:r>
            <w:r w:rsidR="001669F2">
              <w:rPr>
                <w:noProof/>
                <w:webHidden/>
              </w:rPr>
              <w:tab/>
            </w:r>
            <w:r w:rsidR="001669F2">
              <w:rPr>
                <w:noProof/>
                <w:webHidden/>
              </w:rPr>
              <w:fldChar w:fldCharType="begin"/>
            </w:r>
            <w:r w:rsidR="001669F2">
              <w:rPr>
                <w:noProof/>
                <w:webHidden/>
              </w:rPr>
              <w:instrText xml:space="preserve"> PAGEREF _Toc525716217 \h </w:instrText>
            </w:r>
            <w:r w:rsidR="001669F2">
              <w:rPr>
                <w:noProof/>
                <w:webHidden/>
              </w:rPr>
            </w:r>
            <w:r w:rsidR="001669F2">
              <w:rPr>
                <w:noProof/>
                <w:webHidden/>
              </w:rPr>
              <w:fldChar w:fldCharType="separate"/>
            </w:r>
            <w:r w:rsidR="001669F2">
              <w:rPr>
                <w:noProof/>
                <w:webHidden/>
              </w:rPr>
              <w:t>155</w:t>
            </w:r>
            <w:r w:rsidR="001669F2">
              <w:rPr>
                <w:noProof/>
                <w:webHidden/>
              </w:rPr>
              <w:fldChar w:fldCharType="end"/>
            </w:r>
          </w:hyperlink>
        </w:p>
        <w:p w14:paraId="0322420A" w14:textId="77777777" w:rsidR="001669F2" w:rsidRDefault="00663FF6">
          <w:pPr>
            <w:pStyle w:val="Obsah4"/>
            <w:rPr>
              <w:rFonts w:eastAsiaTheme="minorEastAsia"/>
              <w:noProof/>
              <w:lang w:eastAsia="cs-CZ"/>
            </w:rPr>
          </w:pPr>
          <w:hyperlink w:anchor="_Toc525716218" w:history="1">
            <w:r w:rsidR="001669F2" w:rsidRPr="00180F2B">
              <w:rPr>
                <w:rStyle w:val="Hypertextovodkaz"/>
                <w:noProof/>
              </w:rPr>
              <w:t>7.1.1.4</w:t>
            </w:r>
            <w:r w:rsidR="001669F2">
              <w:rPr>
                <w:rFonts w:eastAsiaTheme="minorEastAsia"/>
                <w:noProof/>
                <w:lang w:eastAsia="cs-CZ"/>
              </w:rPr>
              <w:tab/>
            </w:r>
            <w:r w:rsidR="001669F2" w:rsidRPr="00180F2B">
              <w:rPr>
                <w:rStyle w:val="Hypertextovodkaz"/>
                <w:noProof/>
              </w:rPr>
              <w:t>Průmyslová chemie</w:t>
            </w:r>
            <w:r w:rsidR="001669F2">
              <w:rPr>
                <w:noProof/>
                <w:webHidden/>
              </w:rPr>
              <w:tab/>
            </w:r>
            <w:r w:rsidR="001669F2">
              <w:rPr>
                <w:noProof/>
                <w:webHidden/>
              </w:rPr>
              <w:fldChar w:fldCharType="begin"/>
            </w:r>
            <w:r w:rsidR="001669F2">
              <w:rPr>
                <w:noProof/>
                <w:webHidden/>
              </w:rPr>
              <w:instrText xml:space="preserve"> PAGEREF _Toc525716218 \h </w:instrText>
            </w:r>
            <w:r w:rsidR="001669F2">
              <w:rPr>
                <w:noProof/>
                <w:webHidden/>
              </w:rPr>
            </w:r>
            <w:r w:rsidR="001669F2">
              <w:rPr>
                <w:noProof/>
                <w:webHidden/>
              </w:rPr>
              <w:fldChar w:fldCharType="separate"/>
            </w:r>
            <w:r w:rsidR="001669F2">
              <w:rPr>
                <w:noProof/>
                <w:webHidden/>
              </w:rPr>
              <w:t>157</w:t>
            </w:r>
            <w:r w:rsidR="001669F2">
              <w:rPr>
                <w:noProof/>
                <w:webHidden/>
              </w:rPr>
              <w:fldChar w:fldCharType="end"/>
            </w:r>
          </w:hyperlink>
        </w:p>
        <w:p w14:paraId="544C3307" w14:textId="77777777" w:rsidR="001669F2" w:rsidRDefault="00663FF6">
          <w:pPr>
            <w:pStyle w:val="Obsah3"/>
            <w:rPr>
              <w:rFonts w:eastAsiaTheme="minorEastAsia"/>
              <w:noProof/>
              <w:lang w:eastAsia="cs-CZ"/>
            </w:rPr>
          </w:pPr>
          <w:hyperlink w:anchor="_Toc525716219" w:history="1">
            <w:r w:rsidR="001669F2" w:rsidRPr="00180F2B">
              <w:rPr>
                <w:rStyle w:val="Hypertextovodkaz"/>
                <w:noProof/>
              </w:rPr>
              <w:t>7.1.2</w:t>
            </w:r>
            <w:r w:rsidR="001669F2">
              <w:rPr>
                <w:rFonts w:eastAsiaTheme="minorEastAsia"/>
                <w:noProof/>
                <w:lang w:eastAsia="cs-CZ"/>
              </w:rPr>
              <w:tab/>
            </w:r>
            <w:r w:rsidR="001669F2" w:rsidRPr="00180F2B">
              <w:rPr>
                <w:rStyle w:val="Hypertextovodkaz"/>
                <w:noProof/>
              </w:rPr>
              <w:t>Digital Market Technologies a Elektrotechnika</w:t>
            </w:r>
            <w:r w:rsidR="001669F2">
              <w:rPr>
                <w:noProof/>
                <w:webHidden/>
              </w:rPr>
              <w:tab/>
            </w:r>
            <w:r w:rsidR="001669F2">
              <w:rPr>
                <w:noProof/>
                <w:webHidden/>
              </w:rPr>
              <w:fldChar w:fldCharType="begin"/>
            </w:r>
            <w:r w:rsidR="001669F2">
              <w:rPr>
                <w:noProof/>
                <w:webHidden/>
              </w:rPr>
              <w:instrText xml:space="preserve"> PAGEREF _Toc525716219 \h </w:instrText>
            </w:r>
            <w:r w:rsidR="001669F2">
              <w:rPr>
                <w:noProof/>
                <w:webHidden/>
              </w:rPr>
            </w:r>
            <w:r w:rsidR="001669F2">
              <w:rPr>
                <w:noProof/>
                <w:webHidden/>
              </w:rPr>
              <w:fldChar w:fldCharType="separate"/>
            </w:r>
            <w:r w:rsidR="001669F2">
              <w:rPr>
                <w:noProof/>
                <w:webHidden/>
              </w:rPr>
              <w:t>167</w:t>
            </w:r>
            <w:r w:rsidR="001669F2">
              <w:rPr>
                <w:noProof/>
                <w:webHidden/>
              </w:rPr>
              <w:fldChar w:fldCharType="end"/>
            </w:r>
          </w:hyperlink>
        </w:p>
        <w:p w14:paraId="0A4E72A2" w14:textId="77777777" w:rsidR="001669F2" w:rsidRDefault="00663FF6">
          <w:pPr>
            <w:pStyle w:val="Obsah4"/>
            <w:rPr>
              <w:rFonts w:eastAsiaTheme="minorEastAsia"/>
              <w:noProof/>
              <w:lang w:eastAsia="cs-CZ"/>
            </w:rPr>
          </w:pPr>
          <w:hyperlink w:anchor="_Toc525716220" w:history="1">
            <w:r w:rsidR="001669F2" w:rsidRPr="00180F2B">
              <w:rPr>
                <w:rStyle w:val="Hypertextovodkaz"/>
                <w:noProof/>
              </w:rPr>
              <w:t>7.1.2.1</w:t>
            </w:r>
            <w:r w:rsidR="001669F2">
              <w:rPr>
                <w:rFonts w:eastAsiaTheme="minorEastAsia"/>
                <w:noProof/>
                <w:lang w:eastAsia="cs-CZ"/>
              </w:rPr>
              <w:tab/>
            </w:r>
            <w:r w:rsidR="001669F2" w:rsidRPr="00180F2B">
              <w:rPr>
                <w:rStyle w:val="Hypertextovodkaz"/>
                <w:noProof/>
              </w:rPr>
              <w:t>Elektronika a elektrotechnika v digitálním věku</w:t>
            </w:r>
            <w:r w:rsidR="001669F2">
              <w:rPr>
                <w:noProof/>
                <w:webHidden/>
              </w:rPr>
              <w:tab/>
            </w:r>
            <w:r w:rsidR="001669F2">
              <w:rPr>
                <w:noProof/>
                <w:webHidden/>
              </w:rPr>
              <w:fldChar w:fldCharType="begin"/>
            </w:r>
            <w:r w:rsidR="001669F2">
              <w:rPr>
                <w:noProof/>
                <w:webHidden/>
              </w:rPr>
              <w:instrText xml:space="preserve"> PAGEREF _Toc525716220 \h </w:instrText>
            </w:r>
            <w:r w:rsidR="001669F2">
              <w:rPr>
                <w:noProof/>
                <w:webHidden/>
              </w:rPr>
            </w:r>
            <w:r w:rsidR="001669F2">
              <w:rPr>
                <w:noProof/>
                <w:webHidden/>
              </w:rPr>
              <w:fldChar w:fldCharType="separate"/>
            </w:r>
            <w:r w:rsidR="001669F2">
              <w:rPr>
                <w:noProof/>
                <w:webHidden/>
              </w:rPr>
              <w:t>167</w:t>
            </w:r>
            <w:r w:rsidR="001669F2">
              <w:rPr>
                <w:noProof/>
                <w:webHidden/>
              </w:rPr>
              <w:fldChar w:fldCharType="end"/>
            </w:r>
          </w:hyperlink>
        </w:p>
        <w:p w14:paraId="7E906838" w14:textId="77777777" w:rsidR="001669F2" w:rsidRDefault="00663FF6">
          <w:pPr>
            <w:pStyle w:val="Obsah4"/>
            <w:rPr>
              <w:rFonts w:eastAsiaTheme="minorEastAsia"/>
              <w:noProof/>
              <w:lang w:eastAsia="cs-CZ"/>
            </w:rPr>
          </w:pPr>
          <w:hyperlink w:anchor="_Toc525716221" w:history="1">
            <w:r w:rsidR="001669F2" w:rsidRPr="00180F2B">
              <w:rPr>
                <w:rStyle w:val="Hypertextovodkaz"/>
                <w:noProof/>
              </w:rPr>
              <w:t>7.1.2.2</w:t>
            </w:r>
            <w:r w:rsidR="001669F2">
              <w:rPr>
                <w:rFonts w:eastAsiaTheme="minorEastAsia"/>
                <w:noProof/>
                <w:lang w:eastAsia="cs-CZ"/>
              </w:rPr>
              <w:tab/>
            </w:r>
            <w:r w:rsidR="001669F2" w:rsidRPr="00180F2B">
              <w:rPr>
                <w:rStyle w:val="Hypertextovodkaz"/>
                <w:noProof/>
              </w:rPr>
              <w:t>Digitální ekonomika a digitální obsah</w:t>
            </w:r>
            <w:r w:rsidR="001669F2">
              <w:rPr>
                <w:noProof/>
                <w:webHidden/>
              </w:rPr>
              <w:tab/>
            </w:r>
            <w:r w:rsidR="001669F2">
              <w:rPr>
                <w:noProof/>
                <w:webHidden/>
              </w:rPr>
              <w:fldChar w:fldCharType="begin"/>
            </w:r>
            <w:r w:rsidR="001669F2">
              <w:rPr>
                <w:noProof/>
                <w:webHidden/>
              </w:rPr>
              <w:instrText xml:space="preserve"> PAGEREF _Toc525716221 \h </w:instrText>
            </w:r>
            <w:r w:rsidR="001669F2">
              <w:rPr>
                <w:noProof/>
                <w:webHidden/>
              </w:rPr>
            </w:r>
            <w:r w:rsidR="001669F2">
              <w:rPr>
                <w:noProof/>
                <w:webHidden/>
              </w:rPr>
              <w:fldChar w:fldCharType="separate"/>
            </w:r>
            <w:r w:rsidR="001669F2">
              <w:rPr>
                <w:noProof/>
                <w:webHidden/>
              </w:rPr>
              <w:t>171</w:t>
            </w:r>
            <w:r w:rsidR="001669F2">
              <w:rPr>
                <w:noProof/>
                <w:webHidden/>
              </w:rPr>
              <w:fldChar w:fldCharType="end"/>
            </w:r>
          </w:hyperlink>
        </w:p>
        <w:p w14:paraId="04FB3577" w14:textId="77777777" w:rsidR="001669F2" w:rsidRDefault="00663FF6">
          <w:pPr>
            <w:pStyle w:val="Obsah3"/>
            <w:rPr>
              <w:rFonts w:eastAsiaTheme="minorEastAsia"/>
              <w:noProof/>
              <w:lang w:eastAsia="cs-CZ"/>
            </w:rPr>
          </w:pPr>
          <w:hyperlink w:anchor="_Toc525716222" w:history="1">
            <w:r w:rsidR="001669F2" w:rsidRPr="00180F2B">
              <w:rPr>
                <w:rStyle w:val="Hypertextovodkaz"/>
                <w:noProof/>
              </w:rPr>
              <w:t>7.1.3</w:t>
            </w:r>
            <w:r w:rsidR="001669F2">
              <w:rPr>
                <w:rFonts w:eastAsiaTheme="minorEastAsia"/>
                <w:noProof/>
                <w:lang w:eastAsia="cs-CZ"/>
              </w:rPr>
              <w:tab/>
            </w:r>
            <w:r w:rsidR="001669F2" w:rsidRPr="00180F2B">
              <w:rPr>
                <w:rStyle w:val="Hypertextovodkaz"/>
                <w:noProof/>
              </w:rPr>
              <w:t>Dopravní prostředky pro 21. století</w:t>
            </w:r>
            <w:r w:rsidR="001669F2">
              <w:rPr>
                <w:noProof/>
                <w:webHidden/>
              </w:rPr>
              <w:tab/>
            </w:r>
            <w:r w:rsidR="001669F2">
              <w:rPr>
                <w:noProof/>
                <w:webHidden/>
              </w:rPr>
              <w:fldChar w:fldCharType="begin"/>
            </w:r>
            <w:r w:rsidR="001669F2">
              <w:rPr>
                <w:noProof/>
                <w:webHidden/>
              </w:rPr>
              <w:instrText xml:space="preserve"> PAGEREF _Toc525716222 \h </w:instrText>
            </w:r>
            <w:r w:rsidR="001669F2">
              <w:rPr>
                <w:noProof/>
                <w:webHidden/>
              </w:rPr>
            </w:r>
            <w:r w:rsidR="001669F2">
              <w:rPr>
                <w:noProof/>
                <w:webHidden/>
              </w:rPr>
              <w:fldChar w:fldCharType="separate"/>
            </w:r>
            <w:r w:rsidR="001669F2">
              <w:rPr>
                <w:noProof/>
                <w:webHidden/>
              </w:rPr>
              <w:t>175</w:t>
            </w:r>
            <w:r w:rsidR="001669F2">
              <w:rPr>
                <w:noProof/>
                <w:webHidden/>
              </w:rPr>
              <w:fldChar w:fldCharType="end"/>
            </w:r>
          </w:hyperlink>
        </w:p>
        <w:p w14:paraId="343ED94B" w14:textId="77777777" w:rsidR="001669F2" w:rsidRDefault="00663FF6">
          <w:pPr>
            <w:pStyle w:val="Obsah4"/>
            <w:rPr>
              <w:rFonts w:eastAsiaTheme="minorEastAsia"/>
              <w:noProof/>
              <w:lang w:eastAsia="cs-CZ"/>
            </w:rPr>
          </w:pPr>
          <w:hyperlink w:anchor="_Toc525716223" w:history="1">
            <w:r w:rsidR="001669F2" w:rsidRPr="00180F2B">
              <w:rPr>
                <w:rStyle w:val="Hypertextovodkaz"/>
                <w:noProof/>
              </w:rPr>
              <w:t>7.1.3.1</w:t>
            </w:r>
            <w:r w:rsidR="001669F2">
              <w:rPr>
                <w:rFonts w:eastAsiaTheme="minorEastAsia"/>
                <w:noProof/>
                <w:lang w:eastAsia="cs-CZ"/>
              </w:rPr>
              <w:tab/>
            </w:r>
            <w:r w:rsidR="001669F2" w:rsidRPr="00180F2B">
              <w:rPr>
                <w:rStyle w:val="Hypertextovodkaz"/>
                <w:noProof/>
              </w:rPr>
              <w:t>Automotive</w:t>
            </w:r>
            <w:r w:rsidR="001669F2">
              <w:rPr>
                <w:noProof/>
                <w:webHidden/>
              </w:rPr>
              <w:tab/>
            </w:r>
            <w:r w:rsidR="001669F2">
              <w:rPr>
                <w:noProof/>
                <w:webHidden/>
              </w:rPr>
              <w:fldChar w:fldCharType="begin"/>
            </w:r>
            <w:r w:rsidR="001669F2">
              <w:rPr>
                <w:noProof/>
                <w:webHidden/>
              </w:rPr>
              <w:instrText xml:space="preserve"> PAGEREF _Toc525716223 \h </w:instrText>
            </w:r>
            <w:r w:rsidR="001669F2">
              <w:rPr>
                <w:noProof/>
                <w:webHidden/>
              </w:rPr>
            </w:r>
            <w:r w:rsidR="001669F2">
              <w:rPr>
                <w:noProof/>
                <w:webHidden/>
              </w:rPr>
              <w:fldChar w:fldCharType="separate"/>
            </w:r>
            <w:r w:rsidR="001669F2">
              <w:rPr>
                <w:noProof/>
                <w:webHidden/>
              </w:rPr>
              <w:t>175</w:t>
            </w:r>
            <w:r w:rsidR="001669F2">
              <w:rPr>
                <w:noProof/>
                <w:webHidden/>
              </w:rPr>
              <w:fldChar w:fldCharType="end"/>
            </w:r>
          </w:hyperlink>
        </w:p>
        <w:p w14:paraId="6A22DB86" w14:textId="77777777" w:rsidR="001669F2" w:rsidRDefault="00663FF6">
          <w:pPr>
            <w:pStyle w:val="Obsah4"/>
            <w:rPr>
              <w:rFonts w:eastAsiaTheme="minorEastAsia"/>
              <w:noProof/>
              <w:lang w:eastAsia="cs-CZ"/>
            </w:rPr>
          </w:pPr>
          <w:hyperlink w:anchor="_Toc525716224" w:history="1">
            <w:r w:rsidR="001669F2" w:rsidRPr="00180F2B">
              <w:rPr>
                <w:rStyle w:val="Hypertextovodkaz"/>
                <w:noProof/>
              </w:rPr>
              <w:t>7.1.3.2</w:t>
            </w:r>
            <w:r w:rsidR="001669F2">
              <w:rPr>
                <w:rFonts w:eastAsiaTheme="minorEastAsia"/>
                <w:noProof/>
                <w:lang w:eastAsia="cs-CZ"/>
              </w:rPr>
              <w:tab/>
            </w:r>
            <w:r w:rsidR="001669F2" w:rsidRPr="00180F2B">
              <w:rPr>
                <w:rStyle w:val="Hypertextovodkaz"/>
                <w:noProof/>
              </w:rPr>
              <w:t>Letecký a kosmický průmysl</w:t>
            </w:r>
            <w:r w:rsidR="001669F2">
              <w:rPr>
                <w:noProof/>
                <w:webHidden/>
              </w:rPr>
              <w:tab/>
            </w:r>
            <w:r w:rsidR="001669F2">
              <w:rPr>
                <w:noProof/>
                <w:webHidden/>
              </w:rPr>
              <w:fldChar w:fldCharType="begin"/>
            </w:r>
            <w:r w:rsidR="001669F2">
              <w:rPr>
                <w:noProof/>
                <w:webHidden/>
              </w:rPr>
              <w:instrText xml:space="preserve"> PAGEREF _Toc525716224 \h </w:instrText>
            </w:r>
            <w:r w:rsidR="001669F2">
              <w:rPr>
                <w:noProof/>
                <w:webHidden/>
              </w:rPr>
            </w:r>
            <w:r w:rsidR="001669F2">
              <w:rPr>
                <w:noProof/>
                <w:webHidden/>
              </w:rPr>
              <w:fldChar w:fldCharType="separate"/>
            </w:r>
            <w:r w:rsidR="001669F2">
              <w:rPr>
                <w:noProof/>
                <w:webHidden/>
              </w:rPr>
              <w:t>179</w:t>
            </w:r>
            <w:r w:rsidR="001669F2">
              <w:rPr>
                <w:noProof/>
                <w:webHidden/>
              </w:rPr>
              <w:fldChar w:fldCharType="end"/>
            </w:r>
          </w:hyperlink>
        </w:p>
        <w:p w14:paraId="564C963E" w14:textId="77777777" w:rsidR="001669F2" w:rsidRDefault="00663FF6">
          <w:pPr>
            <w:pStyle w:val="Obsah4"/>
            <w:rPr>
              <w:rFonts w:eastAsiaTheme="minorEastAsia"/>
              <w:noProof/>
              <w:lang w:eastAsia="cs-CZ"/>
            </w:rPr>
          </w:pPr>
          <w:hyperlink w:anchor="_Toc525716225" w:history="1">
            <w:r w:rsidR="001669F2" w:rsidRPr="00180F2B">
              <w:rPr>
                <w:rStyle w:val="Hypertextovodkaz"/>
                <w:noProof/>
              </w:rPr>
              <w:t>7.1.3.3</w:t>
            </w:r>
            <w:r w:rsidR="001669F2">
              <w:rPr>
                <w:rFonts w:eastAsiaTheme="minorEastAsia"/>
                <w:noProof/>
                <w:lang w:eastAsia="cs-CZ"/>
              </w:rPr>
              <w:tab/>
            </w:r>
            <w:r w:rsidR="001669F2" w:rsidRPr="00180F2B">
              <w:rPr>
                <w:rStyle w:val="Hypertextovodkaz"/>
                <w:noProof/>
              </w:rPr>
              <w:t>Železniční a kolejová vozidla</w:t>
            </w:r>
            <w:r w:rsidR="001669F2">
              <w:rPr>
                <w:noProof/>
                <w:webHidden/>
              </w:rPr>
              <w:tab/>
            </w:r>
            <w:r w:rsidR="001669F2">
              <w:rPr>
                <w:noProof/>
                <w:webHidden/>
              </w:rPr>
              <w:fldChar w:fldCharType="begin"/>
            </w:r>
            <w:r w:rsidR="001669F2">
              <w:rPr>
                <w:noProof/>
                <w:webHidden/>
              </w:rPr>
              <w:instrText xml:space="preserve"> PAGEREF _Toc525716225 \h </w:instrText>
            </w:r>
            <w:r w:rsidR="001669F2">
              <w:rPr>
                <w:noProof/>
                <w:webHidden/>
              </w:rPr>
            </w:r>
            <w:r w:rsidR="001669F2">
              <w:rPr>
                <w:noProof/>
                <w:webHidden/>
              </w:rPr>
              <w:fldChar w:fldCharType="separate"/>
            </w:r>
            <w:r w:rsidR="001669F2">
              <w:rPr>
                <w:noProof/>
                <w:webHidden/>
              </w:rPr>
              <w:t>182</w:t>
            </w:r>
            <w:r w:rsidR="001669F2">
              <w:rPr>
                <w:noProof/>
                <w:webHidden/>
              </w:rPr>
              <w:fldChar w:fldCharType="end"/>
            </w:r>
          </w:hyperlink>
        </w:p>
        <w:p w14:paraId="532CBE4F" w14:textId="77777777" w:rsidR="001669F2" w:rsidRDefault="00663FF6">
          <w:pPr>
            <w:pStyle w:val="Obsah3"/>
            <w:rPr>
              <w:rFonts w:eastAsiaTheme="minorEastAsia"/>
              <w:noProof/>
              <w:lang w:eastAsia="cs-CZ"/>
            </w:rPr>
          </w:pPr>
          <w:hyperlink w:anchor="_Toc525716226" w:history="1">
            <w:r w:rsidR="001669F2" w:rsidRPr="00180F2B">
              <w:rPr>
                <w:rStyle w:val="Hypertextovodkaz"/>
                <w:noProof/>
              </w:rPr>
              <w:t>7.1.4</w:t>
            </w:r>
            <w:r w:rsidR="001669F2">
              <w:rPr>
                <w:rFonts w:eastAsiaTheme="minorEastAsia"/>
                <w:noProof/>
                <w:lang w:eastAsia="cs-CZ"/>
              </w:rPr>
              <w:tab/>
            </w:r>
            <w:r w:rsidR="001669F2" w:rsidRPr="00180F2B">
              <w:rPr>
                <w:rStyle w:val="Hypertextovodkaz"/>
                <w:noProof/>
              </w:rPr>
              <w:t>Péče o zdraví, pokročilá medicína</w:t>
            </w:r>
            <w:r w:rsidR="001669F2">
              <w:rPr>
                <w:noProof/>
                <w:webHidden/>
              </w:rPr>
              <w:tab/>
            </w:r>
            <w:r w:rsidR="001669F2">
              <w:rPr>
                <w:noProof/>
                <w:webHidden/>
              </w:rPr>
              <w:fldChar w:fldCharType="begin"/>
            </w:r>
            <w:r w:rsidR="001669F2">
              <w:rPr>
                <w:noProof/>
                <w:webHidden/>
              </w:rPr>
              <w:instrText xml:space="preserve"> PAGEREF _Toc525716226 \h </w:instrText>
            </w:r>
            <w:r w:rsidR="001669F2">
              <w:rPr>
                <w:noProof/>
                <w:webHidden/>
              </w:rPr>
            </w:r>
            <w:r w:rsidR="001669F2">
              <w:rPr>
                <w:noProof/>
                <w:webHidden/>
              </w:rPr>
              <w:fldChar w:fldCharType="separate"/>
            </w:r>
            <w:r w:rsidR="001669F2">
              <w:rPr>
                <w:noProof/>
                <w:webHidden/>
              </w:rPr>
              <w:t>186</w:t>
            </w:r>
            <w:r w:rsidR="001669F2">
              <w:rPr>
                <w:noProof/>
                <w:webHidden/>
              </w:rPr>
              <w:fldChar w:fldCharType="end"/>
            </w:r>
          </w:hyperlink>
        </w:p>
        <w:p w14:paraId="768DCB37" w14:textId="77777777" w:rsidR="001669F2" w:rsidRDefault="00663FF6">
          <w:pPr>
            <w:pStyle w:val="Obsah4"/>
            <w:rPr>
              <w:rFonts w:eastAsiaTheme="minorEastAsia"/>
              <w:noProof/>
              <w:lang w:eastAsia="cs-CZ"/>
            </w:rPr>
          </w:pPr>
          <w:hyperlink w:anchor="_Toc525716227" w:history="1">
            <w:r w:rsidR="001669F2" w:rsidRPr="00180F2B">
              <w:rPr>
                <w:rStyle w:val="Hypertextovodkaz"/>
                <w:noProof/>
              </w:rPr>
              <w:t>7.1.4.1</w:t>
            </w:r>
            <w:r w:rsidR="001669F2">
              <w:rPr>
                <w:rFonts w:eastAsiaTheme="minorEastAsia"/>
                <w:noProof/>
                <w:lang w:eastAsia="cs-CZ"/>
              </w:rPr>
              <w:tab/>
            </w:r>
            <w:r w:rsidR="001669F2" w:rsidRPr="00180F2B">
              <w:rPr>
                <w:rStyle w:val="Hypertextovodkaz"/>
                <w:noProof/>
              </w:rPr>
              <w:t>Léčiva, biotechnologie, prostředky zdravotnické techniky a Life Sciences</w:t>
            </w:r>
            <w:r w:rsidR="001669F2">
              <w:rPr>
                <w:noProof/>
                <w:webHidden/>
              </w:rPr>
              <w:tab/>
            </w:r>
            <w:r w:rsidR="001669F2">
              <w:rPr>
                <w:noProof/>
                <w:webHidden/>
              </w:rPr>
              <w:fldChar w:fldCharType="begin"/>
            </w:r>
            <w:r w:rsidR="001669F2">
              <w:rPr>
                <w:noProof/>
                <w:webHidden/>
              </w:rPr>
              <w:instrText xml:space="preserve"> PAGEREF _Toc525716227 \h </w:instrText>
            </w:r>
            <w:r w:rsidR="001669F2">
              <w:rPr>
                <w:noProof/>
                <w:webHidden/>
              </w:rPr>
            </w:r>
            <w:r w:rsidR="001669F2">
              <w:rPr>
                <w:noProof/>
                <w:webHidden/>
              </w:rPr>
              <w:fldChar w:fldCharType="separate"/>
            </w:r>
            <w:r w:rsidR="001669F2">
              <w:rPr>
                <w:noProof/>
                <w:webHidden/>
              </w:rPr>
              <w:t>186</w:t>
            </w:r>
            <w:r w:rsidR="001669F2">
              <w:rPr>
                <w:noProof/>
                <w:webHidden/>
              </w:rPr>
              <w:fldChar w:fldCharType="end"/>
            </w:r>
          </w:hyperlink>
        </w:p>
        <w:p w14:paraId="38B9FA1D" w14:textId="77777777" w:rsidR="001669F2" w:rsidRDefault="00663FF6">
          <w:pPr>
            <w:pStyle w:val="Obsah3"/>
            <w:rPr>
              <w:rFonts w:eastAsiaTheme="minorEastAsia"/>
              <w:noProof/>
              <w:lang w:eastAsia="cs-CZ"/>
            </w:rPr>
          </w:pPr>
          <w:hyperlink w:anchor="_Toc525716228" w:history="1">
            <w:r w:rsidR="001669F2" w:rsidRPr="00180F2B">
              <w:rPr>
                <w:rStyle w:val="Hypertextovodkaz"/>
                <w:noProof/>
              </w:rPr>
              <w:t>7.1.5</w:t>
            </w:r>
            <w:r w:rsidR="001669F2">
              <w:rPr>
                <w:rFonts w:eastAsiaTheme="minorEastAsia"/>
                <w:noProof/>
                <w:lang w:eastAsia="cs-CZ"/>
              </w:rPr>
              <w:tab/>
            </w:r>
            <w:r w:rsidR="001669F2" w:rsidRPr="00180F2B">
              <w:rPr>
                <w:rStyle w:val="Hypertextovodkaz"/>
                <w:noProof/>
              </w:rPr>
              <w:t>Kulturní a kreativní odvětví</w:t>
            </w:r>
            <w:r w:rsidR="001669F2">
              <w:rPr>
                <w:noProof/>
                <w:webHidden/>
              </w:rPr>
              <w:tab/>
            </w:r>
            <w:r w:rsidR="001669F2">
              <w:rPr>
                <w:noProof/>
                <w:webHidden/>
              </w:rPr>
              <w:fldChar w:fldCharType="begin"/>
            </w:r>
            <w:r w:rsidR="001669F2">
              <w:rPr>
                <w:noProof/>
                <w:webHidden/>
              </w:rPr>
              <w:instrText xml:space="preserve"> PAGEREF _Toc525716228 \h </w:instrText>
            </w:r>
            <w:r w:rsidR="001669F2">
              <w:rPr>
                <w:noProof/>
                <w:webHidden/>
              </w:rPr>
            </w:r>
            <w:r w:rsidR="001669F2">
              <w:rPr>
                <w:noProof/>
                <w:webHidden/>
              </w:rPr>
              <w:fldChar w:fldCharType="separate"/>
            </w:r>
            <w:r w:rsidR="001669F2">
              <w:rPr>
                <w:noProof/>
                <w:webHidden/>
              </w:rPr>
              <w:t>189</w:t>
            </w:r>
            <w:r w:rsidR="001669F2">
              <w:rPr>
                <w:noProof/>
                <w:webHidden/>
              </w:rPr>
              <w:fldChar w:fldCharType="end"/>
            </w:r>
          </w:hyperlink>
        </w:p>
        <w:p w14:paraId="51BCEB33" w14:textId="77777777" w:rsidR="001669F2" w:rsidRDefault="00663FF6">
          <w:pPr>
            <w:pStyle w:val="Obsah4"/>
            <w:rPr>
              <w:rFonts w:eastAsiaTheme="minorEastAsia"/>
              <w:noProof/>
              <w:lang w:eastAsia="cs-CZ"/>
            </w:rPr>
          </w:pPr>
          <w:hyperlink w:anchor="_Toc525716229" w:history="1">
            <w:r w:rsidR="001669F2" w:rsidRPr="00180F2B">
              <w:rPr>
                <w:rStyle w:val="Hypertextovodkaz"/>
                <w:noProof/>
              </w:rPr>
              <w:t>7.1.5.1</w:t>
            </w:r>
            <w:r w:rsidR="001669F2">
              <w:rPr>
                <w:rFonts w:eastAsiaTheme="minorEastAsia"/>
                <w:noProof/>
                <w:lang w:eastAsia="cs-CZ"/>
              </w:rPr>
              <w:tab/>
            </w:r>
            <w:r w:rsidR="001669F2" w:rsidRPr="00180F2B">
              <w:rPr>
                <w:rStyle w:val="Hypertextovodkaz"/>
                <w:noProof/>
              </w:rPr>
              <w:t>Tradiční kulturní a kreativní odvětví</w:t>
            </w:r>
            <w:r w:rsidR="001669F2">
              <w:rPr>
                <w:noProof/>
                <w:webHidden/>
              </w:rPr>
              <w:tab/>
            </w:r>
            <w:r w:rsidR="001669F2">
              <w:rPr>
                <w:noProof/>
                <w:webHidden/>
              </w:rPr>
              <w:fldChar w:fldCharType="begin"/>
            </w:r>
            <w:r w:rsidR="001669F2">
              <w:rPr>
                <w:noProof/>
                <w:webHidden/>
              </w:rPr>
              <w:instrText xml:space="preserve"> PAGEREF _Toc525716229 \h </w:instrText>
            </w:r>
            <w:r w:rsidR="001669F2">
              <w:rPr>
                <w:noProof/>
                <w:webHidden/>
              </w:rPr>
            </w:r>
            <w:r w:rsidR="001669F2">
              <w:rPr>
                <w:noProof/>
                <w:webHidden/>
              </w:rPr>
              <w:fldChar w:fldCharType="separate"/>
            </w:r>
            <w:r w:rsidR="001669F2">
              <w:rPr>
                <w:noProof/>
                <w:webHidden/>
              </w:rPr>
              <w:t>189</w:t>
            </w:r>
            <w:r w:rsidR="001669F2">
              <w:rPr>
                <w:noProof/>
                <w:webHidden/>
              </w:rPr>
              <w:fldChar w:fldCharType="end"/>
            </w:r>
          </w:hyperlink>
        </w:p>
        <w:p w14:paraId="5797D400" w14:textId="77777777" w:rsidR="001669F2" w:rsidRDefault="00663FF6">
          <w:pPr>
            <w:pStyle w:val="Obsah4"/>
            <w:rPr>
              <w:rFonts w:eastAsiaTheme="minorEastAsia"/>
              <w:noProof/>
              <w:lang w:eastAsia="cs-CZ"/>
            </w:rPr>
          </w:pPr>
          <w:hyperlink w:anchor="_Toc525716230" w:history="1">
            <w:r w:rsidR="001669F2" w:rsidRPr="00180F2B">
              <w:rPr>
                <w:rStyle w:val="Hypertextovodkaz"/>
                <w:noProof/>
              </w:rPr>
              <w:t>7.1.5.2</w:t>
            </w:r>
            <w:r w:rsidR="001669F2">
              <w:rPr>
                <w:rFonts w:eastAsiaTheme="minorEastAsia"/>
                <w:noProof/>
                <w:lang w:eastAsia="cs-CZ"/>
              </w:rPr>
              <w:tab/>
            </w:r>
            <w:r w:rsidR="001669F2" w:rsidRPr="00180F2B">
              <w:rPr>
                <w:rStyle w:val="Hypertextovodkaz"/>
                <w:noProof/>
              </w:rPr>
              <w:t>Nová kulturní a kreativní odvětví</w:t>
            </w:r>
            <w:r w:rsidR="001669F2">
              <w:rPr>
                <w:noProof/>
                <w:webHidden/>
              </w:rPr>
              <w:tab/>
            </w:r>
            <w:r w:rsidR="001669F2">
              <w:rPr>
                <w:noProof/>
                <w:webHidden/>
              </w:rPr>
              <w:fldChar w:fldCharType="begin"/>
            </w:r>
            <w:r w:rsidR="001669F2">
              <w:rPr>
                <w:noProof/>
                <w:webHidden/>
              </w:rPr>
              <w:instrText xml:space="preserve"> PAGEREF _Toc525716230 \h </w:instrText>
            </w:r>
            <w:r w:rsidR="001669F2">
              <w:rPr>
                <w:noProof/>
                <w:webHidden/>
              </w:rPr>
            </w:r>
            <w:r w:rsidR="001669F2">
              <w:rPr>
                <w:noProof/>
                <w:webHidden/>
              </w:rPr>
              <w:fldChar w:fldCharType="separate"/>
            </w:r>
            <w:r w:rsidR="001669F2">
              <w:rPr>
                <w:noProof/>
                <w:webHidden/>
              </w:rPr>
              <w:t>192</w:t>
            </w:r>
            <w:r w:rsidR="001669F2">
              <w:rPr>
                <w:noProof/>
                <w:webHidden/>
              </w:rPr>
              <w:fldChar w:fldCharType="end"/>
            </w:r>
          </w:hyperlink>
        </w:p>
        <w:p w14:paraId="76ACE0FC" w14:textId="77777777" w:rsidR="001669F2" w:rsidRDefault="00663FF6">
          <w:pPr>
            <w:pStyle w:val="Obsah3"/>
            <w:rPr>
              <w:rFonts w:eastAsiaTheme="minorEastAsia"/>
              <w:noProof/>
              <w:lang w:eastAsia="cs-CZ"/>
            </w:rPr>
          </w:pPr>
          <w:hyperlink w:anchor="_Toc525716231" w:history="1">
            <w:r w:rsidR="001669F2" w:rsidRPr="00180F2B">
              <w:rPr>
                <w:rStyle w:val="Hypertextovodkaz"/>
                <w:noProof/>
              </w:rPr>
              <w:t>7.1.6</w:t>
            </w:r>
            <w:r w:rsidR="001669F2">
              <w:rPr>
                <w:rFonts w:eastAsiaTheme="minorEastAsia"/>
                <w:noProof/>
                <w:lang w:eastAsia="cs-CZ"/>
              </w:rPr>
              <w:tab/>
            </w:r>
            <w:r w:rsidR="001669F2" w:rsidRPr="00180F2B">
              <w:rPr>
                <w:rStyle w:val="Hypertextovodkaz"/>
                <w:noProof/>
              </w:rPr>
              <w:t>Udržitelné zemědělství a environmentální aplikační odvětví</w:t>
            </w:r>
            <w:r w:rsidR="001669F2">
              <w:rPr>
                <w:noProof/>
                <w:webHidden/>
              </w:rPr>
              <w:tab/>
            </w:r>
            <w:r w:rsidR="001669F2">
              <w:rPr>
                <w:noProof/>
                <w:webHidden/>
              </w:rPr>
              <w:fldChar w:fldCharType="begin"/>
            </w:r>
            <w:r w:rsidR="001669F2">
              <w:rPr>
                <w:noProof/>
                <w:webHidden/>
              </w:rPr>
              <w:instrText xml:space="preserve"> PAGEREF _Toc525716231 \h </w:instrText>
            </w:r>
            <w:r w:rsidR="001669F2">
              <w:rPr>
                <w:noProof/>
                <w:webHidden/>
              </w:rPr>
            </w:r>
            <w:r w:rsidR="001669F2">
              <w:rPr>
                <w:noProof/>
                <w:webHidden/>
              </w:rPr>
              <w:fldChar w:fldCharType="separate"/>
            </w:r>
            <w:r w:rsidR="001669F2">
              <w:rPr>
                <w:noProof/>
                <w:webHidden/>
              </w:rPr>
              <w:t>194</w:t>
            </w:r>
            <w:r w:rsidR="001669F2">
              <w:rPr>
                <w:noProof/>
                <w:webHidden/>
              </w:rPr>
              <w:fldChar w:fldCharType="end"/>
            </w:r>
          </w:hyperlink>
        </w:p>
        <w:p w14:paraId="61400D58" w14:textId="77777777" w:rsidR="001669F2" w:rsidRDefault="00663FF6">
          <w:pPr>
            <w:pStyle w:val="Obsah4"/>
            <w:rPr>
              <w:rFonts w:eastAsiaTheme="minorEastAsia"/>
              <w:noProof/>
              <w:lang w:eastAsia="cs-CZ"/>
            </w:rPr>
          </w:pPr>
          <w:hyperlink w:anchor="_Toc525716232" w:history="1">
            <w:r w:rsidR="001669F2" w:rsidRPr="00180F2B">
              <w:rPr>
                <w:rStyle w:val="Hypertextovodkaz"/>
                <w:noProof/>
              </w:rPr>
              <w:t>7.1.6.1</w:t>
            </w:r>
            <w:r w:rsidR="001669F2">
              <w:rPr>
                <w:rFonts w:eastAsiaTheme="minorEastAsia"/>
                <w:noProof/>
                <w:lang w:eastAsia="cs-CZ"/>
              </w:rPr>
              <w:tab/>
            </w:r>
            <w:r w:rsidR="001669F2" w:rsidRPr="00180F2B">
              <w:rPr>
                <w:rStyle w:val="Hypertextovodkaz"/>
                <w:noProof/>
              </w:rPr>
              <w:t>Udržitelné hospodaření s přírodními zdroji</w:t>
            </w:r>
            <w:r w:rsidR="001669F2">
              <w:rPr>
                <w:noProof/>
                <w:webHidden/>
              </w:rPr>
              <w:tab/>
            </w:r>
            <w:r w:rsidR="001669F2">
              <w:rPr>
                <w:noProof/>
                <w:webHidden/>
              </w:rPr>
              <w:fldChar w:fldCharType="begin"/>
            </w:r>
            <w:r w:rsidR="001669F2">
              <w:rPr>
                <w:noProof/>
                <w:webHidden/>
              </w:rPr>
              <w:instrText xml:space="preserve"> PAGEREF _Toc525716232 \h </w:instrText>
            </w:r>
            <w:r w:rsidR="001669F2">
              <w:rPr>
                <w:noProof/>
                <w:webHidden/>
              </w:rPr>
            </w:r>
            <w:r w:rsidR="001669F2">
              <w:rPr>
                <w:noProof/>
                <w:webHidden/>
              </w:rPr>
              <w:fldChar w:fldCharType="separate"/>
            </w:r>
            <w:r w:rsidR="001669F2">
              <w:rPr>
                <w:noProof/>
                <w:webHidden/>
              </w:rPr>
              <w:t>194</w:t>
            </w:r>
            <w:r w:rsidR="001669F2">
              <w:rPr>
                <w:noProof/>
                <w:webHidden/>
              </w:rPr>
              <w:fldChar w:fldCharType="end"/>
            </w:r>
          </w:hyperlink>
        </w:p>
        <w:p w14:paraId="714CD516" w14:textId="77777777" w:rsidR="001669F2" w:rsidRDefault="00663FF6">
          <w:pPr>
            <w:pStyle w:val="Obsah4"/>
            <w:rPr>
              <w:rFonts w:eastAsiaTheme="minorEastAsia"/>
              <w:noProof/>
              <w:lang w:eastAsia="cs-CZ"/>
            </w:rPr>
          </w:pPr>
          <w:hyperlink w:anchor="_Toc525716233" w:history="1">
            <w:r w:rsidR="001669F2" w:rsidRPr="00180F2B">
              <w:rPr>
                <w:rStyle w:val="Hypertextovodkaz"/>
                <w:noProof/>
              </w:rPr>
              <w:t>7.1.6.2</w:t>
            </w:r>
            <w:r w:rsidR="001669F2">
              <w:rPr>
                <w:rFonts w:eastAsiaTheme="minorEastAsia"/>
                <w:noProof/>
                <w:lang w:eastAsia="cs-CZ"/>
              </w:rPr>
              <w:tab/>
            </w:r>
            <w:r w:rsidR="001669F2" w:rsidRPr="00180F2B">
              <w:rPr>
                <w:rStyle w:val="Hypertextovodkaz"/>
                <w:noProof/>
              </w:rPr>
              <w:t>Udržitelné zemědělství a lesnictví</w:t>
            </w:r>
            <w:r w:rsidR="001669F2">
              <w:rPr>
                <w:noProof/>
                <w:webHidden/>
              </w:rPr>
              <w:tab/>
            </w:r>
            <w:r w:rsidR="001669F2">
              <w:rPr>
                <w:noProof/>
                <w:webHidden/>
              </w:rPr>
              <w:fldChar w:fldCharType="begin"/>
            </w:r>
            <w:r w:rsidR="001669F2">
              <w:rPr>
                <w:noProof/>
                <w:webHidden/>
              </w:rPr>
              <w:instrText xml:space="preserve"> PAGEREF _Toc525716233 \h </w:instrText>
            </w:r>
            <w:r w:rsidR="001669F2">
              <w:rPr>
                <w:noProof/>
                <w:webHidden/>
              </w:rPr>
            </w:r>
            <w:r w:rsidR="001669F2">
              <w:rPr>
                <w:noProof/>
                <w:webHidden/>
              </w:rPr>
              <w:fldChar w:fldCharType="separate"/>
            </w:r>
            <w:r w:rsidR="001669F2">
              <w:rPr>
                <w:noProof/>
                <w:webHidden/>
              </w:rPr>
              <w:t>197</w:t>
            </w:r>
            <w:r w:rsidR="001669F2">
              <w:rPr>
                <w:noProof/>
                <w:webHidden/>
              </w:rPr>
              <w:fldChar w:fldCharType="end"/>
            </w:r>
          </w:hyperlink>
        </w:p>
        <w:p w14:paraId="2B97B151" w14:textId="77777777" w:rsidR="001669F2" w:rsidRDefault="00663FF6">
          <w:pPr>
            <w:pStyle w:val="Obsah4"/>
            <w:rPr>
              <w:rFonts w:eastAsiaTheme="minorEastAsia"/>
              <w:noProof/>
              <w:lang w:eastAsia="cs-CZ"/>
            </w:rPr>
          </w:pPr>
          <w:hyperlink w:anchor="_Toc525716234" w:history="1">
            <w:r w:rsidR="001669F2" w:rsidRPr="00180F2B">
              <w:rPr>
                <w:rStyle w:val="Hypertextovodkaz"/>
                <w:noProof/>
              </w:rPr>
              <w:t>7.1.6.3</w:t>
            </w:r>
            <w:r w:rsidR="001669F2">
              <w:rPr>
                <w:rFonts w:eastAsiaTheme="minorEastAsia"/>
                <w:noProof/>
                <w:lang w:eastAsia="cs-CZ"/>
              </w:rPr>
              <w:tab/>
            </w:r>
            <w:r w:rsidR="001669F2" w:rsidRPr="00180F2B">
              <w:rPr>
                <w:rStyle w:val="Hypertextovodkaz"/>
                <w:noProof/>
              </w:rPr>
              <w:t>Udržitelná produkce potravin</w:t>
            </w:r>
            <w:r w:rsidR="001669F2">
              <w:rPr>
                <w:noProof/>
                <w:webHidden/>
              </w:rPr>
              <w:tab/>
            </w:r>
            <w:r w:rsidR="001669F2">
              <w:rPr>
                <w:noProof/>
                <w:webHidden/>
              </w:rPr>
              <w:fldChar w:fldCharType="begin"/>
            </w:r>
            <w:r w:rsidR="001669F2">
              <w:rPr>
                <w:noProof/>
                <w:webHidden/>
              </w:rPr>
              <w:instrText xml:space="preserve"> PAGEREF _Toc525716234 \h </w:instrText>
            </w:r>
            <w:r w:rsidR="001669F2">
              <w:rPr>
                <w:noProof/>
                <w:webHidden/>
              </w:rPr>
            </w:r>
            <w:r w:rsidR="001669F2">
              <w:rPr>
                <w:noProof/>
                <w:webHidden/>
              </w:rPr>
              <w:fldChar w:fldCharType="separate"/>
            </w:r>
            <w:r w:rsidR="001669F2">
              <w:rPr>
                <w:noProof/>
                <w:webHidden/>
              </w:rPr>
              <w:t>200</w:t>
            </w:r>
            <w:r w:rsidR="001669F2">
              <w:rPr>
                <w:noProof/>
                <w:webHidden/>
              </w:rPr>
              <w:fldChar w:fldCharType="end"/>
            </w:r>
          </w:hyperlink>
        </w:p>
        <w:p w14:paraId="757A41DF" w14:textId="77777777" w:rsidR="001669F2" w:rsidRDefault="00663FF6">
          <w:pPr>
            <w:pStyle w:val="Obsah4"/>
            <w:rPr>
              <w:rFonts w:eastAsiaTheme="minorEastAsia"/>
              <w:noProof/>
              <w:lang w:eastAsia="cs-CZ"/>
            </w:rPr>
          </w:pPr>
          <w:hyperlink w:anchor="_Toc525716235" w:history="1">
            <w:r w:rsidR="001669F2" w:rsidRPr="00180F2B">
              <w:rPr>
                <w:rStyle w:val="Hypertextovodkaz"/>
                <w:noProof/>
              </w:rPr>
              <w:t>7.1.6.4</w:t>
            </w:r>
            <w:r w:rsidR="001669F2">
              <w:rPr>
                <w:rFonts w:eastAsiaTheme="minorEastAsia"/>
                <w:noProof/>
                <w:lang w:eastAsia="cs-CZ"/>
              </w:rPr>
              <w:tab/>
            </w:r>
            <w:r w:rsidR="001669F2" w:rsidRPr="00180F2B">
              <w:rPr>
                <w:rStyle w:val="Hypertextovodkaz"/>
                <w:noProof/>
              </w:rPr>
              <w:t>Zajištění zdravého a kvalitního životního prostředí, biodiverzity a ekologie přírodních zdrojů</w:t>
            </w:r>
            <w:r w:rsidR="001669F2">
              <w:rPr>
                <w:noProof/>
                <w:webHidden/>
              </w:rPr>
              <w:tab/>
            </w:r>
            <w:r w:rsidR="001669F2">
              <w:rPr>
                <w:noProof/>
                <w:webHidden/>
              </w:rPr>
              <w:fldChar w:fldCharType="begin"/>
            </w:r>
            <w:r w:rsidR="001669F2">
              <w:rPr>
                <w:noProof/>
                <w:webHidden/>
              </w:rPr>
              <w:instrText xml:space="preserve"> PAGEREF _Toc525716235 \h </w:instrText>
            </w:r>
            <w:r w:rsidR="001669F2">
              <w:rPr>
                <w:noProof/>
                <w:webHidden/>
              </w:rPr>
            </w:r>
            <w:r w:rsidR="001669F2">
              <w:rPr>
                <w:noProof/>
                <w:webHidden/>
              </w:rPr>
              <w:fldChar w:fldCharType="separate"/>
            </w:r>
            <w:r w:rsidR="001669F2">
              <w:rPr>
                <w:noProof/>
                <w:webHidden/>
              </w:rPr>
              <w:t>202</w:t>
            </w:r>
            <w:r w:rsidR="001669F2">
              <w:rPr>
                <w:noProof/>
                <w:webHidden/>
              </w:rPr>
              <w:fldChar w:fldCharType="end"/>
            </w:r>
          </w:hyperlink>
        </w:p>
        <w:p w14:paraId="6E3DF2DB" w14:textId="77777777" w:rsidR="001669F2" w:rsidRDefault="00663FF6">
          <w:pPr>
            <w:pStyle w:val="Obsah4"/>
            <w:rPr>
              <w:rFonts w:eastAsiaTheme="minorEastAsia"/>
              <w:noProof/>
              <w:lang w:eastAsia="cs-CZ"/>
            </w:rPr>
          </w:pPr>
          <w:hyperlink w:anchor="_Toc525716236" w:history="1">
            <w:r w:rsidR="001669F2" w:rsidRPr="00180F2B">
              <w:rPr>
                <w:rStyle w:val="Hypertextovodkaz"/>
                <w:rFonts w:eastAsia="Times New Roman"/>
                <w:noProof/>
              </w:rPr>
              <w:t>7.1.6.5</w:t>
            </w:r>
            <w:r w:rsidR="001669F2">
              <w:rPr>
                <w:rFonts w:eastAsiaTheme="minorEastAsia"/>
                <w:noProof/>
                <w:lang w:eastAsia="cs-CZ"/>
              </w:rPr>
              <w:tab/>
            </w:r>
            <w:r w:rsidR="001669F2" w:rsidRPr="00180F2B">
              <w:rPr>
                <w:rStyle w:val="Hypertextovodkaz"/>
                <w:rFonts w:eastAsia="Times New Roman"/>
                <w:noProof/>
              </w:rPr>
              <w:t>Udržitelná výstavba, lidská sídla a technická ochrana životního prostředí</w:t>
            </w:r>
            <w:r w:rsidR="001669F2">
              <w:rPr>
                <w:noProof/>
                <w:webHidden/>
              </w:rPr>
              <w:tab/>
            </w:r>
            <w:r w:rsidR="001669F2">
              <w:rPr>
                <w:noProof/>
                <w:webHidden/>
              </w:rPr>
              <w:fldChar w:fldCharType="begin"/>
            </w:r>
            <w:r w:rsidR="001669F2">
              <w:rPr>
                <w:noProof/>
                <w:webHidden/>
              </w:rPr>
              <w:instrText xml:space="preserve"> PAGEREF _Toc525716236 \h </w:instrText>
            </w:r>
            <w:r w:rsidR="001669F2">
              <w:rPr>
                <w:noProof/>
                <w:webHidden/>
              </w:rPr>
            </w:r>
            <w:r w:rsidR="001669F2">
              <w:rPr>
                <w:noProof/>
                <w:webHidden/>
              </w:rPr>
              <w:fldChar w:fldCharType="separate"/>
            </w:r>
            <w:r w:rsidR="001669F2">
              <w:rPr>
                <w:noProof/>
                <w:webHidden/>
              </w:rPr>
              <w:t>205</w:t>
            </w:r>
            <w:r w:rsidR="001669F2">
              <w:rPr>
                <w:noProof/>
                <w:webHidden/>
              </w:rPr>
              <w:fldChar w:fldCharType="end"/>
            </w:r>
          </w:hyperlink>
        </w:p>
        <w:p w14:paraId="599ABCA9" w14:textId="77777777" w:rsidR="001669F2" w:rsidRDefault="00663FF6">
          <w:pPr>
            <w:pStyle w:val="Obsah3"/>
            <w:rPr>
              <w:rFonts w:eastAsiaTheme="minorEastAsia"/>
              <w:noProof/>
              <w:lang w:eastAsia="cs-CZ"/>
            </w:rPr>
          </w:pPr>
          <w:hyperlink w:anchor="_Toc525716237" w:history="1">
            <w:r w:rsidR="001669F2" w:rsidRPr="00180F2B">
              <w:rPr>
                <w:rStyle w:val="Hypertextovodkaz"/>
                <w:noProof/>
              </w:rPr>
              <w:t>7.1.7</w:t>
            </w:r>
            <w:r w:rsidR="001669F2">
              <w:rPr>
                <w:rFonts w:eastAsiaTheme="minorEastAsia"/>
                <w:noProof/>
                <w:lang w:eastAsia="cs-CZ"/>
              </w:rPr>
              <w:tab/>
            </w:r>
            <w:r w:rsidR="001669F2" w:rsidRPr="00180F2B">
              <w:rPr>
                <w:rStyle w:val="Hypertextovodkaz"/>
                <w:noProof/>
              </w:rPr>
              <w:t>Společenské výzvy</w:t>
            </w:r>
            <w:r w:rsidR="001669F2">
              <w:rPr>
                <w:noProof/>
                <w:webHidden/>
              </w:rPr>
              <w:tab/>
            </w:r>
            <w:r w:rsidR="001669F2">
              <w:rPr>
                <w:noProof/>
                <w:webHidden/>
              </w:rPr>
              <w:fldChar w:fldCharType="begin"/>
            </w:r>
            <w:r w:rsidR="001669F2">
              <w:rPr>
                <w:noProof/>
                <w:webHidden/>
              </w:rPr>
              <w:instrText xml:space="preserve"> PAGEREF _Toc525716237 \h </w:instrText>
            </w:r>
            <w:r w:rsidR="001669F2">
              <w:rPr>
                <w:noProof/>
                <w:webHidden/>
              </w:rPr>
            </w:r>
            <w:r w:rsidR="001669F2">
              <w:rPr>
                <w:noProof/>
                <w:webHidden/>
              </w:rPr>
              <w:fldChar w:fldCharType="separate"/>
            </w:r>
            <w:r w:rsidR="001669F2">
              <w:rPr>
                <w:noProof/>
                <w:webHidden/>
              </w:rPr>
              <w:t>210</w:t>
            </w:r>
            <w:r w:rsidR="001669F2">
              <w:rPr>
                <w:noProof/>
                <w:webHidden/>
              </w:rPr>
              <w:fldChar w:fldCharType="end"/>
            </w:r>
          </w:hyperlink>
        </w:p>
        <w:p w14:paraId="20447809" w14:textId="77777777" w:rsidR="001669F2" w:rsidRDefault="00663FF6">
          <w:pPr>
            <w:pStyle w:val="Obsah4"/>
            <w:rPr>
              <w:rFonts w:eastAsiaTheme="minorEastAsia"/>
              <w:noProof/>
              <w:lang w:eastAsia="cs-CZ"/>
            </w:rPr>
          </w:pPr>
          <w:hyperlink w:anchor="_Toc525716238" w:history="1">
            <w:r w:rsidR="001669F2" w:rsidRPr="00180F2B">
              <w:rPr>
                <w:rStyle w:val="Hypertextovodkaz"/>
                <w:noProof/>
              </w:rPr>
              <w:t>7.1.7.1</w:t>
            </w:r>
            <w:r w:rsidR="001669F2">
              <w:rPr>
                <w:rFonts w:eastAsiaTheme="minorEastAsia"/>
                <w:noProof/>
                <w:lang w:eastAsia="cs-CZ"/>
              </w:rPr>
              <w:tab/>
            </w:r>
            <w:r w:rsidR="001669F2" w:rsidRPr="00180F2B">
              <w:rPr>
                <w:rStyle w:val="Hypertextovodkaz"/>
                <w:noProof/>
              </w:rPr>
              <w:t>Práce, sociální služby a důchodový systém</w:t>
            </w:r>
            <w:r w:rsidR="001669F2">
              <w:rPr>
                <w:noProof/>
                <w:webHidden/>
              </w:rPr>
              <w:tab/>
            </w:r>
            <w:r w:rsidR="001669F2">
              <w:rPr>
                <w:noProof/>
                <w:webHidden/>
              </w:rPr>
              <w:fldChar w:fldCharType="begin"/>
            </w:r>
            <w:r w:rsidR="001669F2">
              <w:rPr>
                <w:noProof/>
                <w:webHidden/>
              </w:rPr>
              <w:instrText xml:space="preserve"> PAGEREF _Toc525716238 \h </w:instrText>
            </w:r>
            <w:r w:rsidR="001669F2">
              <w:rPr>
                <w:noProof/>
                <w:webHidden/>
              </w:rPr>
            </w:r>
            <w:r w:rsidR="001669F2">
              <w:rPr>
                <w:noProof/>
                <w:webHidden/>
              </w:rPr>
              <w:fldChar w:fldCharType="separate"/>
            </w:r>
            <w:r w:rsidR="001669F2">
              <w:rPr>
                <w:noProof/>
                <w:webHidden/>
              </w:rPr>
              <w:t>210</w:t>
            </w:r>
            <w:r w:rsidR="001669F2">
              <w:rPr>
                <w:noProof/>
                <w:webHidden/>
              </w:rPr>
              <w:fldChar w:fldCharType="end"/>
            </w:r>
          </w:hyperlink>
        </w:p>
        <w:p w14:paraId="7DBDC689" w14:textId="77777777" w:rsidR="001669F2" w:rsidRDefault="00663FF6">
          <w:pPr>
            <w:pStyle w:val="Obsah4"/>
            <w:rPr>
              <w:rFonts w:eastAsiaTheme="minorEastAsia"/>
              <w:noProof/>
              <w:lang w:eastAsia="cs-CZ"/>
            </w:rPr>
          </w:pPr>
          <w:hyperlink w:anchor="_Toc525716239" w:history="1">
            <w:r w:rsidR="001669F2" w:rsidRPr="00180F2B">
              <w:rPr>
                <w:rStyle w:val="Hypertextovodkaz"/>
                <w:noProof/>
              </w:rPr>
              <w:t>7.1.7.2</w:t>
            </w:r>
            <w:r w:rsidR="001669F2">
              <w:rPr>
                <w:rFonts w:eastAsiaTheme="minorEastAsia"/>
                <w:noProof/>
                <w:lang w:eastAsia="cs-CZ"/>
              </w:rPr>
              <w:tab/>
            </w:r>
            <w:r w:rsidR="001669F2" w:rsidRPr="00180F2B">
              <w:rPr>
                <w:rStyle w:val="Hypertextovodkaz"/>
                <w:noProof/>
              </w:rPr>
              <w:t>Výzkum ve zdravotnictví</w:t>
            </w:r>
            <w:r w:rsidR="001669F2">
              <w:rPr>
                <w:noProof/>
                <w:webHidden/>
              </w:rPr>
              <w:tab/>
            </w:r>
            <w:r w:rsidR="001669F2">
              <w:rPr>
                <w:noProof/>
                <w:webHidden/>
              </w:rPr>
              <w:fldChar w:fldCharType="begin"/>
            </w:r>
            <w:r w:rsidR="001669F2">
              <w:rPr>
                <w:noProof/>
                <w:webHidden/>
              </w:rPr>
              <w:instrText xml:space="preserve"> PAGEREF _Toc525716239 \h </w:instrText>
            </w:r>
            <w:r w:rsidR="001669F2">
              <w:rPr>
                <w:noProof/>
                <w:webHidden/>
              </w:rPr>
            </w:r>
            <w:r w:rsidR="001669F2">
              <w:rPr>
                <w:noProof/>
                <w:webHidden/>
              </w:rPr>
              <w:fldChar w:fldCharType="separate"/>
            </w:r>
            <w:r w:rsidR="001669F2">
              <w:rPr>
                <w:noProof/>
                <w:webHidden/>
              </w:rPr>
              <w:t>215</w:t>
            </w:r>
            <w:r w:rsidR="001669F2">
              <w:rPr>
                <w:noProof/>
                <w:webHidden/>
              </w:rPr>
              <w:fldChar w:fldCharType="end"/>
            </w:r>
          </w:hyperlink>
        </w:p>
        <w:p w14:paraId="74766ABB" w14:textId="77777777" w:rsidR="001669F2" w:rsidRDefault="00663FF6">
          <w:pPr>
            <w:pStyle w:val="Obsah4"/>
            <w:rPr>
              <w:rFonts w:eastAsiaTheme="minorEastAsia"/>
              <w:noProof/>
              <w:lang w:eastAsia="cs-CZ"/>
            </w:rPr>
          </w:pPr>
          <w:hyperlink w:anchor="_Toc525716240" w:history="1">
            <w:r w:rsidR="001669F2" w:rsidRPr="00180F2B">
              <w:rPr>
                <w:rStyle w:val="Hypertextovodkaz"/>
                <w:noProof/>
              </w:rPr>
              <w:t>7.1.7.3</w:t>
            </w:r>
            <w:r w:rsidR="001669F2">
              <w:rPr>
                <w:rFonts w:eastAsiaTheme="minorEastAsia"/>
                <w:noProof/>
                <w:lang w:eastAsia="cs-CZ"/>
              </w:rPr>
              <w:tab/>
            </w:r>
            <w:r w:rsidR="001669F2" w:rsidRPr="00180F2B">
              <w:rPr>
                <w:rStyle w:val="Hypertextovodkaz"/>
                <w:noProof/>
              </w:rPr>
              <w:t>Bezpečnostní výzkum</w:t>
            </w:r>
            <w:r w:rsidR="001669F2">
              <w:rPr>
                <w:noProof/>
                <w:webHidden/>
              </w:rPr>
              <w:tab/>
            </w:r>
            <w:r w:rsidR="001669F2">
              <w:rPr>
                <w:noProof/>
                <w:webHidden/>
              </w:rPr>
              <w:fldChar w:fldCharType="begin"/>
            </w:r>
            <w:r w:rsidR="001669F2">
              <w:rPr>
                <w:noProof/>
                <w:webHidden/>
              </w:rPr>
              <w:instrText xml:space="preserve"> PAGEREF _Toc525716240 \h </w:instrText>
            </w:r>
            <w:r w:rsidR="001669F2">
              <w:rPr>
                <w:noProof/>
                <w:webHidden/>
              </w:rPr>
            </w:r>
            <w:r w:rsidR="001669F2">
              <w:rPr>
                <w:noProof/>
                <w:webHidden/>
              </w:rPr>
              <w:fldChar w:fldCharType="separate"/>
            </w:r>
            <w:r w:rsidR="001669F2">
              <w:rPr>
                <w:noProof/>
                <w:webHidden/>
              </w:rPr>
              <w:t>216</w:t>
            </w:r>
            <w:r w:rsidR="001669F2">
              <w:rPr>
                <w:noProof/>
                <w:webHidden/>
              </w:rPr>
              <w:fldChar w:fldCharType="end"/>
            </w:r>
          </w:hyperlink>
        </w:p>
        <w:p w14:paraId="7DE97699" w14:textId="77777777" w:rsidR="001669F2" w:rsidRDefault="00663FF6">
          <w:pPr>
            <w:pStyle w:val="Obsah2"/>
            <w:rPr>
              <w:rFonts w:eastAsiaTheme="minorEastAsia"/>
              <w:noProof/>
              <w:lang w:eastAsia="cs-CZ"/>
            </w:rPr>
          </w:pPr>
          <w:hyperlink w:anchor="_Toc525716241" w:history="1">
            <w:r w:rsidR="001669F2" w:rsidRPr="00180F2B">
              <w:rPr>
                <w:rStyle w:val="Hypertextovodkaz"/>
                <w:noProof/>
              </w:rPr>
              <w:t>7.2</w:t>
            </w:r>
            <w:r w:rsidR="001669F2">
              <w:rPr>
                <w:rFonts w:eastAsiaTheme="minorEastAsia"/>
                <w:noProof/>
                <w:lang w:eastAsia="cs-CZ"/>
              </w:rPr>
              <w:tab/>
            </w:r>
            <w:r w:rsidR="001669F2" w:rsidRPr="00180F2B">
              <w:rPr>
                <w:rStyle w:val="Hypertextovodkaz"/>
                <w:noProof/>
              </w:rPr>
              <w:t>Institucionální řízení Národní RIS3 strategie</w:t>
            </w:r>
            <w:r w:rsidR="001669F2">
              <w:rPr>
                <w:noProof/>
                <w:webHidden/>
              </w:rPr>
              <w:tab/>
            </w:r>
            <w:r w:rsidR="001669F2">
              <w:rPr>
                <w:noProof/>
                <w:webHidden/>
              </w:rPr>
              <w:fldChar w:fldCharType="begin"/>
            </w:r>
            <w:r w:rsidR="001669F2">
              <w:rPr>
                <w:noProof/>
                <w:webHidden/>
              </w:rPr>
              <w:instrText xml:space="preserve"> PAGEREF _Toc525716241 \h </w:instrText>
            </w:r>
            <w:r w:rsidR="001669F2">
              <w:rPr>
                <w:noProof/>
                <w:webHidden/>
              </w:rPr>
            </w:r>
            <w:r w:rsidR="001669F2">
              <w:rPr>
                <w:noProof/>
                <w:webHidden/>
              </w:rPr>
              <w:fldChar w:fldCharType="separate"/>
            </w:r>
            <w:r w:rsidR="001669F2">
              <w:rPr>
                <w:noProof/>
                <w:webHidden/>
              </w:rPr>
              <w:t>218</w:t>
            </w:r>
            <w:r w:rsidR="001669F2">
              <w:rPr>
                <w:noProof/>
                <w:webHidden/>
              </w:rPr>
              <w:fldChar w:fldCharType="end"/>
            </w:r>
          </w:hyperlink>
        </w:p>
        <w:p w14:paraId="0077D6BA" w14:textId="77777777" w:rsidR="001669F2" w:rsidRDefault="00663FF6">
          <w:pPr>
            <w:pStyle w:val="Obsah3"/>
            <w:rPr>
              <w:rFonts w:eastAsiaTheme="minorEastAsia"/>
              <w:noProof/>
              <w:lang w:eastAsia="cs-CZ"/>
            </w:rPr>
          </w:pPr>
          <w:hyperlink w:anchor="_Toc525716242" w:history="1">
            <w:r w:rsidR="001669F2" w:rsidRPr="00180F2B">
              <w:rPr>
                <w:rStyle w:val="Hypertextovodkaz"/>
                <w:noProof/>
              </w:rPr>
              <w:t>7.2.1</w:t>
            </w:r>
            <w:r w:rsidR="001669F2">
              <w:rPr>
                <w:rFonts w:eastAsiaTheme="minorEastAsia"/>
                <w:noProof/>
                <w:lang w:eastAsia="cs-CZ"/>
              </w:rPr>
              <w:tab/>
            </w:r>
            <w:r w:rsidR="001669F2" w:rsidRPr="00180F2B">
              <w:rPr>
                <w:rStyle w:val="Hypertextovodkaz"/>
                <w:noProof/>
              </w:rPr>
              <w:t>Rada pro výzkum, vývoj a inovace</w:t>
            </w:r>
            <w:r w:rsidR="001669F2">
              <w:rPr>
                <w:noProof/>
                <w:webHidden/>
              </w:rPr>
              <w:tab/>
            </w:r>
            <w:r w:rsidR="001669F2">
              <w:rPr>
                <w:noProof/>
                <w:webHidden/>
              </w:rPr>
              <w:fldChar w:fldCharType="begin"/>
            </w:r>
            <w:r w:rsidR="001669F2">
              <w:rPr>
                <w:noProof/>
                <w:webHidden/>
              </w:rPr>
              <w:instrText xml:space="preserve"> PAGEREF _Toc525716242 \h </w:instrText>
            </w:r>
            <w:r w:rsidR="001669F2">
              <w:rPr>
                <w:noProof/>
                <w:webHidden/>
              </w:rPr>
            </w:r>
            <w:r w:rsidR="001669F2">
              <w:rPr>
                <w:noProof/>
                <w:webHidden/>
              </w:rPr>
              <w:fldChar w:fldCharType="separate"/>
            </w:r>
            <w:r w:rsidR="001669F2">
              <w:rPr>
                <w:noProof/>
                <w:webHidden/>
              </w:rPr>
              <w:t>218</w:t>
            </w:r>
            <w:r w:rsidR="001669F2">
              <w:rPr>
                <w:noProof/>
                <w:webHidden/>
              </w:rPr>
              <w:fldChar w:fldCharType="end"/>
            </w:r>
          </w:hyperlink>
        </w:p>
        <w:p w14:paraId="10755CE3" w14:textId="77777777" w:rsidR="001669F2" w:rsidRDefault="00663FF6">
          <w:pPr>
            <w:pStyle w:val="Obsah4"/>
            <w:rPr>
              <w:rFonts w:eastAsiaTheme="minorEastAsia"/>
              <w:noProof/>
              <w:lang w:eastAsia="cs-CZ"/>
            </w:rPr>
          </w:pPr>
          <w:hyperlink w:anchor="_Toc525716243" w:history="1">
            <w:r w:rsidR="001669F2" w:rsidRPr="00180F2B">
              <w:rPr>
                <w:rStyle w:val="Hypertextovodkaz"/>
                <w:noProof/>
              </w:rPr>
              <w:t>7.2.1.1</w:t>
            </w:r>
            <w:r w:rsidR="001669F2">
              <w:rPr>
                <w:rFonts w:eastAsiaTheme="minorEastAsia"/>
                <w:noProof/>
                <w:lang w:eastAsia="cs-CZ"/>
              </w:rPr>
              <w:tab/>
            </w:r>
            <w:r w:rsidR="001669F2" w:rsidRPr="00180F2B">
              <w:rPr>
                <w:rStyle w:val="Hypertextovodkaz"/>
                <w:noProof/>
              </w:rPr>
              <w:t>Vztah mezi Národní politikou výzkumu, vývoje a inovací a Národní RIS3 strategií</w:t>
            </w:r>
            <w:r w:rsidR="001669F2">
              <w:rPr>
                <w:noProof/>
                <w:webHidden/>
              </w:rPr>
              <w:tab/>
            </w:r>
            <w:r w:rsidR="001669F2">
              <w:rPr>
                <w:noProof/>
                <w:webHidden/>
              </w:rPr>
              <w:fldChar w:fldCharType="begin"/>
            </w:r>
            <w:r w:rsidR="001669F2">
              <w:rPr>
                <w:noProof/>
                <w:webHidden/>
              </w:rPr>
              <w:instrText xml:space="preserve"> PAGEREF _Toc525716243 \h </w:instrText>
            </w:r>
            <w:r w:rsidR="001669F2">
              <w:rPr>
                <w:noProof/>
                <w:webHidden/>
              </w:rPr>
            </w:r>
            <w:r w:rsidR="001669F2">
              <w:rPr>
                <w:noProof/>
                <w:webHidden/>
              </w:rPr>
              <w:fldChar w:fldCharType="separate"/>
            </w:r>
            <w:r w:rsidR="001669F2">
              <w:rPr>
                <w:noProof/>
                <w:webHidden/>
              </w:rPr>
              <w:t>218</w:t>
            </w:r>
            <w:r w:rsidR="001669F2">
              <w:rPr>
                <w:noProof/>
                <w:webHidden/>
              </w:rPr>
              <w:fldChar w:fldCharType="end"/>
            </w:r>
          </w:hyperlink>
        </w:p>
        <w:p w14:paraId="0179369A" w14:textId="77777777" w:rsidR="001669F2" w:rsidRDefault="00663FF6">
          <w:pPr>
            <w:pStyle w:val="Obsah3"/>
            <w:rPr>
              <w:rFonts w:eastAsiaTheme="minorEastAsia"/>
              <w:noProof/>
              <w:lang w:eastAsia="cs-CZ"/>
            </w:rPr>
          </w:pPr>
          <w:hyperlink w:anchor="_Toc525716244" w:history="1">
            <w:r w:rsidR="001669F2" w:rsidRPr="00180F2B">
              <w:rPr>
                <w:rStyle w:val="Hypertextovodkaz"/>
                <w:noProof/>
              </w:rPr>
              <w:t>7.2.2</w:t>
            </w:r>
            <w:r w:rsidR="001669F2">
              <w:rPr>
                <w:rFonts w:eastAsiaTheme="minorEastAsia"/>
                <w:noProof/>
                <w:lang w:eastAsia="cs-CZ"/>
              </w:rPr>
              <w:tab/>
            </w:r>
            <w:r w:rsidR="001669F2" w:rsidRPr="00180F2B">
              <w:rPr>
                <w:rStyle w:val="Hypertextovodkaz"/>
                <w:noProof/>
              </w:rPr>
              <w:t>Sekce technologií 4.0 Ministerstva průmyslu a obchodu</w:t>
            </w:r>
            <w:r w:rsidR="001669F2">
              <w:rPr>
                <w:noProof/>
                <w:webHidden/>
              </w:rPr>
              <w:tab/>
            </w:r>
            <w:r w:rsidR="001669F2">
              <w:rPr>
                <w:noProof/>
                <w:webHidden/>
              </w:rPr>
              <w:fldChar w:fldCharType="begin"/>
            </w:r>
            <w:r w:rsidR="001669F2">
              <w:rPr>
                <w:noProof/>
                <w:webHidden/>
              </w:rPr>
              <w:instrText xml:space="preserve"> PAGEREF _Toc525716244 \h </w:instrText>
            </w:r>
            <w:r w:rsidR="001669F2">
              <w:rPr>
                <w:noProof/>
                <w:webHidden/>
              </w:rPr>
            </w:r>
            <w:r w:rsidR="001669F2">
              <w:rPr>
                <w:noProof/>
                <w:webHidden/>
              </w:rPr>
              <w:fldChar w:fldCharType="separate"/>
            </w:r>
            <w:r w:rsidR="001669F2">
              <w:rPr>
                <w:noProof/>
                <w:webHidden/>
              </w:rPr>
              <w:t>219</w:t>
            </w:r>
            <w:r w:rsidR="001669F2">
              <w:rPr>
                <w:noProof/>
                <w:webHidden/>
              </w:rPr>
              <w:fldChar w:fldCharType="end"/>
            </w:r>
          </w:hyperlink>
        </w:p>
        <w:p w14:paraId="22307186" w14:textId="77777777" w:rsidR="001669F2" w:rsidRDefault="00663FF6">
          <w:pPr>
            <w:pStyle w:val="Obsah2"/>
            <w:rPr>
              <w:rFonts w:eastAsiaTheme="minorEastAsia"/>
              <w:noProof/>
              <w:lang w:eastAsia="cs-CZ"/>
            </w:rPr>
          </w:pPr>
          <w:hyperlink w:anchor="_Toc525716245" w:history="1">
            <w:r w:rsidR="001669F2" w:rsidRPr="00180F2B">
              <w:rPr>
                <w:rStyle w:val="Hypertextovodkaz"/>
                <w:noProof/>
              </w:rPr>
              <w:t>7.3</w:t>
            </w:r>
            <w:r w:rsidR="001669F2">
              <w:rPr>
                <w:rFonts w:eastAsiaTheme="minorEastAsia"/>
                <w:noProof/>
                <w:lang w:eastAsia="cs-CZ"/>
              </w:rPr>
              <w:tab/>
            </w:r>
            <w:r w:rsidR="001669F2" w:rsidRPr="00180F2B">
              <w:rPr>
                <w:rStyle w:val="Hypertextovodkaz"/>
                <w:noProof/>
              </w:rPr>
              <w:t>Implementační struktury Národní RIS3 strategie včetně krajské úrovně</w:t>
            </w:r>
            <w:r w:rsidR="001669F2">
              <w:rPr>
                <w:noProof/>
                <w:webHidden/>
              </w:rPr>
              <w:tab/>
            </w:r>
            <w:r w:rsidR="001669F2">
              <w:rPr>
                <w:noProof/>
                <w:webHidden/>
              </w:rPr>
              <w:fldChar w:fldCharType="begin"/>
            </w:r>
            <w:r w:rsidR="001669F2">
              <w:rPr>
                <w:noProof/>
                <w:webHidden/>
              </w:rPr>
              <w:instrText xml:space="preserve"> PAGEREF _Toc525716245 \h </w:instrText>
            </w:r>
            <w:r w:rsidR="001669F2">
              <w:rPr>
                <w:noProof/>
                <w:webHidden/>
              </w:rPr>
            </w:r>
            <w:r w:rsidR="001669F2">
              <w:rPr>
                <w:noProof/>
                <w:webHidden/>
              </w:rPr>
              <w:fldChar w:fldCharType="separate"/>
            </w:r>
            <w:r w:rsidR="001669F2">
              <w:rPr>
                <w:noProof/>
                <w:webHidden/>
              </w:rPr>
              <w:t>220</w:t>
            </w:r>
            <w:r w:rsidR="001669F2">
              <w:rPr>
                <w:noProof/>
                <w:webHidden/>
              </w:rPr>
              <w:fldChar w:fldCharType="end"/>
            </w:r>
          </w:hyperlink>
        </w:p>
        <w:p w14:paraId="377FED06" w14:textId="77777777" w:rsidR="001669F2" w:rsidRDefault="00663FF6">
          <w:pPr>
            <w:pStyle w:val="Obsah3"/>
            <w:rPr>
              <w:rFonts w:eastAsiaTheme="minorEastAsia"/>
              <w:noProof/>
              <w:lang w:eastAsia="cs-CZ"/>
            </w:rPr>
          </w:pPr>
          <w:hyperlink w:anchor="_Toc525716246" w:history="1">
            <w:r w:rsidR="001669F2" w:rsidRPr="00180F2B">
              <w:rPr>
                <w:rStyle w:val="Hypertextovodkaz"/>
                <w:noProof/>
              </w:rPr>
              <w:t>7.3.1</w:t>
            </w:r>
            <w:r w:rsidR="001669F2">
              <w:rPr>
                <w:rFonts w:eastAsiaTheme="minorEastAsia"/>
                <w:noProof/>
                <w:lang w:eastAsia="cs-CZ"/>
              </w:rPr>
              <w:tab/>
            </w:r>
            <w:r w:rsidR="001669F2" w:rsidRPr="00180F2B">
              <w:rPr>
                <w:rStyle w:val="Hypertextovodkaz"/>
                <w:noProof/>
              </w:rPr>
              <w:t>Národní úroveň RIS3 strategie</w:t>
            </w:r>
            <w:r w:rsidR="001669F2">
              <w:rPr>
                <w:noProof/>
                <w:webHidden/>
              </w:rPr>
              <w:tab/>
            </w:r>
            <w:r w:rsidR="001669F2">
              <w:rPr>
                <w:noProof/>
                <w:webHidden/>
              </w:rPr>
              <w:fldChar w:fldCharType="begin"/>
            </w:r>
            <w:r w:rsidR="001669F2">
              <w:rPr>
                <w:noProof/>
                <w:webHidden/>
              </w:rPr>
              <w:instrText xml:space="preserve"> PAGEREF _Toc525716246 \h </w:instrText>
            </w:r>
            <w:r w:rsidR="001669F2">
              <w:rPr>
                <w:noProof/>
                <w:webHidden/>
              </w:rPr>
            </w:r>
            <w:r w:rsidR="001669F2">
              <w:rPr>
                <w:noProof/>
                <w:webHidden/>
              </w:rPr>
              <w:fldChar w:fldCharType="separate"/>
            </w:r>
            <w:r w:rsidR="001669F2">
              <w:rPr>
                <w:noProof/>
                <w:webHidden/>
              </w:rPr>
              <w:t>220</w:t>
            </w:r>
            <w:r w:rsidR="001669F2">
              <w:rPr>
                <w:noProof/>
                <w:webHidden/>
              </w:rPr>
              <w:fldChar w:fldCharType="end"/>
            </w:r>
          </w:hyperlink>
        </w:p>
        <w:p w14:paraId="41B4C384" w14:textId="77777777" w:rsidR="001669F2" w:rsidRDefault="00663FF6">
          <w:pPr>
            <w:pStyle w:val="Obsah4"/>
            <w:rPr>
              <w:rFonts w:eastAsiaTheme="minorEastAsia"/>
              <w:noProof/>
              <w:lang w:eastAsia="cs-CZ"/>
            </w:rPr>
          </w:pPr>
          <w:hyperlink w:anchor="_Toc525716247" w:history="1">
            <w:r w:rsidR="001669F2" w:rsidRPr="00180F2B">
              <w:rPr>
                <w:rStyle w:val="Hypertextovodkaz"/>
                <w:noProof/>
              </w:rPr>
              <w:t>7.3.1.1</w:t>
            </w:r>
            <w:r w:rsidR="001669F2">
              <w:rPr>
                <w:rFonts w:eastAsiaTheme="minorEastAsia"/>
                <w:noProof/>
                <w:lang w:eastAsia="cs-CZ"/>
              </w:rPr>
              <w:tab/>
            </w:r>
            <w:r w:rsidR="001669F2" w:rsidRPr="00180F2B">
              <w:rPr>
                <w:rStyle w:val="Hypertextovodkaz"/>
                <w:noProof/>
              </w:rPr>
              <w:t>Řídicí výbor RIS3</w:t>
            </w:r>
            <w:r w:rsidR="001669F2">
              <w:rPr>
                <w:noProof/>
                <w:webHidden/>
              </w:rPr>
              <w:tab/>
            </w:r>
            <w:r w:rsidR="001669F2">
              <w:rPr>
                <w:noProof/>
                <w:webHidden/>
              </w:rPr>
              <w:fldChar w:fldCharType="begin"/>
            </w:r>
            <w:r w:rsidR="001669F2">
              <w:rPr>
                <w:noProof/>
                <w:webHidden/>
              </w:rPr>
              <w:instrText xml:space="preserve"> PAGEREF _Toc525716247 \h </w:instrText>
            </w:r>
            <w:r w:rsidR="001669F2">
              <w:rPr>
                <w:noProof/>
                <w:webHidden/>
              </w:rPr>
            </w:r>
            <w:r w:rsidR="001669F2">
              <w:rPr>
                <w:noProof/>
                <w:webHidden/>
              </w:rPr>
              <w:fldChar w:fldCharType="separate"/>
            </w:r>
            <w:r w:rsidR="001669F2">
              <w:rPr>
                <w:noProof/>
                <w:webHidden/>
              </w:rPr>
              <w:t>220</w:t>
            </w:r>
            <w:r w:rsidR="001669F2">
              <w:rPr>
                <w:noProof/>
                <w:webHidden/>
              </w:rPr>
              <w:fldChar w:fldCharType="end"/>
            </w:r>
          </w:hyperlink>
        </w:p>
        <w:p w14:paraId="4EBD6B9B" w14:textId="77777777" w:rsidR="001669F2" w:rsidRDefault="00663FF6">
          <w:pPr>
            <w:pStyle w:val="Obsah4"/>
            <w:rPr>
              <w:rFonts w:eastAsiaTheme="minorEastAsia"/>
              <w:noProof/>
              <w:lang w:eastAsia="cs-CZ"/>
            </w:rPr>
          </w:pPr>
          <w:hyperlink w:anchor="_Toc525716248" w:history="1">
            <w:r w:rsidR="001669F2" w:rsidRPr="00180F2B">
              <w:rPr>
                <w:rStyle w:val="Hypertextovodkaz"/>
                <w:noProof/>
              </w:rPr>
              <w:t>7.3.1.2</w:t>
            </w:r>
            <w:r w:rsidR="001669F2">
              <w:rPr>
                <w:rFonts w:eastAsiaTheme="minorEastAsia"/>
                <w:noProof/>
                <w:lang w:eastAsia="cs-CZ"/>
              </w:rPr>
              <w:tab/>
            </w:r>
            <w:r w:rsidR="001669F2" w:rsidRPr="00180F2B">
              <w:rPr>
                <w:rStyle w:val="Hypertextovodkaz"/>
                <w:noProof/>
              </w:rPr>
              <w:t>Národní RIS3 manažer</w:t>
            </w:r>
            <w:r w:rsidR="001669F2">
              <w:rPr>
                <w:noProof/>
                <w:webHidden/>
              </w:rPr>
              <w:tab/>
            </w:r>
            <w:r w:rsidR="001669F2">
              <w:rPr>
                <w:noProof/>
                <w:webHidden/>
              </w:rPr>
              <w:fldChar w:fldCharType="begin"/>
            </w:r>
            <w:r w:rsidR="001669F2">
              <w:rPr>
                <w:noProof/>
                <w:webHidden/>
              </w:rPr>
              <w:instrText xml:space="preserve"> PAGEREF _Toc525716248 \h </w:instrText>
            </w:r>
            <w:r w:rsidR="001669F2">
              <w:rPr>
                <w:noProof/>
                <w:webHidden/>
              </w:rPr>
            </w:r>
            <w:r w:rsidR="001669F2">
              <w:rPr>
                <w:noProof/>
                <w:webHidden/>
              </w:rPr>
              <w:fldChar w:fldCharType="separate"/>
            </w:r>
            <w:r w:rsidR="001669F2">
              <w:rPr>
                <w:noProof/>
                <w:webHidden/>
              </w:rPr>
              <w:t>222</w:t>
            </w:r>
            <w:r w:rsidR="001669F2">
              <w:rPr>
                <w:noProof/>
                <w:webHidden/>
              </w:rPr>
              <w:fldChar w:fldCharType="end"/>
            </w:r>
          </w:hyperlink>
        </w:p>
        <w:p w14:paraId="53D5EC2E" w14:textId="77777777" w:rsidR="001669F2" w:rsidRDefault="00663FF6">
          <w:pPr>
            <w:pStyle w:val="Obsah4"/>
            <w:rPr>
              <w:rFonts w:eastAsiaTheme="minorEastAsia"/>
              <w:noProof/>
              <w:lang w:eastAsia="cs-CZ"/>
            </w:rPr>
          </w:pPr>
          <w:hyperlink w:anchor="_Toc525716249" w:history="1">
            <w:r w:rsidR="001669F2" w:rsidRPr="00180F2B">
              <w:rPr>
                <w:rStyle w:val="Hypertextovodkaz"/>
                <w:noProof/>
              </w:rPr>
              <w:t>7.3.1.3</w:t>
            </w:r>
            <w:r w:rsidR="001669F2">
              <w:rPr>
                <w:rFonts w:eastAsiaTheme="minorEastAsia"/>
                <w:noProof/>
                <w:lang w:eastAsia="cs-CZ"/>
              </w:rPr>
              <w:tab/>
            </w:r>
            <w:r w:rsidR="001669F2" w:rsidRPr="00180F2B">
              <w:rPr>
                <w:rStyle w:val="Hypertextovodkaz"/>
                <w:noProof/>
              </w:rPr>
              <w:t>Analytický tým</w:t>
            </w:r>
            <w:r w:rsidR="001669F2">
              <w:rPr>
                <w:noProof/>
                <w:webHidden/>
              </w:rPr>
              <w:tab/>
            </w:r>
            <w:r w:rsidR="001669F2">
              <w:rPr>
                <w:noProof/>
                <w:webHidden/>
              </w:rPr>
              <w:fldChar w:fldCharType="begin"/>
            </w:r>
            <w:r w:rsidR="001669F2">
              <w:rPr>
                <w:noProof/>
                <w:webHidden/>
              </w:rPr>
              <w:instrText xml:space="preserve"> PAGEREF _Toc525716249 \h </w:instrText>
            </w:r>
            <w:r w:rsidR="001669F2">
              <w:rPr>
                <w:noProof/>
                <w:webHidden/>
              </w:rPr>
            </w:r>
            <w:r w:rsidR="001669F2">
              <w:rPr>
                <w:noProof/>
                <w:webHidden/>
              </w:rPr>
              <w:fldChar w:fldCharType="separate"/>
            </w:r>
            <w:r w:rsidR="001669F2">
              <w:rPr>
                <w:noProof/>
                <w:webHidden/>
              </w:rPr>
              <w:t>223</w:t>
            </w:r>
            <w:r w:rsidR="001669F2">
              <w:rPr>
                <w:noProof/>
                <w:webHidden/>
              </w:rPr>
              <w:fldChar w:fldCharType="end"/>
            </w:r>
          </w:hyperlink>
        </w:p>
        <w:p w14:paraId="50D27681" w14:textId="77777777" w:rsidR="001669F2" w:rsidRDefault="00663FF6">
          <w:pPr>
            <w:pStyle w:val="Obsah4"/>
            <w:rPr>
              <w:rFonts w:eastAsiaTheme="minorEastAsia"/>
              <w:noProof/>
              <w:lang w:eastAsia="cs-CZ"/>
            </w:rPr>
          </w:pPr>
          <w:hyperlink w:anchor="_Toc525716250" w:history="1">
            <w:r w:rsidR="001669F2" w:rsidRPr="00180F2B">
              <w:rPr>
                <w:rStyle w:val="Hypertextovodkaz"/>
                <w:noProof/>
              </w:rPr>
              <w:t>7.3.1.4</w:t>
            </w:r>
            <w:r w:rsidR="001669F2">
              <w:rPr>
                <w:rFonts w:eastAsiaTheme="minorEastAsia"/>
                <w:noProof/>
                <w:lang w:eastAsia="cs-CZ"/>
              </w:rPr>
              <w:tab/>
            </w:r>
            <w:r w:rsidR="001669F2" w:rsidRPr="00180F2B">
              <w:rPr>
                <w:rStyle w:val="Hypertextovodkaz"/>
                <w:noProof/>
              </w:rPr>
              <w:t>Národní inovační platformy</w:t>
            </w:r>
            <w:r w:rsidR="001669F2">
              <w:rPr>
                <w:noProof/>
                <w:webHidden/>
              </w:rPr>
              <w:tab/>
            </w:r>
            <w:r w:rsidR="001669F2">
              <w:rPr>
                <w:noProof/>
                <w:webHidden/>
              </w:rPr>
              <w:fldChar w:fldCharType="begin"/>
            </w:r>
            <w:r w:rsidR="001669F2">
              <w:rPr>
                <w:noProof/>
                <w:webHidden/>
              </w:rPr>
              <w:instrText xml:space="preserve"> PAGEREF _Toc525716250 \h </w:instrText>
            </w:r>
            <w:r w:rsidR="001669F2">
              <w:rPr>
                <w:noProof/>
                <w:webHidden/>
              </w:rPr>
            </w:r>
            <w:r w:rsidR="001669F2">
              <w:rPr>
                <w:noProof/>
                <w:webHidden/>
              </w:rPr>
              <w:fldChar w:fldCharType="separate"/>
            </w:r>
            <w:r w:rsidR="001669F2">
              <w:rPr>
                <w:noProof/>
                <w:webHidden/>
              </w:rPr>
              <w:t>223</w:t>
            </w:r>
            <w:r w:rsidR="001669F2">
              <w:rPr>
                <w:noProof/>
                <w:webHidden/>
              </w:rPr>
              <w:fldChar w:fldCharType="end"/>
            </w:r>
          </w:hyperlink>
        </w:p>
        <w:p w14:paraId="35190BE1" w14:textId="77777777" w:rsidR="001669F2" w:rsidRDefault="00663FF6">
          <w:pPr>
            <w:pStyle w:val="Obsah4"/>
            <w:rPr>
              <w:rFonts w:eastAsiaTheme="minorEastAsia"/>
              <w:noProof/>
              <w:lang w:eastAsia="cs-CZ"/>
            </w:rPr>
          </w:pPr>
          <w:hyperlink w:anchor="_Toc525716251" w:history="1">
            <w:r w:rsidR="001669F2" w:rsidRPr="00180F2B">
              <w:rPr>
                <w:rStyle w:val="Hypertextovodkaz"/>
                <w:noProof/>
              </w:rPr>
              <w:t>7.3.1.5</w:t>
            </w:r>
            <w:r w:rsidR="001669F2">
              <w:rPr>
                <w:rFonts w:eastAsiaTheme="minorEastAsia"/>
                <w:noProof/>
                <w:lang w:eastAsia="cs-CZ"/>
              </w:rPr>
              <w:tab/>
            </w:r>
            <w:r w:rsidR="001669F2" w:rsidRPr="00180F2B">
              <w:rPr>
                <w:rStyle w:val="Hypertextovodkaz"/>
                <w:noProof/>
              </w:rPr>
              <w:t>Aktuální stav EDP</w:t>
            </w:r>
            <w:r w:rsidR="001669F2">
              <w:rPr>
                <w:noProof/>
                <w:webHidden/>
              </w:rPr>
              <w:tab/>
            </w:r>
            <w:r w:rsidR="001669F2">
              <w:rPr>
                <w:noProof/>
                <w:webHidden/>
              </w:rPr>
              <w:fldChar w:fldCharType="begin"/>
            </w:r>
            <w:r w:rsidR="001669F2">
              <w:rPr>
                <w:noProof/>
                <w:webHidden/>
              </w:rPr>
              <w:instrText xml:space="preserve"> PAGEREF _Toc525716251 \h </w:instrText>
            </w:r>
            <w:r w:rsidR="001669F2">
              <w:rPr>
                <w:noProof/>
                <w:webHidden/>
              </w:rPr>
            </w:r>
            <w:r w:rsidR="001669F2">
              <w:rPr>
                <w:noProof/>
                <w:webHidden/>
              </w:rPr>
              <w:fldChar w:fldCharType="separate"/>
            </w:r>
            <w:r w:rsidR="001669F2">
              <w:rPr>
                <w:noProof/>
                <w:webHidden/>
              </w:rPr>
              <w:t>225</w:t>
            </w:r>
            <w:r w:rsidR="001669F2">
              <w:rPr>
                <w:noProof/>
                <w:webHidden/>
              </w:rPr>
              <w:fldChar w:fldCharType="end"/>
            </w:r>
          </w:hyperlink>
        </w:p>
        <w:p w14:paraId="1CE9887D" w14:textId="77777777" w:rsidR="001669F2" w:rsidRDefault="00663FF6">
          <w:pPr>
            <w:pStyle w:val="Obsah3"/>
            <w:rPr>
              <w:rFonts w:eastAsiaTheme="minorEastAsia"/>
              <w:noProof/>
              <w:lang w:eastAsia="cs-CZ"/>
            </w:rPr>
          </w:pPr>
          <w:hyperlink w:anchor="_Toc525716252" w:history="1">
            <w:r w:rsidR="001669F2" w:rsidRPr="00180F2B">
              <w:rPr>
                <w:rStyle w:val="Hypertextovodkaz"/>
                <w:noProof/>
              </w:rPr>
              <w:t>7.3.2</w:t>
            </w:r>
            <w:r w:rsidR="001669F2">
              <w:rPr>
                <w:rFonts w:eastAsiaTheme="minorEastAsia"/>
                <w:noProof/>
                <w:lang w:eastAsia="cs-CZ"/>
              </w:rPr>
              <w:tab/>
            </w:r>
            <w:r w:rsidR="001669F2" w:rsidRPr="00180F2B">
              <w:rPr>
                <w:rStyle w:val="Hypertextovodkaz"/>
                <w:noProof/>
              </w:rPr>
              <w:t>Úroveň celonárodních intervencí – operační programy, národní programy podpory a rezortní programy</w:t>
            </w:r>
            <w:r w:rsidR="001669F2">
              <w:rPr>
                <w:noProof/>
                <w:webHidden/>
              </w:rPr>
              <w:tab/>
            </w:r>
            <w:r w:rsidR="001669F2">
              <w:rPr>
                <w:noProof/>
                <w:webHidden/>
              </w:rPr>
              <w:fldChar w:fldCharType="begin"/>
            </w:r>
            <w:r w:rsidR="001669F2">
              <w:rPr>
                <w:noProof/>
                <w:webHidden/>
              </w:rPr>
              <w:instrText xml:space="preserve"> PAGEREF _Toc525716252 \h </w:instrText>
            </w:r>
            <w:r w:rsidR="001669F2">
              <w:rPr>
                <w:noProof/>
                <w:webHidden/>
              </w:rPr>
            </w:r>
            <w:r w:rsidR="001669F2">
              <w:rPr>
                <w:noProof/>
                <w:webHidden/>
              </w:rPr>
              <w:fldChar w:fldCharType="separate"/>
            </w:r>
            <w:r w:rsidR="001669F2">
              <w:rPr>
                <w:noProof/>
                <w:webHidden/>
              </w:rPr>
              <w:t>227</w:t>
            </w:r>
            <w:r w:rsidR="001669F2">
              <w:rPr>
                <w:noProof/>
                <w:webHidden/>
              </w:rPr>
              <w:fldChar w:fldCharType="end"/>
            </w:r>
          </w:hyperlink>
        </w:p>
        <w:p w14:paraId="4625DD68" w14:textId="77777777" w:rsidR="001669F2" w:rsidRDefault="00663FF6">
          <w:pPr>
            <w:pStyle w:val="Obsah3"/>
            <w:rPr>
              <w:rFonts w:eastAsiaTheme="minorEastAsia"/>
              <w:noProof/>
              <w:lang w:eastAsia="cs-CZ"/>
            </w:rPr>
          </w:pPr>
          <w:hyperlink w:anchor="_Toc525716253" w:history="1">
            <w:r w:rsidR="001669F2" w:rsidRPr="00180F2B">
              <w:rPr>
                <w:rStyle w:val="Hypertextovodkaz"/>
                <w:noProof/>
              </w:rPr>
              <w:t>7.3.3</w:t>
            </w:r>
            <w:r w:rsidR="001669F2">
              <w:rPr>
                <w:rFonts w:eastAsiaTheme="minorEastAsia"/>
                <w:noProof/>
                <w:lang w:eastAsia="cs-CZ"/>
              </w:rPr>
              <w:tab/>
            </w:r>
            <w:r w:rsidR="001669F2" w:rsidRPr="00180F2B">
              <w:rPr>
                <w:rStyle w:val="Hypertextovodkaz"/>
                <w:noProof/>
              </w:rPr>
              <w:t>Krajská úroveň</w:t>
            </w:r>
            <w:r w:rsidR="001669F2">
              <w:rPr>
                <w:noProof/>
                <w:webHidden/>
              </w:rPr>
              <w:tab/>
            </w:r>
            <w:r w:rsidR="001669F2">
              <w:rPr>
                <w:noProof/>
                <w:webHidden/>
              </w:rPr>
              <w:fldChar w:fldCharType="begin"/>
            </w:r>
            <w:r w:rsidR="001669F2">
              <w:rPr>
                <w:noProof/>
                <w:webHidden/>
              </w:rPr>
              <w:instrText xml:space="preserve"> PAGEREF _Toc525716253 \h </w:instrText>
            </w:r>
            <w:r w:rsidR="001669F2">
              <w:rPr>
                <w:noProof/>
                <w:webHidden/>
              </w:rPr>
            </w:r>
            <w:r w:rsidR="001669F2">
              <w:rPr>
                <w:noProof/>
                <w:webHidden/>
              </w:rPr>
              <w:fldChar w:fldCharType="separate"/>
            </w:r>
            <w:r w:rsidR="001669F2">
              <w:rPr>
                <w:noProof/>
                <w:webHidden/>
              </w:rPr>
              <w:t>227</w:t>
            </w:r>
            <w:r w:rsidR="001669F2">
              <w:rPr>
                <w:noProof/>
                <w:webHidden/>
              </w:rPr>
              <w:fldChar w:fldCharType="end"/>
            </w:r>
          </w:hyperlink>
        </w:p>
        <w:p w14:paraId="35ABA8E3" w14:textId="77777777" w:rsidR="001669F2" w:rsidRDefault="00663FF6">
          <w:pPr>
            <w:pStyle w:val="Obsah4"/>
            <w:rPr>
              <w:rFonts w:eastAsiaTheme="minorEastAsia"/>
              <w:noProof/>
              <w:lang w:eastAsia="cs-CZ"/>
            </w:rPr>
          </w:pPr>
          <w:hyperlink w:anchor="_Toc525716254" w:history="1">
            <w:r w:rsidR="001669F2" w:rsidRPr="00180F2B">
              <w:rPr>
                <w:rStyle w:val="Hypertextovodkaz"/>
                <w:noProof/>
              </w:rPr>
              <w:t>7.3.3.1</w:t>
            </w:r>
            <w:r w:rsidR="001669F2">
              <w:rPr>
                <w:rFonts w:eastAsiaTheme="minorEastAsia"/>
                <w:noProof/>
                <w:lang w:eastAsia="cs-CZ"/>
              </w:rPr>
              <w:tab/>
            </w:r>
            <w:r w:rsidR="001669F2" w:rsidRPr="00180F2B">
              <w:rPr>
                <w:rStyle w:val="Hypertextovodkaz"/>
                <w:noProof/>
              </w:rPr>
              <w:t>Krajské rady pro inovace</w:t>
            </w:r>
            <w:r w:rsidR="001669F2">
              <w:rPr>
                <w:noProof/>
                <w:webHidden/>
              </w:rPr>
              <w:tab/>
            </w:r>
            <w:r w:rsidR="001669F2">
              <w:rPr>
                <w:noProof/>
                <w:webHidden/>
              </w:rPr>
              <w:fldChar w:fldCharType="begin"/>
            </w:r>
            <w:r w:rsidR="001669F2">
              <w:rPr>
                <w:noProof/>
                <w:webHidden/>
              </w:rPr>
              <w:instrText xml:space="preserve"> PAGEREF _Toc525716254 \h </w:instrText>
            </w:r>
            <w:r w:rsidR="001669F2">
              <w:rPr>
                <w:noProof/>
                <w:webHidden/>
              </w:rPr>
            </w:r>
            <w:r w:rsidR="001669F2">
              <w:rPr>
                <w:noProof/>
                <w:webHidden/>
              </w:rPr>
              <w:fldChar w:fldCharType="separate"/>
            </w:r>
            <w:r w:rsidR="001669F2">
              <w:rPr>
                <w:noProof/>
                <w:webHidden/>
              </w:rPr>
              <w:t>228</w:t>
            </w:r>
            <w:r w:rsidR="001669F2">
              <w:rPr>
                <w:noProof/>
                <w:webHidden/>
              </w:rPr>
              <w:fldChar w:fldCharType="end"/>
            </w:r>
          </w:hyperlink>
        </w:p>
        <w:p w14:paraId="157AD898" w14:textId="77777777" w:rsidR="001669F2" w:rsidRDefault="00663FF6">
          <w:pPr>
            <w:pStyle w:val="Obsah4"/>
            <w:rPr>
              <w:rFonts w:eastAsiaTheme="minorEastAsia"/>
              <w:noProof/>
              <w:lang w:eastAsia="cs-CZ"/>
            </w:rPr>
          </w:pPr>
          <w:hyperlink w:anchor="_Toc525716255" w:history="1">
            <w:r w:rsidR="001669F2" w:rsidRPr="00180F2B">
              <w:rPr>
                <w:rStyle w:val="Hypertextovodkaz"/>
                <w:noProof/>
              </w:rPr>
              <w:t>7.3.3.2</w:t>
            </w:r>
            <w:r w:rsidR="001669F2">
              <w:rPr>
                <w:rFonts w:eastAsiaTheme="minorEastAsia"/>
                <w:noProof/>
                <w:lang w:eastAsia="cs-CZ"/>
              </w:rPr>
              <w:tab/>
            </w:r>
            <w:r w:rsidR="001669F2" w:rsidRPr="00180F2B">
              <w:rPr>
                <w:rStyle w:val="Hypertextovodkaz"/>
                <w:noProof/>
              </w:rPr>
              <w:t>Krajské inovační platformy – krajsky specifický EDP</w:t>
            </w:r>
            <w:r w:rsidR="001669F2">
              <w:rPr>
                <w:noProof/>
                <w:webHidden/>
              </w:rPr>
              <w:tab/>
            </w:r>
            <w:r w:rsidR="001669F2">
              <w:rPr>
                <w:noProof/>
                <w:webHidden/>
              </w:rPr>
              <w:fldChar w:fldCharType="begin"/>
            </w:r>
            <w:r w:rsidR="001669F2">
              <w:rPr>
                <w:noProof/>
                <w:webHidden/>
              </w:rPr>
              <w:instrText xml:space="preserve"> PAGEREF _Toc525716255 \h </w:instrText>
            </w:r>
            <w:r w:rsidR="001669F2">
              <w:rPr>
                <w:noProof/>
                <w:webHidden/>
              </w:rPr>
            </w:r>
            <w:r w:rsidR="001669F2">
              <w:rPr>
                <w:noProof/>
                <w:webHidden/>
              </w:rPr>
              <w:fldChar w:fldCharType="separate"/>
            </w:r>
            <w:r w:rsidR="001669F2">
              <w:rPr>
                <w:noProof/>
                <w:webHidden/>
              </w:rPr>
              <w:t>228</w:t>
            </w:r>
            <w:r w:rsidR="001669F2">
              <w:rPr>
                <w:noProof/>
                <w:webHidden/>
              </w:rPr>
              <w:fldChar w:fldCharType="end"/>
            </w:r>
          </w:hyperlink>
        </w:p>
        <w:p w14:paraId="24D407AD" w14:textId="77777777" w:rsidR="001669F2" w:rsidRDefault="00663FF6">
          <w:pPr>
            <w:pStyle w:val="Obsah4"/>
            <w:rPr>
              <w:rFonts w:eastAsiaTheme="minorEastAsia"/>
              <w:noProof/>
              <w:lang w:eastAsia="cs-CZ"/>
            </w:rPr>
          </w:pPr>
          <w:hyperlink w:anchor="_Toc525716256" w:history="1">
            <w:r w:rsidR="001669F2" w:rsidRPr="00180F2B">
              <w:rPr>
                <w:rStyle w:val="Hypertextovodkaz"/>
                <w:noProof/>
              </w:rPr>
              <w:t>7.3.3.3</w:t>
            </w:r>
            <w:r w:rsidR="001669F2">
              <w:rPr>
                <w:rFonts w:eastAsiaTheme="minorEastAsia"/>
                <w:noProof/>
                <w:lang w:eastAsia="cs-CZ"/>
              </w:rPr>
              <w:tab/>
            </w:r>
            <w:r w:rsidR="001669F2" w:rsidRPr="00180F2B">
              <w:rPr>
                <w:rStyle w:val="Hypertextovodkaz"/>
                <w:noProof/>
              </w:rPr>
              <w:t>Krajská samospráva</w:t>
            </w:r>
            <w:r w:rsidR="001669F2">
              <w:rPr>
                <w:noProof/>
                <w:webHidden/>
              </w:rPr>
              <w:tab/>
            </w:r>
            <w:r w:rsidR="001669F2">
              <w:rPr>
                <w:noProof/>
                <w:webHidden/>
              </w:rPr>
              <w:fldChar w:fldCharType="begin"/>
            </w:r>
            <w:r w:rsidR="001669F2">
              <w:rPr>
                <w:noProof/>
                <w:webHidden/>
              </w:rPr>
              <w:instrText xml:space="preserve"> PAGEREF _Toc525716256 \h </w:instrText>
            </w:r>
            <w:r w:rsidR="001669F2">
              <w:rPr>
                <w:noProof/>
                <w:webHidden/>
              </w:rPr>
            </w:r>
            <w:r w:rsidR="001669F2">
              <w:rPr>
                <w:noProof/>
                <w:webHidden/>
              </w:rPr>
              <w:fldChar w:fldCharType="separate"/>
            </w:r>
            <w:r w:rsidR="001669F2">
              <w:rPr>
                <w:noProof/>
                <w:webHidden/>
              </w:rPr>
              <w:t>232</w:t>
            </w:r>
            <w:r w:rsidR="001669F2">
              <w:rPr>
                <w:noProof/>
                <w:webHidden/>
              </w:rPr>
              <w:fldChar w:fldCharType="end"/>
            </w:r>
          </w:hyperlink>
        </w:p>
        <w:p w14:paraId="7537441F" w14:textId="77777777" w:rsidR="001669F2" w:rsidRDefault="00663FF6">
          <w:pPr>
            <w:pStyle w:val="Obsah4"/>
            <w:rPr>
              <w:rFonts w:eastAsiaTheme="minorEastAsia"/>
              <w:noProof/>
              <w:lang w:eastAsia="cs-CZ"/>
            </w:rPr>
          </w:pPr>
          <w:hyperlink w:anchor="_Toc525716257" w:history="1">
            <w:r w:rsidR="001669F2" w:rsidRPr="00180F2B">
              <w:rPr>
                <w:rStyle w:val="Hypertextovodkaz"/>
                <w:noProof/>
              </w:rPr>
              <w:t>7.3.3.4</w:t>
            </w:r>
            <w:r w:rsidR="001669F2">
              <w:rPr>
                <w:rFonts w:eastAsiaTheme="minorEastAsia"/>
                <w:noProof/>
                <w:lang w:eastAsia="cs-CZ"/>
              </w:rPr>
              <w:tab/>
            </w:r>
            <w:r w:rsidR="001669F2" w:rsidRPr="00180F2B">
              <w:rPr>
                <w:rStyle w:val="Hypertextovodkaz"/>
                <w:noProof/>
              </w:rPr>
              <w:t>Krajský RIS3 manažer</w:t>
            </w:r>
            <w:r w:rsidR="001669F2">
              <w:rPr>
                <w:noProof/>
                <w:webHidden/>
              </w:rPr>
              <w:tab/>
            </w:r>
            <w:r w:rsidR="001669F2">
              <w:rPr>
                <w:noProof/>
                <w:webHidden/>
              </w:rPr>
              <w:fldChar w:fldCharType="begin"/>
            </w:r>
            <w:r w:rsidR="001669F2">
              <w:rPr>
                <w:noProof/>
                <w:webHidden/>
              </w:rPr>
              <w:instrText xml:space="preserve"> PAGEREF _Toc525716257 \h </w:instrText>
            </w:r>
            <w:r w:rsidR="001669F2">
              <w:rPr>
                <w:noProof/>
                <w:webHidden/>
              </w:rPr>
            </w:r>
            <w:r w:rsidR="001669F2">
              <w:rPr>
                <w:noProof/>
                <w:webHidden/>
              </w:rPr>
              <w:fldChar w:fldCharType="separate"/>
            </w:r>
            <w:r w:rsidR="001669F2">
              <w:rPr>
                <w:noProof/>
                <w:webHidden/>
              </w:rPr>
              <w:t>232</w:t>
            </w:r>
            <w:r w:rsidR="001669F2">
              <w:rPr>
                <w:noProof/>
                <w:webHidden/>
              </w:rPr>
              <w:fldChar w:fldCharType="end"/>
            </w:r>
          </w:hyperlink>
        </w:p>
        <w:p w14:paraId="643D5604" w14:textId="77777777" w:rsidR="001669F2" w:rsidRDefault="00663FF6">
          <w:pPr>
            <w:pStyle w:val="Obsah4"/>
            <w:rPr>
              <w:rFonts w:eastAsiaTheme="minorEastAsia"/>
              <w:noProof/>
              <w:lang w:eastAsia="cs-CZ"/>
            </w:rPr>
          </w:pPr>
          <w:hyperlink w:anchor="_Toc525716258" w:history="1">
            <w:r w:rsidR="001669F2" w:rsidRPr="00180F2B">
              <w:rPr>
                <w:rStyle w:val="Hypertextovodkaz"/>
                <w:noProof/>
              </w:rPr>
              <w:t>7.3.3.5</w:t>
            </w:r>
            <w:r w:rsidR="001669F2">
              <w:rPr>
                <w:rFonts w:eastAsiaTheme="minorEastAsia"/>
                <w:noProof/>
                <w:lang w:eastAsia="cs-CZ"/>
              </w:rPr>
              <w:tab/>
            </w:r>
            <w:r w:rsidR="001669F2" w:rsidRPr="00180F2B">
              <w:rPr>
                <w:rStyle w:val="Hypertextovodkaz"/>
                <w:noProof/>
              </w:rPr>
              <w:t>Krajský RIS3 koordinátor</w:t>
            </w:r>
            <w:r w:rsidR="001669F2">
              <w:rPr>
                <w:noProof/>
                <w:webHidden/>
              </w:rPr>
              <w:tab/>
            </w:r>
            <w:r w:rsidR="001669F2">
              <w:rPr>
                <w:noProof/>
                <w:webHidden/>
              </w:rPr>
              <w:fldChar w:fldCharType="begin"/>
            </w:r>
            <w:r w:rsidR="001669F2">
              <w:rPr>
                <w:noProof/>
                <w:webHidden/>
              </w:rPr>
              <w:instrText xml:space="preserve"> PAGEREF _Toc525716258 \h </w:instrText>
            </w:r>
            <w:r w:rsidR="001669F2">
              <w:rPr>
                <w:noProof/>
                <w:webHidden/>
              </w:rPr>
            </w:r>
            <w:r w:rsidR="001669F2">
              <w:rPr>
                <w:noProof/>
                <w:webHidden/>
              </w:rPr>
              <w:fldChar w:fldCharType="separate"/>
            </w:r>
            <w:r w:rsidR="001669F2">
              <w:rPr>
                <w:noProof/>
                <w:webHidden/>
              </w:rPr>
              <w:t>232</w:t>
            </w:r>
            <w:r w:rsidR="001669F2">
              <w:rPr>
                <w:noProof/>
                <w:webHidden/>
              </w:rPr>
              <w:fldChar w:fldCharType="end"/>
            </w:r>
          </w:hyperlink>
        </w:p>
        <w:p w14:paraId="2019C1EE" w14:textId="77777777" w:rsidR="001669F2" w:rsidRDefault="00663FF6">
          <w:pPr>
            <w:pStyle w:val="Obsah4"/>
            <w:rPr>
              <w:rFonts w:eastAsiaTheme="minorEastAsia"/>
              <w:noProof/>
              <w:lang w:eastAsia="cs-CZ"/>
            </w:rPr>
          </w:pPr>
          <w:hyperlink w:anchor="_Toc525716259" w:history="1">
            <w:r w:rsidR="001669F2" w:rsidRPr="00180F2B">
              <w:rPr>
                <w:rStyle w:val="Hypertextovodkaz"/>
                <w:noProof/>
              </w:rPr>
              <w:t>7.3.3.6</w:t>
            </w:r>
            <w:r w:rsidR="001669F2">
              <w:rPr>
                <w:rFonts w:eastAsiaTheme="minorEastAsia"/>
                <w:noProof/>
                <w:lang w:eastAsia="cs-CZ"/>
              </w:rPr>
              <w:tab/>
            </w:r>
            <w:r w:rsidR="001669F2" w:rsidRPr="00180F2B">
              <w:rPr>
                <w:rStyle w:val="Hypertextovodkaz"/>
                <w:noProof/>
              </w:rPr>
              <w:t>Krajské přílohy Národní RIS3 strategie</w:t>
            </w:r>
            <w:r w:rsidR="001669F2">
              <w:rPr>
                <w:noProof/>
                <w:webHidden/>
              </w:rPr>
              <w:tab/>
            </w:r>
            <w:r w:rsidR="001669F2">
              <w:rPr>
                <w:noProof/>
                <w:webHidden/>
              </w:rPr>
              <w:fldChar w:fldCharType="begin"/>
            </w:r>
            <w:r w:rsidR="001669F2">
              <w:rPr>
                <w:noProof/>
                <w:webHidden/>
              </w:rPr>
              <w:instrText xml:space="preserve"> PAGEREF _Toc525716259 \h </w:instrText>
            </w:r>
            <w:r w:rsidR="001669F2">
              <w:rPr>
                <w:noProof/>
                <w:webHidden/>
              </w:rPr>
            </w:r>
            <w:r w:rsidR="001669F2">
              <w:rPr>
                <w:noProof/>
                <w:webHidden/>
              </w:rPr>
              <w:fldChar w:fldCharType="separate"/>
            </w:r>
            <w:r w:rsidR="001669F2">
              <w:rPr>
                <w:noProof/>
                <w:webHidden/>
              </w:rPr>
              <w:t>233</w:t>
            </w:r>
            <w:r w:rsidR="001669F2">
              <w:rPr>
                <w:noProof/>
                <w:webHidden/>
              </w:rPr>
              <w:fldChar w:fldCharType="end"/>
            </w:r>
          </w:hyperlink>
        </w:p>
        <w:p w14:paraId="17317F36" w14:textId="77777777" w:rsidR="001669F2" w:rsidRDefault="00663FF6">
          <w:pPr>
            <w:pStyle w:val="Obsah4"/>
            <w:rPr>
              <w:rFonts w:eastAsiaTheme="minorEastAsia"/>
              <w:noProof/>
              <w:lang w:eastAsia="cs-CZ"/>
            </w:rPr>
          </w:pPr>
          <w:hyperlink w:anchor="_Toc525716260" w:history="1">
            <w:r w:rsidR="001669F2" w:rsidRPr="00180F2B">
              <w:rPr>
                <w:rStyle w:val="Hypertextovodkaz"/>
                <w:noProof/>
              </w:rPr>
              <w:t>7.3.3.7</w:t>
            </w:r>
            <w:r w:rsidR="001669F2">
              <w:rPr>
                <w:rFonts w:eastAsiaTheme="minorEastAsia"/>
                <w:noProof/>
                <w:lang w:eastAsia="cs-CZ"/>
              </w:rPr>
              <w:tab/>
            </w:r>
            <w:r w:rsidR="001669F2" w:rsidRPr="00180F2B">
              <w:rPr>
                <w:rStyle w:val="Hypertextovodkaz"/>
                <w:noProof/>
              </w:rPr>
              <w:t>Smart Akcelerátor – nástroj pro rozvoj krajských inovačních systémů</w:t>
            </w:r>
            <w:r w:rsidR="001669F2">
              <w:rPr>
                <w:noProof/>
                <w:webHidden/>
              </w:rPr>
              <w:tab/>
            </w:r>
            <w:r w:rsidR="001669F2">
              <w:rPr>
                <w:noProof/>
                <w:webHidden/>
              </w:rPr>
              <w:fldChar w:fldCharType="begin"/>
            </w:r>
            <w:r w:rsidR="001669F2">
              <w:rPr>
                <w:noProof/>
                <w:webHidden/>
              </w:rPr>
              <w:instrText xml:space="preserve"> PAGEREF _Toc525716260 \h </w:instrText>
            </w:r>
            <w:r w:rsidR="001669F2">
              <w:rPr>
                <w:noProof/>
                <w:webHidden/>
              </w:rPr>
            </w:r>
            <w:r w:rsidR="001669F2">
              <w:rPr>
                <w:noProof/>
                <w:webHidden/>
              </w:rPr>
              <w:fldChar w:fldCharType="separate"/>
            </w:r>
            <w:r w:rsidR="001669F2">
              <w:rPr>
                <w:noProof/>
                <w:webHidden/>
              </w:rPr>
              <w:t>233</w:t>
            </w:r>
            <w:r w:rsidR="001669F2">
              <w:rPr>
                <w:noProof/>
                <w:webHidden/>
              </w:rPr>
              <w:fldChar w:fldCharType="end"/>
            </w:r>
          </w:hyperlink>
        </w:p>
        <w:p w14:paraId="60E9F37C" w14:textId="77777777" w:rsidR="001669F2" w:rsidRDefault="00663FF6">
          <w:pPr>
            <w:pStyle w:val="Obsah2"/>
            <w:rPr>
              <w:rFonts w:eastAsiaTheme="minorEastAsia"/>
              <w:noProof/>
              <w:lang w:eastAsia="cs-CZ"/>
            </w:rPr>
          </w:pPr>
          <w:hyperlink w:anchor="_Toc525716261" w:history="1">
            <w:r w:rsidR="001669F2" w:rsidRPr="00180F2B">
              <w:rPr>
                <w:rStyle w:val="Hypertextovodkaz"/>
                <w:noProof/>
              </w:rPr>
              <w:t>7.4</w:t>
            </w:r>
            <w:r w:rsidR="001669F2">
              <w:rPr>
                <w:rFonts w:eastAsiaTheme="minorEastAsia"/>
                <w:noProof/>
                <w:lang w:eastAsia="cs-CZ"/>
              </w:rPr>
              <w:tab/>
            </w:r>
            <w:r w:rsidR="001669F2" w:rsidRPr="00180F2B">
              <w:rPr>
                <w:rStyle w:val="Hypertextovodkaz"/>
                <w:noProof/>
              </w:rPr>
              <w:t>Monitoring, evaluace a aktualizace Národní RIS3 strategie</w:t>
            </w:r>
            <w:r w:rsidR="001669F2">
              <w:rPr>
                <w:noProof/>
                <w:webHidden/>
              </w:rPr>
              <w:tab/>
            </w:r>
            <w:r w:rsidR="001669F2">
              <w:rPr>
                <w:noProof/>
                <w:webHidden/>
              </w:rPr>
              <w:fldChar w:fldCharType="begin"/>
            </w:r>
            <w:r w:rsidR="001669F2">
              <w:rPr>
                <w:noProof/>
                <w:webHidden/>
              </w:rPr>
              <w:instrText xml:space="preserve"> PAGEREF _Toc525716261 \h </w:instrText>
            </w:r>
            <w:r w:rsidR="001669F2">
              <w:rPr>
                <w:noProof/>
                <w:webHidden/>
              </w:rPr>
            </w:r>
            <w:r w:rsidR="001669F2">
              <w:rPr>
                <w:noProof/>
                <w:webHidden/>
              </w:rPr>
              <w:fldChar w:fldCharType="separate"/>
            </w:r>
            <w:r w:rsidR="001669F2">
              <w:rPr>
                <w:noProof/>
                <w:webHidden/>
              </w:rPr>
              <w:t>235</w:t>
            </w:r>
            <w:r w:rsidR="001669F2">
              <w:rPr>
                <w:noProof/>
                <w:webHidden/>
              </w:rPr>
              <w:fldChar w:fldCharType="end"/>
            </w:r>
          </w:hyperlink>
        </w:p>
        <w:p w14:paraId="0A2ED715" w14:textId="77777777" w:rsidR="001669F2" w:rsidRDefault="00663FF6">
          <w:pPr>
            <w:pStyle w:val="Obsah3"/>
            <w:rPr>
              <w:rFonts w:eastAsiaTheme="minorEastAsia"/>
              <w:noProof/>
              <w:lang w:eastAsia="cs-CZ"/>
            </w:rPr>
          </w:pPr>
          <w:hyperlink w:anchor="_Toc525716262" w:history="1">
            <w:r w:rsidR="001669F2" w:rsidRPr="00180F2B">
              <w:rPr>
                <w:rStyle w:val="Hypertextovodkaz"/>
                <w:noProof/>
              </w:rPr>
              <w:t>7.4.1</w:t>
            </w:r>
            <w:r w:rsidR="001669F2">
              <w:rPr>
                <w:rFonts w:eastAsiaTheme="minorEastAsia"/>
                <w:noProof/>
                <w:lang w:eastAsia="cs-CZ"/>
              </w:rPr>
              <w:tab/>
            </w:r>
            <w:r w:rsidR="001669F2" w:rsidRPr="00180F2B">
              <w:rPr>
                <w:rStyle w:val="Hypertextovodkaz"/>
                <w:noProof/>
              </w:rPr>
              <w:t>Monitoring Národní RIS3 strategie</w:t>
            </w:r>
            <w:r w:rsidR="001669F2">
              <w:rPr>
                <w:noProof/>
                <w:webHidden/>
              </w:rPr>
              <w:tab/>
            </w:r>
            <w:r w:rsidR="001669F2">
              <w:rPr>
                <w:noProof/>
                <w:webHidden/>
              </w:rPr>
              <w:fldChar w:fldCharType="begin"/>
            </w:r>
            <w:r w:rsidR="001669F2">
              <w:rPr>
                <w:noProof/>
                <w:webHidden/>
              </w:rPr>
              <w:instrText xml:space="preserve"> PAGEREF _Toc525716262 \h </w:instrText>
            </w:r>
            <w:r w:rsidR="001669F2">
              <w:rPr>
                <w:noProof/>
                <w:webHidden/>
              </w:rPr>
            </w:r>
            <w:r w:rsidR="001669F2">
              <w:rPr>
                <w:noProof/>
                <w:webHidden/>
              </w:rPr>
              <w:fldChar w:fldCharType="separate"/>
            </w:r>
            <w:r w:rsidR="001669F2">
              <w:rPr>
                <w:noProof/>
                <w:webHidden/>
              </w:rPr>
              <w:t>235</w:t>
            </w:r>
            <w:r w:rsidR="001669F2">
              <w:rPr>
                <w:noProof/>
                <w:webHidden/>
              </w:rPr>
              <w:fldChar w:fldCharType="end"/>
            </w:r>
          </w:hyperlink>
        </w:p>
        <w:p w14:paraId="41FDFDD8" w14:textId="77777777" w:rsidR="001669F2" w:rsidRDefault="00663FF6">
          <w:pPr>
            <w:pStyle w:val="Obsah4"/>
            <w:rPr>
              <w:rFonts w:eastAsiaTheme="minorEastAsia"/>
              <w:noProof/>
              <w:lang w:eastAsia="cs-CZ"/>
            </w:rPr>
          </w:pPr>
          <w:hyperlink w:anchor="_Toc525716263" w:history="1">
            <w:r w:rsidR="001669F2" w:rsidRPr="00180F2B">
              <w:rPr>
                <w:rStyle w:val="Hypertextovodkaz"/>
                <w:noProof/>
              </w:rPr>
              <w:t>7.4.1.1</w:t>
            </w:r>
            <w:r w:rsidR="001669F2">
              <w:rPr>
                <w:rFonts w:eastAsiaTheme="minorEastAsia"/>
                <w:noProof/>
                <w:lang w:eastAsia="cs-CZ"/>
              </w:rPr>
              <w:tab/>
            </w:r>
            <w:r w:rsidR="001669F2" w:rsidRPr="00180F2B">
              <w:rPr>
                <w:rStyle w:val="Hypertextovodkaz"/>
                <w:noProof/>
              </w:rPr>
              <w:t>Součinnost správních úřadů při monitoringu Národní RIS3 strategie</w:t>
            </w:r>
            <w:r w:rsidR="001669F2">
              <w:rPr>
                <w:noProof/>
                <w:webHidden/>
              </w:rPr>
              <w:tab/>
            </w:r>
            <w:r w:rsidR="001669F2">
              <w:rPr>
                <w:noProof/>
                <w:webHidden/>
              </w:rPr>
              <w:fldChar w:fldCharType="begin"/>
            </w:r>
            <w:r w:rsidR="001669F2">
              <w:rPr>
                <w:noProof/>
                <w:webHidden/>
              </w:rPr>
              <w:instrText xml:space="preserve"> PAGEREF _Toc525716263 \h </w:instrText>
            </w:r>
            <w:r w:rsidR="001669F2">
              <w:rPr>
                <w:noProof/>
                <w:webHidden/>
              </w:rPr>
            </w:r>
            <w:r w:rsidR="001669F2">
              <w:rPr>
                <w:noProof/>
                <w:webHidden/>
              </w:rPr>
              <w:fldChar w:fldCharType="separate"/>
            </w:r>
            <w:r w:rsidR="001669F2">
              <w:rPr>
                <w:noProof/>
                <w:webHidden/>
              </w:rPr>
              <w:t>237</w:t>
            </w:r>
            <w:r w:rsidR="001669F2">
              <w:rPr>
                <w:noProof/>
                <w:webHidden/>
              </w:rPr>
              <w:fldChar w:fldCharType="end"/>
            </w:r>
          </w:hyperlink>
        </w:p>
        <w:p w14:paraId="480030AB" w14:textId="77777777" w:rsidR="001669F2" w:rsidRDefault="00663FF6">
          <w:pPr>
            <w:pStyle w:val="Obsah4"/>
            <w:rPr>
              <w:rFonts w:eastAsiaTheme="minorEastAsia"/>
              <w:noProof/>
              <w:lang w:eastAsia="cs-CZ"/>
            </w:rPr>
          </w:pPr>
          <w:hyperlink w:anchor="_Toc525716264" w:history="1">
            <w:r w:rsidR="001669F2" w:rsidRPr="00180F2B">
              <w:rPr>
                <w:rStyle w:val="Hypertextovodkaz"/>
                <w:noProof/>
              </w:rPr>
              <w:t>7.4.1.2</w:t>
            </w:r>
            <w:r w:rsidR="001669F2">
              <w:rPr>
                <w:rFonts w:eastAsiaTheme="minorEastAsia"/>
                <w:noProof/>
                <w:lang w:eastAsia="cs-CZ"/>
              </w:rPr>
              <w:tab/>
            </w:r>
            <w:r w:rsidR="001669F2" w:rsidRPr="00180F2B">
              <w:rPr>
                <w:rStyle w:val="Hypertextovodkaz"/>
                <w:noProof/>
              </w:rPr>
              <w:t>Základní údaje o databázi Národní RIS3 strategie</w:t>
            </w:r>
            <w:r w:rsidR="001669F2">
              <w:rPr>
                <w:noProof/>
                <w:webHidden/>
              </w:rPr>
              <w:tab/>
            </w:r>
            <w:r w:rsidR="001669F2">
              <w:rPr>
                <w:noProof/>
                <w:webHidden/>
              </w:rPr>
              <w:fldChar w:fldCharType="begin"/>
            </w:r>
            <w:r w:rsidR="001669F2">
              <w:rPr>
                <w:noProof/>
                <w:webHidden/>
              </w:rPr>
              <w:instrText xml:space="preserve"> PAGEREF _Toc525716264 \h </w:instrText>
            </w:r>
            <w:r w:rsidR="001669F2">
              <w:rPr>
                <w:noProof/>
                <w:webHidden/>
              </w:rPr>
            </w:r>
            <w:r w:rsidR="001669F2">
              <w:rPr>
                <w:noProof/>
                <w:webHidden/>
              </w:rPr>
              <w:fldChar w:fldCharType="separate"/>
            </w:r>
            <w:r w:rsidR="001669F2">
              <w:rPr>
                <w:noProof/>
                <w:webHidden/>
              </w:rPr>
              <w:t>238</w:t>
            </w:r>
            <w:r w:rsidR="001669F2">
              <w:rPr>
                <w:noProof/>
                <w:webHidden/>
              </w:rPr>
              <w:fldChar w:fldCharType="end"/>
            </w:r>
          </w:hyperlink>
        </w:p>
        <w:p w14:paraId="4A57EADC" w14:textId="77777777" w:rsidR="001669F2" w:rsidRDefault="00663FF6">
          <w:pPr>
            <w:pStyle w:val="Obsah4"/>
            <w:rPr>
              <w:rFonts w:eastAsiaTheme="minorEastAsia"/>
              <w:noProof/>
              <w:lang w:eastAsia="cs-CZ"/>
            </w:rPr>
          </w:pPr>
          <w:hyperlink w:anchor="_Toc525716265" w:history="1">
            <w:r w:rsidR="001669F2" w:rsidRPr="00180F2B">
              <w:rPr>
                <w:rStyle w:val="Hypertextovodkaz"/>
                <w:noProof/>
              </w:rPr>
              <w:t>7.4.1.3</w:t>
            </w:r>
            <w:r w:rsidR="001669F2">
              <w:rPr>
                <w:rFonts w:eastAsiaTheme="minorEastAsia"/>
                <w:noProof/>
                <w:lang w:eastAsia="cs-CZ"/>
              </w:rPr>
              <w:tab/>
            </w:r>
            <w:r w:rsidR="001669F2" w:rsidRPr="00180F2B">
              <w:rPr>
                <w:rStyle w:val="Hypertextovodkaz"/>
                <w:noProof/>
              </w:rPr>
              <w:t>Spolupráce s krajskou úrovní při monitoringu Národní RIS3 strategie</w:t>
            </w:r>
            <w:r w:rsidR="001669F2">
              <w:rPr>
                <w:noProof/>
                <w:webHidden/>
              </w:rPr>
              <w:tab/>
            </w:r>
            <w:r w:rsidR="001669F2">
              <w:rPr>
                <w:noProof/>
                <w:webHidden/>
              </w:rPr>
              <w:fldChar w:fldCharType="begin"/>
            </w:r>
            <w:r w:rsidR="001669F2">
              <w:rPr>
                <w:noProof/>
                <w:webHidden/>
              </w:rPr>
              <w:instrText xml:space="preserve"> PAGEREF _Toc525716265 \h </w:instrText>
            </w:r>
            <w:r w:rsidR="001669F2">
              <w:rPr>
                <w:noProof/>
                <w:webHidden/>
              </w:rPr>
            </w:r>
            <w:r w:rsidR="001669F2">
              <w:rPr>
                <w:noProof/>
                <w:webHidden/>
              </w:rPr>
              <w:fldChar w:fldCharType="separate"/>
            </w:r>
            <w:r w:rsidR="001669F2">
              <w:rPr>
                <w:noProof/>
                <w:webHidden/>
              </w:rPr>
              <w:t>239</w:t>
            </w:r>
            <w:r w:rsidR="001669F2">
              <w:rPr>
                <w:noProof/>
                <w:webHidden/>
              </w:rPr>
              <w:fldChar w:fldCharType="end"/>
            </w:r>
          </w:hyperlink>
        </w:p>
        <w:p w14:paraId="29D9D27D" w14:textId="77777777" w:rsidR="001669F2" w:rsidRDefault="00663FF6">
          <w:pPr>
            <w:pStyle w:val="Obsah3"/>
            <w:rPr>
              <w:rFonts w:eastAsiaTheme="minorEastAsia"/>
              <w:noProof/>
              <w:lang w:eastAsia="cs-CZ"/>
            </w:rPr>
          </w:pPr>
          <w:hyperlink w:anchor="_Toc525716266" w:history="1">
            <w:r w:rsidR="001669F2" w:rsidRPr="00180F2B">
              <w:rPr>
                <w:rStyle w:val="Hypertextovodkaz"/>
                <w:noProof/>
              </w:rPr>
              <w:t>7.4.2</w:t>
            </w:r>
            <w:r w:rsidR="001669F2">
              <w:rPr>
                <w:rFonts w:eastAsiaTheme="minorEastAsia"/>
                <w:noProof/>
                <w:lang w:eastAsia="cs-CZ"/>
              </w:rPr>
              <w:tab/>
            </w:r>
            <w:r w:rsidR="001669F2" w:rsidRPr="00180F2B">
              <w:rPr>
                <w:rStyle w:val="Hypertextovodkaz"/>
                <w:noProof/>
              </w:rPr>
              <w:t>Evaluace Národní RIS3 strategie</w:t>
            </w:r>
            <w:r w:rsidR="001669F2">
              <w:rPr>
                <w:noProof/>
                <w:webHidden/>
              </w:rPr>
              <w:tab/>
            </w:r>
            <w:r w:rsidR="001669F2">
              <w:rPr>
                <w:noProof/>
                <w:webHidden/>
              </w:rPr>
              <w:fldChar w:fldCharType="begin"/>
            </w:r>
            <w:r w:rsidR="001669F2">
              <w:rPr>
                <w:noProof/>
                <w:webHidden/>
              </w:rPr>
              <w:instrText xml:space="preserve"> PAGEREF _Toc525716266 \h </w:instrText>
            </w:r>
            <w:r w:rsidR="001669F2">
              <w:rPr>
                <w:noProof/>
                <w:webHidden/>
              </w:rPr>
            </w:r>
            <w:r w:rsidR="001669F2">
              <w:rPr>
                <w:noProof/>
                <w:webHidden/>
              </w:rPr>
              <w:fldChar w:fldCharType="separate"/>
            </w:r>
            <w:r w:rsidR="001669F2">
              <w:rPr>
                <w:noProof/>
                <w:webHidden/>
              </w:rPr>
              <w:t>239</w:t>
            </w:r>
            <w:r w:rsidR="001669F2">
              <w:rPr>
                <w:noProof/>
                <w:webHidden/>
              </w:rPr>
              <w:fldChar w:fldCharType="end"/>
            </w:r>
          </w:hyperlink>
        </w:p>
        <w:p w14:paraId="246CD3B6" w14:textId="77777777" w:rsidR="001669F2" w:rsidRDefault="00663FF6">
          <w:pPr>
            <w:pStyle w:val="Obsah3"/>
            <w:rPr>
              <w:rFonts w:eastAsiaTheme="minorEastAsia"/>
              <w:noProof/>
              <w:lang w:eastAsia="cs-CZ"/>
            </w:rPr>
          </w:pPr>
          <w:hyperlink w:anchor="_Toc525716267" w:history="1">
            <w:r w:rsidR="001669F2" w:rsidRPr="00180F2B">
              <w:rPr>
                <w:rStyle w:val="Hypertextovodkaz"/>
                <w:noProof/>
              </w:rPr>
              <w:t>7.4.3</w:t>
            </w:r>
            <w:r w:rsidR="001669F2">
              <w:rPr>
                <w:rFonts w:eastAsiaTheme="minorEastAsia"/>
                <w:noProof/>
                <w:lang w:eastAsia="cs-CZ"/>
              </w:rPr>
              <w:tab/>
            </w:r>
            <w:r w:rsidR="001669F2" w:rsidRPr="00180F2B">
              <w:rPr>
                <w:rStyle w:val="Hypertextovodkaz"/>
                <w:noProof/>
              </w:rPr>
              <w:t>Aktualizace Národní RIS3 strategie</w:t>
            </w:r>
            <w:r w:rsidR="001669F2">
              <w:rPr>
                <w:noProof/>
                <w:webHidden/>
              </w:rPr>
              <w:tab/>
            </w:r>
            <w:r w:rsidR="001669F2">
              <w:rPr>
                <w:noProof/>
                <w:webHidden/>
              </w:rPr>
              <w:fldChar w:fldCharType="begin"/>
            </w:r>
            <w:r w:rsidR="001669F2">
              <w:rPr>
                <w:noProof/>
                <w:webHidden/>
              </w:rPr>
              <w:instrText xml:space="preserve"> PAGEREF _Toc525716267 \h </w:instrText>
            </w:r>
            <w:r w:rsidR="001669F2">
              <w:rPr>
                <w:noProof/>
                <w:webHidden/>
              </w:rPr>
            </w:r>
            <w:r w:rsidR="001669F2">
              <w:rPr>
                <w:noProof/>
                <w:webHidden/>
              </w:rPr>
              <w:fldChar w:fldCharType="separate"/>
            </w:r>
            <w:r w:rsidR="001669F2">
              <w:rPr>
                <w:noProof/>
                <w:webHidden/>
              </w:rPr>
              <w:t>240</w:t>
            </w:r>
            <w:r w:rsidR="001669F2">
              <w:rPr>
                <w:noProof/>
                <w:webHidden/>
              </w:rPr>
              <w:fldChar w:fldCharType="end"/>
            </w:r>
          </w:hyperlink>
        </w:p>
        <w:p w14:paraId="7E02BFD6" w14:textId="77777777" w:rsidR="001669F2" w:rsidRDefault="00663FF6">
          <w:pPr>
            <w:pStyle w:val="Obsah1"/>
            <w:rPr>
              <w:rFonts w:asciiTheme="minorHAnsi" w:eastAsiaTheme="minorEastAsia" w:hAnsiTheme="minorHAnsi"/>
              <w:noProof/>
              <w:lang w:eastAsia="cs-CZ"/>
            </w:rPr>
          </w:pPr>
          <w:hyperlink w:anchor="_Toc525716268" w:history="1">
            <w:r w:rsidR="001669F2" w:rsidRPr="00180F2B">
              <w:rPr>
                <w:rStyle w:val="Hypertextovodkaz"/>
                <w:noProof/>
              </w:rPr>
              <w:t>8</w:t>
            </w:r>
            <w:r w:rsidR="001669F2">
              <w:rPr>
                <w:rFonts w:asciiTheme="minorHAnsi" w:eastAsiaTheme="minorEastAsia" w:hAnsiTheme="minorHAnsi"/>
                <w:noProof/>
                <w:lang w:eastAsia="cs-CZ"/>
              </w:rPr>
              <w:tab/>
            </w:r>
            <w:r w:rsidR="001669F2" w:rsidRPr="00180F2B">
              <w:rPr>
                <w:rStyle w:val="Hypertextovodkaz"/>
                <w:noProof/>
              </w:rPr>
              <w:t>Financování Národní RIS3 strategie</w:t>
            </w:r>
            <w:r w:rsidR="001669F2">
              <w:rPr>
                <w:noProof/>
                <w:webHidden/>
              </w:rPr>
              <w:tab/>
            </w:r>
            <w:r w:rsidR="001669F2">
              <w:rPr>
                <w:noProof/>
                <w:webHidden/>
              </w:rPr>
              <w:fldChar w:fldCharType="begin"/>
            </w:r>
            <w:r w:rsidR="001669F2">
              <w:rPr>
                <w:noProof/>
                <w:webHidden/>
              </w:rPr>
              <w:instrText xml:space="preserve"> PAGEREF _Toc525716268 \h </w:instrText>
            </w:r>
            <w:r w:rsidR="001669F2">
              <w:rPr>
                <w:noProof/>
                <w:webHidden/>
              </w:rPr>
            </w:r>
            <w:r w:rsidR="001669F2">
              <w:rPr>
                <w:noProof/>
                <w:webHidden/>
              </w:rPr>
              <w:fldChar w:fldCharType="separate"/>
            </w:r>
            <w:r w:rsidR="001669F2">
              <w:rPr>
                <w:noProof/>
                <w:webHidden/>
              </w:rPr>
              <w:t>242</w:t>
            </w:r>
            <w:r w:rsidR="001669F2">
              <w:rPr>
                <w:noProof/>
                <w:webHidden/>
              </w:rPr>
              <w:fldChar w:fldCharType="end"/>
            </w:r>
          </w:hyperlink>
        </w:p>
        <w:p w14:paraId="4A8662F6" w14:textId="77777777" w:rsidR="001669F2" w:rsidRDefault="00663FF6">
          <w:pPr>
            <w:pStyle w:val="Obsah2"/>
            <w:rPr>
              <w:rFonts w:eastAsiaTheme="minorEastAsia"/>
              <w:noProof/>
              <w:lang w:eastAsia="cs-CZ"/>
            </w:rPr>
          </w:pPr>
          <w:hyperlink w:anchor="_Toc525716269" w:history="1">
            <w:r w:rsidR="001669F2" w:rsidRPr="00180F2B">
              <w:rPr>
                <w:rStyle w:val="Hypertextovodkaz"/>
                <w:noProof/>
              </w:rPr>
              <w:t>8.1</w:t>
            </w:r>
            <w:r w:rsidR="001669F2">
              <w:rPr>
                <w:rFonts w:eastAsiaTheme="minorEastAsia"/>
                <w:noProof/>
                <w:lang w:eastAsia="cs-CZ"/>
              </w:rPr>
              <w:tab/>
            </w:r>
            <w:r w:rsidR="001669F2" w:rsidRPr="00180F2B">
              <w:rPr>
                <w:rStyle w:val="Hypertextovodkaz"/>
                <w:noProof/>
              </w:rPr>
              <w:t>Operační programy</w:t>
            </w:r>
            <w:r w:rsidR="001669F2">
              <w:rPr>
                <w:noProof/>
                <w:webHidden/>
              </w:rPr>
              <w:tab/>
            </w:r>
            <w:r w:rsidR="001669F2">
              <w:rPr>
                <w:noProof/>
                <w:webHidden/>
              </w:rPr>
              <w:fldChar w:fldCharType="begin"/>
            </w:r>
            <w:r w:rsidR="001669F2">
              <w:rPr>
                <w:noProof/>
                <w:webHidden/>
              </w:rPr>
              <w:instrText xml:space="preserve"> PAGEREF _Toc525716269 \h </w:instrText>
            </w:r>
            <w:r w:rsidR="001669F2">
              <w:rPr>
                <w:noProof/>
                <w:webHidden/>
              </w:rPr>
            </w:r>
            <w:r w:rsidR="001669F2">
              <w:rPr>
                <w:noProof/>
                <w:webHidden/>
              </w:rPr>
              <w:fldChar w:fldCharType="separate"/>
            </w:r>
            <w:r w:rsidR="001669F2">
              <w:rPr>
                <w:noProof/>
                <w:webHidden/>
              </w:rPr>
              <w:t>242</w:t>
            </w:r>
            <w:r w:rsidR="001669F2">
              <w:rPr>
                <w:noProof/>
                <w:webHidden/>
              </w:rPr>
              <w:fldChar w:fldCharType="end"/>
            </w:r>
          </w:hyperlink>
        </w:p>
        <w:p w14:paraId="208F58B4" w14:textId="77777777" w:rsidR="001669F2" w:rsidRDefault="00663FF6">
          <w:pPr>
            <w:pStyle w:val="Obsah2"/>
            <w:rPr>
              <w:rFonts w:eastAsiaTheme="minorEastAsia"/>
              <w:noProof/>
              <w:lang w:eastAsia="cs-CZ"/>
            </w:rPr>
          </w:pPr>
          <w:hyperlink w:anchor="_Toc525716270" w:history="1">
            <w:r w:rsidR="001669F2" w:rsidRPr="00180F2B">
              <w:rPr>
                <w:rStyle w:val="Hypertextovodkaz"/>
                <w:noProof/>
              </w:rPr>
              <w:t>8.2</w:t>
            </w:r>
            <w:r w:rsidR="001669F2">
              <w:rPr>
                <w:rFonts w:eastAsiaTheme="minorEastAsia"/>
                <w:noProof/>
                <w:lang w:eastAsia="cs-CZ"/>
              </w:rPr>
              <w:tab/>
            </w:r>
            <w:r w:rsidR="001669F2" w:rsidRPr="00180F2B">
              <w:rPr>
                <w:rStyle w:val="Hypertextovodkaz"/>
                <w:noProof/>
              </w:rPr>
              <w:t>Národní programy podpory VaVaI včetně rezortních programů</w:t>
            </w:r>
            <w:r w:rsidR="001669F2">
              <w:rPr>
                <w:noProof/>
                <w:webHidden/>
              </w:rPr>
              <w:tab/>
            </w:r>
            <w:r w:rsidR="001669F2">
              <w:rPr>
                <w:noProof/>
                <w:webHidden/>
              </w:rPr>
              <w:fldChar w:fldCharType="begin"/>
            </w:r>
            <w:r w:rsidR="001669F2">
              <w:rPr>
                <w:noProof/>
                <w:webHidden/>
              </w:rPr>
              <w:instrText xml:space="preserve"> PAGEREF _Toc525716270 \h </w:instrText>
            </w:r>
            <w:r w:rsidR="001669F2">
              <w:rPr>
                <w:noProof/>
                <w:webHidden/>
              </w:rPr>
            </w:r>
            <w:r w:rsidR="001669F2">
              <w:rPr>
                <w:noProof/>
                <w:webHidden/>
              </w:rPr>
              <w:fldChar w:fldCharType="separate"/>
            </w:r>
            <w:r w:rsidR="001669F2">
              <w:rPr>
                <w:noProof/>
                <w:webHidden/>
              </w:rPr>
              <w:t>244</w:t>
            </w:r>
            <w:r w:rsidR="001669F2">
              <w:rPr>
                <w:noProof/>
                <w:webHidden/>
              </w:rPr>
              <w:fldChar w:fldCharType="end"/>
            </w:r>
          </w:hyperlink>
        </w:p>
        <w:p w14:paraId="364AA2FE" w14:textId="77777777" w:rsidR="001669F2" w:rsidRDefault="00663FF6">
          <w:pPr>
            <w:pStyle w:val="Obsah2"/>
            <w:rPr>
              <w:rFonts w:eastAsiaTheme="minorEastAsia"/>
              <w:noProof/>
              <w:lang w:eastAsia="cs-CZ"/>
            </w:rPr>
          </w:pPr>
          <w:hyperlink w:anchor="_Toc525716271" w:history="1">
            <w:r w:rsidR="001669F2" w:rsidRPr="00180F2B">
              <w:rPr>
                <w:rStyle w:val="Hypertextovodkaz"/>
                <w:noProof/>
              </w:rPr>
              <w:t>8.3</w:t>
            </w:r>
            <w:r w:rsidR="001669F2">
              <w:rPr>
                <w:rFonts w:eastAsiaTheme="minorEastAsia"/>
                <w:noProof/>
                <w:lang w:eastAsia="cs-CZ"/>
              </w:rPr>
              <w:tab/>
            </w:r>
            <w:r w:rsidR="001669F2" w:rsidRPr="00180F2B">
              <w:rPr>
                <w:rStyle w:val="Hypertextovodkaz"/>
                <w:noProof/>
              </w:rPr>
              <w:t>Souhrn financování krajských RIS3 strategií</w:t>
            </w:r>
            <w:r w:rsidR="001669F2">
              <w:rPr>
                <w:noProof/>
                <w:webHidden/>
              </w:rPr>
              <w:tab/>
            </w:r>
            <w:r w:rsidR="001669F2">
              <w:rPr>
                <w:noProof/>
                <w:webHidden/>
              </w:rPr>
              <w:fldChar w:fldCharType="begin"/>
            </w:r>
            <w:r w:rsidR="001669F2">
              <w:rPr>
                <w:noProof/>
                <w:webHidden/>
              </w:rPr>
              <w:instrText xml:space="preserve"> PAGEREF _Toc525716271 \h </w:instrText>
            </w:r>
            <w:r w:rsidR="001669F2">
              <w:rPr>
                <w:noProof/>
                <w:webHidden/>
              </w:rPr>
            </w:r>
            <w:r w:rsidR="001669F2">
              <w:rPr>
                <w:noProof/>
                <w:webHidden/>
              </w:rPr>
              <w:fldChar w:fldCharType="separate"/>
            </w:r>
            <w:r w:rsidR="001669F2">
              <w:rPr>
                <w:noProof/>
                <w:webHidden/>
              </w:rPr>
              <w:t>247</w:t>
            </w:r>
            <w:r w:rsidR="001669F2">
              <w:rPr>
                <w:noProof/>
                <w:webHidden/>
              </w:rPr>
              <w:fldChar w:fldCharType="end"/>
            </w:r>
          </w:hyperlink>
        </w:p>
        <w:p w14:paraId="685BCD8D" w14:textId="77777777" w:rsidR="001669F2" w:rsidRDefault="00663FF6">
          <w:pPr>
            <w:pStyle w:val="Obsah1"/>
            <w:rPr>
              <w:rFonts w:asciiTheme="minorHAnsi" w:eastAsiaTheme="minorEastAsia" w:hAnsiTheme="minorHAnsi"/>
              <w:noProof/>
              <w:lang w:eastAsia="cs-CZ"/>
            </w:rPr>
          </w:pPr>
          <w:hyperlink w:anchor="_Toc525716272" w:history="1">
            <w:r w:rsidR="001669F2" w:rsidRPr="00180F2B">
              <w:rPr>
                <w:rStyle w:val="Hypertextovodkaz"/>
                <w:noProof/>
              </w:rPr>
              <w:t>9</w:t>
            </w:r>
            <w:r w:rsidR="001669F2">
              <w:rPr>
                <w:rFonts w:asciiTheme="minorHAnsi" w:eastAsiaTheme="minorEastAsia" w:hAnsiTheme="minorHAnsi"/>
                <w:noProof/>
                <w:lang w:eastAsia="cs-CZ"/>
              </w:rPr>
              <w:tab/>
            </w:r>
            <w:r w:rsidR="001669F2" w:rsidRPr="00180F2B">
              <w:rPr>
                <w:rStyle w:val="Hypertextovodkaz"/>
                <w:noProof/>
              </w:rPr>
              <w:t>Přílohy</w:t>
            </w:r>
            <w:r w:rsidR="001669F2">
              <w:rPr>
                <w:noProof/>
                <w:webHidden/>
              </w:rPr>
              <w:tab/>
            </w:r>
            <w:r w:rsidR="001669F2">
              <w:rPr>
                <w:noProof/>
                <w:webHidden/>
              </w:rPr>
              <w:fldChar w:fldCharType="begin"/>
            </w:r>
            <w:r w:rsidR="001669F2">
              <w:rPr>
                <w:noProof/>
                <w:webHidden/>
              </w:rPr>
              <w:instrText xml:space="preserve"> PAGEREF _Toc525716272 \h </w:instrText>
            </w:r>
            <w:r w:rsidR="001669F2">
              <w:rPr>
                <w:noProof/>
                <w:webHidden/>
              </w:rPr>
            </w:r>
            <w:r w:rsidR="001669F2">
              <w:rPr>
                <w:noProof/>
                <w:webHidden/>
              </w:rPr>
              <w:fldChar w:fldCharType="separate"/>
            </w:r>
            <w:r w:rsidR="001669F2">
              <w:rPr>
                <w:noProof/>
                <w:webHidden/>
              </w:rPr>
              <w:t>250</w:t>
            </w:r>
            <w:r w:rsidR="001669F2">
              <w:rPr>
                <w:noProof/>
                <w:webHidden/>
              </w:rPr>
              <w:fldChar w:fldCharType="end"/>
            </w:r>
          </w:hyperlink>
        </w:p>
        <w:p w14:paraId="24E98DEA" w14:textId="77777777" w:rsidR="001669F2" w:rsidRDefault="00663FF6">
          <w:pPr>
            <w:pStyle w:val="Obsah2"/>
            <w:rPr>
              <w:rFonts w:eastAsiaTheme="minorEastAsia"/>
              <w:noProof/>
              <w:lang w:eastAsia="cs-CZ"/>
            </w:rPr>
          </w:pPr>
          <w:hyperlink w:anchor="_Toc525716273" w:history="1">
            <w:r w:rsidR="001669F2" w:rsidRPr="00180F2B">
              <w:rPr>
                <w:rStyle w:val="Hypertextovodkaz"/>
                <w:noProof/>
              </w:rPr>
              <w:t>9.1</w:t>
            </w:r>
            <w:r w:rsidR="001669F2">
              <w:rPr>
                <w:rFonts w:eastAsiaTheme="minorEastAsia"/>
                <w:noProof/>
                <w:lang w:eastAsia="cs-CZ"/>
              </w:rPr>
              <w:tab/>
            </w:r>
            <w:r w:rsidR="001669F2" w:rsidRPr="00180F2B">
              <w:rPr>
                <w:rStyle w:val="Hypertextovodkaz"/>
                <w:noProof/>
              </w:rPr>
              <w:t>Trendy vývoje výchozích a průběžných hodnot pro měření vize</w:t>
            </w:r>
            <w:r w:rsidR="001669F2">
              <w:rPr>
                <w:noProof/>
                <w:webHidden/>
              </w:rPr>
              <w:tab/>
            </w:r>
            <w:r w:rsidR="001669F2">
              <w:rPr>
                <w:noProof/>
                <w:webHidden/>
              </w:rPr>
              <w:fldChar w:fldCharType="begin"/>
            </w:r>
            <w:r w:rsidR="001669F2">
              <w:rPr>
                <w:noProof/>
                <w:webHidden/>
              </w:rPr>
              <w:instrText xml:space="preserve"> PAGEREF _Toc525716273 \h </w:instrText>
            </w:r>
            <w:r w:rsidR="001669F2">
              <w:rPr>
                <w:noProof/>
                <w:webHidden/>
              </w:rPr>
            </w:r>
            <w:r w:rsidR="001669F2">
              <w:rPr>
                <w:noProof/>
                <w:webHidden/>
              </w:rPr>
              <w:fldChar w:fldCharType="separate"/>
            </w:r>
            <w:r w:rsidR="001669F2">
              <w:rPr>
                <w:noProof/>
                <w:webHidden/>
              </w:rPr>
              <w:t>250</w:t>
            </w:r>
            <w:r w:rsidR="001669F2">
              <w:rPr>
                <w:noProof/>
                <w:webHidden/>
              </w:rPr>
              <w:fldChar w:fldCharType="end"/>
            </w:r>
          </w:hyperlink>
        </w:p>
        <w:p w14:paraId="2EF60EDE" w14:textId="77777777" w:rsidR="001669F2" w:rsidRDefault="00663FF6">
          <w:pPr>
            <w:pStyle w:val="Obsah2"/>
            <w:rPr>
              <w:rFonts w:eastAsiaTheme="minorEastAsia"/>
              <w:noProof/>
              <w:lang w:eastAsia="cs-CZ"/>
            </w:rPr>
          </w:pPr>
          <w:hyperlink w:anchor="_Toc525716274" w:history="1">
            <w:r w:rsidR="001669F2" w:rsidRPr="00180F2B">
              <w:rPr>
                <w:rStyle w:val="Hypertextovodkaz"/>
                <w:noProof/>
              </w:rPr>
              <w:t>9.2</w:t>
            </w:r>
            <w:r w:rsidR="001669F2">
              <w:rPr>
                <w:rFonts w:eastAsiaTheme="minorEastAsia"/>
                <w:noProof/>
                <w:lang w:eastAsia="cs-CZ"/>
              </w:rPr>
              <w:tab/>
            </w:r>
            <w:r w:rsidR="001669F2" w:rsidRPr="00180F2B">
              <w:rPr>
                <w:rStyle w:val="Hypertextovodkaz"/>
                <w:noProof/>
              </w:rPr>
              <w:t>Priority výzkumu, vývoje a inovací zjištěné prostřednictvím EDP v rámci Národních inovačních platforem</w:t>
            </w:r>
            <w:r w:rsidR="001669F2">
              <w:rPr>
                <w:noProof/>
                <w:webHidden/>
              </w:rPr>
              <w:tab/>
            </w:r>
            <w:r w:rsidR="001669F2">
              <w:rPr>
                <w:noProof/>
                <w:webHidden/>
              </w:rPr>
              <w:fldChar w:fldCharType="begin"/>
            </w:r>
            <w:r w:rsidR="001669F2">
              <w:rPr>
                <w:noProof/>
                <w:webHidden/>
              </w:rPr>
              <w:instrText xml:space="preserve"> PAGEREF _Toc525716274 \h </w:instrText>
            </w:r>
            <w:r w:rsidR="001669F2">
              <w:rPr>
                <w:noProof/>
                <w:webHidden/>
              </w:rPr>
            </w:r>
            <w:r w:rsidR="001669F2">
              <w:rPr>
                <w:noProof/>
                <w:webHidden/>
              </w:rPr>
              <w:fldChar w:fldCharType="separate"/>
            </w:r>
            <w:r w:rsidR="001669F2">
              <w:rPr>
                <w:noProof/>
                <w:webHidden/>
              </w:rPr>
              <w:t>256</w:t>
            </w:r>
            <w:r w:rsidR="001669F2">
              <w:rPr>
                <w:noProof/>
                <w:webHidden/>
              </w:rPr>
              <w:fldChar w:fldCharType="end"/>
            </w:r>
          </w:hyperlink>
        </w:p>
        <w:p w14:paraId="30A531B7" w14:textId="77777777" w:rsidR="001669F2" w:rsidRDefault="00663FF6">
          <w:pPr>
            <w:pStyle w:val="Obsah3"/>
            <w:rPr>
              <w:rFonts w:eastAsiaTheme="minorEastAsia"/>
              <w:noProof/>
              <w:lang w:eastAsia="cs-CZ"/>
            </w:rPr>
          </w:pPr>
          <w:hyperlink w:anchor="_Toc525716275" w:history="1">
            <w:r w:rsidR="001669F2" w:rsidRPr="00180F2B">
              <w:rPr>
                <w:rStyle w:val="Hypertextovodkaz"/>
                <w:noProof/>
              </w:rPr>
              <w:t>9.2.1</w:t>
            </w:r>
            <w:r w:rsidR="001669F2">
              <w:rPr>
                <w:rFonts w:eastAsiaTheme="minorEastAsia"/>
                <w:noProof/>
                <w:lang w:eastAsia="cs-CZ"/>
              </w:rPr>
              <w:tab/>
            </w:r>
            <w:r w:rsidR="001669F2" w:rsidRPr="00180F2B">
              <w:rPr>
                <w:rStyle w:val="Hypertextovodkaz"/>
                <w:noProof/>
              </w:rPr>
              <w:t>Pokročilé stroje / technologie pro silný a globálně konkurenceschopný průmysl - výstupy z NIP I. „Strojírenství, energetika, hutnictví a průmyslová chemie“</w:t>
            </w:r>
            <w:r w:rsidR="001669F2">
              <w:rPr>
                <w:noProof/>
                <w:webHidden/>
              </w:rPr>
              <w:tab/>
            </w:r>
            <w:r w:rsidR="001669F2">
              <w:rPr>
                <w:noProof/>
                <w:webHidden/>
              </w:rPr>
              <w:fldChar w:fldCharType="begin"/>
            </w:r>
            <w:r w:rsidR="001669F2">
              <w:rPr>
                <w:noProof/>
                <w:webHidden/>
              </w:rPr>
              <w:instrText xml:space="preserve"> PAGEREF _Toc525716275 \h </w:instrText>
            </w:r>
            <w:r w:rsidR="001669F2">
              <w:rPr>
                <w:noProof/>
                <w:webHidden/>
              </w:rPr>
            </w:r>
            <w:r w:rsidR="001669F2">
              <w:rPr>
                <w:noProof/>
                <w:webHidden/>
              </w:rPr>
              <w:fldChar w:fldCharType="separate"/>
            </w:r>
            <w:r w:rsidR="001669F2">
              <w:rPr>
                <w:noProof/>
                <w:webHidden/>
              </w:rPr>
              <w:t>256</w:t>
            </w:r>
            <w:r w:rsidR="001669F2">
              <w:rPr>
                <w:noProof/>
                <w:webHidden/>
              </w:rPr>
              <w:fldChar w:fldCharType="end"/>
            </w:r>
          </w:hyperlink>
        </w:p>
        <w:p w14:paraId="4C7115DE" w14:textId="77777777" w:rsidR="001669F2" w:rsidRDefault="00663FF6">
          <w:pPr>
            <w:pStyle w:val="Obsah4"/>
            <w:rPr>
              <w:rFonts w:eastAsiaTheme="minorEastAsia"/>
              <w:noProof/>
              <w:lang w:eastAsia="cs-CZ"/>
            </w:rPr>
          </w:pPr>
          <w:hyperlink w:anchor="_Toc525716276" w:history="1">
            <w:r w:rsidR="001669F2" w:rsidRPr="00180F2B">
              <w:rPr>
                <w:rStyle w:val="Hypertextovodkaz"/>
                <w:noProof/>
              </w:rPr>
              <w:t>9.2.1.1</w:t>
            </w:r>
            <w:r w:rsidR="001669F2">
              <w:rPr>
                <w:rFonts w:eastAsiaTheme="minorEastAsia"/>
                <w:noProof/>
                <w:lang w:eastAsia="cs-CZ"/>
              </w:rPr>
              <w:tab/>
            </w:r>
            <w:r w:rsidR="001669F2" w:rsidRPr="00180F2B">
              <w:rPr>
                <w:rStyle w:val="Hypertextovodkaz"/>
                <w:noProof/>
              </w:rPr>
              <w:t>Strojírenství-mechatronika</w:t>
            </w:r>
            <w:r w:rsidR="001669F2">
              <w:rPr>
                <w:noProof/>
                <w:webHidden/>
              </w:rPr>
              <w:tab/>
            </w:r>
            <w:r w:rsidR="001669F2">
              <w:rPr>
                <w:noProof/>
                <w:webHidden/>
              </w:rPr>
              <w:fldChar w:fldCharType="begin"/>
            </w:r>
            <w:r w:rsidR="001669F2">
              <w:rPr>
                <w:noProof/>
                <w:webHidden/>
              </w:rPr>
              <w:instrText xml:space="preserve"> PAGEREF _Toc525716276 \h </w:instrText>
            </w:r>
            <w:r w:rsidR="001669F2">
              <w:rPr>
                <w:noProof/>
                <w:webHidden/>
              </w:rPr>
            </w:r>
            <w:r w:rsidR="001669F2">
              <w:rPr>
                <w:noProof/>
                <w:webHidden/>
              </w:rPr>
              <w:fldChar w:fldCharType="separate"/>
            </w:r>
            <w:r w:rsidR="001669F2">
              <w:rPr>
                <w:noProof/>
                <w:webHidden/>
              </w:rPr>
              <w:t>256</w:t>
            </w:r>
            <w:r w:rsidR="001669F2">
              <w:rPr>
                <w:noProof/>
                <w:webHidden/>
              </w:rPr>
              <w:fldChar w:fldCharType="end"/>
            </w:r>
          </w:hyperlink>
        </w:p>
        <w:p w14:paraId="2960BE11" w14:textId="77777777" w:rsidR="001669F2" w:rsidRDefault="00663FF6">
          <w:pPr>
            <w:pStyle w:val="Obsah4"/>
            <w:rPr>
              <w:rFonts w:eastAsiaTheme="minorEastAsia"/>
              <w:noProof/>
              <w:lang w:eastAsia="cs-CZ"/>
            </w:rPr>
          </w:pPr>
          <w:hyperlink w:anchor="_Toc525716277" w:history="1">
            <w:r w:rsidR="001669F2" w:rsidRPr="00180F2B">
              <w:rPr>
                <w:rStyle w:val="Hypertextovodkaz"/>
                <w:noProof/>
              </w:rPr>
              <w:t>9.2.1.2</w:t>
            </w:r>
            <w:r w:rsidR="001669F2">
              <w:rPr>
                <w:rFonts w:eastAsiaTheme="minorEastAsia"/>
                <w:noProof/>
                <w:lang w:eastAsia="cs-CZ"/>
              </w:rPr>
              <w:tab/>
            </w:r>
            <w:r w:rsidR="001669F2" w:rsidRPr="00180F2B">
              <w:rPr>
                <w:rStyle w:val="Hypertextovodkaz"/>
                <w:noProof/>
              </w:rPr>
              <w:t>Energetika</w:t>
            </w:r>
            <w:r w:rsidR="001669F2">
              <w:rPr>
                <w:noProof/>
                <w:webHidden/>
              </w:rPr>
              <w:tab/>
            </w:r>
            <w:r w:rsidR="001669F2">
              <w:rPr>
                <w:noProof/>
                <w:webHidden/>
              </w:rPr>
              <w:fldChar w:fldCharType="begin"/>
            </w:r>
            <w:r w:rsidR="001669F2">
              <w:rPr>
                <w:noProof/>
                <w:webHidden/>
              </w:rPr>
              <w:instrText xml:space="preserve"> PAGEREF _Toc525716277 \h </w:instrText>
            </w:r>
            <w:r w:rsidR="001669F2">
              <w:rPr>
                <w:noProof/>
                <w:webHidden/>
              </w:rPr>
            </w:r>
            <w:r w:rsidR="001669F2">
              <w:rPr>
                <w:noProof/>
                <w:webHidden/>
              </w:rPr>
              <w:fldChar w:fldCharType="separate"/>
            </w:r>
            <w:r w:rsidR="001669F2">
              <w:rPr>
                <w:noProof/>
                <w:webHidden/>
              </w:rPr>
              <w:t>265</w:t>
            </w:r>
            <w:r w:rsidR="001669F2">
              <w:rPr>
                <w:noProof/>
                <w:webHidden/>
              </w:rPr>
              <w:fldChar w:fldCharType="end"/>
            </w:r>
          </w:hyperlink>
        </w:p>
        <w:p w14:paraId="7F685289" w14:textId="77777777" w:rsidR="001669F2" w:rsidRDefault="00663FF6">
          <w:pPr>
            <w:pStyle w:val="Obsah4"/>
            <w:rPr>
              <w:rFonts w:eastAsiaTheme="minorEastAsia"/>
              <w:noProof/>
              <w:lang w:eastAsia="cs-CZ"/>
            </w:rPr>
          </w:pPr>
          <w:hyperlink w:anchor="_Toc525716278" w:history="1">
            <w:r w:rsidR="001669F2" w:rsidRPr="00180F2B">
              <w:rPr>
                <w:rStyle w:val="Hypertextovodkaz"/>
                <w:noProof/>
              </w:rPr>
              <w:t>9.2.1.3</w:t>
            </w:r>
            <w:r w:rsidR="001669F2">
              <w:rPr>
                <w:rFonts w:eastAsiaTheme="minorEastAsia"/>
                <w:noProof/>
                <w:lang w:eastAsia="cs-CZ"/>
              </w:rPr>
              <w:tab/>
            </w:r>
            <w:r w:rsidR="001669F2" w:rsidRPr="00180F2B">
              <w:rPr>
                <w:rStyle w:val="Hypertextovodkaz"/>
                <w:noProof/>
              </w:rPr>
              <w:t>Hutnictví</w:t>
            </w:r>
            <w:r w:rsidR="001669F2">
              <w:rPr>
                <w:noProof/>
                <w:webHidden/>
              </w:rPr>
              <w:tab/>
            </w:r>
            <w:r w:rsidR="001669F2">
              <w:rPr>
                <w:noProof/>
                <w:webHidden/>
              </w:rPr>
              <w:fldChar w:fldCharType="begin"/>
            </w:r>
            <w:r w:rsidR="001669F2">
              <w:rPr>
                <w:noProof/>
                <w:webHidden/>
              </w:rPr>
              <w:instrText xml:space="preserve"> PAGEREF _Toc525716278 \h </w:instrText>
            </w:r>
            <w:r w:rsidR="001669F2">
              <w:rPr>
                <w:noProof/>
                <w:webHidden/>
              </w:rPr>
            </w:r>
            <w:r w:rsidR="001669F2">
              <w:rPr>
                <w:noProof/>
                <w:webHidden/>
              </w:rPr>
              <w:fldChar w:fldCharType="separate"/>
            </w:r>
            <w:r w:rsidR="001669F2">
              <w:rPr>
                <w:noProof/>
                <w:webHidden/>
              </w:rPr>
              <w:t>269</w:t>
            </w:r>
            <w:r w:rsidR="001669F2">
              <w:rPr>
                <w:noProof/>
                <w:webHidden/>
              </w:rPr>
              <w:fldChar w:fldCharType="end"/>
            </w:r>
          </w:hyperlink>
        </w:p>
        <w:p w14:paraId="60335318" w14:textId="77777777" w:rsidR="001669F2" w:rsidRDefault="00663FF6">
          <w:pPr>
            <w:pStyle w:val="Obsah4"/>
            <w:rPr>
              <w:rFonts w:eastAsiaTheme="minorEastAsia"/>
              <w:noProof/>
              <w:lang w:eastAsia="cs-CZ"/>
            </w:rPr>
          </w:pPr>
          <w:hyperlink w:anchor="_Toc525716279" w:history="1">
            <w:r w:rsidR="001669F2" w:rsidRPr="00180F2B">
              <w:rPr>
                <w:rStyle w:val="Hypertextovodkaz"/>
                <w:noProof/>
              </w:rPr>
              <w:t>9.2.1.4</w:t>
            </w:r>
            <w:r w:rsidR="001669F2">
              <w:rPr>
                <w:rFonts w:eastAsiaTheme="minorEastAsia"/>
                <w:noProof/>
                <w:lang w:eastAsia="cs-CZ"/>
              </w:rPr>
              <w:tab/>
            </w:r>
            <w:r w:rsidR="001669F2" w:rsidRPr="00180F2B">
              <w:rPr>
                <w:rStyle w:val="Hypertextovodkaz"/>
                <w:noProof/>
              </w:rPr>
              <w:t>Průmyslová chemie</w:t>
            </w:r>
            <w:r w:rsidR="001669F2">
              <w:rPr>
                <w:noProof/>
                <w:webHidden/>
              </w:rPr>
              <w:tab/>
            </w:r>
            <w:r w:rsidR="001669F2">
              <w:rPr>
                <w:noProof/>
                <w:webHidden/>
              </w:rPr>
              <w:fldChar w:fldCharType="begin"/>
            </w:r>
            <w:r w:rsidR="001669F2">
              <w:rPr>
                <w:noProof/>
                <w:webHidden/>
              </w:rPr>
              <w:instrText xml:space="preserve"> PAGEREF _Toc525716279 \h </w:instrText>
            </w:r>
            <w:r w:rsidR="001669F2">
              <w:rPr>
                <w:noProof/>
                <w:webHidden/>
              </w:rPr>
            </w:r>
            <w:r w:rsidR="001669F2">
              <w:rPr>
                <w:noProof/>
                <w:webHidden/>
              </w:rPr>
              <w:fldChar w:fldCharType="separate"/>
            </w:r>
            <w:r w:rsidR="001669F2">
              <w:rPr>
                <w:noProof/>
                <w:webHidden/>
              </w:rPr>
              <w:t>272</w:t>
            </w:r>
            <w:r w:rsidR="001669F2">
              <w:rPr>
                <w:noProof/>
                <w:webHidden/>
              </w:rPr>
              <w:fldChar w:fldCharType="end"/>
            </w:r>
          </w:hyperlink>
        </w:p>
        <w:p w14:paraId="2C07AD57" w14:textId="77777777" w:rsidR="001669F2" w:rsidRDefault="00663FF6">
          <w:pPr>
            <w:pStyle w:val="Obsah3"/>
            <w:rPr>
              <w:rFonts w:eastAsiaTheme="minorEastAsia"/>
              <w:noProof/>
              <w:lang w:eastAsia="cs-CZ"/>
            </w:rPr>
          </w:pPr>
          <w:hyperlink w:anchor="_Toc525716280" w:history="1">
            <w:r w:rsidR="001669F2" w:rsidRPr="00180F2B">
              <w:rPr>
                <w:rStyle w:val="Hypertextovodkaz"/>
                <w:noProof/>
              </w:rPr>
              <w:t>9.2.2</w:t>
            </w:r>
            <w:r w:rsidR="001669F2">
              <w:rPr>
                <w:rFonts w:eastAsiaTheme="minorEastAsia"/>
                <w:noProof/>
                <w:lang w:eastAsia="cs-CZ"/>
              </w:rPr>
              <w:tab/>
            </w:r>
            <w:r w:rsidR="001669F2" w:rsidRPr="00180F2B">
              <w:rPr>
                <w:rStyle w:val="Hypertextovodkaz"/>
                <w:noProof/>
              </w:rPr>
              <w:t>Digital Market Technologies a Elektrotechnika - výstupy z NIP II. „Elektronika a elektrotechnika a ICT“</w:t>
            </w:r>
            <w:r w:rsidR="001669F2">
              <w:rPr>
                <w:noProof/>
                <w:webHidden/>
              </w:rPr>
              <w:tab/>
            </w:r>
            <w:r w:rsidR="001669F2">
              <w:rPr>
                <w:noProof/>
                <w:webHidden/>
              </w:rPr>
              <w:fldChar w:fldCharType="begin"/>
            </w:r>
            <w:r w:rsidR="001669F2">
              <w:rPr>
                <w:noProof/>
                <w:webHidden/>
              </w:rPr>
              <w:instrText xml:space="preserve"> PAGEREF _Toc525716280 \h </w:instrText>
            </w:r>
            <w:r w:rsidR="001669F2">
              <w:rPr>
                <w:noProof/>
                <w:webHidden/>
              </w:rPr>
            </w:r>
            <w:r w:rsidR="001669F2">
              <w:rPr>
                <w:noProof/>
                <w:webHidden/>
              </w:rPr>
              <w:fldChar w:fldCharType="separate"/>
            </w:r>
            <w:r w:rsidR="001669F2">
              <w:rPr>
                <w:noProof/>
                <w:webHidden/>
              </w:rPr>
              <w:t>278</w:t>
            </w:r>
            <w:r w:rsidR="001669F2">
              <w:rPr>
                <w:noProof/>
                <w:webHidden/>
              </w:rPr>
              <w:fldChar w:fldCharType="end"/>
            </w:r>
          </w:hyperlink>
        </w:p>
        <w:p w14:paraId="3D91B27B" w14:textId="77777777" w:rsidR="001669F2" w:rsidRDefault="00663FF6">
          <w:pPr>
            <w:pStyle w:val="Obsah4"/>
            <w:rPr>
              <w:rFonts w:eastAsiaTheme="minorEastAsia"/>
              <w:noProof/>
              <w:lang w:eastAsia="cs-CZ"/>
            </w:rPr>
          </w:pPr>
          <w:hyperlink w:anchor="_Toc525716281" w:history="1">
            <w:r w:rsidR="001669F2" w:rsidRPr="00180F2B">
              <w:rPr>
                <w:rStyle w:val="Hypertextovodkaz"/>
                <w:noProof/>
              </w:rPr>
              <w:t>9.2.2.1</w:t>
            </w:r>
            <w:r w:rsidR="001669F2">
              <w:rPr>
                <w:rFonts w:eastAsiaTheme="minorEastAsia"/>
                <w:noProof/>
                <w:lang w:eastAsia="cs-CZ"/>
              </w:rPr>
              <w:tab/>
            </w:r>
            <w:r w:rsidR="001669F2" w:rsidRPr="00180F2B">
              <w:rPr>
                <w:rStyle w:val="Hypertextovodkaz"/>
                <w:noProof/>
              </w:rPr>
              <w:t>Elektronika a elektrotechnika v digitálním věku</w:t>
            </w:r>
            <w:r w:rsidR="001669F2">
              <w:rPr>
                <w:noProof/>
                <w:webHidden/>
              </w:rPr>
              <w:tab/>
            </w:r>
            <w:r w:rsidR="001669F2">
              <w:rPr>
                <w:noProof/>
                <w:webHidden/>
              </w:rPr>
              <w:fldChar w:fldCharType="begin"/>
            </w:r>
            <w:r w:rsidR="001669F2">
              <w:rPr>
                <w:noProof/>
                <w:webHidden/>
              </w:rPr>
              <w:instrText xml:space="preserve"> PAGEREF _Toc525716281 \h </w:instrText>
            </w:r>
            <w:r w:rsidR="001669F2">
              <w:rPr>
                <w:noProof/>
                <w:webHidden/>
              </w:rPr>
            </w:r>
            <w:r w:rsidR="001669F2">
              <w:rPr>
                <w:noProof/>
                <w:webHidden/>
              </w:rPr>
              <w:fldChar w:fldCharType="separate"/>
            </w:r>
            <w:r w:rsidR="001669F2">
              <w:rPr>
                <w:noProof/>
                <w:webHidden/>
              </w:rPr>
              <w:t>278</w:t>
            </w:r>
            <w:r w:rsidR="001669F2">
              <w:rPr>
                <w:noProof/>
                <w:webHidden/>
              </w:rPr>
              <w:fldChar w:fldCharType="end"/>
            </w:r>
          </w:hyperlink>
        </w:p>
        <w:p w14:paraId="1978E44A" w14:textId="77777777" w:rsidR="001669F2" w:rsidRDefault="00663FF6">
          <w:pPr>
            <w:pStyle w:val="Obsah4"/>
            <w:rPr>
              <w:rFonts w:eastAsiaTheme="minorEastAsia"/>
              <w:noProof/>
              <w:lang w:eastAsia="cs-CZ"/>
            </w:rPr>
          </w:pPr>
          <w:hyperlink w:anchor="_Toc525716282" w:history="1">
            <w:r w:rsidR="001669F2" w:rsidRPr="00180F2B">
              <w:rPr>
                <w:rStyle w:val="Hypertextovodkaz"/>
                <w:noProof/>
              </w:rPr>
              <w:t>9.2.2.2</w:t>
            </w:r>
            <w:r w:rsidR="001669F2">
              <w:rPr>
                <w:rFonts w:eastAsiaTheme="minorEastAsia"/>
                <w:noProof/>
                <w:lang w:eastAsia="cs-CZ"/>
              </w:rPr>
              <w:tab/>
            </w:r>
            <w:r w:rsidR="001669F2" w:rsidRPr="00180F2B">
              <w:rPr>
                <w:rStyle w:val="Hypertextovodkaz"/>
                <w:noProof/>
              </w:rPr>
              <w:t>Digitální ekonomika a digitální obsah</w:t>
            </w:r>
            <w:r w:rsidR="001669F2">
              <w:rPr>
                <w:noProof/>
                <w:webHidden/>
              </w:rPr>
              <w:tab/>
            </w:r>
            <w:r w:rsidR="001669F2">
              <w:rPr>
                <w:noProof/>
                <w:webHidden/>
              </w:rPr>
              <w:fldChar w:fldCharType="begin"/>
            </w:r>
            <w:r w:rsidR="001669F2">
              <w:rPr>
                <w:noProof/>
                <w:webHidden/>
              </w:rPr>
              <w:instrText xml:space="preserve"> PAGEREF _Toc525716282 \h </w:instrText>
            </w:r>
            <w:r w:rsidR="001669F2">
              <w:rPr>
                <w:noProof/>
                <w:webHidden/>
              </w:rPr>
            </w:r>
            <w:r w:rsidR="001669F2">
              <w:rPr>
                <w:noProof/>
                <w:webHidden/>
              </w:rPr>
              <w:fldChar w:fldCharType="separate"/>
            </w:r>
            <w:r w:rsidR="001669F2">
              <w:rPr>
                <w:noProof/>
                <w:webHidden/>
              </w:rPr>
              <w:t>282</w:t>
            </w:r>
            <w:r w:rsidR="001669F2">
              <w:rPr>
                <w:noProof/>
                <w:webHidden/>
              </w:rPr>
              <w:fldChar w:fldCharType="end"/>
            </w:r>
          </w:hyperlink>
        </w:p>
        <w:p w14:paraId="4DDAA8EC" w14:textId="77777777" w:rsidR="001669F2" w:rsidRDefault="00663FF6">
          <w:pPr>
            <w:pStyle w:val="Obsah3"/>
            <w:rPr>
              <w:rFonts w:eastAsiaTheme="minorEastAsia"/>
              <w:noProof/>
              <w:lang w:eastAsia="cs-CZ"/>
            </w:rPr>
          </w:pPr>
          <w:hyperlink w:anchor="_Toc525716283" w:history="1">
            <w:r w:rsidR="001669F2" w:rsidRPr="00180F2B">
              <w:rPr>
                <w:rStyle w:val="Hypertextovodkaz"/>
                <w:noProof/>
              </w:rPr>
              <w:t>9.2.3</w:t>
            </w:r>
            <w:r w:rsidR="001669F2">
              <w:rPr>
                <w:rFonts w:eastAsiaTheme="minorEastAsia"/>
                <w:noProof/>
                <w:lang w:eastAsia="cs-CZ"/>
              </w:rPr>
              <w:tab/>
            </w:r>
            <w:r w:rsidR="001669F2" w:rsidRPr="00180F2B">
              <w:rPr>
                <w:rStyle w:val="Hypertextovodkaz"/>
                <w:noProof/>
              </w:rPr>
              <w:t>Dopravní prostředky pro 21. století, výstupy z NIP III. „Výroba dopravních prostředků“</w:t>
            </w:r>
            <w:r w:rsidR="001669F2">
              <w:rPr>
                <w:noProof/>
                <w:webHidden/>
              </w:rPr>
              <w:tab/>
            </w:r>
            <w:r w:rsidR="001669F2">
              <w:rPr>
                <w:noProof/>
                <w:webHidden/>
              </w:rPr>
              <w:fldChar w:fldCharType="begin"/>
            </w:r>
            <w:r w:rsidR="001669F2">
              <w:rPr>
                <w:noProof/>
                <w:webHidden/>
              </w:rPr>
              <w:instrText xml:space="preserve"> PAGEREF _Toc525716283 \h </w:instrText>
            </w:r>
            <w:r w:rsidR="001669F2">
              <w:rPr>
                <w:noProof/>
                <w:webHidden/>
              </w:rPr>
            </w:r>
            <w:r w:rsidR="001669F2">
              <w:rPr>
                <w:noProof/>
                <w:webHidden/>
              </w:rPr>
              <w:fldChar w:fldCharType="separate"/>
            </w:r>
            <w:r w:rsidR="001669F2">
              <w:rPr>
                <w:noProof/>
                <w:webHidden/>
              </w:rPr>
              <w:t>288</w:t>
            </w:r>
            <w:r w:rsidR="001669F2">
              <w:rPr>
                <w:noProof/>
                <w:webHidden/>
              </w:rPr>
              <w:fldChar w:fldCharType="end"/>
            </w:r>
          </w:hyperlink>
        </w:p>
        <w:p w14:paraId="588F4EDC" w14:textId="77777777" w:rsidR="001669F2" w:rsidRDefault="00663FF6">
          <w:pPr>
            <w:pStyle w:val="Obsah4"/>
            <w:rPr>
              <w:rFonts w:eastAsiaTheme="minorEastAsia"/>
              <w:noProof/>
              <w:lang w:eastAsia="cs-CZ"/>
            </w:rPr>
          </w:pPr>
          <w:hyperlink w:anchor="_Toc525716284" w:history="1">
            <w:r w:rsidR="001669F2" w:rsidRPr="00180F2B">
              <w:rPr>
                <w:rStyle w:val="Hypertextovodkaz"/>
                <w:noProof/>
              </w:rPr>
              <w:t>9.2.3.1</w:t>
            </w:r>
            <w:r w:rsidR="001669F2">
              <w:rPr>
                <w:rFonts w:eastAsiaTheme="minorEastAsia"/>
                <w:noProof/>
                <w:lang w:eastAsia="cs-CZ"/>
              </w:rPr>
              <w:tab/>
            </w:r>
            <w:r w:rsidR="001669F2" w:rsidRPr="00180F2B">
              <w:rPr>
                <w:rStyle w:val="Hypertextovodkaz"/>
                <w:noProof/>
              </w:rPr>
              <w:t>Automotive</w:t>
            </w:r>
            <w:r w:rsidR="001669F2">
              <w:rPr>
                <w:noProof/>
                <w:webHidden/>
              </w:rPr>
              <w:tab/>
            </w:r>
            <w:r w:rsidR="001669F2">
              <w:rPr>
                <w:noProof/>
                <w:webHidden/>
              </w:rPr>
              <w:fldChar w:fldCharType="begin"/>
            </w:r>
            <w:r w:rsidR="001669F2">
              <w:rPr>
                <w:noProof/>
                <w:webHidden/>
              </w:rPr>
              <w:instrText xml:space="preserve"> PAGEREF _Toc525716284 \h </w:instrText>
            </w:r>
            <w:r w:rsidR="001669F2">
              <w:rPr>
                <w:noProof/>
                <w:webHidden/>
              </w:rPr>
            </w:r>
            <w:r w:rsidR="001669F2">
              <w:rPr>
                <w:noProof/>
                <w:webHidden/>
              </w:rPr>
              <w:fldChar w:fldCharType="separate"/>
            </w:r>
            <w:r w:rsidR="001669F2">
              <w:rPr>
                <w:noProof/>
                <w:webHidden/>
              </w:rPr>
              <w:t>288</w:t>
            </w:r>
            <w:r w:rsidR="001669F2">
              <w:rPr>
                <w:noProof/>
                <w:webHidden/>
              </w:rPr>
              <w:fldChar w:fldCharType="end"/>
            </w:r>
          </w:hyperlink>
        </w:p>
        <w:p w14:paraId="0CD121B2" w14:textId="77777777" w:rsidR="001669F2" w:rsidRDefault="00663FF6">
          <w:pPr>
            <w:pStyle w:val="Obsah4"/>
            <w:rPr>
              <w:rFonts w:eastAsiaTheme="minorEastAsia"/>
              <w:noProof/>
              <w:lang w:eastAsia="cs-CZ"/>
            </w:rPr>
          </w:pPr>
          <w:hyperlink w:anchor="_Toc525716285" w:history="1">
            <w:r w:rsidR="001669F2" w:rsidRPr="00180F2B">
              <w:rPr>
                <w:rStyle w:val="Hypertextovodkaz"/>
                <w:noProof/>
              </w:rPr>
              <w:t>9.2.3.2</w:t>
            </w:r>
            <w:r w:rsidR="001669F2">
              <w:rPr>
                <w:rFonts w:eastAsiaTheme="minorEastAsia"/>
                <w:noProof/>
                <w:lang w:eastAsia="cs-CZ"/>
              </w:rPr>
              <w:tab/>
            </w:r>
            <w:r w:rsidR="001669F2" w:rsidRPr="00180F2B">
              <w:rPr>
                <w:rStyle w:val="Hypertextovodkaz"/>
                <w:noProof/>
              </w:rPr>
              <w:t>Letecký a kosmický průmysl</w:t>
            </w:r>
            <w:r w:rsidR="001669F2">
              <w:rPr>
                <w:noProof/>
                <w:webHidden/>
              </w:rPr>
              <w:tab/>
            </w:r>
            <w:r w:rsidR="001669F2">
              <w:rPr>
                <w:noProof/>
                <w:webHidden/>
              </w:rPr>
              <w:fldChar w:fldCharType="begin"/>
            </w:r>
            <w:r w:rsidR="001669F2">
              <w:rPr>
                <w:noProof/>
                <w:webHidden/>
              </w:rPr>
              <w:instrText xml:space="preserve"> PAGEREF _Toc525716285 \h </w:instrText>
            </w:r>
            <w:r w:rsidR="001669F2">
              <w:rPr>
                <w:noProof/>
                <w:webHidden/>
              </w:rPr>
            </w:r>
            <w:r w:rsidR="001669F2">
              <w:rPr>
                <w:noProof/>
                <w:webHidden/>
              </w:rPr>
              <w:fldChar w:fldCharType="separate"/>
            </w:r>
            <w:r w:rsidR="001669F2">
              <w:rPr>
                <w:noProof/>
                <w:webHidden/>
              </w:rPr>
              <w:t>292</w:t>
            </w:r>
            <w:r w:rsidR="001669F2">
              <w:rPr>
                <w:noProof/>
                <w:webHidden/>
              </w:rPr>
              <w:fldChar w:fldCharType="end"/>
            </w:r>
          </w:hyperlink>
        </w:p>
        <w:p w14:paraId="4E065FFD" w14:textId="77777777" w:rsidR="001669F2" w:rsidRDefault="00663FF6">
          <w:pPr>
            <w:pStyle w:val="Obsah4"/>
            <w:rPr>
              <w:rFonts w:eastAsiaTheme="minorEastAsia"/>
              <w:noProof/>
              <w:lang w:eastAsia="cs-CZ"/>
            </w:rPr>
          </w:pPr>
          <w:hyperlink w:anchor="_Toc525716286" w:history="1">
            <w:r w:rsidR="001669F2" w:rsidRPr="00180F2B">
              <w:rPr>
                <w:rStyle w:val="Hypertextovodkaz"/>
                <w:noProof/>
              </w:rPr>
              <w:t>9.2.3.3</w:t>
            </w:r>
            <w:r w:rsidR="001669F2">
              <w:rPr>
                <w:rFonts w:eastAsiaTheme="minorEastAsia"/>
                <w:noProof/>
                <w:lang w:eastAsia="cs-CZ"/>
              </w:rPr>
              <w:tab/>
            </w:r>
            <w:r w:rsidR="001669F2" w:rsidRPr="00180F2B">
              <w:rPr>
                <w:rStyle w:val="Hypertextovodkaz"/>
                <w:noProof/>
              </w:rPr>
              <w:t>Železniční a kolejová vozidla</w:t>
            </w:r>
            <w:r w:rsidR="001669F2">
              <w:rPr>
                <w:noProof/>
                <w:webHidden/>
              </w:rPr>
              <w:tab/>
            </w:r>
            <w:r w:rsidR="001669F2">
              <w:rPr>
                <w:noProof/>
                <w:webHidden/>
              </w:rPr>
              <w:fldChar w:fldCharType="begin"/>
            </w:r>
            <w:r w:rsidR="001669F2">
              <w:rPr>
                <w:noProof/>
                <w:webHidden/>
              </w:rPr>
              <w:instrText xml:space="preserve"> PAGEREF _Toc525716286 \h </w:instrText>
            </w:r>
            <w:r w:rsidR="001669F2">
              <w:rPr>
                <w:noProof/>
                <w:webHidden/>
              </w:rPr>
            </w:r>
            <w:r w:rsidR="001669F2">
              <w:rPr>
                <w:noProof/>
                <w:webHidden/>
              </w:rPr>
              <w:fldChar w:fldCharType="separate"/>
            </w:r>
            <w:r w:rsidR="001669F2">
              <w:rPr>
                <w:noProof/>
                <w:webHidden/>
              </w:rPr>
              <w:t>297</w:t>
            </w:r>
            <w:r w:rsidR="001669F2">
              <w:rPr>
                <w:noProof/>
                <w:webHidden/>
              </w:rPr>
              <w:fldChar w:fldCharType="end"/>
            </w:r>
          </w:hyperlink>
        </w:p>
        <w:p w14:paraId="659D3AD5" w14:textId="77777777" w:rsidR="001669F2" w:rsidRDefault="00663FF6">
          <w:pPr>
            <w:pStyle w:val="Obsah3"/>
            <w:rPr>
              <w:rFonts w:eastAsiaTheme="minorEastAsia"/>
              <w:noProof/>
              <w:lang w:eastAsia="cs-CZ"/>
            </w:rPr>
          </w:pPr>
          <w:hyperlink w:anchor="_Toc525716287" w:history="1">
            <w:r w:rsidR="001669F2" w:rsidRPr="00180F2B">
              <w:rPr>
                <w:rStyle w:val="Hypertextovodkaz"/>
                <w:noProof/>
              </w:rPr>
              <w:t>9.2.4</w:t>
            </w:r>
            <w:r w:rsidR="001669F2">
              <w:rPr>
                <w:rFonts w:eastAsiaTheme="minorEastAsia"/>
                <w:noProof/>
                <w:lang w:eastAsia="cs-CZ"/>
              </w:rPr>
              <w:tab/>
            </w:r>
            <w:r w:rsidR="001669F2" w:rsidRPr="00180F2B">
              <w:rPr>
                <w:rStyle w:val="Hypertextovodkaz"/>
                <w:noProof/>
              </w:rPr>
              <w:t>Péče o zdraví, pokročilá medicína - výstupy z NIP IV. „Léčiva, biotechnologie, prostředky zdravotnické techniky a Life Sciences“</w:t>
            </w:r>
            <w:r w:rsidR="001669F2">
              <w:rPr>
                <w:noProof/>
                <w:webHidden/>
              </w:rPr>
              <w:tab/>
            </w:r>
            <w:r w:rsidR="001669F2">
              <w:rPr>
                <w:noProof/>
                <w:webHidden/>
              </w:rPr>
              <w:fldChar w:fldCharType="begin"/>
            </w:r>
            <w:r w:rsidR="001669F2">
              <w:rPr>
                <w:noProof/>
                <w:webHidden/>
              </w:rPr>
              <w:instrText xml:space="preserve"> PAGEREF _Toc525716287 \h </w:instrText>
            </w:r>
            <w:r w:rsidR="001669F2">
              <w:rPr>
                <w:noProof/>
                <w:webHidden/>
              </w:rPr>
            </w:r>
            <w:r w:rsidR="001669F2">
              <w:rPr>
                <w:noProof/>
                <w:webHidden/>
              </w:rPr>
              <w:fldChar w:fldCharType="separate"/>
            </w:r>
            <w:r w:rsidR="001669F2">
              <w:rPr>
                <w:noProof/>
                <w:webHidden/>
              </w:rPr>
              <w:t>301</w:t>
            </w:r>
            <w:r w:rsidR="001669F2">
              <w:rPr>
                <w:noProof/>
                <w:webHidden/>
              </w:rPr>
              <w:fldChar w:fldCharType="end"/>
            </w:r>
          </w:hyperlink>
        </w:p>
        <w:p w14:paraId="5BE6F9FC" w14:textId="77777777" w:rsidR="001669F2" w:rsidRDefault="00663FF6">
          <w:pPr>
            <w:pStyle w:val="Obsah4"/>
            <w:rPr>
              <w:rFonts w:eastAsiaTheme="minorEastAsia"/>
              <w:noProof/>
              <w:lang w:eastAsia="cs-CZ"/>
            </w:rPr>
          </w:pPr>
          <w:hyperlink w:anchor="_Toc525716288" w:history="1">
            <w:r w:rsidR="001669F2" w:rsidRPr="00180F2B">
              <w:rPr>
                <w:rStyle w:val="Hypertextovodkaz"/>
                <w:noProof/>
              </w:rPr>
              <w:t>9.2.4.1</w:t>
            </w:r>
            <w:r w:rsidR="001669F2">
              <w:rPr>
                <w:rFonts w:eastAsiaTheme="minorEastAsia"/>
                <w:noProof/>
                <w:lang w:eastAsia="cs-CZ"/>
              </w:rPr>
              <w:tab/>
            </w:r>
            <w:r w:rsidR="001669F2" w:rsidRPr="00180F2B">
              <w:rPr>
                <w:rStyle w:val="Hypertextovodkaz"/>
                <w:noProof/>
              </w:rPr>
              <w:t>Léčiva, biotechnologie, prostředky zdravotnické techniky a Life Sciences</w:t>
            </w:r>
            <w:r w:rsidR="001669F2">
              <w:rPr>
                <w:noProof/>
                <w:webHidden/>
              </w:rPr>
              <w:tab/>
            </w:r>
            <w:r w:rsidR="001669F2">
              <w:rPr>
                <w:noProof/>
                <w:webHidden/>
              </w:rPr>
              <w:fldChar w:fldCharType="begin"/>
            </w:r>
            <w:r w:rsidR="001669F2">
              <w:rPr>
                <w:noProof/>
                <w:webHidden/>
              </w:rPr>
              <w:instrText xml:space="preserve"> PAGEREF _Toc525716288 \h </w:instrText>
            </w:r>
            <w:r w:rsidR="001669F2">
              <w:rPr>
                <w:noProof/>
                <w:webHidden/>
              </w:rPr>
            </w:r>
            <w:r w:rsidR="001669F2">
              <w:rPr>
                <w:noProof/>
                <w:webHidden/>
              </w:rPr>
              <w:fldChar w:fldCharType="separate"/>
            </w:r>
            <w:r w:rsidR="001669F2">
              <w:rPr>
                <w:noProof/>
                <w:webHidden/>
              </w:rPr>
              <w:t>301</w:t>
            </w:r>
            <w:r w:rsidR="001669F2">
              <w:rPr>
                <w:noProof/>
                <w:webHidden/>
              </w:rPr>
              <w:fldChar w:fldCharType="end"/>
            </w:r>
          </w:hyperlink>
        </w:p>
        <w:p w14:paraId="47111502" w14:textId="77777777" w:rsidR="001669F2" w:rsidRDefault="00663FF6">
          <w:pPr>
            <w:pStyle w:val="Obsah3"/>
            <w:rPr>
              <w:rFonts w:eastAsiaTheme="minorEastAsia"/>
              <w:noProof/>
              <w:lang w:eastAsia="cs-CZ"/>
            </w:rPr>
          </w:pPr>
          <w:hyperlink w:anchor="_Toc525716289" w:history="1">
            <w:r w:rsidR="001669F2" w:rsidRPr="00180F2B">
              <w:rPr>
                <w:rStyle w:val="Hypertextovodkaz"/>
                <w:noProof/>
              </w:rPr>
              <w:t>9.2.5</w:t>
            </w:r>
            <w:r w:rsidR="001669F2">
              <w:rPr>
                <w:rFonts w:eastAsiaTheme="minorEastAsia"/>
                <w:noProof/>
                <w:lang w:eastAsia="cs-CZ"/>
              </w:rPr>
              <w:tab/>
            </w:r>
            <w:r w:rsidR="001669F2" w:rsidRPr="00180F2B">
              <w:rPr>
                <w:rStyle w:val="Hypertextovodkaz"/>
                <w:noProof/>
              </w:rPr>
              <w:t>Kulturní a kreativní odvětví - výstupy z NIP V. „Kulturní a kreativní odvětví“</w:t>
            </w:r>
            <w:r w:rsidR="001669F2">
              <w:rPr>
                <w:noProof/>
                <w:webHidden/>
              </w:rPr>
              <w:tab/>
            </w:r>
            <w:r w:rsidR="001669F2">
              <w:rPr>
                <w:noProof/>
                <w:webHidden/>
              </w:rPr>
              <w:fldChar w:fldCharType="begin"/>
            </w:r>
            <w:r w:rsidR="001669F2">
              <w:rPr>
                <w:noProof/>
                <w:webHidden/>
              </w:rPr>
              <w:instrText xml:space="preserve"> PAGEREF _Toc525716289 \h </w:instrText>
            </w:r>
            <w:r w:rsidR="001669F2">
              <w:rPr>
                <w:noProof/>
                <w:webHidden/>
              </w:rPr>
            </w:r>
            <w:r w:rsidR="001669F2">
              <w:rPr>
                <w:noProof/>
                <w:webHidden/>
              </w:rPr>
              <w:fldChar w:fldCharType="separate"/>
            </w:r>
            <w:r w:rsidR="001669F2">
              <w:rPr>
                <w:noProof/>
                <w:webHidden/>
              </w:rPr>
              <w:t>304</w:t>
            </w:r>
            <w:r w:rsidR="001669F2">
              <w:rPr>
                <w:noProof/>
                <w:webHidden/>
              </w:rPr>
              <w:fldChar w:fldCharType="end"/>
            </w:r>
          </w:hyperlink>
        </w:p>
        <w:p w14:paraId="755FCD1B" w14:textId="77777777" w:rsidR="001669F2" w:rsidRDefault="00663FF6">
          <w:pPr>
            <w:pStyle w:val="Obsah4"/>
            <w:rPr>
              <w:rFonts w:eastAsiaTheme="minorEastAsia"/>
              <w:noProof/>
              <w:lang w:eastAsia="cs-CZ"/>
            </w:rPr>
          </w:pPr>
          <w:hyperlink w:anchor="_Toc525716290" w:history="1">
            <w:r w:rsidR="001669F2" w:rsidRPr="00180F2B">
              <w:rPr>
                <w:rStyle w:val="Hypertextovodkaz"/>
                <w:noProof/>
              </w:rPr>
              <w:t>9.2.5.1</w:t>
            </w:r>
            <w:r w:rsidR="001669F2">
              <w:rPr>
                <w:rFonts w:eastAsiaTheme="minorEastAsia"/>
                <w:noProof/>
                <w:lang w:eastAsia="cs-CZ"/>
              </w:rPr>
              <w:tab/>
            </w:r>
            <w:r w:rsidR="001669F2" w:rsidRPr="00180F2B">
              <w:rPr>
                <w:rStyle w:val="Hypertextovodkaz"/>
                <w:noProof/>
              </w:rPr>
              <w:t>Tradiční kulturní a kreativní odvětví</w:t>
            </w:r>
            <w:r w:rsidR="001669F2">
              <w:rPr>
                <w:noProof/>
                <w:webHidden/>
              </w:rPr>
              <w:tab/>
            </w:r>
            <w:r w:rsidR="001669F2">
              <w:rPr>
                <w:noProof/>
                <w:webHidden/>
              </w:rPr>
              <w:fldChar w:fldCharType="begin"/>
            </w:r>
            <w:r w:rsidR="001669F2">
              <w:rPr>
                <w:noProof/>
                <w:webHidden/>
              </w:rPr>
              <w:instrText xml:space="preserve"> PAGEREF _Toc525716290 \h </w:instrText>
            </w:r>
            <w:r w:rsidR="001669F2">
              <w:rPr>
                <w:noProof/>
                <w:webHidden/>
              </w:rPr>
            </w:r>
            <w:r w:rsidR="001669F2">
              <w:rPr>
                <w:noProof/>
                <w:webHidden/>
              </w:rPr>
              <w:fldChar w:fldCharType="separate"/>
            </w:r>
            <w:r w:rsidR="001669F2">
              <w:rPr>
                <w:noProof/>
                <w:webHidden/>
              </w:rPr>
              <w:t>304</w:t>
            </w:r>
            <w:r w:rsidR="001669F2">
              <w:rPr>
                <w:noProof/>
                <w:webHidden/>
              </w:rPr>
              <w:fldChar w:fldCharType="end"/>
            </w:r>
          </w:hyperlink>
        </w:p>
        <w:p w14:paraId="774C8DC6" w14:textId="77777777" w:rsidR="001669F2" w:rsidRDefault="00663FF6">
          <w:pPr>
            <w:pStyle w:val="Obsah4"/>
            <w:rPr>
              <w:rFonts w:eastAsiaTheme="minorEastAsia"/>
              <w:noProof/>
              <w:lang w:eastAsia="cs-CZ"/>
            </w:rPr>
          </w:pPr>
          <w:hyperlink w:anchor="_Toc525716291" w:history="1">
            <w:r w:rsidR="001669F2" w:rsidRPr="00180F2B">
              <w:rPr>
                <w:rStyle w:val="Hypertextovodkaz"/>
                <w:noProof/>
              </w:rPr>
              <w:t>9.2.5.2</w:t>
            </w:r>
            <w:r w:rsidR="001669F2">
              <w:rPr>
                <w:rFonts w:eastAsiaTheme="minorEastAsia"/>
                <w:noProof/>
                <w:lang w:eastAsia="cs-CZ"/>
              </w:rPr>
              <w:tab/>
            </w:r>
            <w:r w:rsidR="001669F2" w:rsidRPr="00180F2B">
              <w:rPr>
                <w:rStyle w:val="Hypertextovodkaz"/>
                <w:noProof/>
              </w:rPr>
              <w:t>Nová kulturní a kreativní odvětví</w:t>
            </w:r>
            <w:r w:rsidR="001669F2">
              <w:rPr>
                <w:noProof/>
                <w:webHidden/>
              </w:rPr>
              <w:tab/>
            </w:r>
            <w:r w:rsidR="001669F2">
              <w:rPr>
                <w:noProof/>
                <w:webHidden/>
              </w:rPr>
              <w:fldChar w:fldCharType="begin"/>
            </w:r>
            <w:r w:rsidR="001669F2">
              <w:rPr>
                <w:noProof/>
                <w:webHidden/>
              </w:rPr>
              <w:instrText xml:space="preserve"> PAGEREF _Toc525716291 \h </w:instrText>
            </w:r>
            <w:r w:rsidR="001669F2">
              <w:rPr>
                <w:noProof/>
                <w:webHidden/>
              </w:rPr>
            </w:r>
            <w:r w:rsidR="001669F2">
              <w:rPr>
                <w:noProof/>
                <w:webHidden/>
              </w:rPr>
              <w:fldChar w:fldCharType="separate"/>
            </w:r>
            <w:r w:rsidR="001669F2">
              <w:rPr>
                <w:noProof/>
                <w:webHidden/>
              </w:rPr>
              <w:t>308</w:t>
            </w:r>
            <w:r w:rsidR="001669F2">
              <w:rPr>
                <w:noProof/>
                <w:webHidden/>
              </w:rPr>
              <w:fldChar w:fldCharType="end"/>
            </w:r>
          </w:hyperlink>
        </w:p>
        <w:p w14:paraId="4EE7E6A1" w14:textId="77777777" w:rsidR="001669F2" w:rsidRDefault="00663FF6">
          <w:pPr>
            <w:pStyle w:val="Obsah3"/>
            <w:rPr>
              <w:rFonts w:eastAsiaTheme="minorEastAsia"/>
              <w:noProof/>
              <w:lang w:eastAsia="cs-CZ"/>
            </w:rPr>
          </w:pPr>
          <w:hyperlink w:anchor="_Toc525716292" w:history="1">
            <w:r w:rsidR="001669F2" w:rsidRPr="00180F2B">
              <w:rPr>
                <w:rStyle w:val="Hypertextovodkaz"/>
                <w:noProof/>
              </w:rPr>
              <w:t>9.2.6</w:t>
            </w:r>
            <w:r w:rsidR="001669F2">
              <w:rPr>
                <w:rFonts w:eastAsiaTheme="minorEastAsia"/>
                <w:noProof/>
                <w:lang w:eastAsia="cs-CZ"/>
              </w:rPr>
              <w:tab/>
            </w:r>
            <w:r w:rsidR="001669F2" w:rsidRPr="00180F2B">
              <w:rPr>
                <w:rStyle w:val="Hypertextovodkaz"/>
                <w:noProof/>
              </w:rPr>
              <w:t>Udržitelné zemědělství a environmentální aplikační odvětví - výstupy z NIP VI.</w:t>
            </w:r>
            <w:r w:rsidR="001669F2">
              <w:rPr>
                <w:noProof/>
                <w:webHidden/>
              </w:rPr>
              <w:tab/>
            </w:r>
            <w:r w:rsidR="001669F2">
              <w:rPr>
                <w:noProof/>
                <w:webHidden/>
              </w:rPr>
              <w:fldChar w:fldCharType="begin"/>
            </w:r>
            <w:r w:rsidR="001669F2">
              <w:rPr>
                <w:noProof/>
                <w:webHidden/>
              </w:rPr>
              <w:instrText xml:space="preserve"> PAGEREF _Toc525716292 \h </w:instrText>
            </w:r>
            <w:r w:rsidR="001669F2">
              <w:rPr>
                <w:noProof/>
                <w:webHidden/>
              </w:rPr>
            </w:r>
            <w:r w:rsidR="001669F2">
              <w:rPr>
                <w:noProof/>
                <w:webHidden/>
              </w:rPr>
              <w:fldChar w:fldCharType="separate"/>
            </w:r>
            <w:r w:rsidR="001669F2">
              <w:rPr>
                <w:noProof/>
                <w:webHidden/>
              </w:rPr>
              <w:t>314</w:t>
            </w:r>
            <w:r w:rsidR="001669F2">
              <w:rPr>
                <w:noProof/>
                <w:webHidden/>
              </w:rPr>
              <w:fldChar w:fldCharType="end"/>
            </w:r>
          </w:hyperlink>
        </w:p>
        <w:p w14:paraId="31879883" w14:textId="77777777" w:rsidR="001669F2" w:rsidRDefault="00663FF6">
          <w:pPr>
            <w:pStyle w:val="Obsah4"/>
            <w:rPr>
              <w:rFonts w:eastAsiaTheme="minorEastAsia"/>
              <w:noProof/>
              <w:lang w:eastAsia="cs-CZ"/>
            </w:rPr>
          </w:pPr>
          <w:hyperlink w:anchor="_Toc525716293" w:history="1">
            <w:r w:rsidR="001669F2" w:rsidRPr="00180F2B">
              <w:rPr>
                <w:rStyle w:val="Hypertextovodkaz"/>
                <w:noProof/>
              </w:rPr>
              <w:t>9.2.6.1</w:t>
            </w:r>
            <w:r w:rsidR="001669F2">
              <w:rPr>
                <w:rFonts w:eastAsiaTheme="minorEastAsia"/>
                <w:noProof/>
                <w:lang w:eastAsia="cs-CZ"/>
              </w:rPr>
              <w:tab/>
            </w:r>
            <w:r w:rsidR="001669F2" w:rsidRPr="00180F2B">
              <w:rPr>
                <w:rStyle w:val="Hypertextovodkaz"/>
                <w:noProof/>
              </w:rPr>
              <w:t>Udržitelné hospodaření s přírodními zdroji</w:t>
            </w:r>
            <w:r w:rsidR="001669F2">
              <w:rPr>
                <w:noProof/>
                <w:webHidden/>
              </w:rPr>
              <w:tab/>
            </w:r>
            <w:r w:rsidR="001669F2">
              <w:rPr>
                <w:noProof/>
                <w:webHidden/>
              </w:rPr>
              <w:fldChar w:fldCharType="begin"/>
            </w:r>
            <w:r w:rsidR="001669F2">
              <w:rPr>
                <w:noProof/>
                <w:webHidden/>
              </w:rPr>
              <w:instrText xml:space="preserve"> PAGEREF _Toc525716293 \h </w:instrText>
            </w:r>
            <w:r w:rsidR="001669F2">
              <w:rPr>
                <w:noProof/>
                <w:webHidden/>
              </w:rPr>
            </w:r>
            <w:r w:rsidR="001669F2">
              <w:rPr>
                <w:noProof/>
                <w:webHidden/>
              </w:rPr>
              <w:fldChar w:fldCharType="separate"/>
            </w:r>
            <w:r w:rsidR="001669F2">
              <w:rPr>
                <w:noProof/>
                <w:webHidden/>
              </w:rPr>
              <w:t>314</w:t>
            </w:r>
            <w:r w:rsidR="001669F2">
              <w:rPr>
                <w:noProof/>
                <w:webHidden/>
              </w:rPr>
              <w:fldChar w:fldCharType="end"/>
            </w:r>
          </w:hyperlink>
        </w:p>
        <w:p w14:paraId="39F2B441" w14:textId="77777777" w:rsidR="001669F2" w:rsidRDefault="00663FF6">
          <w:pPr>
            <w:pStyle w:val="Obsah4"/>
            <w:rPr>
              <w:rFonts w:eastAsiaTheme="minorEastAsia"/>
              <w:noProof/>
              <w:lang w:eastAsia="cs-CZ"/>
            </w:rPr>
          </w:pPr>
          <w:hyperlink w:anchor="_Toc525716294" w:history="1">
            <w:r w:rsidR="001669F2" w:rsidRPr="00180F2B">
              <w:rPr>
                <w:rStyle w:val="Hypertextovodkaz"/>
                <w:noProof/>
              </w:rPr>
              <w:t>9.2.6.2</w:t>
            </w:r>
            <w:r w:rsidR="001669F2">
              <w:rPr>
                <w:rFonts w:eastAsiaTheme="minorEastAsia"/>
                <w:noProof/>
                <w:lang w:eastAsia="cs-CZ"/>
              </w:rPr>
              <w:tab/>
            </w:r>
            <w:r w:rsidR="001669F2" w:rsidRPr="00180F2B">
              <w:rPr>
                <w:rStyle w:val="Hypertextovodkaz"/>
                <w:noProof/>
              </w:rPr>
              <w:t>Udržitelné zemědělství a lesnictví</w:t>
            </w:r>
            <w:r w:rsidR="001669F2">
              <w:rPr>
                <w:noProof/>
                <w:webHidden/>
              </w:rPr>
              <w:tab/>
            </w:r>
            <w:r w:rsidR="001669F2">
              <w:rPr>
                <w:noProof/>
                <w:webHidden/>
              </w:rPr>
              <w:fldChar w:fldCharType="begin"/>
            </w:r>
            <w:r w:rsidR="001669F2">
              <w:rPr>
                <w:noProof/>
                <w:webHidden/>
              </w:rPr>
              <w:instrText xml:space="preserve"> PAGEREF _Toc525716294 \h </w:instrText>
            </w:r>
            <w:r w:rsidR="001669F2">
              <w:rPr>
                <w:noProof/>
                <w:webHidden/>
              </w:rPr>
            </w:r>
            <w:r w:rsidR="001669F2">
              <w:rPr>
                <w:noProof/>
                <w:webHidden/>
              </w:rPr>
              <w:fldChar w:fldCharType="separate"/>
            </w:r>
            <w:r w:rsidR="001669F2">
              <w:rPr>
                <w:noProof/>
                <w:webHidden/>
              </w:rPr>
              <w:t>316</w:t>
            </w:r>
            <w:r w:rsidR="001669F2">
              <w:rPr>
                <w:noProof/>
                <w:webHidden/>
              </w:rPr>
              <w:fldChar w:fldCharType="end"/>
            </w:r>
          </w:hyperlink>
        </w:p>
        <w:p w14:paraId="2EF9F336" w14:textId="77777777" w:rsidR="001669F2" w:rsidRDefault="00663FF6">
          <w:pPr>
            <w:pStyle w:val="Obsah4"/>
            <w:rPr>
              <w:rFonts w:eastAsiaTheme="minorEastAsia"/>
              <w:noProof/>
              <w:lang w:eastAsia="cs-CZ"/>
            </w:rPr>
          </w:pPr>
          <w:hyperlink w:anchor="_Toc525716295" w:history="1">
            <w:r w:rsidR="001669F2" w:rsidRPr="00180F2B">
              <w:rPr>
                <w:rStyle w:val="Hypertextovodkaz"/>
                <w:noProof/>
              </w:rPr>
              <w:t>9.2.6.3</w:t>
            </w:r>
            <w:r w:rsidR="001669F2">
              <w:rPr>
                <w:rFonts w:eastAsiaTheme="minorEastAsia"/>
                <w:noProof/>
                <w:lang w:eastAsia="cs-CZ"/>
              </w:rPr>
              <w:tab/>
            </w:r>
            <w:r w:rsidR="001669F2" w:rsidRPr="00180F2B">
              <w:rPr>
                <w:rStyle w:val="Hypertextovodkaz"/>
                <w:noProof/>
              </w:rPr>
              <w:t>Udržitelná produkce potravin</w:t>
            </w:r>
            <w:r w:rsidR="001669F2">
              <w:rPr>
                <w:noProof/>
                <w:webHidden/>
              </w:rPr>
              <w:tab/>
            </w:r>
            <w:r w:rsidR="001669F2">
              <w:rPr>
                <w:noProof/>
                <w:webHidden/>
              </w:rPr>
              <w:fldChar w:fldCharType="begin"/>
            </w:r>
            <w:r w:rsidR="001669F2">
              <w:rPr>
                <w:noProof/>
                <w:webHidden/>
              </w:rPr>
              <w:instrText xml:space="preserve"> PAGEREF _Toc525716295 \h </w:instrText>
            </w:r>
            <w:r w:rsidR="001669F2">
              <w:rPr>
                <w:noProof/>
                <w:webHidden/>
              </w:rPr>
            </w:r>
            <w:r w:rsidR="001669F2">
              <w:rPr>
                <w:noProof/>
                <w:webHidden/>
              </w:rPr>
              <w:fldChar w:fldCharType="separate"/>
            </w:r>
            <w:r w:rsidR="001669F2">
              <w:rPr>
                <w:noProof/>
                <w:webHidden/>
              </w:rPr>
              <w:t>319</w:t>
            </w:r>
            <w:r w:rsidR="001669F2">
              <w:rPr>
                <w:noProof/>
                <w:webHidden/>
              </w:rPr>
              <w:fldChar w:fldCharType="end"/>
            </w:r>
          </w:hyperlink>
        </w:p>
        <w:p w14:paraId="45F4310A" w14:textId="77777777" w:rsidR="001669F2" w:rsidRDefault="00663FF6">
          <w:pPr>
            <w:pStyle w:val="Obsah4"/>
            <w:rPr>
              <w:rFonts w:eastAsiaTheme="minorEastAsia"/>
              <w:noProof/>
              <w:lang w:eastAsia="cs-CZ"/>
            </w:rPr>
          </w:pPr>
          <w:hyperlink w:anchor="_Toc525716296" w:history="1">
            <w:r w:rsidR="001669F2" w:rsidRPr="00180F2B">
              <w:rPr>
                <w:rStyle w:val="Hypertextovodkaz"/>
                <w:noProof/>
                <w:lang w:eastAsia="cs-CZ"/>
              </w:rPr>
              <w:t>9.2.6.4</w:t>
            </w:r>
            <w:r w:rsidR="001669F2">
              <w:rPr>
                <w:rFonts w:eastAsiaTheme="minorEastAsia"/>
                <w:noProof/>
                <w:lang w:eastAsia="cs-CZ"/>
              </w:rPr>
              <w:tab/>
            </w:r>
            <w:r w:rsidR="001669F2" w:rsidRPr="00180F2B">
              <w:rPr>
                <w:rStyle w:val="Hypertextovodkaz"/>
                <w:noProof/>
                <w:lang w:eastAsia="cs-CZ"/>
              </w:rPr>
              <w:t>Zajištění zdravého a kvalitního životního prostředí, biodiverzity a ekologie přírodních zdrojů</w:t>
            </w:r>
            <w:r w:rsidR="001669F2">
              <w:rPr>
                <w:noProof/>
                <w:webHidden/>
              </w:rPr>
              <w:tab/>
            </w:r>
            <w:r w:rsidR="001669F2">
              <w:rPr>
                <w:noProof/>
                <w:webHidden/>
              </w:rPr>
              <w:fldChar w:fldCharType="begin"/>
            </w:r>
            <w:r w:rsidR="001669F2">
              <w:rPr>
                <w:noProof/>
                <w:webHidden/>
              </w:rPr>
              <w:instrText xml:space="preserve"> PAGEREF _Toc525716296 \h </w:instrText>
            </w:r>
            <w:r w:rsidR="001669F2">
              <w:rPr>
                <w:noProof/>
                <w:webHidden/>
              </w:rPr>
            </w:r>
            <w:r w:rsidR="001669F2">
              <w:rPr>
                <w:noProof/>
                <w:webHidden/>
              </w:rPr>
              <w:fldChar w:fldCharType="separate"/>
            </w:r>
            <w:r w:rsidR="001669F2">
              <w:rPr>
                <w:noProof/>
                <w:webHidden/>
              </w:rPr>
              <w:t>321</w:t>
            </w:r>
            <w:r w:rsidR="001669F2">
              <w:rPr>
                <w:noProof/>
                <w:webHidden/>
              </w:rPr>
              <w:fldChar w:fldCharType="end"/>
            </w:r>
          </w:hyperlink>
        </w:p>
        <w:p w14:paraId="440A1EFB" w14:textId="77777777" w:rsidR="001669F2" w:rsidRDefault="00663FF6">
          <w:pPr>
            <w:pStyle w:val="Obsah4"/>
            <w:rPr>
              <w:rFonts w:eastAsiaTheme="minorEastAsia"/>
              <w:noProof/>
              <w:lang w:eastAsia="cs-CZ"/>
            </w:rPr>
          </w:pPr>
          <w:hyperlink w:anchor="_Toc525716297" w:history="1">
            <w:r w:rsidR="001669F2" w:rsidRPr="00180F2B">
              <w:rPr>
                <w:rStyle w:val="Hypertextovodkaz"/>
                <w:noProof/>
              </w:rPr>
              <w:t>9.2.6.5</w:t>
            </w:r>
            <w:r w:rsidR="001669F2">
              <w:rPr>
                <w:rFonts w:eastAsiaTheme="minorEastAsia"/>
                <w:noProof/>
                <w:lang w:eastAsia="cs-CZ"/>
              </w:rPr>
              <w:tab/>
            </w:r>
            <w:r w:rsidR="001669F2" w:rsidRPr="00180F2B">
              <w:rPr>
                <w:rStyle w:val="Hypertextovodkaz"/>
                <w:noProof/>
              </w:rPr>
              <w:t>Udržitelná výstavba, lidská sídla a technická ochran životního prostředí</w:t>
            </w:r>
            <w:r w:rsidR="001669F2">
              <w:rPr>
                <w:noProof/>
                <w:webHidden/>
              </w:rPr>
              <w:tab/>
            </w:r>
            <w:r w:rsidR="001669F2">
              <w:rPr>
                <w:noProof/>
                <w:webHidden/>
              </w:rPr>
              <w:fldChar w:fldCharType="begin"/>
            </w:r>
            <w:r w:rsidR="001669F2">
              <w:rPr>
                <w:noProof/>
                <w:webHidden/>
              </w:rPr>
              <w:instrText xml:space="preserve"> PAGEREF _Toc525716297 \h </w:instrText>
            </w:r>
            <w:r w:rsidR="001669F2">
              <w:rPr>
                <w:noProof/>
                <w:webHidden/>
              </w:rPr>
            </w:r>
            <w:r w:rsidR="001669F2">
              <w:rPr>
                <w:noProof/>
                <w:webHidden/>
              </w:rPr>
              <w:fldChar w:fldCharType="separate"/>
            </w:r>
            <w:r w:rsidR="001669F2">
              <w:rPr>
                <w:noProof/>
                <w:webHidden/>
              </w:rPr>
              <w:t>324</w:t>
            </w:r>
            <w:r w:rsidR="001669F2">
              <w:rPr>
                <w:noProof/>
                <w:webHidden/>
              </w:rPr>
              <w:fldChar w:fldCharType="end"/>
            </w:r>
          </w:hyperlink>
        </w:p>
        <w:p w14:paraId="53534E90" w14:textId="77777777" w:rsidR="001669F2" w:rsidRDefault="00663FF6">
          <w:pPr>
            <w:pStyle w:val="Obsah3"/>
            <w:rPr>
              <w:rFonts w:eastAsiaTheme="minorEastAsia"/>
              <w:noProof/>
              <w:lang w:eastAsia="cs-CZ"/>
            </w:rPr>
          </w:pPr>
          <w:hyperlink w:anchor="_Toc525716298" w:history="1">
            <w:r w:rsidR="001669F2" w:rsidRPr="00180F2B">
              <w:rPr>
                <w:rStyle w:val="Hypertextovodkaz"/>
                <w:noProof/>
              </w:rPr>
              <w:t>9.2.7</w:t>
            </w:r>
            <w:r w:rsidR="001669F2">
              <w:rPr>
                <w:rFonts w:eastAsiaTheme="minorEastAsia"/>
                <w:noProof/>
                <w:lang w:eastAsia="cs-CZ"/>
              </w:rPr>
              <w:tab/>
            </w:r>
            <w:r w:rsidR="001669F2" w:rsidRPr="00180F2B">
              <w:rPr>
                <w:rStyle w:val="Hypertextovodkaz"/>
                <w:noProof/>
              </w:rPr>
              <w:t>Společenské výzvy – výstupy z NIP VII.</w:t>
            </w:r>
            <w:r w:rsidR="001669F2">
              <w:rPr>
                <w:noProof/>
                <w:webHidden/>
              </w:rPr>
              <w:tab/>
            </w:r>
            <w:r w:rsidR="001669F2">
              <w:rPr>
                <w:noProof/>
                <w:webHidden/>
              </w:rPr>
              <w:fldChar w:fldCharType="begin"/>
            </w:r>
            <w:r w:rsidR="001669F2">
              <w:rPr>
                <w:noProof/>
                <w:webHidden/>
              </w:rPr>
              <w:instrText xml:space="preserve"> PAGEREF _Toc525716298 \h </w:instrText>
            </w:r>
            <w:r w:rsidR="001669F2">
              <w:rPr>
                <w:noProof/>
                <w:webHidden/>
              </w:rPr>
            </w:r>
            <w:r w:rsidR="001669F2">
              <w:rPr>
                <w:noProof/>
                <w:webHidden/>
              </w:rPr>
              <w:fldChar w:fldCharType="separate"/>
            </w:r>
            <w:r w:rsidR="001669F2">
              <w:rPr>
                <w:noProof/>
                <w:webHidden/>
              </w:rPr>
              <w:t>330</w:t>
            </w:r>
            <w:r w:rsidR="001669F2">
              <w:rPr>
                <w:noProof/>
                <w:webHidden/>
              </w:rPr>
              <w:fldChar w:fldCharType="end"/>
            </w:r>
          </w:hyperlink>
        </w:p>
        <w:p w14:paraId="3DF9B9D0" w14:textId="77777777" w:rsidR="001669F2" w:rsidRDefault="00663FF6">
          <w:pPr>
            <w:pStyle w:val="Obsah4"/>
            <w:rPr>
              <w:rFonts w:eastAsiaTheme="minorEastAsia"/>
              <w:noProof/>
              <w:lang w:eastAsia="cs-CZ"/>
            </w:rPr>
          </w:pPr>
          <w:hyperlink w:anchor="_Toc525716299" w:history="1">
            <w:r w:rsidR="001669F2" w:rsidRPr="00180F2B">
              <w:rPr>
                <w:rStyle w:val="Hypertextovodkaz"/>
                <w:noProof/>
              </w:rPr>
              <w:t>9.2.7.1</w:t>
            </w:r>
            <w:r w:rsidR="001669F2">
              <w:rPr>
                <w:rFonts w:eastAsiaTheme="minorEastAsia"/>
                <w:noProof/>
                <w:lang w:eastAsia="cs-CZ"/>
              </w:rPr>
              <w:tab/>
            </w:r>
            <w:r w:rsidR="001669F2" w:rsidRPr="00180F2B">
              <w:rPr>
                <w:rStyle w:val="Hypertextovodkaz"/>
                <w:noProof/>
              </w:rPr>
              <w:t>Práce, sociální služby a důchodový systém</w:t>
            </w:r>
            <w:r w:rsidR="001669F2">
              <w:rPr>
                <w:noProof/>
                <w:webHidden/>
              </w:rPr>
              <w:tab/>
            </w:r>
            <w:r w:rsidR="001669F2">
              <w:rPr>
                <w:noProof/>
                <w:webHidden/>
              </w:rPr>
              <w:fldChar w:fldCharType="begin"/>
            </w:r>
            <w:r w:rsidR="001669F2">
              <w:rPr>
                <w:noProof/>
                <w:webHidden/>
              </w:rPr>
              <w:instrText xml:space="preserve"> PAGEREF _Toc525716299 \h </w:instrText>
            </w:r>
            <w:r w:rsidR="001669F2">
              <w:rPr>
                <w:noProof/>
                <w:webHidden/>
              </w:rPr>
            </w:r>
            <w:r w:rsidR="001669F2">
              <w:rPr>
                <w:noProof/>
                <w:webHidden/>
              </w:rPr>
              <w:fldChar w:fldCharType="separate"/>
            </w:r>
            <w:r w:rsidR="001669F2">
              <w:rPr>
                <w:noProof/>
                <w:webHidden/>
              </w:rPr>
              <w:t>330</w:t>
            </w:r>
            <w:r w:rsidR="001669F2">
              <w:rPr>
                <w:noProof/>
                <w:webHidden/>
              </w:rPr>
              <w:fldChar w:fldCharType="end"/>
            </w:r>
          </w:hyperlink>
        </w:p>
        <w:p w14:paraId="305A2FB0" w14:textId="77777777" w:rsidR="001669F2" w:rsidRDefault="00663FF6">
          <w:pPr>
            <w:pStyle w:val="Obsah4"/>
            <w:rPr>
              <w:rFonts w:eastAsiaTheme="minorEastAsia"/>
              <w:noProof/>
              <w:lang w:eastAsia="cs-CZ"/>
            </w:rPr>
          </w:pPr>
          <w:hyperlink w:anchor="_Toc525716300" w:history="1">
            <w:r w:rsidR="001669F2" w:rsidRPr="00180F2B">
              <w:rPr>
                <w:rStyle w:val="Hypertextovodkaz"/>
                <w:rFonts w:eastAsia="Calibri"/>
                <w:noProof/>
              </w:rPr>
              <w:t>9.2.7.2</w:t>
            </w:r>
            <w:r w:rsidR="001669F2">
              <w:rPr>
                <w:rFonts w:eastAsiaTheme="minorEastAsia"/>
                <w:noProof/>
                <w:lang w:eastAsia="cs-CZ"/>
              </w:rPr>
              <w:tab/>
            </w:r>
            <w:r w:rsidR="001669F2" w:rsidRPr="00180F2B">
              <w:rPr>
                <w:rStyle w:val="Hypertextovodkaz"/>
                <w:rFonts w:eastAsia="Calibri"/>
                <w:noProof/>
              </w:rPr>
              <w:t>Bezpečnostní výzkum</w:t>
            </w:r>
            <w:r w:rsidR="001669F2">
              <w:rPr>
                <w:noProof/>
                <w:webHidden/>
              </w:rPr>
              <w:tab/>
            </w:r>
            <w:r w:rsidR="001669F2">
              <w:rPr>
                <w:noProof/>
                <w:webHidden/>
              </w:rPr>
              <w:fldChar w:fldCharType="begin"/>
            </w:r>
            <w:r w:rsidR="001669F2">
              <w:rPr>
                <w:noProof/>
                <w:webHidden/>
              </w:rPr>
              <w:instrText xml:space="preserve"> PAGEREF _Toc525716300 \h </w:instrText>
            </w:r>
            <w:r w:rsidR="001669F2">
              <w:rPr>
                <w:noProof/>
                <w:webHidden/>
              </w:rPr>
            </w:r>
            <w:r w:rsidR="001669F2">
              <w:rPr>
                <w:noProof/>
                <w:webHidden/>
              </w:rPr>
              <w:fldChar w:fldCharType="separate"/>
            </w:r>
            <w:r w:rsidR="001669F2">
              <w:rPr>
                <w:noProof/>
                <w:webHidden/>
              </w:rPr>
              <w:t>332</w:t>
            </w:r>
            <w:r w:rsidR="001669F2">
              <w:rPr>
                <w:noProof/>
                <w:webHidden/>
              </w:rPr>
              <w:fldChar w:fldCharType="end"/>
            </w:r>
          </w:hyperlink>
        </w:p>
        <w:p w14:paraId="0EE44596" w14:textId="77777777" w:rsidR="001669F2" w:rsidRDefault="00663FF6">
          <w:pPr>
            <w:pStyle w:val="Obsah4"/>
            <w:rPr>
              <w:rFonts w:eastAsiaTheme="minorEastAsia"/>
              <w:noProof/>
              <w:lang w:eastAsia="cs-CZ"/>
            </w:rPr>
          </w:pPr>
          <w:hyperlink w:anchor="_Toc525716301" w:history="1">
            <w:r w:rsidR="001669F2" w:rsidRPr="00180F2B">
              <w:rPr>
                <w:rStyle w:val="Hypertextovodkaz"/>
                <w:rFonts w:eastAsia="Calibri"/>
                <w:noProof/>
              </w:rPr>
              <w:t>9.2.7.3</w:t>
            </w:r>
            <w:r w:rsidR="001669F2">
              <w:rPr>
                <w:rFonts w:eastAsiaTheme="minorEastAsia"/>
                <w:noProof/>
                <w:lang w:eastAsia="cs-CZ"/>
              </w:rPr>
              <w:tab/>
            </w:r>
            <w:r w:rsidR="001669F2" w:rsidRPr="00180F2B">
              <w:rPr>
                <w:rStyle w:val="Hypertextovodkaz"/>
                <w:rFonts w:eastAsia="Calibri"/>
                <w:noProof/>
              </w:rPr>
              <w:t>Výzkum ve zdravotnictví</w:t>
            </w:r>
            <w:r w:rsidR="001669F2">
              <w:rPr>
                <w:noProof/>
                <w:webHidden/>
              </w:rPr>
              <w:tab/>
            </w:r>
            <w:r w:rsidR="001669F2">
              <w:rPr>
                <w:noProof/>
                <w:webHidden/>
              </w:rPr>
              <w:fldChar w:fldCharType="begin"/>
            </w:r>
            <w:r w:rsidR="001669F2">
              <w:rPr>
                <w:noProof/>
                <w:webHidden/>
              </w:rPr>
              <w:instrText xml:space="preserve"> PAGEREF _Toc525716301 \h </w:instrText>
            </w:r>
            <w:r w:rsidR="001669F2">
              <w:rPr>
                <w:noProof/>
                <w:webHidden/>
              </w:rPr>
            </w:r>
            <w:r w:rsidR="001669F2">
              <w:rPr>
                <w:noProof/>
                <w:webHidden/>
              </w:rPr>
              <w:fldChar w:fldCharType="separate"/>
            </w:r>
            <w:r w:rsidR="001669F2">
              <w:rPr>
                <w:noProof/>
                <w:webHidden/>
              </w:rPr>
              <w:t>335</w:t>
            </w:r>
            <w:r w:rsidR="001669F2">
              <w:rPr>
                <w:noProof/>
                <w:webHidden/>
              </w:rPr>
              <w:fldChar w:fldCharType="end"/>
            </w:r>
          </w:hyperlink>
        </w:p>
        <w:p w14:paraId="664E4C61" w14:textId="77777777" w:rsidR="001669F2" w:rsidRDefault="00663FF6">
          <w:pPr>
            <w:pStyle w:val="Obsah1"/>
            <w:rPr>
              <w:rFonts w:asciiTheme="minorHAnsi" w:eastAsiaTheme="minorEastAsia" w:hAnsiTheme="minorHAnsi"/>
              <w:noProof/>
              <w:lang w:eastAsia="cs-CZ"/>
            </w:rPr>
          </w:pPr>
          <w:hyperlink w:anchor="_Toc525716302" w:history="1">
            <w:r w:rsidR="001669F2" w:rsidRPr="00180F2B">
              <w:rPr>
                <w:rStyle w:val="Hypertextovodkaz"/>
                <w:noProof/>
              </w:rPr>
              <w:t>10</w:t>
            </w:r>
            <w:r w:rsidR="001669F2">
              <w:rPr>
                <w:rFonts w:asciiTheme="minorHAnsi" w:eastAsiaTheme="minorEastAsia" w:hAnsiTheme="minorHAnsi"/>
                <w:noProof/>
                <w:lang w:eastAsia="cs-CZ"/>
              </w:rPr>
              <w:tab/>
            </w:r>
            <w:r w:rsidR="001669F2" w:rsidRPr="00180F2B">
              <w:rPr>
                <w:rStyle w:val="Hypertextovodkaz"/>
                <w:noProof/>
              </w:rPr>
              <w:t>Použitá literatura</w:t>
            </w:r>
            <w:r w:rsidR="001669F2">
              <w:rPr>
                <w:noProof/>
                <w:webHidden/>
              </w:rPr>
              <w:tab/>
            </w:r>
            <w:r w:rsidR="001669F2">
              <w:rPr>
                <w:noProof/>
                <w:webHidden/>
              </w:rPr>
              <w:fldChar w:fldCharType="begin"/>
            </w:r>
            <w:r w:rsidR="001669F2">
              <w:rPr>
                <w:noProof/>
                <w:webHidden/>
              </w:rPr>
              <w:instrText xml:space="preserve"> PAGEREF _Toc525716302 \h </w:instrText>
            </w:r>
            <w:r w:rsidR="001669F2">
              <w:rPr>
                <w:noProof/>
                <w:webHidden/>
              </w:rPr>
            </w:r>
            <w:r w:rsidR="001669F2">
              <w:rPr>
                <w:noProof/>
                <w:webHidden/>
              </w:rPr>
              <w:fldChar w:fldCharType="separate"/>
            </w:r>
            <w:r w:rsidR="001669F2">
              <w:rPr>
                <w:noProof/>
                <w:webHidden/>
              </w:rPr>
              <w:t>336</w:t>
            </w:r>
            <w:r w:rsidR="001669F2">
              <w:rPr>
                <w:noProof/>
                <w:webHidden/>
              </w:rPr>
              <w:fldChar w:fldCharType="end"/>
            </w:r>
          </w:hyperlink>
        </w:p>
        <w:p w14:paraId="31146A31" w14:textId="56271F23" w:rsidR="006E6688" w:rsidRPr="00BA4F8E" w:rsidRDefault="00BA4F8E">
          <w:r w:rsidRPr="00BA4F8E">
            <w:fldChar w:fldCharType="end"/>
          </w:r>
        </w:p>
      </w:sdtContent>
    </w:sdt>
    <w:p w14:paraId="6FFBE016" w14:textId="312E3E96" w:rsidR="004421D8" w:rsidRPr="00FA7ED1" w:rsidRDefault="005F3B84" w:rsidP="00FA7ED1">
      <w:pPr>
        <w:pStyle w:val="NADPISBEZSLA"/>
        <w:rPr>
          <w:szCs w:val="32"/>
        </w:rPr>
      </w:pPr>
      <w:r w:rsidRPr="00BA4F8E">
        <w:br w:type="page"/>
      </w:r>
      <w:r w:rsidR="004421D8" w:rsidRPr="00FA7ED1">
        <w:rPr>
          <w:szCs w:val="32"/>
        </w:rPr>
        <w:lastRenderedPageBreak/>
        <w:t>Seznam grafů</w:t>
      </w:r>
    </w:p>
    <w:p w14:paraId="23C23321" w14:textId="77777777" w:rsidR="00A95F01" w:rsidRPr="00A95F01" w:rsidRDefault="004421D8">
      <w:pPr>
        <w:pStyle w:val="Seznamobrzk"/>
        <w:tabs>
          <w:tab w:val="right" w:leader="dot" w:pos="9062"/>
        </w:tabs>
        <w:rPr>
          <w:rFonts w:asciiTheme="minorHAnsi" w:eastAsiaTheme="minorEastAsia" w:hAnsiTheme="minorHAnsi"/>
          <w:noProof/>
          <w:lang w:eastAsia="cs-CZ"/>
        </w:rPr>
      </w:pPr>
      <w:r w:rsidRPr="00A95F01">
        <w:rPr>
          <w:rFonts w:asciiTheme="minorHAnsi" w:hAnsiTheme="minorHAnsi" w:cs="Arial"/>
        </w:rPr>
        <w:fldChar w:fldCharType="begin"/>
      </w:r>
      <w:r w:rsidRPr="00A95F01">
        <w:rPr>
          <w:rFonts w:asciiTheme="minorHAnsi" w:hAnsiTheme="minorHAnsi" w:cs="Arial"/>
        </w:rPr>
        <w:instrText xml:space="preserve"> TOC \h \z \c "Graf" </w:instrText>
      </w:r>
      <w:r w:rsidRPr="00A95F01">
        <w:rPr>
          <w:rFonts w:asciiTheme="minorHAnsi" w:hAnsiTheme="minorHAnsi" w:cs="Arial"/>
        </w:rPr>
        <w:fldChar w:fldCharType="separate"/>
      </w:r>
      <w:hyperlink w:anchor="_Toc525716303" w:history="1">
        <w:r w:rsidR="00A95F01" w:rsidRPr="00A95F01">
          <w:rPr>
            <w:rStyle w:val="Hypertextovodkaz"/>
            <w:rFonts w:asciiTheme="minorHAnsi" w:hAnsiTheme="minorHAnsi"/>
            <w:noProof/>
          </w:rPr>
          <w:t>Graf 1 – Pořadí ČR v kvalitě podmínek pro podnikání (2018 pořadí ČR ze 190 zemí, 2013 pořadí ze 185 zemí)</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_Toc525716303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18</w:t>
        </w:r>
        <w:r w:rsidR="00A95F01" w:rsidRPr="00A95F01">
          <w:rPr>
            <w:rFonts w:asciiTheme="minorHAnsi" w:hAnsiTheme="minorHAnsi"/>
            <w:noProof/>
            <w:webHidden/>
          </w:rPr>
          <w:fldChar w:fldCharType="end"/>
        </w:r>
      </w:hyperlink>
    </w:p>
    <w:p w14:paraId="6C304A48"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04" w:history="1">
        <w:r w:rsidR="00A95F01" w:rsidRPr="00A95F01">
          <w:rPr>
            <w:rStyle w:val="Hypertextovodkaz"/>
            <w:rFonts w:asciiTheme="minorHAnsi" w:hAnsiTheme="minorHAnsi"/>
            <w:noProof/>
          </w:rPr>
          <w:t>Graf 2 - Dosažená úroveň ČR v kvalitě podmínek pro podnikání (Žádoucí úroveň=100)</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_Toc525716304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19</w:t>
        </w:r>
        <w:r w:rsidR="00A95F01" w:rsidRPr="00A95F01">
          <w:rPr>
            <w:rFonts w:asciiTheme="minorHAnsi" w:hAnsiTheme="minorHAnsi"/>
            <w:noProof/>
            <w:webHidden/>
          </w:rPr>
          <w:fldChar w:fldCharType="end"/>
        </w:r>
      </w:hyperlink>
    </w:p>
    <w:p w14:paraId="139EAF6F"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05" w:history="1">
        <w:r w:rsidR="00A95F01" w:rsidRPr="00A95F01">
          <w:rPr>
            <w:rStyle w:val="Hypertextovodkaz"/>
            <w:rFonts w:asciiTheme="minorHAnsi" w:hAnsiTheme="minorHAnsi"/>
            <w:noProof/>
          </w:rPr>
          <w:t>Graf 3 - Nejproblematičtější faktory pro podnikání v ČR, podíl odpovědí respondentů</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_Toc525716305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19</w:t>
        </w:r>
        <w:r w:rsidR="00A95F01" w:rsidRPr="00A95F01">
          <w:rPr>
            <w:rFonts w:asciiTheme="minorHAnsi" w:hAnsiTheme="minorHAnsi"/>
            <w:noProof/>
            <w:webHidden/>
          </w:rPr>
          <w:fldChar w:fldCharType="end"/>
        </w:r>
      </w:hyperlink>
    </w:p>
    <w:p w14:paraId="49BCF1CB"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06" w:history="1">
        <w:r w:rsidR="00A95F01" w:rsidRPr="00A95F01">
          <w:rPr>
            <w:rStyle w:val="Hypertextovodkaz"/>
            <w:rFonts w:asciiTheme="minorHAnsi" w:hAnsiTheme="minorHAnsi"/>
            <w:noProof/>
          </w:rPr>
          <w:t>Graf 4 - Podíl vysoce znalostních výrobních odvětví a služeb na celkové zaměstnanosti</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_Toc525716306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20</w:t>
        </w:r>
        <w:r w:rsidR="00A95F01" w:rsidRPr="00A95F01">
          <w:rPr>
            <w:rFonts w:asciiTheme="minorHAnsi" w:hAnsiTheme="minorHAnsi"/>
            <w:noProof/>
            <w:webHidden/>
          </w:rPr>
          <w:fldChar w:fldCharType="end"/>
        </w:r>
      </w:hyperlink>
    </w:p>
    <w:p w14:paraId="7094C29F"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07" w:history="1">
        <w:r w:rsidR="00A95F01" w:rsidRPr="00A95F01">
          <w:rPr>
            <w:rStyle w:val="Hypertextovodkaz"/>
            <w:rFonts w:asciiTheme="minorHAnsi" w:hAnsiTheme="minorHAnsi"/>
            <w:noProof/>
          </w:rPr>
          <w:t>Graf 5 - Výkonnost inovačních systémů členských zemí EU v r. 2017</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_Toc525716307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21</w:t>
        </w:r>
        <w:r w:rsidR="00A95F01" w:rsidRPr="00A95F01">
          <w:rPr>
            <w:rFonts w:asciiTheme="minorHAnsi" w:hAnsiTheme="minorHAnsi"/>
            <w:noProof/>
            <w:webHidden/>
          </w:rPr>
          <w:fldChar w:fldCharType="end"/>
        </w:r>
      </w:hyperlink>
    </w:p>
    <w:p w14:paraId="15FB51B7"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08" w:history="1">
        <w:r w:rsidR="00A95F01" w:rsidRPr="00A95F01">
          <w:rPr>
            <w:rStyle w:val="Hypertextovodkaz"/>
            <w:rFonts w:asciiTheme="minorHAnsi" w:hAnsiTheme="minorHAnsi"/>
            <w:noProof/>
          </w:rPr>
          <w:t>Graf 6 – Struktura výdajů na HDP</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_Toc525716308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23</w:t>
        </w:r>
        <w:r w:rsidR="00A95F01" w:rsidRPr="00A95F01">
          <w:rPr>
            <w:rFonts w:asciiTheme="minorHAnsi" w:hAnsiTheme="minorHAnsi"/>
            <w:noProof/>
            <w:webHidden/>
          </w:rPr>
          <w:fldChar w:fldCharType="end"/>
        </w:r>
      </w:hyperlink>
    </w:p>
    <w:p w14:paraId="657A8802"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09" w:history="1">
        <w:r w:rsidR="00A95F01" w:rsidRPr="00A95F01">
          <w:rPr>
            <w:rStyle w:val="Hypertextovodkaz"/>
            <w:rFonts w:asciiTheme="minorHAnsi" w:hAnsiTheme="minorHAnsi"/>
            <w:noProof/>
          </w:rPr>
          <w:t>Graf 7 – Stav přímých zahraničních investic v ČR (mld. Kč)</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_Toc525716309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24</w:t>
        </w:r>
        <w:r w:rsidR="00A95F01" w:rsidRPr="00A95F01">
          <w:rPr>
            <w:rFonts w:asciiTheme="minorHAnsi" w:hAnsiTheme="minorHAnsi"/>
            <w:noProof/>
            <w:webHidden/>
          </w:rPr>
          <w:fldChar w:fldCharType="end"/>
        </w:r>
      </w:hyperlink>
    </w:p>
    <w:p w14:paraId="28C0AD37"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0" w:history="1">
        <w:r w:rsidR="00A95F01" w:rsidRPr="00A95F01">
          <w:rPr>
            <w:rStyle w:val="Hypertextovodkaz"/>
            <w:rFonts w:asciiTheme="minorHAnsi" w:hAnsiTheme="minorHAnsi"/>
            <w:noProof/>
          </w:rPr>
          <w:t>Graf 8 - Průměrný reálný roční růst HDP 2008–2012 a 2013–2017</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_Toc525716310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25</w:t>
        </w:r>
        <w:r w:rsidR="00A95F01" w:rsidRPr="00A95F01">
          <w:rPr>
            <w:rFonts w:asciiTheme="minorHAnsi" w:hAnsiTheme="minorHAnsi"/>
            <w:noProof/>
            <w:webHidden/>
          </w:rPr>
          <w:fldChar w:fldCharType="end"/>
        </w:r>
      </w:hyperlink>
    </w:p>
    <w:p w14:paraId="02C1CD75"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1" w:history="1">
        <w:r w:rsidR="00A95F01" w:rsidRPr="00A95F01">
          <w:rPr>
            <w:rStyle w:val="Hypertextovodkaz"/>
            <w:rFonts w:asciiTheme="minorHAnsi" w:hAnsiTheme="minorHAnsi"/>
            <w:noProof/>
          </w:rPr>
          <w:t>Graf 9 - Podíl zahraniční přidané hodnoty v hrubých exportech (v %)</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_Toc525716311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26</w:t>
        </w:r>
        <w:r w:rsidR="00A95F01" w:rsidRPr="00A95F01">
          <w:rPr>
            <w:rFonts w:asciiTheme="minorHAnsi" w:hAnsiTheme="minorHAnsi"/>
            <w:noProof/>
            <w:webHidden/>
          </w:rPr>
          <w:fldChar w:fldCharType="end"/>
        </w:r>
      </w:hyperlink>
    </w:p>
    <w:p w14:paraId="5FF3B700"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2" w:history="1">
        <w:r w:rsidR="00A95F01" w:rsidRPr="00A95F01">
          <w:rPr>
            <w:rStyle w:val="Hypertextovodkaz"/>
            <w:rFonts w:asciiTheme="minorHAnsi" w:hAnsiTheme="minorHAnsi"/>
            <w:noProof/>
          </w:rPr>
          <w:t>Graf 10 – Struktura exportu podle teritorií a komodit (%)</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_Toc525716312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27</w:t>
        </w:r>
        <w:r w:rsidR="00A95F01" w:rsidRPr="00A95F01">
          <w:rPr>
            <w:rFonts w:asciiTheme="minorHAnsi" w:hAnsiTheme="minorHAnsi"/>
            <w:noProof/>
            <w:webHidden/>
          </w:rPr>
          <w:fldChar w:fldCharType="end"/>
        </w:r>
      </w:hyperlink>
    </w:p>
    <w:p w14:paraId="23C06F5E"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3" w:history="1">
        <w:r w:rsidR="00A95F01" w:rsidRPr="00A95F01">
          <w:rPr>
            <w:rStyle w:val="Hypertextovodkaz"/>
            <w:rFonts w:asciiTheme="minorHAnsi" w:hAnsiTheme="minorHAnsi"/>
            <w:noProof/>
          </w:rPr>
          <w:t>Graf 11 - Reálný efektivní kurz vybraných zemí (deflováno jednotkovými náklady práce)</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_Toc525716313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29</w:t>
        </w:r>
        <w:r w:rsidR="00A95F01" w:rsidRPr="00A95F01">
          <w:rPr>
            <w:rFonts w:asciiTheme="minorHAnsi" w:hAnsiTheme="minorHAnsi"/>
            <w:noProof/>
            <w:webHidden/>
          </w:rPr>
          <w:fldChar w:fldCharType="end"/>
        </w:r>
      </w:hyperlink>
    </w:p>
    <w:p w14:paraId="287D3700"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4" w:history="1">
        <w:r w:rsidR="00A95F01" w:rsidRPr="00A95F01">
          <w:rPr>
            <w:rStyle w:val="Hypertextovodkaz"/>
            <w:rFonts w:asciiTheme="minorHAnsi" w:hAnsiTheme="minorHAnsi"/>
            <w:noProof/>
          </w:rPr>
          <w:t xml:space="preserve">Graf 12 - </w:t>
        </w:r>
        <w:r w:rsidR="00A95F01" w:rsidRPr="00A95F01">
          <w:rPr>
            <w:rStyle w:val="Hypertextovodkaz"/>
            <w:rFonts w:asciiTheme="minorHAnsi" w:hAnsiTheme="minorHAnsi" w:cs="Arial"/>
            <w:noProof/>
          </w:rPr>
          <w:t>Vývoj zahraničního obchodu ČR v letech 2003 – 2016</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_Toc525716314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63</w:t>
        </w:r>
        <w:r w:rsidR="00A95F01" w:rsidRPr="00A95F01">
          <w:rPr>
            <w:rFonts w:asciiTheme="minorHAnsi" w:hAnsiTheme="minorHAnsi"/>
            <w:noProof/>
            <w:webHidden/>
          </w:rPr>
          <w:fldChar w:fldCharType="end"/>
        </w:r>
      </w:hyperlink>
    </w:p>
    <w:p w14:paraId="66B3CA46"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5" w:history="1">
        <w:r w:rsidR="00A95F01" w:rsidRPr="00A95F01">
          <w:rPr>
            <w:rStyle w:val="Hypertextovodkaz"/>
            <w:rFonts w:asciiTheme="minorHAnsi" w:hAnsiTheme="minorHAnsi"/>
            <w:noProof/>
          </w:rPr>
          <w:t>Graf 13 – Exportní specializace ČR na úrovni tříd SITC2</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_Toc525716315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64</w:t>
        </w:r>
        <w:r w:rsidR="00A95F01" w:rsidRPr="00A95F01">
          <w:rPr>
            <w:rFonts w:asciiTheme="minorHAnsi" w:hAnsiTheme="minorHAnsi"/>
            <w:noProof/>
            <w:webHidden/>
          </w:rPr>
          <w:fldChar w:fldCharType="end"/>
        </w:r>
      </w:hyperlink>
    </w:p>
    <w:p w14:paraId="1A63C004"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6" w:history="1">
        <w:r w:rsidR="00A95F01" w:rsidRPr="00A95F01">
          <w:rPr>
            <w:rStyle w:val="Hypertextovodkaz"/>
            <w:rFonts w:asciiTheme="minorHAnsi" w:hAnsiTheme="minorHAnsi"/>
            <w:noProof/>
          </w:rPr>
          <w:t>Graf 14 - Export ČR dle NACE v roce 2015 (%)</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_Toc525716316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67</w:t>
        </w:r>
        <w:r w:rsidR="00A95F01" w:rsidRPr="00A95F01">
          <w:rPr>
            <w:rFonts w:asciiTheme="minorHAnsi" w:hAnsiTheme="minorHAnsi"/>
            <w:noProof/>
            <w:webHidden/>
          </w:rPr>
          <w:fldChar w:fldCharType="end"/>
        </w:r>
      </w:hyperlink>
    </w:p>
    <w:p w14:paraId="7FCA1218"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7" w:history="1">
        <w:r w:rsidR="00A95F01" w:rsidRPr="00A95F01">
          <w:rPr>
            <w:rStyle w:val="Hypertextovodkaz"/>
            <w:rFonts w:asciiTheme="minorHAnsi" w:hAnsiTheme="minorHAnsi"/>
            <w:noProof/>
          </w:rPr>
          <w:t>Graf 15 - Výdaje na VaV v podnikatelském sektoru podle odvětví ekonomické činnosti CZ NACE (2014, 2016; mld. Kč)</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_Toc525716317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70</w:t>
        </w:r>
        <w:r w:rsidR="00A95F01" w:rsidRPr="00A95F01">
          <w:rPr>
            <w:rFonts w:asciiTheme="minorHAnsi" w:hAnsiTheme="minorHAnsi"/>
            <w:noProof/>
            <w:webHidden/>
          </w:rPr>
          <w:fldChar w:fldCharType="end"/>
        </w:r>
      </w:hyperlink>
    </w:p>
    <w:p w14:paraId="06252F37"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8" w:history="1">
        <w:r w:rsidR="00A95F01" w:rsidRPr="00A95F01">
          <w:rPr>
            <w:rStyle w:val="Hypertextovodkaz"/>
            <w:rFonts w:asciiTheme="minorHAnsi" w:hAnsiTheme="minorHAnsi"/>
            <w:noProof/>
          </w:rPr>
          <w:t>Graf 16: Podíl tržeb podle CZ NACE 2015 (zpracovatelský průmysl = 100)</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_Toc525716318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160</w:t>
        </w:r>
        <w:r w:rsidR="00A95F01" w:rsidRPr="00A95F01">
          <w:rPr>
            <w:rFonts w:asciiTheme="minorHAnsi" w:hAnsiTheme="minorHAnsi"/>
            <w:noProof/>
            <w:webHidden/>
          </w:rPr>
          <w:fldChar w:fldCharType="end"/>
        </w:r>
      </w:hyperlink>
    </w:p>
    <w:p w14:paraId="5B90F445"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19" w:history="1">
        <w:r w:rsidR="00A95F01" w:rsidRPr="00A95F01">
          <w:rPr>
            <w:rStyle w:val="Hypertextovodkaz"/>
            <w:rFonts w:asciiTheme="minorHAnsi" w:hAnsiTheme="minorHAnsi"/>
            <w:noProof/>
          </w:rPr>
          <w:t>Graf 17 - Počet nově vzniklých firem na 1 000 obyvatel, 2008–2017</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_Toc525716319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250</w:t>
        </w:r>
        <w:r w:rsidR="00A95F01" w:rsidRPr="00A95F01">
          <w:rPr>
            <w:rFonts w:asciiTheme="minorHAnsi" w:hAnsiTheme="minorHAnsi"/>
            <w:noProof/>
            <w:webHidden/>
          </w:rPr>
          <w:fldChar w:fldCharType="end"/>
        </w:r>
      </w:hyperlink>
    </w:p>
    <w:p w14:paraId="62F7EA1C"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20" w:history="1">
        <w:r w:rsidR="00A95F01" w:rsidRPr="00A95F01">
          <w:rPr>
            <w:rStyle w:val="Hypertextovodkaz"/>
            <w:rFonts w:asciiTheme="minorHAnsi" w:hAnsiTheme="minorHAnsi"/>
            <w:noProof/>
          </w:rPr>
          <w:t>Graf 18 - PZI jako podíl HDP v roce 2017</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_Toc525716320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254</w:t>
        </w:r>
        <w:r w:rsidR="00A95F01" w:rsidRPr="00A95F01">
          <w:rPr>
            <w:rFonts w:asciiTheme="minorHAnsi" w:hAnsiTheme="minorHAnsi"/>
            <w:noProof/>
            <w:webHidden/>
          </w:rPr>
          <w:fldChar w:fldCharType="end"/>
        </w:r>
      </w:hyperlink>
    </w:p>
    <w:p w14:paraId="5BDD155A"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21" w:history="1">
        <w:r w:rsidR="00A95F01" w:rsidRPr="00A95F01">
          <w:rPr>
            <w:rStyle w:val="Hypertextovodkaz"/>
            <w:rFonts w:asciiTheme="minorHAnsi" w:hAnsiTheme="minorHAnsi"/>
            <w:noProof/>
          </w:rPr>
          <w:t>Graf 19 – BERD jako podíl HDP, průměr 2010-2012</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_Toc525716321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255</w:t>
        </w:r>
        <w:r w:rsidR="00A95F01" w:rsidRPr="00A95F01">
          <w:rPr>
            <w:rFonts w:asciiTheme="minorHAnsi" w:hAnsiTheme="minorHAnsi"/>
            <w:noProof/>
            <w:webHidden/>
          </w:rPr>
          <w:fldChar w:fldCharType="end"/>
        </w:r>
      </w:hyperlink>
    </w:p>
    <w:p w14:paraId="4B890E16" w14:textId="77777777" w:rsidR="00A95F01" w:rsidRPr="00A95F01" w:rsidRDefault="00663FF6">
      <w:pPr>
        <w:pStyle w:val="Seznamobrzk"/>
        <w:tabs>
          <w:tab w:val="right" w:leader="dot" w:pos="9062"/>
        </w:tabs>
        <w:rPr>
          <w:rFonts w:asciiTheme="minorHAnsi" w:eastAsiaTheme="minorEastAsia" w:hAnsiTheme="minorHAnsi"/>
          <w:noProof/>
          <w:lang w:eastAsia="cs-CZ"/>
        </w:rPr>
      </w:pPr>
      <w:hyperlink w:anchor="_Toc525716322" w:history="1">
        <w:r w:rsidR="00A95F01" w:rsidRPr="00A95F01">
          <w:rPr>
            <w:rStyle w:val="Hypertextovodkaz"/>
            <w:rFonts w:asciiTheme="minorHAnsi" w:hAnsiTheme="minorHAnsi"/>
            <w:noProof/>
          </w:rPr>
          <w:t>Graf 20 - BERD jako podíl na HDP v roce 2016 (v %)</w:t>
        </w:r>
        <w:r w:rsidR="00A95F01" w:rsidRPr="00A95F01">
          <w:rPr>
            <w:rFonts w:asciiTheme="minorHAnsi" w:hAnsiTheme="minorHAnsi"/>
            <w:noProof/>
            <w:webHidden/>
          </w:rPr>
          <w:tab/>
        </w:r>
        <w:r w:rsidR="00A95F01" w:rsidRPr="00A95F01">
          <w:rPr>
            <w:rFonts w:asciiTheme="minorHAnsi" w:hAnsiTheme="minorHAnsi"/>
            <w:noProof/>
            <w:webHidden/>
          </w:rPr>
          <w:fldChar w:fldCharType="begin"/>
        </w:r>
        <w:r w:rsidR="00A95F01" w:rsidRPr="00A95F01">
          <w:rPr>
            <w:rFonts w:asciiTheme="minorHAnsi" w:hAnsiTheme="minorHAnsi"/>
            <w:noProof/>
            <w:webHidden/>
          </w:rPr>
          <w:instrText xml:space="preserve"> PAGEREF _Toc525716322 \h </w:instrText>
        </w:r>
        <w:r w:rsidR="00A95F01" w:rsidRPr="00A95F01">
          <w:rPr>
            <w:rFonts w:asciiTheme="minorHAnsi" w:hAnsiTheme="minorHAnsi"/>
            <w:noProof/>
            <w:webHidden/>
          </w:rPr>
        </w:r>
        <w:r w:rsidR="00A95F01" w:rsidRPr="00A95F01">
          <w:rPr>
            <w:rFonts w:asciiTheme="minorHAnsi" w:hAnsiTheme="minorHAnsi"/>
            <w:noProof/>
            <w:webHidden/>
          </w:rPr>
          <w:fldChar w:fldCharType="separate"/>
        </w:r>
        <w:r w:rsidR="00A95F01" w:rsidRPr="00A95F01">
          <w:rPr>
            <w:rFonts w:asciiTheme="minorHAnsi" w:hAnsiTheme="minorHAnsi"/>
            <w:noProof/>
            <w:webHidden/>
          </w:rPr>
          <w:t>255</w:t>
        </w:r>
        <w:r w:rsidR="00A95F01" w:rsidRPr="00A95F01">
          <w:rPr>
            <w:rFonts w:asciiTheme="minorHAnsi" w:hAnsiTheme="minorHAnsi"/>
            <w:noProof/>
            <w:webHidden/>
          </w:rPr>
          <w:fldChar w:fldCharType="end"/>
        </w:r>
      </w:hyperlink>
    </w:p>
    <w:p w14:paraId="65114293" w14:textId="77777777" w:rsidR="004421D8" w:rsidRPr="00A379AE" w:rsidRDefault="004421D8" w:rsidP="005F3B84">
      <w:pPr>
        <w:rPr>
          <w:rFonts w:cs="Arial"/>
        </w:rPr>
      </w:pPr>
      <w:r w:rsidRPr="00A95F01">
        <w:rPr>
          <w:rFonts w:cs="Arial"/>
        </w:rPr>
        <w:fldChar w:fldCharType="end"/>
      </w:r>
    </w:p>
    <w:p w14:paraId="573E62C2" w14:textId="77777777" w:rsidR="004421D8" w:rsidRPr="00BA4F8E" w:rsidRDefault="004421D8" w:rsidP="005F3B84">
      <w:pPr>
        <w:rPr>
          <w:rFonts w:cs="Arial"/>
        </w:rPr>
      </w:pPr>
    </w:p>
    <w:p w14:paraId="0F5F8EB6" w14:textId="77777777" w:rsidR="004421D8" w:rsidRPr="00BA4F8E" w:rsidRDefault="004421D8" w:rsidP="005F3B84">
      <w:pPr>
        <w:rPr>
          <w:rFonts w:cs="Arial"/>
        </w:rPr>
      </w:pPr>
    </w:p>
    <w:p w14:paraId="5FF2949D" w14:textId="77777777" w:rsidR="004421D8" w:rsidRPr="00073E31" w:rsidRDefault="004421D8" w:rsidP="00FA7ED1">
      <w:pPr>
        <w:pStyle w:val="NADPISBEZSLA"/>
      </w:pPr>
      <w:r w:rsidRPr="00073E31">
        <w:t>Seznam tabulek</w:t>
      </w:r>
    </w:p>
    <w:p w14:paraId="535E2456" w14:textId="77777777" w:rsidR="00397585" w:rsidRPr="00397585" w:rsidRDefault="004421D8">
      <w:pPr>
        <w:pStyle w:val="Seznamobrzk"/>
        <w:tabs>
          <w:tab w:val="right" w:leader="dot" w:pos="9062"/>
        </w:tabs>
        <w:rPr>
          <w:rFonts w:asciiTheme="majorHAnsi" w:eastAsiaTheme="minorEastAsia" w:hAnsiTheme="majorHAnsi"/>
          <w:noProof/>
          <w:lang w:eastAsia="cs-CZ"/>
        </w:rPr>
      </w:pPr>
      <w:r w:rsidRPr="00397585">
        <w:rPr>
          <w:rFonts w:asciiTheme="majorHAnsi" w:hAnsiTheme="majorHAnsi" w:cs="Arial"/>
        </w:rPr>
        <w:fldChar w:fldCharType="begin"/>
      </w:r>
      <w:r w:rsidRPr="00397585">
        <w:rPr>
          <w:rFonts w:asciiTheme="majorHAnsi" w:hAnsiTheme="majorHAnsi" w:cs="Arial"/>
        </w:rPr>
        <w:instrText xml:space="preserve"> TOC \h \z \c "Tabulka" </w:instrText>
      </w:r>
      <w:r w:rsidRPr="00397585">
        <w:rPr>
          <w:rFonts w:asciiTheme="majorHAnsi" w:hAnsiTheme="majorHAnsi" w:cs="Arial"/>
        </w:rPr>
        <w:fldChar w:fldCharType="separate"/>
      </w:r>
      <w:hyperlink w:anchor="_Toc524677661" w:history="1">
        <w:r w:rsidR="00397585" w:rsidRPr="00397585">
          <w:rPr>
            <w:rStyle w:val="Hypertextovodkaz"/>
            <w:rFonts w:asciiTheme="majorHAnsi" w:hAnsiTheme="majorHAnsi"/>
            <w:noProof/>
          </w:rPr>
          <w:t>Tabulka 1 - Přehled strategických a koncepčních dokumentů ČR, které jsou v přímém vztahu k Národní RIS3 strategii</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_Toc524677661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13</w:t>
        </w:r>
        <w:r w:rsidR="00397585" w:rsidRPr="00397585">
          <w:rPr>
            <w:rFonts w:asciiTheme="majorHAnsi" w:hAnsiTheme="majorHAnsi"/>
            <w:noProof/>
            <w:webHidden/>
          </w:rPr>
          <w:fldChar w:fldCharType="end"/>
        </w:r>
      </w:hyperlink>
    </w:p>
    <w:p w14:paraId="5DA4E8D5"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62" w:history="1">
        <w:r w:rsidR="00397585" w:rsidRPr="00397585">
          <w:rPr>
            <w:rStyle w:val="Hypertextovodkaz"/>
            <w:rFonts w:asciiTheme="majorHAnsi" w:hAnsiTheme="majorHAnsi"/>
            <w:noProof/>
          </w:rPr>
          <w:t>Tabulka 2 - Přehled zemí v sumárním kritériu "Ease of doing business" v r. 2018</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_Toc524677662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37</w:t>
        </w:r>
        <w:r w:rsidR="00397585" w:rsidRPr="00397585">
          <w:rPr>
            <w:rFonts w:asciiTheme="majorHAnsi" w:hAnsiTheme="majorHAnsi"/>
            <w:noProof/>
            <w:webHidden/>
          </w:rPr>
          <w:fldChar w:fldCharType="end"/>
        </w:r>
      </w:hyperlink>
    </w:p>
    <w:p w14:paraId="1A851B4F"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63" w:history="1">
        <w:r w:rsidR="00397585" w:rsidRPr="00397585">
          <w:rPr>
            <w:rStyle w:val="Hypertextovodkaz"/>
            <w:rFonts w:asciiTheme="majorHAnsi" w:hAnsiTheme="majorHAnsi"/>
            <w:noProof/>
          </w:rPr>
          <w:t>Tabulka 3 – Třídy SITC 2 s nejvyšším podílem na exportu ČR</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_Toc524677663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65</w:t>
        </w:r>
        <w:r w:rsidR="00397585" w:rsidRPr="00397585">
          <w:rPr>
            <w:rFonts w:asciiTheme="majorHAnsi" w:hAnsiTheme="majorHAnsi"/>
            <w:noProof/>
            <w:webHidden/>
          </w:rPr>
          <w:fldChar w:fldCharType="end"/>
        </w:r>
      </w:hyperlink>
    </w:p>
    <w:p w14:paraId="7F7556B3"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64" w:history="1">
        <w:r w:rsidR="00397585" w:rsidRPr="00397585">
          <w:rPr>
            <w:rStyle w:val="Hypertextovodkaz"/>
            <w:rFonts w:asciiTheme="majorHAnsi" w:hAnsiTheme="majorHAnsi"/>
            <w:noProof/>
          </w:rPr>
          <w:t>Tabulka 4 - BI dle typů exportních služeb ČR vs. svět</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_Toc524677664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68</w:t>
        </w:r>
        <w:r w:rsidR="00397585" w:rsidRPr="00397585">
          <w:rPr>
            <w:rFonts w:asciiTheme="majorHAnsi" w:hAnsiTheme="majorHAnsi"/>
            <w:noProof/>
            <w:webHidden/>
          </w:rPr>
          <w:fldChar w:fldCharType="end"/>
        </w:r>
      </w:hyperlink>
    </w:p>
    <w:p w14:paraId="538C0949"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65" w:history="1">
        <w:r w:rsidR="00397585" w:rsidRPr="00397585">
          <w:rPr>
            <w:rStyle w:val="Hypertextovodkaz"/>
            <w:rFonts w:asciiTheme="majorHAnsi" w:hAnsiTheme="majorHAnsi"/>
            <w:noProof/>
          </w:rPr>
          <w:t>Tabulka 5 - Znalostní intenzita ve vybraných oborech – srovnání ČR s průměrem v zemích OECD</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_Toc524677665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72</w:t>
        </w:r>
        <w:r w:rsidR="00397585" w:rsidRPr="00397585">
          <w:rPr>
            <w:rFonts w:asciiTheme="majorHAnsi" w:hAnsiTheme="majorHAnsi"/>
            <w:noProof/>
            <w:webHidden/>
          </w:rPr>
          <w:fldChar w:fldCharType="end"/>
        </w:r>
      </w:hyperlink>
    </w:p>
    <w:p w14:paraId="3E4D23E4"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66" w:history="1">
        <w:r w:rsidR="00397585" w:rsidRPr="00397585">
          <w:rPr>
            <w:rStyle w:val="Hypertextovodkaz"/>
            <w:rFonts w:asciiTheme="majorHAnsi" w:hAnsiTheme="majorHAnsi"/>
            <w:noProof/>
          </w:rPr>
          <w:t>Tabulka 6 - Společenské výzvy ČR</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_Toc524677666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77</w:t>
        </w:r>
        <w:r w:rsidR="00397585" w:rsidRPr="00397585">
          <w:rPr>
            <w:rFonts w:asciiTheme="majorHAnsi" w:hAnsiTheme="majorHAnsi"/>
            <w:noProof/>
            <w:webHidden/>
          </w:rPr>
          <w:fldChar w:fldCharType="end"/>
        </w:r>
      </w:hyperlink>
    </w:p>
    <w:p w14:paraId="3066AAA9"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67" w:history="1">
        <w:r w:rsidR="00397585" w:rsidRPr="00397585">
          <w:rPr>
            <w:rStyle w:val="Hypertextovodkaz"/>
            <w:rFonts w:asciiTheme="majorHAnsi" w:hAnsiTheme="majorHAnsi"/>
            <w:noProof/>
          </w:rPr>
          <w:t>Tabulka 7 - Zastoupení aplikačních odvětví (ekonomických specializací) v krajích ČR</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_Toc524677667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79</w:t>
        </w:r>
        <w:r w:rsidR="00397585" w:rsidRPr="00397585">
          <w:rPr>
            <w:rFonts w:asciiTheme="majorHAnsi" w:hAnsiTheme="majorHAnsi"/>
            <w:noProof/>
            <w:webHidden/>
          </w:rPr>
          <w:fldChar w:fldCharType="end"/>
        </w:r>
      </w:hyperlink>
    </w:p>
    <w:p w14:paraId="6DADDE26"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68" w:history="1">
        <w:r w:rsidR="00397585" w:rsidRPr="00397585">
          <w:rPr>
            <w:rStyle w:val="Hypertextovodkaz"/>
            <w:rFonts w:asciiTheme="majorHAnsi" w:hAnsiTheme="majorHAnsi"/>
            <w:noProof/>
          </w:rPr>
          <w:t>Tabulka 8 - Zastoupení znalostních domén (výzkumných specializací) v krajích ČR</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_Toc524677668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83</w:t>
        </w:r>
        <w:r w:rsidR="00397585" w:rsidRPr="00397585">
          <w:rPr>
            <w:rFonts w:asciiTheme="majorHAnsi" w:hAnsiTheme="majorHAnsi"/>
            <w:noProof/>
            <w:webHidden/>
          </w:rPr>
          <w:fldChar w:fldCharType="end"/>
        </w:r>
      </w:hyperlink>
    </w:p>
    <w:p w14:paraId="42303FF5"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69" w:history="1">
        <w:r w:rsidR="00397585" w:rsidRPr="00397585">
          <w:rPr>
            <w:rStyle w:val="Hypertextovodkaz"/>
            <w:rFonts w:asciiTheme="majorHAnsi" w:hAnsiTheme="majorHAnsi"/>
            <w:noProof/>
          </w:rPr>
          <w:t>Tabulka 9 – Aktualizace klíčových technologií 2018</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_Toc524677669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92</w:t>
        </w:r>
        <w:r w:rsidR="00397585" w:rsidRPr="00397585">
          <w:rPr>
            <w:rFonts w:asciiTheme="majorHAnsi" w:hAnsiTheme="majorHAnsi"/>
            <w:noProof/>
            <w:webHidden/>
          </w:rPr>
          <w:fldChar w:fldCharType="end"/>
        </w:r>
      </w:hyperlink>
    </w:p>
    <w:p w14:paraId="50126010"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0" w:history="1">
        <w:r w:rsidR="00397585" w:rsidRPr="00397585">
          <w:rPr>
            <w:rStyle w:val="Hypertextovodkaz"/>
            <w:rFonts w:asciiTheme="majorHAnsi" w:hAnsiTheme="majorHAnsi"/>
            <w:noProof/>
          </w:rPr>
          <w:t>Tabulka 10 - Ukazatele pro měření vize a jejích dílčích aspektů  - výchozí a průběžné hodnoty.</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_Toc524677670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99</w:t>
        </w:r>
        <w:r w:rsidR="00397585" w:rsidRPr="00397585">
          <w:rPr>
            <w:rFonts w:asciiTheme="majorHAnsi" w:hAnsiTheme="majorHAnsi"/>
            <w:noProof/>
            <w:webHidden/>
          </w:rPr>
          <w:fldChar w:fldCharType="end"/>
        </w:r>
      </w:hyperlink>
    </w:p>
    <w:p w14:paraId="6BFC1948"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1" w:history="1">
        <w:r w:rsidR="00397585" w:rsidRPr="00397585">
          <w:rPr>
            <w:rStyle w:val="Hypertextovodkaz"/>
            <w:rFonts w:asciiTheme="majorHAnsi" w:hAnsiTheme="majorHAnsi"/>
            <w:noProof/>
          </w:rPr>
          <w:t>Tabulka 11 – Gesce za realizaci strategických cílů v jednotlivých oblastech klíčových změn</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_Toc524677671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142</w:t>
        </w:r>
        <w:r w:rsidR="00397585" w:rsidRPr="00397585">
          <w:rPr>
            <w:rFonts w:asciiTheme="majorHAnsi" w:hAnsiTheme="majorHAnsi"/>
            <w:noProof/>
            <w:webHidden/>
          </w:rPr>
          <w:fldChar w:fldCharType="end"/>
        </w:r>
      </w:hyperlink>
    </w:p>
    <w:p w14:paraId="4162C655"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2" w:history="1">
        <w:r w:rsidR="00397585" w:rsidRPr="00397585">
          <w:rPr>
            <w:rStyle w:val="Hypertextovodkaz"/>
            <w:rFonts w:asciiTheme="majorHAnsi" w:hAnsiTheme="majorHAnsi"/>
            <w:noProof/>
          </w:rPr>
          <w:t>Tabulka 12- Vertikalizační matice Národní RIS3 strategie (Přehled DOMÉN INTELIGENTNÍ SPECIALIZACE: klíčová aplikační odvětví vs. generické znalostní domény)</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_Toc524677672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226</w:t>
        </w:r>
        <w:r w:rsidR="00397585" w:rsidRPr="00397585">
          <w:rPr>
            <w:rFonts w:asciiTheme="majorHAnsi" w:hAnsiTheme="majorHAnsi"/>
            <w:noProof/>
            <w:webHidden/>
          </w:rPr>
          <w:fldChar w:fldCharType="end"/>
        </w:r>
      </w:hyperlink>
    </w:p>
    <w:p w14:paraId="055F895E"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3" w:history="1">
        <w:r w:rsidR="00397585" w:rsidRPr="00397585">
          <w:rPr>
            <w:rStyle w:val="Hypertextovodkaz"/>
            <w:rFonts w:asciiTheme="majorHAnsi" w:hAnsiTheme="majorHAnsi"/>
            <w:noProof/>
          </w:rPr>
          <w:t>Tabulka 13  - Domény specializace RIS3 strategie identifikované na krajské úrovni</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_Toc524677673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230</w:t>
        </w:r>
        <w:r w:rsidR="00397585" w:rsidRPr="00397585">
          <w:rPr>
            <w:rFonts w:asciiTheme="majorHAnsi" w:hAnsiTheme="majorHAnsi"/>
            <w:noProof/>
            <w:webHidden/>
          </w:rPr>
          <w:fldChar w:fldCharType="end"/>
        </w:r>
      </w:hyperlink>
    </w:p>
    <w:p w14:paraId="3D25907F"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4" w:history="1">
        <w:r w:rsidR="00397585" w:rsidRPr="00397585">
          <w:rPr>
            <w:rStyle w:val="Hypertextovodkaz"/>
            <w:rFonts w:asciiTheme="majorHAnsi" w:hAnsiTheme="majorHAnsi"/>
            <w:noProof/>
          </w:rPr>
          <w:t>Tabulka 14 - Indikativní přičlenění finančních prostředků operačních programů ke klíčovým oblastem změn Národní RIS3 strategie</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_Toc524677674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242</w:t>
        </w:r>
        <w:r w:rsidR="00397585" w:rsidRPr="00397585">
          <w:rPr>
            <w:rFonts w:asciiTheme="majorHAnsi" w:hAnsiTheme="majorHAnsi"/>
            <w:noProof/>
            <w:webHidden/>
          </w:rPr>
          <w:fldChar w:fldCharType="end"/>
        </w:r>
      </w:hyperlink>
    </w:p>
    <w:p w14:paraId="65253E90"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5" w:history="1">
        <w:r w:rsidR="00397585" w:rsidRPr="00397585">
          <w:rPr>
            <w:rStyle w:val="Hypertextovodkaz"/>
            <w:rFonts w:asciiTheme="majorHAnsi" w:hAnsiTheme="majorHAnsi"/>
            <w:noProof/>
          </w:rPr>
          <w:t>Tabulka 15 - Přičlenění operačních programů ke klíčovým oblastem změn Národní RIS3 strategie</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_Toc524677675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244</w:t>
        </w:r>
        <w:r w:rsidR="00397585" w:rsidRPr="00397585">
          <w:rPr>
            <w:rFonts w:asciiTheme="majorHAnsi" w:hAnsiTheme="majorHAnsi"/>
            <w:noProof/>
            <w:webHidden/>
          </w:rPr>
          <w:fldChar w:fldCharType="end"/>
        </w:r>
      </w:hyperlink>
    </w:p>
    <w:p w14:paraId="60DDFFC4"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6" w:history="1">
        <w:r w:rsidR="00397585" w:rsidRPr="00397585">
          <w:rPr>
            <w:rStyle w:val="Hypertextovodkaz"/>
            <w:rFonts w:asciiTheme="majorHAnsi" w:hAnsiTheme="majorHAnsi"/>
            <w:noProof/>
          </w:rPr>
          <w:t>Tabulka 16 - Národní programy podpory – maximální objemy prostředků dle příslušných usnesení vlády pro jednotlivé programy</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_Toc524677676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245</w:t>
        </w:r>
        <w:r w:rsidR="00397585" w:rsidRPr="00397585">
          <w:rPr>
            <w:rFonts w:asciiTheme="majorHAnsi" w:hAnsiTheme="majorHAnsi"/>
            <w:noProof/>
            <w:webHidden/>
          </w:rPr>
          <w:fldChar w:fldCharType="end"/>
        </w:r>
      </w:hyperlink>
    </w:p>
    <w:p w14:paraId="3FA9D9CB"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7" w:history="1">
        <w:r w:rsidR="00397585" w:rsidRPr="00397585">
          <w:rPr>
            <w:rStyle w:val="Hypertextovodkaz"/>
            <w:rFonts w:asciiTheme="majorHAnsi" w:hAnsiTheme="majorHAnsi"/>
            <w:noProof/>
          </w:rPr>
          <w:t>Tabulka 17 - Rezortní programy – maximální objemy prostředků dle příslušných usnesení vlády pro jednotlivé programy</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_Toc524677677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246</w:t>
        </w:r>
        <w:r w:rsidR="00397585" w:rsidRPr="00397585">
          <w:rPr>
            <w:rFonts w:asciiTheme="majorHAnsi" w:hAnsiTheme="majorHAnsi"/>
            <w:noProof/>
            <w:webHidden/>
          </w:rPr>
          <w:fldChar w:fldCharType="end"/>
        </w:r>
      </w:hyperlink>
    </w:p>
    <w:p w14:paraId="7215278C"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8" w:history="1">
        <w:r w:rsidR="00397585" w:rsidRPr="00A8724A">
          <w:rPr>
            <w:rStyle w:val="Hypertextovodkaz"/>
            <w:rFonts w:asciiTheme="majorHAnsi" w:hAnsiTheme="majorHAnsi"/>
            <w:noProof/>
          </w:rPr>
          <w:t xml:space="preserve">Tabulka 18 - </w:t>
        </w:r>
        <w:r w:rsidR="00397585" w:rsidRPr="00A8724A">
          <w:rPr>
            <w:rStyle w:val="Hypertextovodkaz"/>
            <w:rFonts w:asciiTheme="majorHAnsi" w:eastAsia="MS Mincho" w:hAnsiTheme="majorHAnsi"/>
            <w:noProof/>
          </w:rPr>
          <w:t>Identifikace indikativního financování a finanční spoluúčast kraje na intervencích Národní RIS3 strategie (v EUR)</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_Toc524677678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248</w:t>
        </w:r>
        <w:r w:rsidR="00397585" w:rsidRPr="00397585">
          <w:rPr>
            <w:rFonts w:asciiTheme="majorHAnsi" w:hAnsiTheme="majorHAnsi"/>
            <w:noProof/>
            <w:webHidden/>
          </w:rPr>
          <w:fldChar w:fldCharType="end"/>
        </w:r>
      </w:hyperlink>
    </w:p>
    <w:p w14:paraId="309B07CB"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79" w:history="1">
        <w:r w:rsidR="00397585" w:rsidRPr="00397585">
          <w:rPr>
            <w:rStyle w:val="Hypertextovodkaz"/>
            <w:rFonts w:asciiTheme="majorHAnsi" w:hAnsiTheme="majorHAnsi"/>
            <w:noProof/>
          </w:rPr>
          <w:t>Tabulka 19 -  Podíl podnikajících do 39 let, 2013–2017</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_Toc524677679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250</w:t>
        </w:r>
        <w:r w:rsidR="00397585" w:rsidRPr="00397585">
          <w:rPr>
            <w:rFonts w:asciiTheme="majorHAnsi" w:hAnsiTheme="majorHAnsi"/>
            <w:noProof/>
            <w:webHidden/>
          </w:rPr>
          <w:fldChar w:fldCharType="end"/>
        </w:r>
      </w:hyperlink>
    </w:p>
    <w:p w14:paraId="4686B9CF"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80" w:history="1">
        <w:r w:rsidR="00397585" w:rsidRPr="00397585">
          <w:rPr>
            <w:rStyle w:val="Hypertextovodkaz"/>
            <w:rFonts w:asciiTheme="majorHAnsi" w:hAnsiTheme="majorHAnsi"/>
            <w:noProof/>
          </w:rPr>
          <w:t>Tabulka 20 - Podíl nově vzniklých firem na celkovém počtu aktivních subjektů, 2010–2017</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_Toc524677680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251</w:t>
        </w:r>
        <w:r w:rsidR="00397585" w:rsidRPr="00397585">
          <w:rPr>
            <w:rFonts w:asciiTheme="majorHAnsi" w:hAnsiTheme="majorHAnsi"/>
            <w:noProof/>
            <w:webHidden/>
          </w:rPr>
          <w:fldChar w:fldCharType="end"/>
        </w:r>
      </w:hyperlink>
    </w:p>
    <w:p w14:paraId="3993037B"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81" w:history="1">
        <w:r w:rsidR="00397585" w:rsidRPr="00397585">
          <w:rPr>
            <w:rStyle w:val="Hypertextovodkaz"/>
            <w:rFonts w:asciiTheme="majorHAnsi" w:hAnsiTheme="majorHAnsi"/>
            <w:noProof/>
          </w:rPr>
          <w:t>Tabulka 21 -  Účty kulturního a kreativního průmyslu v roce 2010</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_Toc524677681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251</w:t>
        </w:r>
        <w:r w:rsidR="00397585" w:rsidRPr="00397585">
          <w:rPr>
            <w:rFonts w:asciiTheme="majorHAnsi" w:hAnsiTheme="majorHAnsi"/>
            <w:noProof/>
            <w:webHidden/>
          </w:rPr>
          <w:fldChar w:fldCharType="end"/>
        </w:r>
      </w:hyperlink>
    </w:p>
    <w:p w14:paraId="57F951E2"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82" w:history="1">
        <w:r w:rsidR="00397585" w:rsidRPr="00397585">
          <w:rPr>
            <w:rStyle w:val="Hypertextovodkaz"/>
            <w:rFonts w:asciiTheme="majorHAnsi" w:hAnsiTheme="majorHAnsi"/>
            <w:noProof/>
          </w:rPr>
          <w:t>Tabulka 22 - Vybrané ukazatele v trojsektorovém členění kultury za rok 2016</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_Toc524677682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252</w:t>
        </w:r>
        <w:r w:rsidR="00397585" w:rsidRPr="00397585">
          <w:rPr>
            <w:rFonts w:asciiTheme="majorHAnsi" w:hAnsiTheme="majorHAnsi"/>
            <w:noProof/>
            <w:webHidden/>
          </w:rPr>
          <w:fldChar w:fldCharType="end"/>
        </w:r>
      </w:hyperlink>
    </w:p>
    <w:p w14:paraId="12C740E4"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83" w:history="1">
        <w:r w:rsidR="00397585" w:rsidRPr="00397585">
          <w:rPr>
            <w:rStyle w:val="Hypertextovodkaz"/>
            <w:rFonts w:asciiTheme="majorHAnsi" w:hAnsiTheme="majorHAnsi"/>
            <w:noProof/>
          </w:rPr>
          <w:t>Tabulka 23 - Technologická platební bilance, služby (mil. Kč), 2012 a 2017</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_Toc524677683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252</w:t>
        </w:r>
        <w:r w:rsidR="00397585" w:rsidRPr="00397585">
          <w:rPr>
            <w:rFonts w:asciiTheme="majorHAnsi" w:hAnsiTheme="majorHAnsi"/>
            <w:noProof/>
            <w:webHidden/>
          </w:rPr>
          <w:fldChar w:fldCharType="end"/>
        </w:r>
      </w:hyperlink>
    </w:p>
    <w:p w14:paraId="011132FD"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84" w:history="1">
        <w:r w:rsidR="00397585" w:rsidRPr="00397585">
          <w:rPr>
            <w:rStyle w:val="Hypertextovodkaz"/>
            <w:rFonts w:asciiTheme="majorHAnsi" w:hAnsiTheme="majorHAnsi"/>
            <w:noProof/>
          </w:rPr>
          <w:t>Tabulka 24 - Technologická platební bilance, % vývozu a dovozu služeb na celku, 2012 a 2017</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_Toc524677684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253</w:t>
        </w:r>
        <w:r w:rsidR="00397585" w:rsidRPr="00397585">
          <w:rPr>
            <w:rFonts w:asciiTheme="majorHAnsi" w:hAnsiTheme="majorHAnsi"/>
            <w:noProof/>
            <w:webHidden/>
          </w:rPr>
          <w:fldChar w:fldCharType="end"/>
        </w:r>
      </w:hyperlink>
    </w:p>
    <w:p w14:paraId="0BDDC451"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85" w:history="1">
        <w:r w:rsidR="00397585" w:rsidRPr="00397585">
          <w:rPr>
            <w:rStyle w:val="Hypertextovodkaz"/>
            <w:rFonts w:asciiTheme="majorHAnsi" w:hAnsiTheme="majorHAnsi"/>
            <w:noProof/>
          </w:rPr>
          <w:t>Tabulka 25 - Snadnost podnikání</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_Toc524677685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253</w:t>
        </w:r>
        <w:r w:rsidR="00397585" w:rsidRPr="00397585">
          <w:rPr>
            <w:rFonts w:asciiTheme="majorHAnsi" w:hAnsiTheme="majorHAnsi"/>
            <w:noProof/>
            <w:webHidden/>
          </w:rPr>
          <w:fldChar w:fldCharType="end"/>
        </w:r>
      </w:hyperlink>
    </w:p>
    <w:p w14:paraId="55C117F0"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86" w:history="1">
        <w:r w:rsidR="00397585" w:rsidRPr="00397585">
          <w:rPr>
            <w:rStyle w:val="Hypertextovodkaz"/>
            <w:rFonts w:asciiTheme="majorHAnsi" w:hAnsiTheme="majorHAnsi"/>
            <w:noProof/>
          </w:rPr>
          <w:t>Tabulka 26 - Kapacita udržet a přilákat talenty</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_Toc524677686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253</w:t>
        </w:r>
        <w:r w:rsidR="00397585" w:rsidRPr="00397585">
          <w:rPr>
            <w:rFonts w:asciiTheme="majorHAnsi" w:hAnsiTheme="majorHAnsi"/>
            <w:noProof/>
            <w:webHidden/>
          </w:rPr>
          <w:fldChar w:fldCharType="end"/>
        </w:r>
      </w:hyperlink>
    </w:p>
    <w:p w14:paraId="6BC04696"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87" w:history="1">
        <w:r w:rsidR="00397585" w:rsidRPr="00397585">
          <w:rPr>
            <w:rStyle w:val="Hypertextovodkaz"/>
            <w:rFonts w:asciiTheme="majorHAnsi" w:hAnsiTheme="majorHAnsi"/>
            <w:noProof/>
          </w:rPr>
          <w:t>Tabulka 27 – PZI jako podíl HDP, průměr 2011-2013</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_Toc524677687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FD7389">
          <w:rPr>
            <w:rFonts w:asciiTheme="majorHAnsi" w:hAnsiTheme="majorHAnsi"/>
            <w:noProof/>
            <w:webHidden/>
          </w:rPr>
          <w:t>254</w:t>
        </w:r>
        <w:r w:rsidR="00397585" w:rsidRPr="00397585">
          <w:rPr>
            <w:rFonts w:asciiTheme="majorHAnsi" w:hAnsiTheme="majorHAnsi"/>
            <w:noProof/>
            <w:webHidden/>
          </w:rPr>
          <w:fldChar w:fldCharType="end"/>
        </w:r>
      </w:hyperlink>
    </w:p>
    <w:p w14:paraId="362039E5" w14:textId="77777777" w:rsidR="004421D8" w:rsidRPr="00397585" w:rsidRDefault="004421D8" w:rsidP="005F3B84">
      <w:pPr>
        <w:rPr>
          <w:rFonts w:asciiTheme="majorHAnsi" w:hAnsiTheme="majorHAnsi" w:cs="Arial"/>
        </w:rPr>
      </w:pPr>
      <w:r w:rsidRPr="00397585">
        <w:rPr>
          <w:rFonts w:asciiTheme="majorHAnsi" w:hAnsiTheme="majorHAnsi" w:cs="Arial"/>
        </w:rPr>
        <w:fldChar w:fldCharType="end"/>
      </w:r>
    </w:p>
    <w:p w14:paraId="37BA681C" w14:textId="77777777" w:rsidR="009C41F4" w:rsidRDefault="009C41F4" w:rsidP="005F3B84">
      <w:pPr>
        <w:rPr>
          <w:rFonts w:cs="Arial"/>
        </w:rPr>
      </w:pPr>
    </w:p>
    <w:p w14:paraId="0538C79D" w14:textId="77777777" w:rsidR="009C41F4" w:rsidRPr="00BA4F8E" w:rsidRDefault="009C41F4" w:rsidP="005F3B84">
      <w:pPr>
        <w:rPr>
          <w:rFonts w:cs="Arial"/>
        </w:rPr>
      </w:pPr>
    </w:p>
    <w:p w14:paraId="531F13CC" w14:textId="592CE098" w:rsidR="00CD3397" w:rsidRDefault="00CD3397" w:rsidP="00FA7ED1">
      <w:pPr>
        <w:pStyle w:val="NADPISBEZSLA"/>
      </w:pPr>
      <w:r>
        <w:t>Seznam obrázků</w:t>
      </w:r>
    </w:p>
    <w:p w14:paraId="69F0ECF9" w14:textId="77777777" w:rsidR="00397585" w:rsidRPr="00397585" w:rsidRDefault="00CD3397">
      <w:pPr>
        <w:pStyle w:val="Seznamobrzk"/>
        <w:tabs>
          <w:tab w:val="right" w:leader="dot" w:pos="9062"/>
        </w:tabs>
        <w:rPr>
          <w:rFonts w:asciiTheme="majorHAnsi" w:eastAsiaTheme="minorEastAsia" w:hAnsiTheme="majorHAnsi"/>
          <w:noProof/>
          <w:lang w:eastAsia="cs-CZ"/>
        </w:rPr>
      </w:pPr>
      <w:r w:rsidRPr="00397585">
        <w:rPr>
          <w:rFonts w:asciiTheme="majorHAnsi" w:hAnsiTheme="majorHAnsi" w:cs="Arial"/>
        </w:rPr>
        <w:fldChar w:fldCharType="begin"/>
      </w:r>
      <w:r w:rsidRPr="00397585">
        <w:rPr>
          <w:rFonts w:asciiTheme="majorHAnsi" w:hAnsiTheme="majorHAnsi" w:cs="Arial"/>
        </w:rPr>
        <w:instrText xml:space="preserve"> TOC \h \z \c "Obrázek" </w:instrText>
      </w:r>
      <w:r w:rsidRPr="00397585">
        <w:rPr>
          <w:rFonts w:asciiTheme="majorHAnsi" w:hAnsiTheme="majorHAnsi" w:cs="Arial"/>
        </w:rPr>
        <w:fldChar w:fldCharType="separate"/>
      </w:r>
      <w:hyperlink w:anchor="_Toc524677688" w:history="1">
        <w:r w:rsidR="00397585" w:rsidRPr="00397585">
          <w:rPr>
            <w:rStyle w:val="Hypertextovodkaz"/>
            <w:rFonts w:asciiTheme="majorHAnsi" w:hAnsiTheme="majorHAnsi"/>
            <w:noProof/>
          </w:rPr>
          <w:t>Obrázek 1 – Čtyřicet klíčových a vznikajících technologií pro budoucnost</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_Toc524677688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397585" w:rsidRPr="00397585">
          <w:rPr>
            <w:rFonts w:asciiTheme="majorHAnsi" w:hAnsiTheme="majorHAnsi"/>
            <w:noProof/>
            <w:webHidden/>
          </w:rPr>
          <w:t>86</w:t>
        </w:r>
        <w:r w:rsidR="00397585" w:rsidRPr="00397585">
          <w:rPr>
            <w:rFonts w:asciiTheme="majorHAnsi" w:hAnsiTheme="majorHAnsi"/>
            <w:noProof/>
            <w:webHidden/>
          </w:rPr>
          <w:fldChar w:fldCharType="end"/>
        </w:r>
      </w:hyperlink>
    </w:p>
    <w:p w14:paraId="5ABFFDD2"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89" w:history="1">
        <w:r w:rsidR="00397585" w:rsidRPr="00397585">
          <w:rPr>
            <w:rStyle w:val="Hypertextovodkaz"/>
            <w:rFonts w:asciiTheme="majorHAnsi" w:hAnsiTheme="majorHAnsi"/>
            <w:noProof/>
          </w:rPr>
          <w:t>Obrázek 2 – Schéma vazeb mezi klíčovými dokumenty ČR v oblasti VaVaI</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_Toc524677689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397585" w:rsidRPr="00397585">
          <w:rPr>
            <w:rFonts w:asciiTheme="majorHAnsi" w:hAnsiTheme="majorHAnsi"/>
            <w:noProof/>
            <w:webHidden/>
          </w:rPr>
          <w:t>218</w:t>
        </w:r>
        <w:r w:rsidR="00397585" w:rsidRPr="00397585">
          <w:rPr>
            <w:rFonts w:asciiTheme="majorHAnsi" w:hAnsiTheme="majorHAnsi"/>
            <w:noProof/>
            <w:webHidden/>
          </w:rPr>
          <w:fldChar w:fldCharType="end"/>
        </w:r>
      </w:hyperlink>
    </w:p>
    <w:p w14:paraId="12795AAD" w14:textId="77777777" w:rsidR="00397585" w:rsidRPr="00397585" w:rsidRDefault="00663FF6">
      <w:pPr>
        <w:pStyle w:val="Seznamobrzk"/>
        <w:tabs>
          <w:tab w:val="right" w:leader="dot" w:pos="9062"/>
        </w:tabs>
        <w:rPr>
          <w:rFonts w:asciiTheme="majorHAnsi" w:eastAsiaTheme="minorEastAsia" w:hAnsiTheme="majorHAnsi"/>
          <w:noProof/>
          <w:lang w:eastAsia="cs-CZ"/>
        </w:rPr>
      </w:pPr>
      <w:hyperlink w:anchor="_Toc524677690" w:history="1">
        <w:r w:rsidR="00397585" w:rsidRPr="00397585">
          <w:rPr>
            <w:rStyle w:val="Hypertextovodkaz"/>
            <w:rFonts w:asciiTheme="majorHAnsi" w:hAnsiTheme="majorHAnsi"/>
            <w:noProof/>
          </w:rPr>
          <w:t>Obrázek 3 – Systém implementace Národní RIS3 strategie</w:t>
        </w:r>
        <w:r w:rsidR="00397585" w:rsidRPr="00397585">
          <w:rPr>
            <w:rFonts w:asciiTheme="majorHAnsi" w:hAnsiTheme="majorHAnsi"/>
            <w:noProof/>
            <w:webHidden/>
          </w:rPr>
          <w:tab/>
        </w:r>
        <w:r w:rsidR="00397585" w:rsidRPr="00397585">
          <w:rPr>
            <w:rFonts w:asciiTheme="majorHAnsi" w:hAnsiTheme="majorHAnsi"/>
            <w:noProof/>
            <w:webHidden/>
          </w:rPr>
          <w:fldChar w:fldCharType="begin"/>
        </w:r>
        <w:r w:rsidR="00397585" w:rsidRPr="00397585">
          <w:rPr>
            <w:rFonts w:asciiTheme="majorHAnsi" w:hAnsiTheme="majorHAnsi"/>
            <w:noProof/>
            <w:webHidden/>
          </w:rPr>
          <w:instrText xml:space="preserve"> PAGEREF _Toc524677690 \h </w:instrText>
        </w:r>
        <w:r w:rsidR="00397585" w:rsidRPr="00397585">
          <w:rPr>
            <w:rFonts w:asciiTheme="majorHAnsi" w:hAnsiTheme="majorHAnsi"/>
            <w:noProof/>
            <w:webHidden/>
          </w:rPr>
        </w:r>
        <w:r w:rsidR="00397585" w:rsidRPr="00397585">
          <w:rPr>
            <w:rFonts w:asciiTheme="majorHAnsi" w:hAnsiTheme="majorHAnsi"/>
            <w:noProof/>
            <w:webHidden/>
          </w:rPr>
          <w:fldChar w:fldCharType="separate"/>
        </w:r>
        <w:r w:rsidR="00397585" w:rsidRPr="00397585">
          <w:rPr>
            <w:rFonts w:asciiTheme="majorHAnsi" w:hAnsiTheme="majorHAnsi"/>
            <w:noProof/>
            <w:webHidden/>
          </w:rPr>
          <w:t>219</w:t>
        </w:r>
        <w:r w:rsidR="00397585" w:rsidRPr="00397585">
          <w:rPr>
            <w:rFonts w:asciiTheme="majorHAnsi" w:hAnsiTheme="majorHAnsi"/>
            <w:noProof/>
            <w:webHidden/>
          </w:rPr>
          <w:fldChar w:fldCharType="end"/>
        </w:r>
      </w:hyperlink>
    </w:p>
    <w:p w14:paraId="50D0111A" w14:textId="77777777" w:rsidR="00CD3397" w:rsidRPr="00073E31" w:rsidRDefault="00CD3397" w:rsidP="00CD3397">
      <w:pPr>
        <w:rPr>
          <w:rFonts w:cs="Arial"/>
          <w:sz w:val="32"/>
          <w:szCs w:val="32"/>
        </w:rPr>
      </w:pPr>
      <w:r w:rsidRPr="00397585">
        <w:rPr>
          <w:rFonts w:asciiTheme="majorHAnsi" w:hAnsiTheme="majorHAnsi" w:cs="Arial"/>
        </w:rPr>
        <w:fldChar w:fldCharType="end"/>
      </w:r>
    </w:p>
    <w:p w14:paraId="0D59C728" w14:textId="77777777" w:rsidR="004421D8" w:rsidRPr="00BA4F8E" w:rsidRDefault="004421D8" w:rsidP="005F3B84">
      <w:pPr>
        <w:rPr>
          <w:rFonts w:cs="Arial"/>
        </w:rPr>
      </w:pPr>
      <w:r w:rsidRPr="00BA4F8E">
        <w:rPr>
          <w:rFonts w:cs="Arial"/>
        </w:rPr>
        <w:br w:type="page"/>
      </w:r>
    </w:p>
    <w:p w14:paraId="483A0F84" w14:textId="77777777" w:rsidR="005F3B84" w:rsidRPr="00403EA7" w:rsidRDefault="005F3B84" w:rsidP="005F3B84">
      <w:pPr>
        <w:rPr>
          <w:rFonts w:cs="Arial"/>
          <w:color w:val="004B8D"/>
          <w:sz w:val="32"/>
          <w:szCs w:val="32"/>
        </w:rPr>
      </w:pPr>
      <w:r w:rsidRPr="00403EA7">
        <w:rPr>
          <w:rFonts w:cs="Arial"/>
          <w:color w:val="004B8D"/>
          <w:sz w:val="32"/>
          <w:szCs w:val="32"/>
        </w:rPr>
        <w:lastRenderedPageBreak/>
        <w:t>Seznam zkratek</w:t>
      </w:r>
    </w:p>
    <w:p w14:paraId="127D27D8" w14:textId="77777777" w:rsidR="00DF71AB" w:rsidRPr="00DD646A" w:rsidRDefault="00DF71AB" w:rsidP="005F3B84">
      <w:pPr>
        <w:spacing w:after="0"/>
        <w:rPr>
          <w:rFonts w:cs="Arial"/>
        </w:rPr>
      </w:pPr>
      <w:r w:rsidRPr="00DD646A">
        <w:rPr>
          <w:rFonts w:cs="Arial"/>
        </w:rPr>
        <w:t>AV ČR</w:t>
      </w:r>
      <w:r w:rsidRPr="00DD646A">
        <w:rPr>
          <w:rFonts w:cs="Arial"/>
        </w:rPr>
        <w:tab/>
      </w:r>
      <w:r w:rsidRPr="00DD646A">
        <w:rPr>
          <w:rFonts w:cs="Arial"/>
        </w:rPr>
        <w:tab/>
        <w:t>Akademie věd ČR</w:t>
      </w:r>
    </w:p>
    <w:p w14:paraId="666E38D2" w14:textId="77777777" w:rsidR="00DF71AB" w:rsidRPr="00DD646A" w:rsidRDefault="00DF71AB" w:rsidP="005F3B84">
      <w:pPr>
        <w:spacing w:after="0"/>
        <w:rPr>
          <w:rFonts w:cs="Arial"/>
        </w:rPr>
      </w:pPr>
      <w:r w:rsidRPr="00DD646A">
        <w:rPr>
          <w:rFonts w:cs="Arial"/>
        </w:rPr>
        <w:t>BI</w:t>
      </w:r>
      <w:r w:rsidRPr="00DD646A">
        <w:rPr>
          <w:rFonts w:cs="Arial"/>
        </w:rPr>
        <w:tab/>
      </w:r>
      <w:r w:rsidRPr="00DD646A">
        <w:rPr>
          <w:rFonts w:cs="Arial"/>
        </w:rPr>
        <w:tab/>
        <w:t>Balassův index</w:t>
      </w:r>
    </w:p>
    <w:p w14:paraId="2D86C8B3" w14:textId="77777777" w:rsidR="00DF71AB" w:rsidRPr="00DD646A" w:rsidRDefault="00DF71AB" w:rsidP="005F3B84">
      <w:pPr>
        <w:spacing w:after="0"/>
        <w:rPr>
          <w:rFonts w:cs="Arial"/>
        </w:rPr>
      </w:pPr>
      <w:r w:rsidRPr="00DD646A">
        <w:rPr>
          <w:rFonts w:cs="Arial"/>
        </w:rPr>
        <w:t>ČSÚ</w:t>
      </w:r>
      <w:r w:rsidRPr="00DD646A">
        <w:rPr>
          <w:rFonts w:cs="Arial"/>
        </w:rPr>
        <w:tab/>
      </w:r>
      <w:r w:rsidRPr="00DD646A">
        <w:rPr>
          <w:rFonts w:cs="Arial"/>
        </w:rPr>
        <w:tab/>
        <w:t>Český statistický úřad</w:t>
      </w:r>
    </w:p>
    <w:p w14:paraId="26CE50E6" w14:textId="77777777" w:rsidR="00DF71AB" w:rsidRPr="00DD646A" w:rsidRDefault="00DF71AB" w:rsidP="005F3B84">
      <w:pPr>
        <w:spacing w:after="0"/>
        <w:rPr>
          <w:rFonts w:cs="Arial"/>
        </w:rPr>
      </w:pPr>
      <w:r w:rsidRPr="00DD646A">
        <w:rPr>
          <w:rFonts w:cs="Arial"/>
        </w:rPr>
        <w:t>EDF</w:t>
      </w:r>
      <w:r w:rsidRPr="00DD646A">
        <w:rPr>
          <w:rFonts w:cs="Arial"/>
        </w:rPr>
        <w:tab/>
      </w:r>
      <w:r w:rsidRPr="00DD646A">
        <w:rPr>
          <w:rFonts w:cs="Arial"/>
        </w:rPr>
        <w:tab/>
        <w:t>Ease of doing business</w:t>
      </w:r>
    </w:p>
    <w:p w14:paraId="5402412C" w14:textId="77777777" w:rsidR="00DF71AB" w:rsidRPr="00DD646A" w:rsidRDefault="00DF71AB" w:rsidP="005F3B84">
      <w:pPr>
        <w:spacing w:after="0"/>
        <w:rPr>
          <w:rFonts w:cs="Arial"/>
        </w:rPr>
      </w:pPr>
      <w:r w:rsidRPr="00DD646A">
        <w:rPr>
          <w:rFonts w:cs="Arial"/>
        </w:rPr>
        <w:t xml:space="preserve">EDP </w:t>
      </w:r>
      <w:r w:rsidRPr="00DD646A">
        <w:rPr>
          <w:rFonts w:cs="Arial"/>
        </w:rPr>
        <w:tab/>
      </w:r>
      <w:r w:rsidRPr="00DD646A">
        <w:rPr>
          <w:rFonts w:cs="Arial"/>
        </w:rPr>
        <w:tab/>
      </w:r>
      <w:r w:rsidRPr="00DD646A">
        <w:rPr>
          <w:rFonts w:cs="Calibri"/>
        </w:rPr>
        <w:t>Entrepreneurial discovery process</w:t>
      </w:r>
    </w:p>
    <w:p w14:paraId="758B28F8" w14:textId="77777777" w:rsidR="00DF71AB" w:rsidRPr="00DD646A" w:rsidRDefault="00DF71AB" w:rsidP="00DD646A">
      <w:pPr>
        <w:spacing w:after="0"/>
        <w:rPr>
          <w:rFonts w:cs="Arial"/>
        </w:rPr>
      </w:pPr>
      <w:r w:rsidRPr="00DD646A">
        <w:rPr>
          <w:rFonts w:cs="Arial"/>
        </w:rPr>
        <w:t>EFRR</w:t>
      </w:r>
      <w:r w:rsidRPr="00DD646A">
        <w:rPr>
          <w:rFonts w:cs="Arial"/>
        </w:rPr>
        <w:tab/>
      </w:r>
      <w:r w:rsidRPr="00DD646A">
        <w:rPr>
          <w:rFonts w:cs="Arial"/>
        </w:rPr>
        <w:tab/>
        <w:t>Evropský fond pro regionální rozvoj</w:t>
      </w:r>
    </w:p>
    <w:p w14:paraId="76AFB930" w14:textId="77777777" w:rsidR="00DF71AB" w:rsidRPr="00DD646A" w:rsidRDefault="00DF71AB" w:rsidP="005F3B84">
      <w:pPr>
        <w:spacing w:after="0"/>
        <w:rPr>
          <w:rFonts w:cs="Arial"/>
        </w:rPr>
      </w:pPr>
      <w:r w:rsidRPr="00DD646A">
        <w:rPr>
          <w:rFonts w:cs="Arial"/>
        </w:rPr>
        <w:t>EGAP</w:t>
      </w:r>
      <w:r w:rsidRPr="00DD646A">
        <w:rPr>
          <w:rFonts w:cs="Arial"/>
        </w:rPr>
        <w:tab/>
      </w:r>
      <w:r w:rsidRPr="00DD646A">
        <w:rPr>
          <w:rFonts w:cs="Arial"/>
        </w:rPr>
        <w:tab/>
        <w:t>Exportní garanční a pojišťovací společnost</w:t>
      </w:r>
    </w:p>
    <w:p w14:paraId="4E605375" w14:textId="77777777" w:rsidR="00DF71AB" w:rsidRPr="00DD646A" w:rsidRDefault="00DF71AB" w:rsidP="005F3B84">
      <w:pPr>
        <w:spacing w:after="0"/>
        <w:rPr>
          <w:rFonts w:cs="Arial"/>
        </w:rPr>
      </w:pPr>
      <w:r w:rsidRPr="00DD646A">
        <w:rPr>
          <w:rFonts w:cs="Arial"/>
        </w:rPr>
        <w:t>EK</w:t>
      </w:r>
      <w:r w:rsidRPr="00DD646A">
        <w:rPr>
          <w:rFonts w:cs="Arial"/>
        </w:rPr>
        <w:tab/>
      </w:r>
      <w:r w:rsidRPr="00DD646A">
        <w:rPr>
          <w:rFonts w:cs="Arial"/>
        </w:rPr>
        <w:tab/>
        <w:t>Evropská komise</w:t>
      </w:r>
    </w:p>
    <w:p w14:paraId="606E946E" w14:textId="77777777" w:rsidR="00DF71AB" w:rsidRPr="00DD646A" w:rsidRDefault="00DF71AB" w:rsidP="005F3B84">
      <w:pPr>
        <w:spacing w:after="0"/>
        <w:rPr>
          <w:rFonts w:cs="Arial"/>
        </w:rPr>
      </w:pPr>
      <w:r w:rsidRPr="00DD646A">
        <w:rPr>
          <w:rFonts w:cs="Arial"/>
        </w:rPr>
        <w:t>ELI</w:t>
      </w:r>
      <w:r w:rsidRPr="00DD646A">
        <w:rPr>
          <w:rFonts w:cs="Arial"/>
        </w:rPr>
        <w:tab/>
      </w:r>
      <w:r w:rsidRPr="00DD646A">
        <w:rPr>
          <w:rFonts w:cs="Arial"/>
        </w:rPr>
        <w:tab/>
        <w:t>Extreme Light Infrastructure (projekt ESFRI)</w:t>
      </w:r>
    </w:p>
    <w:p w14:paraId="0D413381" w14:textId="77777777" w:rsidR="00DF71AB" w:rsidRPr="00DD646A" w:rsidRDefault="00DF71AB" w:rsidP="005F3B84">
      <w:pPr>
        <w:spacing w:after="0"/>
        <w:rPr>
          <w:rFonts w:cs="Arial"/>
        </w:rPr>
      </w:pPr>
      <w:r w:rsidRPr="00DD646A">
        <w:rPr>
          <w:rFonts w:cs="Arial"/>
        </w:rPr>
        <w:t>ERA</w:t>
      </w:r>
      <w:r w:rsidRPr="00DD646A">
        <w:rPr>
          <w:rFonts w:cs="Arial"/>
        </w:rPr>
        <w:tab/>
      </w:r>
      <w:r w:rsidRPr="00DD646A">
        <w:rPr>
          <w:rFonts w:cs="Arial"/>
        </w:rPr>
        <w:tab/>
        <w:t>European Research Area (Evropský výzkumný prostor)</w:t>
      </w:r>
    </w:p>
    <w:p w14:paraId="196192CA" w14:textId="77777777" w:rsidR="00DF71AB" w:rsidRPr="00DD646A" w:rsidRDefault="00DF71AB" w:rsidP="00DD646A">
      <w:pPr>
        <w:spacing w:after="0"/>
        <w:rPr>
          <w:rFonts w:cs="Arial"/>
        </w:rPr>
      </w:pPr>
      <w:r w:rsidRPr="00DD646A">
        <w:rPr>
          <w:rFonts w:cs="Arial"/>
        </w:rPr>
        <w:t>ERDF</w:t>
      </w:r>
      <w:r w:rsidRPr="00DD646A">
        <w:rPr>
          <w:rFonts w:cs="Arial"/>
        </w:rPr>
        <w:tab/>
      </w:r>
      <w:r w:rsidRPr="00DD646A">
        <w:rPr>
          <w:rFonts w:cs="Arial"/>
        </w:rPr>
        <w:tab/>
        <w:t>Evropský fond pro regionální rozvoj (European Regional Development Fund)</w:t>
      </w:r>
    </w:p>
    <w:p w14:paraId="4F490854" w14:textId="77777777" w:rsidR="00DF71AB" w:rsidRPr="00DD646A" w:rsidRDefault="00DF71AB" w:rsidP="005F3B84">
      <w:pPr>
        <w:spacing w:after="0"/>
        <w:rPr>
          <w:rFonts w:cs="Arial"/>
        </w:rPr>
      </w:pPr>
      <w:r w:rsidRPr="00DD646A">
        <w:rPr>
          <w:rFonts w:cs="Arial"/>
        </w:rPr>
        <w:t>ESF</w:t>
      </w:r>
      <w:r w:rsidRPr="00DD646A">
        <w:rPr>
          <w:rFonts w:cs="Arial"/>
        </w:rPr>
        <w:tab/>
      </w:r>
      <w:r w:rsidRPr="00DD646A">
        <w:rPr>
          <w:rFonts w:cs="Arial"/>
        </w:rPr>
        <w:tab/>
        <w:t>Evropský sociální fond</w:t>
      </w:r>
    </w:p>
    <w:p w14:paraId="3FD15A27" w14:textId="77777777" w:rsidR="00DF71AB" w:rsidRPr="00DD646A" w:rsidRDefault="00DF71AB" w:rsidP="005F3B84">
      <w:pPr>
        <w:spacing w:after="0"/>
        <w:ind w:left="1410" w:hanging="1410"/>
        <w:rPr>
          <w:rFonts w:cs="Arial"/>
        </w:rPr>
      </w:pPr>
      <w:r w:rsidRPr="00DD646A">
        <w:rPr>
          <w:rFonts w:cs="Arial"/>
        </w:rPr>
        <w:t>ESFRI</w:t>
      </w:r>
      <w:r w:rsidRPr="00DD646A">
        <w:rPr>
          <w:rFonts w:cs="Arial"/>
        </w:rPr>
        <w:tab/>
      </w:r>
      <w:r w:rsidRPr="00DD646A">
        <w:rPr>
          <w:rFonts w:cs="Arial"/>
        </w:rPr>
        <w:tab/>
        <w:t>Evropské strategické fórum pro výzkumné infrastruktury (European Strategy Forum on Research Infrastructures)</w:t>
      </w:r>
    </w:p>
    <w:p w14:paraId="5D7C69A0" w14:textId="77777777" w:rsidR="00DF71AB" w:rsidRPr="00DD646A" w:rsidRDefault="00DF71AB" w:rsidP="00DD646A">
      <w:pPr>
        <w:spacing w:after="0"/>
        <w:ind w:left="1410" w:hanging="1410"/>
        <w:rPr>
          <w:rFonts w:cs="Arial"/>
        </w:rPr>
      </w:pPr>
      <w:r w:rsidRPr="00DD646A">
        <w:rPr>
          <w:rFonts w:cs="Arial"/>
        </w:rPr>
        <w:t>ESIF</w:t>
      </w:r>
      <w:r w:rsidRPr="00DD646A">
        <w:rPr>
          <w:rFonts w:cs="Arial"/>
        </w:rPr>
        <w:tab/>
      </w:r>
      <w:r w:rsidRPr="00DD646A">
        <w:rPr>
          <w:rFonts w:cs="Arial"/>
        </w:rPr>
        <w:tab/>
        <w:t>Evropské strukturální a investiční fondy (European Structural and Investment Funds) v období 2014–2020</w:t>
      </w:r>
    </w:p>
    <w:p w14:paraId="08ED08B4" w14:textId="77777777" w:rsidR="00DF71AB" w:rsidRPr="00DD646A" w:rsidRDefault="00DF71AB" w:rsidP="005F3B84">
      <w:pPr>
        <w:spacing w:after="0"/>
        <w:rPr>
          <w:rFonts w:cs="Arial"/>
        </w:rPr>
      </w:pPr>
      <w:r w:rsidRPr="00DD646A">
        <w:rPr>
          <w:rFonts w:cs="Arial"/>
        </w:rPr>
        <w:t>EU</w:t>
      </w:r>
      <w:r w:rsidRPr="00DD646A">
        <w:rPr>
          <w:rFonts w:cs="Arial"/>
        </w:rPr>
        <w:tab/>
      </w:r>
      <w:r w:rsidRPr="00DD646A">
        <w:rPr>
          <w:rFonts w:cs="Arial"/>
        </w:rPr>
        <w:tab/>
        <w:t>Evropská unie</w:t>
      </w:r>
    </w:p>
    <w:p w14:paraId="0873923F" w14:textId="77777777" w:rsidR="00DF71AB" w:rsidRPr="00DD646A" w:rsidRDefault="00DF71AB" w:rsidP="005F3B84">
      <w:pPr>
        <w:spacing w:after="0"/>
        <w:rPr>
          <w:rFonts w:cs="Arial"/>
        </w:rPr>
      </w:pPr>
      <w:r w:rsidRPr="00DD646A">
        <w:rPr>
          <w:rFonts w:cs="Arial"/>
        </w:rPr>
        <w:t>FTE</w:t>
      </w:r>
      <w:r w:rsidRPr="00DD646A">
        <w:rPr>
          <w:rFonts w:cs="Arial"/>
        </w:rPr>
        <w:tab/>
      </w:r>
      <w:r w:rsidRPr="00DD646A">
        <w:rPr>
          <w:rFonts w:cs="Arial"/>
        </w:rPr>
        <w:tab/>
        <w:t>Ekvivalent zaměstnance na plný pracovní úvazek (Full Time Equivalent)</w:t>
      </w:r>
    </w:p>
    <w:p w14:paraId="54BE3ED9" w14:textId="77777777" w:rsidR="00DF71AB" w:rsidRPr="00DD646A" w:rsidRDefault="00DF71AB" w:rsidP="005F3B84">
      <w:pPr>
        <w:spacing w:after="0"/>
        <w:rPr>
          <w:rFonts w:cs="Arial"/>
        </w:rPr>
      </w:pPr>
      <w:r w:rsidRPr="00DD646A">
        <w:rPr>
          <w:rFonts w:cs="Arial"/>
        </w:rPr>
        <w:t>GCI</w:t>
      </w:r>
      <w:r w:rsidRPr="00DD646A">
        <w:rPr>
          <w:rFonts w:cs="Arial"/>
        </w:rPr>
        <w:tab/>
      </w:r>
      <w:r w:rsidRPr="00DD646A">
        <w:rPr>
          <w:rFonts w:cs="Arial"/>
        </w:rPr>
        <w:tab/>
        <w:t>Global Competitiveness Report</w:t>
      </w:r>
    </w:p>
    <w:p w14:paraId="217DDB02" w14:textId="77777777" w:rsidR="00DF71AB" w:rsidRPr="00DD646A" w:rsidRDefault="00DF71AB" w:rsidP="005F3B84">
      <w:pPr>
        <w:spacing w:after="0"/>
        <w:rPr>
          <w:rFonts w:cs="Arial"/>
        </w:rPr>
      </w:pPr>
      <w:r w:rsidRPr="00DD646A">
        <w:rPr>
          <w:rFonts w:cs="Arial"/>
        </w:rPr>
        <w:t xml:space="preserve">GNSS </w:t>
      </w:r>
      <w:r w:rsidRPr="00DD646A">
        <w:rPr>
          <w:rFonts w:cs="Arial"/>
        </w:rPr>
        <w:tab/>
      </w:r>
      <w:r w:rsidRPr="00DD646A">
        <w:rPr>
          <w:rFonts w:cs="Arial"/>
        </w:rPr>
        <w:tab/>
        <w:t>Globální družicové navigační systémy</w:t>
      </w:r>
    </w:p>
    <w:p w14:paraId="74479CD6" w14:textId="77777777" w:rsidR="00DF71AB" w:rsidRPr="00DD646A" w:rsidRDefault="00DF71AB" w:rsidP="005F3B84">
      <w:pPr>
        <w:spacing w:after="0"/>
        <w:rPr>
          <w:rFonts w:cs="Arial"/>
        </w:rPr>
      </w:pPr>
      <w:r w:rsidRPr="00DD646A">
        <w:rPr>
          <w:rFonts w:cs="Arial"/>
        </w:rPr>
        <w:t>HDP</w:t>
      </w:r>
      <w:r w:rsidRPr="00DD646A">
        <w:rPr>
          <w:rFonts w:cs="Arial"/>
        </w:rPr>
        <w:tab/>
      </w:r>
      <w:r w:rsidRPr="00DD646A">
        <w:rPr>
          <w:rFonts w:cs="Arial"/>
        </w:rPr>
        <w:tab/>
        <w:t>Hrubý domácí produkt</w:t>
      </w:r>
    </w:p>
    <w:p w14:paraId="7A58B806" w14:textId="77777777" w:rsidR="00DF71AB" w:rsidRPr="00DD646A" w:rsidRDefault="00DF71AB" w:rsidP="00DD646A">
      <w:pPr>
        <w:spacing w:after="0"/>
        <w:rPr>
          <w:rFonts w:cs="Arial"/>
        </w:rPr>
      </w:pPr>
      <w:r w:rsidRPr="00DD646A">
        <w:rPr>
          <w:rFonts w:cs="Arial"/>
        </w:rPr>
        <w:t>hl. m. Praha</w:t>
      </w:r>
      <w:r w:rsidRPr="00DD646A">
        <w:rPr>
          <w:rFonts w:cs="Arial"/>
        </w:rPr>
        <w:tab/>
        <w:t>Hlavní město Praha</w:t>
      </w:r>
    </w:p>
    <w:p w14:paraId="3898A8CE" w14:textId="77777777" w:rsidR="00DF71AB" w:rsidRPr="00DD646A" w:rsidRDefault="00DF71AB" w:rsidP="005F3B84">
      <w:pPr>
        <w:spacing w:after="0"/>
        <w:rPr>
          <w:rFonts w:cs="Arial"/>
        </w:rPr>
      </w:pPr>
      <w:r w:rsidRPr="00DD646A">
        <w:rPr>
          <w:rFonts w:cs="Arial"/>
        </w:rPr>
        <w:t>HPH</w:t>
      </w:r>
      <w:r w:rsidRPr="00DD646A">
        <w:rPr>
          <w:rFonts w:cs="Arial"/>
        </w:rPr>
        <w:tab/>
      </w:r>
      <w:r w:rsidRPr="00DD646A">
        <w:rPr>
          <w:rFonts w:cs="Arial"/>
        </w:rPr>
        <w:tab/>
        <w:t>Hrubá přidaná hodnota</w:t>
      </w:r>
    </w:p>
    <w:p w14:paraId="5390AC98" w14:textId="77777777" w:rsidR="00DF71AB" w:rsidRPr="00DD646A" w:rsidRDefault="00DF71AB" w:rsidP="005F3B84">
      <w:pPr>
        <w:spacing w:after="0"/>
        <w:rPr>
          <w:rFonts w:cs="Arial"/>
        </w:rPr>
      </w:pPr>
      <w:r w:rsidRPr="00DD646A">
        <w:rPr>
          <w:rFonts w:cs="Arial"/>
        </w:rPr>
        <w:t>ICT (IKT)</w:t>
      </w:r>
      <w:r w:rsidRPr="00DD646A">
        <w:rPr>
          <w:rFonts w:cs="Arial"/>
        </w:rPr>
        <w:tab/>
        <w:t>Informační a komunikační technologie</w:t>
      </w:r>
    </w:p>
    <w:p w14:paraId="703A212D" w14:textId="77777777" w:rsidR="00DF71AB" w:rsidRPr="00DD646A" w:rsidRDefault="00DF71AB" w:rsidP="005F3B84">
      <w:pPr>
        <w:spacing w:after="0"/>
        <w:rPr>
          <w:rFonts w:cs="Arial"/>
        </w:rPr>
      </w:pPr>
      <w:r w:rsidRPr="00DD646A">
        <w:rPr>
          <w:rFonts w:cs="Arial"/>
        </w:rPr>
        <w:t>IMF</w:t>
      </w:r>
      <w:r w:rsidRPr="00DD646A">
        <w:rPr>
          <w:rFonts w:cs="Arial"/>
        </w:rPr>
        <w:tab/>
      </w:r>
      <w:r w:rsidRPr="00DD646A">
        <w:rPr>
          <w:rFonts w:cs="Arial"/>
        </w:rPr>
        <w:tab/>
        <w:t>Mezinárodní měnový fond (Ingernational monetary fund)</w:t>
      </w:r>
    </w:p>
    <w:p w14:paraId="0117B303" w14:textId="77777777" w:rsidR="00DF71AB" w:rsidRPr="00DD646A" w:rsidRDefault="00DF71AB" w:rsidP="005F3B84">
      <w:pPr>
        <w:spacing w:after="0"/>
        <w:rPr>
          <w:rFonts w:cs="Arial"/>
        </w:rPr>
      </w:pPr>
      <w:r w:rsidRPr="00DD646A">
        <w:rPr>
          <w:rFonts w:cs="Arial"/>
        </w:rPr>
        <w:t>IoT</w:t>
      </w:r>
      <w:r w:rsidRPr="00DD646A">
        <w:rPr>
          <w:rFonts w:cs="Arial"/>
        </w:rPr>
        <w:tab/>
      </w:r>
      <w:r w:rsidRPr="00DD646A">
        <w:rPr>
          <w:rFonts w:cs="Arial"/>
        </w:rPr>
        <w:tab/>
        <w:t>Internet věcí</w:t>
      </w:r>
    </w:p>
    <w:p w14:paraId="053B30B7" w14:textId="77777777" w:rsidR="00DF71AB" w:rsidRPr="00DD646A" w:rsidRDefault="00DF71AB" w:rsidP="00DD646A">
      <w:pPr>
        <w:spacing w:after="0"/>
        <w:rPr>
          <w:rFonts w:cs="Arial"/>
        </w:rPr>
      </w:pPr>
      <w:r w:rsidRPr="00DD646A">
        <w:rPr>
          <w:rFonts w:cs="Arial"/>
        </w:rPr>
        <w:t>IROP</w:t>
      </w:r>
      <w:r w:rsidRPr="00DD646A">
        <w:rPr>
          <w:rFonts w:cs="Arial"/>
        </w:rPr>
        <w:tab/>
      </w:r>
      <w:r w:rsidRPr="00DD646A">
        <w:rPr>
          <w:rFonts w:cs="Arial"/>
        </w:rPr>
        <w:tab/>
        <w:t>Integrovaný regionální operační program</w:t>
      </w:r>
    </w:p>
    <w:p w14:paraId="4AC89FEB" w14:textId="77777777" w:rsidR="00DF71AB" w:rsidRPr="00DD646A" w:rsidRDefault="00DF71AB" w:rsidP="005F3B84">
      <w:pPr>
        <w:spacing w:after="0"/>
        <w:rPr>
          <w:rFonts w:cs="Arial"/>
        </w:rPr>
      </w:pPr>
      <w:r w:rsidRPr="00DD646A">
        <w:rPr>
          <w:rFonts w:cs="Arial"/>
        </w:rPr>
        <w:t>IS VaVaI</w:t>
      </w:r>
      <w:r w:rsidRPr="00DD646A">
        <w:rPr>
          <w:rFonts w:cs="Arial"/>
        </w:rPr>
        <w:tab/>
        <w:t>Informační systém výzkumu, vývoje a inovací</w:t>
      </w:r>
    </w:p>
    <w:p w14:paraId="0DABCBA1" w14:textId="77777777" w:rsidR="00DF71AB" w:rsidRPr="00DD646A" w:rsidRDefault="00DF71AB" w:rsidP="005F3B84">
      <w:pPr>
        <w:spacing w:after="0"/>
        <w:rPr>
          <w:rFonts w:cs="Arial"/>
        </w:rPr>
      </w:pPr>
      <w:r w:rsidRPr="00DD646A">
        <w:rPr>
          <w:rFonts w:cs="Arial"/>
        </w:rPr>
        <w:t>KETs</w:t>
      </w:r>
      <w:r w:rsidRPr="00DD646A">
        <w:rPr>
          <w:rFonts w:cs="Arial"/>
        </w:rPr>
        <w:tab/>
      </w:r>
      <w:r w:rsidRPr="00DD646A">
        <w:rPr>
          <w:rFonts w:cs="Arial"/>
        </w:rPr>
        <w:tab/>
        <w:t>Key Enabling Technologies</w:t>
      </w:r>
    </w:p>
    <w:p w14:paraId="12AF9E22" w14:textId="77777777" w:rsidR="00DF71AB" w:rsidRPr="00DD646A" w:rsidRDefault="00DF71AB" w:rsidP="005F3B84">
      <w:pPr>
        <w:spacing w:after="0"/>
        <w:rPr>
          <w:rFonts w:cs="Arial"/>
        </w:rPr>
      </w:pPr>
      <w:r w:rsidRPr="00DD646A">
        <w:rPr>
          <w:rFonts w:cs="Arial"/>
        </w:rPr>
        <w:t>KIS</w:t>
      </w:r>
      <w:r w:rsidRPr="00DD646A">
        <w:rPr>
          <w:rFonts w:cs="Arial"/>
        </w:rPr>
        <w:tab/>
      </w:r>
      <w:r w:rsidRPr="00DD646A">
        <w:rPr>
          <w:rFonts w:cs="Arial"/>
        </w:rPr>
        <w:tab/>
        <w:t>Knowledge-intensive services</w:t>
      </w:r>
    </w:p>
    <w:p w14:paraId="76522C21" w14:textId="77777777" w:rsidR="00DF71AB" w:rsidRPr="00DD646A" w:rsidRDefault="00DF71AB" w:rsidP="005F3B84">
      <w:pPr>
        <w:spacing w:after="0"/>
        <w:rPr>
          <w:rFonts w:cs="Arial"/>
        </w:rPr>
      </w:pPr>
      <w:r w:rsidRPr="00DD646A">
        <w:rPr>
          <w:rFonts w:cs="Arial"/>
        </w:rPr>
        <w:t>KVET</w:t>
      </w:r>
      <w:r w:rsidRPr="00DD646A">
        <w:rPr>
          <w:rFonts w:cs="Arial"/>
        </w:rPr>
        <w:tab/>
      </w:r>
      <w:r w:rsidRPr="00DD646A">
        <w:rPr>
          <w:rFonts w:cs="Arial"/>
        </w:rPr>
        <w:tab/>
        <w:t>Kombinovaná výroba elektrické energie a tepla</w:t>
      </w:r>
    </w:p>
    <w:p w14:paraId="4973ED84" w14:textId="77777777" w:rsidR="00DF71AB" w:rsidRPr="00DD646A" w:rsidRDefault="00DF71AB" w:rsidP="005F3B84">
      <w:pPr>
        <w:spacing w:after="0"/>
        <w:ind w:left="1410" w:hanging="1410"/>
        <w:rPr>
          <w:rFonts w:cs="Arial"/>
        </w:rPr>
      </w:pPr>
      <w:r w:rsidRPr="00DD646A">
        <w:rPr>
          <w:rFonts w:cs="Arial"/>
        </w:rPr>
        <w:t>LTE</w:t>
      </w:r>
      <w:r w:rsidRPr="00DD646A">
        <w:rPr>
          <w:rFonts w:cs="Arial"/>
        </w:rPr>
        <w:tab/>
      </w:r>
      <w:r w:rsidRPr="00DD646A">
        <w:rPr>
          <w:rFonts w:cs="Arial"/>
        </w:rPr>
        <w:tab/>
        <w:t xml:space="preserve">technologie určená pro vysokorychlostní Internet v mobilních sítích </w:t>
      </w:r>
    </w:p>
    <w:p w14:paraId="7F6BC0C8" w14:textId="77777777" w:rsidR="00DF71AB" w:rsidRPr="00DD646A" w:rsidRDefault="00DF71AB" w:rsidP="005F3B84">
      <w:pPr>
        <w:spacing w:after="0"/>
        <w:ind w:left="1410" w:hanging="1410"/>
        <w:rPr>
          <w:rFonts w:cs="Arial"/>
        </w:rPr>
      </w:pPr>
      <w:r w:rsidRPr="00DD646A">
        <w:rPr>
          <w:rFonts w:cs="Arial"/>
        </w:rPr>
        <w:t>M2017+</w:t>
      </w:r>
      <w:r w:rsidRPr="00DD646A">
        <w:rPr>
          <w:rFonts w:cs="Arial"/>
        </w:rPr>
        <w:tab/>
      </w:r>
      <w:r w:rsidRPr="00DD646A">
        <w:rPr>
          <w:rFonts w:cs="Arial"/>
        </w:rPr>
        <w:tab/>
        <w:t>Metodika hodnocení výzkumných organizací a hodnocení programů účelové podpory výzkumu, vývoje a inovací</w:t>
      </w:r>
    </w:p>
    <w:p w14:paraId="63CFC512" w14:textId="77777777" w:rsidR="00DF71AB" w:rsidRDefault="00DF71AB" w:rsidP="005F3B84">
      <w:pPr>
        <w:spacing w:after="0"/>
        <w:ind w:left="1410" w:hanging="1410"/>
        <w:rPr>
          <w:rFonts w:cs="Arial"/>
        </w:rPr>
      </w:pPr>
      <w:r w:rsidRPr="00DD646A">
        <w:rPr>
          <w:rFonts w:cs="Arial"/>
        </w:rPr>
        <w:t xml:space="preserve">MEMS </w:t>
      </w:r>
      <w:r w:rsidRPr="00DD646A">
        <w:rPr>
          <w:rFonts w:cs="Arial"/>
        </w:rPr>
        <w:tab/>
        <w:t>Mikroelektromechanický systém</w:t>
      </w:r>
    </w:p>
    <w:p w14:paraId="664BCFB7" w14:textId="056C94F9" w:rsidR="00C16F5D" w:rsidRPr="00DD646A" w:rsidRDefault="00C16F5D" w:rsidP="005F3B84">
      <w:pPr>
        <w:spacing w:after="0"/>
        <w:ind w:left="1410" w:hanging="1410"/>
        <w:rPr>
          <w:rFonts w:cs="Arial"/>
        </w:rPr>
      </w:pPr>
      <w:r>
        <w:rPr>
          <w:rFonts w:cs="Arial"/>
        </w:rPr>
        <w:t>MK</w:t>
      </w:r>
      <w:r>
        <w:rPr>
          <w:rFonts w:cs="Arial"/>
        </w:rPr>
        <w:tab/>
        <w:t>Ministerstvo kultury</w:t>
      </w:r>
    </w:p>
    <w:p w14:paraId="34C82CAA" w14:textId="77777777" w:rsidR="00DF71AB" w:rsidRPr="00DD646A" w:rsidRDefault="00DF71AB" w:rsidP="008E1ED9">
      <w:pPr>
        <w:spacing w:after="0"/>
        <w:ind w:left="1410" w:hanging="1410"/>
        <w:rPr>
          <w:rFonts w:cs="Arial"/>
        </w:rPr>
      </w:pPr>
      <w:r w:rsidRPr="00DD646A">
        <w:rPr>
          <w:rFonts w:cs="Arial"/>
        </w:rPr>
        <w:t>MKVB 2017+</w:t>
      </w:r>
      <w:r w:rsidRPr="00DD646A">
        <w:rPr>
          <w:rFonts w:cs="Arial"/>
        </w:rPr>
        <w:tab/>
        <w:t xml:space="preserve">Meziresortní koncepce bezpečnostního výzkumu a vývoje ČR do </w:t>
      </w:r>
      <w:r w:rsidRPr="00DD646A">
        <w:t>2017 – 2023 s výhledem do roku 2030</w:t>
      </w:r>
    </w:p>
    <w:p w14:paraId="7E664986" w14:textId="77777777" w:rsidR="00DF71AB" w:rsidRPr="00DD646A" w:rsidRDefault="00DF71AB" w:rsidP="005F3B84">
      <w:pPr>
        <w:spacing w:after="0"/>
        <w:ind w:left="1410" w:hanging="1410"/>
        <w:rPr>
          <w:rFonts w:cs="Arial"/>
        </w:rPr>
      </w:pPr>
      <w:r w:rsidRPr="00DD646A">
        <w:rPr>
          <w:rFonts w:cs="Arial"/>
        </w:rPr>
        <w:t>MLG</w:t>
      </w:r>
      <w:r w:rsidRPr="00DD646A">
        <w:rPr>
          <w:rFonts w:cs="Arial"/>
        </w:rPr>
        <w:tab/>
        <w:t>Víceúrovňové řízení (Multilevel governance)</w:t>
      </w:r>
    </w:p>
    <w:p w14:paraId="351F9CBB" w14:textId="77777777" w:rsidR="00DF71AB" w:rsidRPr="00DD646A" w:rsidRDefault="00DF71AB" w:rsidP="005F3B84">
      <w:pPr>
        <w:spacing w:after="0"/>
        <w:rPr>
          <w:rFonts w:cs="Arial"/>
        </w:rPr>
      </w:pPr>
      <w:r w:rsidRPr="00DD646A">
        <w:rPr>
          <w:rFonts w:cs="Arial"/>
        </w:rPr>
        <w:t xml:space="preserve">MMR </w:t>
      </w:r>
      <w:r w:rsidRPr="00DD646A">
        <w:rPr>
          <w:rFonts w:cs="Arial"/>
        </w:rPr>
        <w:tab/>
      </w:r>
      <w:r w:rsidRPr="00DD646A">
        <w:rPr>
          <w:rFonts w:cs="Arial"/>
        </w:rPr>
        <w:tab/>
        <w:t>Ministerstvo pro místní rozvoj</w:t>
      </w:r>
    </w:p>
    <w:p w14:paraId="18CC7FF0" w14:textId="77777777" w:rsidR="00DF71AB" w:rsidRPr="00DD646A" w:rsidRDefault="00DF71AB" w:rsidP="005F3B84">
      <w:pPr>
        <w:spacing w:after="0"/>
        <w:rPr>
          <w:rFonts w:cs="Arial"/>
        </w:rPr>
      </w:pPr>
      <w:r w:rsidRPr="00DD646A">
        <w:rPr>
          <w:rFonts w:cs="Arial"/>
        </w:rPr>
        <w:lastRenderedPageBreak/>
        <w:t>MPO</w:t>
      </w:r>
      <w:r w:rsidRPr="00DD646A">
        <w:rPr>
          <w:rFonts w:cs="Arial"/>
        </w:rPr>
        <w:tab/>
      </w:r>
      <w:r w:rsidRPr="00DD646A">
        <w:rPr>
          <w:rFonts w:cs="Arial"/>
        </w:rPr>
        <w:tab/>
        <w:t>Ministerstvo průmyslu a obchodu</w:t>
      </w:r>
    </w:p>
    <w:p w14:paraId="7854D108" w14:textId="77777777" w:rsidR="00DF71AB" w:rsidRPr="00DD646A" w:rsidRDefault="00DF71AB" w:rsidP="005F3B84">
      <w:pPr>
        <w:spacing w:after="0"/>
        <w:rPr>
          <w:rFonts w:cs="Arial"/>
        </w:rPr>
      </w:pPr>
      <w:r w:rsidRPr="00DD646A">
        <w:rPr>
          <w:rFonts w:cs="Arial"/>
        </w:rPr>
        <w:t>MPSV</w:t>
      </w:r>
      <w:r w:rsidRPr="00DD646A">
        <w:rPr>
          <w:rFonts w:cs="Arial"/>
        </w:rPr>
        <w:tab/>
      </w:r>
      <w:r w:rsidRPr="00DD646A">
        <w:rPr>
          <w:rFonts w:cs="Arial"/>
        </w:rPr>
        <w:tab/>
        <w:t>Ministerstvo práce a sociálních věcí</w:t>
      </w:r>
    </w:p>
    <w:p w14:paraId="1678CCA0" w14:textId="2137B8DD" w:rsidR="0072208B" w:rsidRPr="00212EB3" w:rsidRDefault="00DF71AB" w:rsidP="00212EB3">
      <w:pPr>
        <w:spacing w:after="0"/>
        <w:rPr>
          <w:rFonts w:cs="Arial"/>
        </w:rPr>
      </w:pPr>
      <w:r w:rsidRPr="00DD646A">
        <w:rPr>
          <w:rFonts w:cs="Arial"/>
        </w:rPr>
        <w:t>MS2014+</w:t>
      </w:r>
      <w:r w:rsidR="0072208B">
        <w:rPr>
          <w:rFonts w:cs="Arial"/>
        </w:rPr>
        <w:tab/>
      </w:r>
      <w:r w:rsidR="0072208B" w:rsidRPr="0072208B">
        <w:rPr>
          <w:rFonts w:cs="Arial"/>
        </w:rPr>
        <w:t>Monitorovací systém evropských strukturálních a investičních fondů pro programové období 2014-2020</w:t>
      </w:r>
    </w:p>
    <w:p w14:paraId="12772682" w14:textId="77777777" w:rsidR="00DF71AB" w:rsidRPr="00DD646A" w:rsidRDefault="00DF71AB" w:rsidP="00DD646A">
      <w:pPr>
        <w:spacing w:after="0"/>
        <w:rPr>
          <w:rFonts w:cs="Arial"/>
        </w:rPr>
      </w:pPr>
      <w:r w:rsidRPr="00DD646A">
        <w:rPr>
          <w:rFonts w:cs="Arial"/>
        </w:rPr>
        <w:t>MSP</w:t>
      </w:r>
      <w:r w:rsidRPr="00DD646A">
        <w:rPr>
          <w:rFonts w:cs="Arial"/>
        </w:rPr>
        <w:tab/>
      </w:r>
      <w:r w:rsidRPr="00DD646A">
        <w:rPr>
          <w:rFonts w:cs="Arial"/>
        </w:rPr>
        <w:tab/>
        <w:t>Malé a střední podniky</w:t>
      </w:r>
    </w:p>
    <w:p w14:paraId="000D08EB" w14:textId="77777777" w:rsidR="00DF71AB" w:rsidRPr="00DD646A" w:rsidRDefault="00DF71AB" w:rsidP="005F3B84">
      <w:pPr>
        <w:spacing w:after="0"/>
        <w:rPr>
          <w:rFonts w:cs="Arial"/>
        </w:rPr>
      </w:pPr>
      <w:r w:rsidRPr="00DD646A">
        <w:rPr>
          <w:rFonts w:cs="Arial"/>
        </w:rPr>
        <w:t>MŠMT</w:t>
      </w:r>
      <w:r w:rsidRPr="00DD646A">
        <w:rPr>
          <w:rFonts w:cs="Arial"/>
        </w:rPr>
        <w:tab/>
      </w:r>
      <w:r w:rsidRPr="00DD646A">
        <w:rPr>
          <w:rFonts w:cs="Arial"/>
        </w:rPr>
        <w:tab/>
        <w:t>Ministerstvo školství, mládeže a tělovýchovy</w:t>
      </w:r>
    </w:p>
    <w:p w14:paraId="0F1BE1FC" w14:textId="77777777" w:rsidR="00DF71AB" w:rsidRPr="00DD646A" w:rsidRDefault="00DF71AB" w:rsidP="00DD646A">
      <w:pPr>
        <w:spacing w:after="0"/>
        <w:rPr>
          <w:rFonts w:cs="Arial"/>
        </w:rPr>
      </w:pPr>
      <w:r w:rsidRPr="00DD646A">
        <w:rPr>
          <w:rFonts w:cs="Arial"/>
        </w:rPr>
        <w:t>MV</w:t>
      </w:r>
      <w:r w:rsidRPr="00DD646A">
        <w:rPr>
          <w:rFonts w:cs="Arial"/>
        </w:rPr>
        <w:tab/>
      </w:r>
      <w:r w:rsidRPr="00DD646A">
        <w:rPr>
          <w:rFonts w:cs="Arial"/>
        </w:rPr>
        <w:tab/>
        <w:t xml:space="preserve">Ministerstvo vnitra </w:t>
      </w:r>
    </w:p>
    <w:p w14:paraId="3BB94662" w14:textId="77777777" w:rsidR="00DF71AB" w:rsidRPr="00DD646A" w:rsidRDefault="00DF71AB" w:rsidP="005F3B84">
      <w:pPr>
        <w:spacing w:after="0"/>
        <w:rPr>
          <w:rFonts w:cs="Arial"/>
        </w:rPr>
      </w:pPr>
      <w:r w:rsidRPr="00DD646A">
        <w:rPr>
          <w:rFonts w:cs="Arial"/>
        </w:rPr>
        <w:t>MZ</w:t>
      </w:r>
      <w:r w:rsidRPr="00DD646A">
        <w:rPr>
          <w:rFonts w:cs="Arial"/>
        </w:rPr>
        <w:tab/>
      </w:r>
      <w:r w:rsidRPr="00DD646A">
        <w:rPr>
          <w:rFonts w:cs="Arial"/>
        </w:rPr>
        <w:tab/>
        <w:t>Ministerstvo zdravotnictví</w:t>
      </w:r>
    </w:p>
    <w:p w14:paraId="4DCDE9D2" w14:textId="77777777" w:rsidR="00DF71AB" w:rsidRPr="00DD646A" w:rsidRDefault="00DF71AB" w:rsidP="005F3B84">
      <w:pPr>
        <w:spacing w:after="0"/>
        <w:rPr>
          <w:rFonts w:cs="Arial"/>
        </w:rPr>
      </w:pPr>
      <w:r w:rsidRPr="00DD646A">
        <w:rPr>
          <w:rFonts w:cs="Arial"/>
        </w:rPr>
        <w:t>MZe</w:t>
      </w:r>
      <w:r w:rsidRPr="00DD646A">
        <w:rPr>
          <w:rFonts w:cs="Arial"/>
        </w:rPr>
        <w:tab/>
      </w:r>
      <w:r w:rsidRPr="00DD646A">
        <w:rPr>
          <w:rFonts w:cs="Arial"/>
        </w:rPr>
        <w:tab/>
        <w:t>Ministerstvo zemědělství</w:t>
      </w:r>
    </w:p>
    <w:p w14:paraId="6F900B35" w14:textId="6C9E8CBE" w:rsidR="00DF71AB" w:rsidRDefault="0072208B" w:rsidP="00712848">
      <w:pPr>
        <w:spacing w:after="0"/>
        <w:rPr>
          <w:rFonts w:cs="Arial"/>
        </w:rPr>
      </w:pPr>
      <w:r w:rsidRPr="00712848">
        <w:rPr>
          <w:rFonts w:cs="Arial"/>
        </w:rPr>
        <w:t xml:space="preserve">CZ </w:t>
      </w:r>
      <w:r w:rsidR="00712848" w:rsidRPr="00712848">
        <w:rPr>
          <w:rFonts w:cs="Arial"/>
        </w:rPr>
        <w:t>NACE</w:t>
      </w:r>
      <w:r w:rsidR="00712848" w:rsidRPr="00712848">
        <w:rPr>
          <w:rFonts w:cs="Arial"/>
        </w:rPr>
        <w:tab/>
      </w:r>
      <w:r w:rsidR="00DF71AB" w:rsidRPr="00712848">
        <w:rPr>
          <w:rFonts w:cs="Arial"/>
        </w:rPr>
        <w:t>Klasifikace ekonomických činností</w:t>
      </w:r>
    </w:p>
    <w:p w14:paraId="01F842F1" w14:textId="66CE315D" w:rsidR="003F5FD8" w:rsidRPr="00DD646A" w:rsidRDefault="003F5FD8" w:rsidP="00914399">
      <w:pPr>
        <w:spacing w:after="0"/>
        <w:ind w:left="2832" w:hanging="2832"/>
        <w:rPr>
          <w:rFonts w:cs="Arial"/>
        </w:rPr>
      </w:pPr>
      <w:r>
        <w:rPr>
          <w:rFonts w:cs="Arial"/>
        </w:rPr>
        <w:t xml:space="preserve">Národní RIS3 strategie </w:t>
      </w:r>
      <w:r>
        <w:rPr>
          <w:rFonts w:cs="Arial"/>
        </w:rPr>
        <w:tab/>
      </w:r>
      <w:r w:rsidR="00914399" w:rsidRPr="00914399">
        <w:rPr>
          <w:rFonts w:cs="Arial"/>
        </w:rPr>
        <w:t>Národní výzkumná a inovační strategie pro inteligentní specializaci České republiky</w:t>
      </w:r>
    </w:p>
    <w:p w14:paraId="040ADC01" w14:textId="77777777" w:rsidR="00DF71AB" w:rsidRPr="00DD646A" w:rsidRDefault="00DF71AB" w:rsidP="005F3B84">
      <w:pPr>
        <w:spacing w:after="0"/>
        <w:rPr>
          <w:rFonts w:cs="Arial"/>
        </w:rPr>
      </w:pPr>
      <w:r w:rsidRPr="00DD646A">
        <w:rPr>
          <w:rFonts w:cs="Arial"/>
        </w:rPr>
        <w:t>NGA</w:t>
      </w:r>
      <w:r w:rsidRPr="00DD646A">
        <w:rPr>
          <w:rFonts w:cs="Arial"/>
        </w:rPr>
        <w:tab/>
      </w:r>
      <w:r w:rsidRPr="00DD646A">
        <w:rPr>
          <w:rFonts w:cs="Arial"/>
        </w:rPr>
        <w:tab/>
        <w:t>Next-generation access</w:t>
      </w:r>
    </w:p>
    <w:p w14:paraId="2FA6CDA2" w14:textId="77777777" w:rsidR="00DF71AB" w:rsidRPr="00DD646A" w:rsidRDefault="00DF71AB" w:rsidP="005F3B84">
      <w:pPr>
        <w:spacing w:after="0"/>
        <w:rPr>
          <w:rFonts w:cs="Arial"/>
        </w:rPr>
      </w:pPr>
      <w:r w:rsidRPr="00DD646A">
        <w:rPr>
          <w:rFonts w:cs="Arial"/>
        </w:rPr>
        <w:t>NIP</w:t>
      </w:r>
      <w:r w:rsidRPr="00DD646A">
        <w:rPr>
          <w:rFonts w:cs="Arial"/>
        </w:rPr>
        <w:tab/>
      </w:r>
      <w:r w:rsidRPr="00DD646A">
        <w:rPr>
          <w:rFonts w:cs="Arial"/>
        </w:rPr>
        <w:tab/>
        <w:t>Národní inovační platforma</w:t>
      </w:r>
    </w:p>
    <w:p w14:paraId="2D2B8D54" w14:textId="77777777" w:rsidR="00DF71AB" w:rsidRPr="00DD646A" w:rsidRDefault="00DF71AB" w:rsidP="005F3B84">
      <w:pPr>
        <w:spacing w:after="0"/>
        <w:rPr>
          <w:rFonts w:cs="Arial"/>
        </w:rPr>
      </w:pPr>
      <w:r w:rsidRPr="00DD646A">
        <w:rPr>
          <w:rFonts w:cs="Arial"/>
        </w:rPr>
        <w:t>NNS</w:t>
      </w:r>
      <w:r w:rsidRPr="00DD646A">
        <w:rPr>
          <w:rFonts w:cs="Arial"/>
        </w:rPr>
        <w:tab/>
      </w:r>
      <w:r w:rsidRPr="00DD646A">
        <w:rPr>
          <w:rFonts w:cs="Arial"/>
        </w:rPr>
        <w:tab/>
        <w:t>Nadnárodní společnosti</w:t>
      </w:r>
    </w:p>
    <w:p w14:paraId="7AD9A24F" w14:textId="77777777" w:rsidR="00DF71AB" w:rsidRPr="00DD646A" w:rsidRDefault="00DF71AB" w:rsidP="005F3B84">
      <w:pPr>
        <w:spacing w:after="0"/>
        <w:rPr>
          <w:rFonts w:cs="Arial"/>
        </w:rPr>
      </w:pPr>
      <w:r w:rsidRPr="00DD646A">
        <w:rPr>
          <w:rFonts w:cs="Arial"/>
        </w:rPr>
        <w:t>NP VaVaI</w:t>
      </w:r>
      <w:r w:rsidRPr="00DD646A">
        <w:rPr>
          <w:rFonts w:cs="Arial"/>
        </w:rPr>
        <w:tab/>
      </w:r>
      <w:r w:rsidRPr="00DD646A">
        <w:t>Národní politika výzkumu, vývoje a inovací</w:t>
      </w:r>
    </w:p>
    <w:p w14:paraId="0A34A5E4" w14:textId="77777777" w:rsidR="00DF71AB" w:rsidRPr="00DD646A" w:rsidRDefault="00DF71AB" w:rsidP="005F3B84">
      <w:pPr>
        <w:spacing w:after="0"/>
        <w:rPr>
          <w:rFonts w:cs="Arial"/>
        </w:rPr>
      </w:pPr>
      <w:r w:rsidRPr="00DD646A">
        <w:rPr>
          <w:rFonts w:cs="Arial"/>
        </w:rPr>
        <w:t>NVF</w:t>
      </w:r>
      <w:r w:rsidRPr="00DD646A">
        <w:rPr>
          <w:rFonts w:cs="Arial"/>
        </w:rPr>
        <w:tab/>
      </w:r>
      <w:r w:rsidRPr="00DD646A">
        <w:rPr>
          <w:rFonts w:cs="Arial"/>
        </w:rPr>
        <w:tab/>
        <w:t>Národní vzdělávací fond</w:t>
      </w:r>
    </w:p>
    <w:p w14:paraId="20CCD29A" w14:textId="77777777" w:rsidR="00DF71AB" w:rsidRPr="00DD646A" w:rsidRDefault="00DF71AB" w:rsidP="005F3B84">
      <w:pPr>
        <w:spacing w:after="0"/>
        <w:ind w:left="1410" w:hanging="1410"/>
        <w:rPr>
          <w:rFonts w:cs="Arial"/>
        </w:rPr>
      </w:pPr>
      <w:r w:rsidRPr="00DD646A">
        <w:rPr>
          <w:rFonts w:cs="Arial"/>
        </w:rPr>
        <w:t>OECD</w:t>
      </w:r>
      <w:r w:rsidRPr="00DD646A">
        <w:rPr>
          <w:rFonts w:cs="Arial"/>
        </w:rPr>
        <w:tab/>
      </w:r>
      <w:r w:rsidRPr="00DD646A">
        <w:rPr>
          <w:rFonts w:cs="Arial"/>
        </w:rPr>
        <w:tab/>
        <w:t>Organizace pro hospodářskou spolupráci a rozvoj (Organisation for Economic Co-operation and Development)</w:t>
      </w:r>
    </w:p>
    <w:p w14:paraId="6CB82F51" w14:textId="77777777" w:rsidR="00DF71AB" w:rsidRPr="00DD646A" w:rsidRDefault="00DF71AB" w:rsidP="005F3B84">
      <w:pPr>
        <w:spacing w:after="0"/>
        <w:rPr>
          <w:rFonts w:cs="Arial"/>
        </w:rPr>
      </w:pPr>
      <w:r w:rsidRPr="00DD646A">
        <w:rPr>
          <w:rFonts w:cs="Arial"/>
        </w:rPr>
        <w:t>OP PI</w:t>
      </w:r>
      <w:r w:rsidRPr="00DD646A">
        <w:rPr>
          <w:rFonts w:cs="Arial"/>
        </w:rPr>
        <w:tab/>
      </w:r>
      <w:r w:rsidRPr="00DD646A">
        <w:rPr>
          <w:rFonts w:cs="Arial"/>
        </w:rPr>
        <w:tab/>
        <w:t>Operační program podnikání a inovace</w:t>
      </w:r>
    </w:p>
    <w:p w14:paraId="70FC1A4D" w14:textId="77777777" w:rsidR="00DF71AB" w:rsidRPr="00DD646A" w:rsidRDefault="00DF71AB" w:rsidP="00DD646A">
      <w:pPr>
        <w:spacing w:after="0"/>
        <w:rPr>
          <w:rFonts w:cs="Arial"/>
        </w:rPr>
      </w:pPr>
      <w:r w:rsidRPr="00DD646A">
        <w:rPr>
          <w:rFonts w:cs="Arial"/>
        </w:rPr>
        <w:t>OP PIK</w:t>
      </w:r>
      <w:r w:rsidRPr="00DD646A">
        <w:rPr>
          <w:rFonts w:cs="Arial"/>
        </w:rPr>
        <w:tab/>
      </w:r>
      <w:r w:rsidRPr="00DD646A">
        <w:rPr>
          <w:rFonts w:cs="Arial"/>
        </w:rPr>
        <w:tab/>
        <w:t>Operační program Podnikání a inovace pro konkurenceschopnost</w:t>
      </w:r>
    </w:p>
    <w:p w14:paraId="128A0120" w14:textId="77777777" w:rsidR="00DF71AB" w:rsidRPr="00DD646A" w:rsidRDefault="00DF71AB" w:rsidP="005F3B84">
      <w:pPr>
        <w:spacing w:after="0"/>
        <w:rPr>
          <w:rFonts w:cs="Arial"/>
        </w:rPr>
      </w:pPr>
      <w:r w:rsidRPr="00DD646A">
        <w:rPr>
          <w:rFonts w:cs="Arial"/>
        </w:rPr>
        <w:t>OP PPR</w:t>
      </w:r>
      <w:r w:rsidRPr="00DD646A">
        <w:rPr>
          <w:rFonts w:cs="Arial"/>
        </w:rPr>
        <w:tab/>
      </w:r>
      <w:r w:rsidRPr="00DD646A">
        <w:rPr>
          <w:rFonts w:cs="Arial"/>
        </w:rPr>
        <w:tab/>
        <w:t>Operační program Praha - pól růstu ČR</w:t>
      </w:r>
    </w:p>
    <w:p w14:paraId="5359D38F" w14:textId="77777777" w:rsidR="00DF71AB" w:rsidRPr="00DD646A" w:rsidRDefault="00DF71AB" w:rsidP="005F3B84">
      <w:pPr>
        <w:spacing w:after="0"/>
        <w:rPr>
          <w:rFonts w:cs="Arial"/>
        </w:rPr>
      </w:pPr>
      <w:r w:rsidRPr="00DD646A">
        <w:rPr>
          <w:rFonts w:cs="Arial"/>
        </w:rPr>
        <w:t>OP VaVpI</w:t>
      </w:r>
      <w:r w:rsidRPr="00DD646A">
        <w:rPr>
          <w:rFonts w:cs="Arial"/>
        </w:rPr>
        <w:tab/>
        <w:t>Operační program Výzkum a vývoj pro inovace</w:t>
      </w:r>
    </w:p>
    <w:p w14:paraId="3815F1DC" w14:textId="77777777" w:rsidR="00DF71AB" w:rsidRPr="00DD646A" w:rsidRDefault="00DF71AB" w:rsidP="005F3B84">
      <w:pPr>
        <w:spacing w:after="0"/>
        <w:rPr>
          <w:rFonts w:cs="Arial"/>
        </w:rPr>
      </w:pPr>
      <w:r w:rsidRPr="00DD646A">
        <w:rPr>
          <w:rFonts w:cs="Arial"/>
        </w:rPr>
        <w:t xml:space="preserve">OP VK </w:t>
      </w:r>
      <w:r w:rsidRPr="00DD646A">
        <w:rPr>
          <w:rFonts w:cs="Arial"/>
        </w:rPr>
        <w:tab/>
      </w:r>
      <w:r w:rsidRPr="00DD646A">
        <w:rPr>
          <w:rFonts w:cs="Arial"/>
        </w:rPr>
        <w:tab/>
        <w:t>Operační program Vzdělávání pro konkurenceschopnost</w:t>
      </w:r>
    </w:p>
    <w:p w14:paraId="3CEC67C1" w14:textId="77777777" w:rsidR="00DF71AB" w:rsidRPr="00DD646A" w:rsidRDefault="00DF71AB" w:rsidP="005F3B84">
      <w:pPr>
        <w:spacing w:after="0"/>
        <w:rPr>
          <w:rFonts w:cs="Arial"/>
        </w:rPr>
      </w:pPr>
      <w:r w:rsidRPr="00DD646A">
        <w:rPr>
          <w:rFonts w:cs="Arial"/>
        </w:rPr>
        <w:t>OP VVV</w:t>
      </w:r>
      <w:r w:rsidRPr="00DD646A">
        <w:rPr>
          <w:rFonts w:cs="Arial"/>
        </w:rPr>
        <w:tab/>
      </w:r>
      <w:r w:rsidRPr="00DD646A">
        <w:rPr>
          <w:rFonts w:cs="Arial"/>
        </w:rPr>
        <w:tab/>
        <w:t>Operační program Výzkum, vývoj a vzdělávání</w:t>
      </w:r>
    </w:p>
    <w:p w14:paraId="545520FE" w14:textId="77777777" w:rsidR="00DF71AB" w:rsidRPr="00DD646A" w:rsidRDefault="00DF71AB" w:rsidP="00DD646A">
      <w:pPr>
        <w:spacing w:after="0"/>
        <w:rPr>
          <w:rFonts w:cs="Arial"/>
        </w:rPr>
      </w:pPr>
      <w:r w:rsidRPr="00DD646A">
        <w:rPr>
          <w:rFonts w:cs="Arial"/>
        </w:rPr>
        <w:t>OP Z</w:t>
      </w:r>
      <w:r w:rsidRPr="00DD646A">
        <w:rPr>
          <w:rFonts w:cs="Arial"/>
        </w:rPr>
        <w:tab/>
      </w:r>
      <w:r w:rsidRPr="00DD646A">
        <w:rPr>
          <w:rFonts w:cs="Arial"/>
        </w:rPr>
        <w:tab/>
        <w:t>Operační program Zaměstnanost</w:t>
      </w:r>
    </w:p>
    <w:p w14:paraId="60DF8DDB" w14:textId="77777777" w:rsidR="00DF71AB" w:rsidRPr="00DD646A" w:rsidRDefault="00DF71AB" w:rsidP="005F3B84">
      <w:pPr>
        <w:spacing w:after="0"/>
        <w:rPr>
          <w:rFonts w:cs="Arial"/>
        </w:rPr>
      </w:pPr>
      <w:r w:rsidRPr="00DD646A">
        <w:rPr>
          <w:rFonts w:cs="Arial"/>
        </w:rPr>
        <w:t>OZE</w:t>
      </w:r>
      <w:r w:rsidRPr="00DD646A">
        <w:rPr>
          <w:rFonts w:cs="Arial"/>
        </w:rPr>
        <w:tab/>
      </w:r>
      <w:r w:rsidRPr="00DD646A">
        <w:rPr>
          <w:rFonts w:cs="Arial"/>
        </w:rPr>
        <w:tab/>
        <w:t>Obnovitelné zdroje energie</w:t>
      </w:r>
    </w:p>
    <w:p w14:paraId="7B5205BD" w14:textId="77777777" w:rsidR="00DF71AB" w:rsidRPr="00DD646A" w:rsidRDefault="00DF71AB" w:rsidP="005F3B84">
      <w:pPr>
        <w:spacing w:after="0"/>
        <w:rPr>
          <w:rFonts w:cs="Arial"/>
        </w:rPr>
      </w:pPr>
      <w:r w:rsidRPr="00DD646A">
        <w:rPr>
          <w:rFonts w:cs="Arial"/>
        </w:rPr>
        <w:t>p.b.</w:t>
      </w:r>
      <w:r w:rsidRPr="00DD646A">
        <w:rPr>
          <w:rFonts w:cs="Arial"/>
        </w:rPr>
        <w:tab/>
      </w:r>
      <w:r w:rsidRPr="00DD646A">
        <w:rPr>
          <w:rFonts w:cs="Arial"/>
        </w:rPr>
        <w:tab/>
        <w:t>procentní bod</w:t>
      </w:r>
    </w:p>
    <w:p w14:paraId="14B3152E" w14:textId="77777777" w:rsidR="00DF71AB" w:rsidRPr="00DD646A" w:rsidRDefault="00DF71AB" w:rsidP="00DD646A">
      <w:pPr>
        <w:spacing w:after="0"/>
        <w:rPr>
          <w:rFonts w:cs="Arial"/>
        </w:rPr>
      </w:pPr>
      <w:r w:rsidRPr="00DD646A">
        <w:rPr>
          <w:rFonts w:cs="Arial"/>
        </w:rPr>
        <w:t>PCT</w:t>
      </w:r>
      <w:r w:rsidRPr="00DD646A">
        <w:rPr>
          <w:rFonts w:cs="Arial"/>
        </w:rPr>
        <w:tab/>
      </w:r>
      <w:r w:rsidRPr="00DD646A">
        <w:rPr>
          <w:rFonts w:cs="Arial"/>
        </w:rPr>
        <w:tab/>
        <w:t>Patent Cooperation Treaty (Mezinárodní patentový systém – WIPO)</w:t>
      </w:r>
    </w:p>
    <w:p w14:paraId="35404061" w14:textId="77777777" w:rsidR="00DF71AB" w:rsidRPr="00DD646A" w:rsidRDefault="00DF71AB" w:rsidP="005F3B84">
      <w:pPr>
        <w:spacing w:after="0"/>
        <w:ind w:left="1410" w:hanging="1410"/>
        <w:rPr>
          <w:rFonts w:cs="Arial"/>
        </w:rPr>
      </w:pPr>
      <w:r w:rsidRPr="00DD646A">
        <w:rPr>
          <w:rFonts w:cs="Arial"/>
        </w:rPr>
        <w:t xml:space="preserve">PIAAC </w:t>
      </w:r>
      <w:r w:rsidRPr="00DD646A">
        <w:rPr>
          <w:rFonts w:cs="Arial"/>
        </w:rPr>
        <w:tab/>
      </w:r>
      <w:r w:rsidRPr="00DD646A">
        <w:rPr>
          <w:rFonts w:cs="Arial"/>
        </w:rPr>
        <w:tab/>
        <w:t>Mezinárodní výzkum dospělých (Programme for International Assessment of Adult Competencies)</w:t>
      </w:r>
    </w:p>
    <w:p w14:paraId="7CF2ABB1" w14:textId="77777777" w:rsidR="00DF71AB" w:rsidRPr="00DD646A" w:rsidRDefault="00DF71AB" w:rsidP="005F3B84">
      <w:pPr>
        <w:spacing w:after="0"/>
        <w:ind w:left="1410" w:hanging="1410"/>
        <w:rPr>
          <w:rFonts w:cs="Arial"/>
        </w:rPr>
      </w:pPr>
      <w:r w:rsidRPr="00DD646A">
        <w:rPr>
          <w:rFonts w:cs="Arial"/>
        </w:rPr>
        <w:t>PISA</w:t>
      </w:r>
      <w:r w:rsidRPr="00DD646A">
        <w:rPr>
          <w:rFonts w:cs="Arial"/>
        </w:rPr>
        <w:tab/>
      </w:r>
      <w:r w:rsidRPr="00DD646A">
        <w:rPr>
          <w:rFonts w:cs="Arial"/>
        </w:rPr>
        <w:tab/>
        <w:t>Programme for International Student Assesment (Program pro mezinárodní hodnocení studentů)</w:t>
      </w:r>
    </w:p>
    <w:p w14:paraId="04B19912" w14:textId="77777777" w:rsidR="00DF71AB" w:rsidRPr="00DD646A" w:rsidRDefault="00DF71AB" w:rsidP="005F3B84">
      <w:pPr>
        <w:spacing w:after="0"/>
        <w:rPr>
          <w:rFonts w:cs="Arial"/>
        </w:rPr>
      </w:pPr>
      <w:r w:rsidRPr="00DD646A">
        <w:rPr>
          <w:rFonts w:cs="Arial"/>
        </w:rPr>
        <w:t>PZI</w:t>
      </w:r>
      <w:r w:rsidRPr="00DD646A">
        <w:rPr>
          <w:rFonts w:cs="Arial"/>
        </w:rPr>
        <w:tab/>
      </w:r>
      <w:r w:rsidRPr="00DD646A">
        <w:rPr>
          <w:rFonts w:cs="Arial"/>
        </w:rPr>
        <w:tab/>
        <w:t>Přímé zahraniční investice</w:t>
      </w:r>
    </w:p>
    <w:p w14:paraId="37E9AC30" w14:textId="5EA884B7" w:rsidR="003F5FD8" w:rsidRPr="00DD646A" w:rsidRDefault="00DF71AB" w:rsidP="003F5FD8">
      <w:pPr>
        <w:spacing w:after="0"/>
        <w:ind w:left="1410" w:hanging="1410"/>
        <w:rPr>
          <w:rFonts w:cs="Arial"/>
        </w:rPr>
      </w:pPr>
      <w:r w:rsidRPr="00DD646A">
        <w:rPr>
          <w:rFonts w:cs="Arial"/>
        </w:rPr>
        <w:t>RIS3</w:t>
      </w:r>
      <w:r w:rsidRPr="00DD646A">
        <w:rPr>
          <w:rFonts w:cs="Arial"/>
        </w:rPr>
        <w:tab/>
        <w:t>Research and Innovation Strategy for Smart Specialization (Výzkumná a inovační strategie pro inteligentní specializaci/ zkr. Strategie inteligentní specializace)</w:t>
      </w:r>
    </w:p>
    <w:p w14:paraId="2B18F22E" w14:textId="77777777" w:rsidR="00DF71AB" w:rsidRPr="00DD646A" w:rsidRDefault="00DF71AB" w:rsidP="005F3B84">
      <w:pPr>
        <w:spacing w:after="0"/>
        <w:rPr>
          <w:rFonts w:cs="Arial"/>
        </w:rPr>
      </w:pPr>
      <w:r w:rsidRPr="00DD646A">
        <w:rPr>
          <w:rFonts w:cs="Arial"/>
        </w:rPr>
        <w:t>RVKHR</w:t>
      </w:r>
      <w:r w:rsidRPr="00DD646A">
        <w:rPr>
          <w:rFonts w:cs="Arial"/>
        </w:rPr>
        <w:tab/>
      </w:r>
      <w:r w:rsidRPr="00DD646A">
        <w:rPr>
          <w:rFonts w:cs="Arial"/>
        </w:rPr>
        <w:tab/>
        <w:t>Rada vlády pro konkurenceschopnost a hospodářský růst</w:t>
      </w:r>
    </w:p>
    <w:p w14:paraId="770FA759" w14:textId="77777777" w:rsidR="00DF71AB" w:rsidRPr="00DD646A" w:rsidRDefault="00DF71AB" w:rsidP="005F3B84">
      <w:pPr>
        <w:spacing w:after="0"/>
        <w:rPr>
          <w:rFonts w:cs="Arial"/>
        </w:rPr>
      </w:pPr>
      <w:r w:rsidRPr="00DD646A">
        <w:rPr>
          <w:rFonts w:cs="Arial"/>
        </w:rPr>
        <w:t>RVP</w:t>
      </w:r>
      <w:r w:rsidRPr="00DD646A">
        <w:rPr>
          <w:rFonts w:cs="Arial"/>
        </w:rPr>
        <w:tab/>
      </w:r>
      <w:r w:rsidRPr="00DD646A">
        <w:rPr>
          <w:rFonts w:cs="Arial"/>
        </w:rPr>
        <w:tab/>
        <w:t>Rámcové vzdělávací programy</w:t>
      </w:r>
    </w:p>
    <w:p w14:paraId="2E93FCF7" w14:textId="77777777" w:rsidR="00DF71AB" w:rsidRPr="00DD646A" w:rsidRDefault="00DF71AB" w:rsidP="005F3B84">
      <w:pPr>
        <w:spacing w:after="0"/>
        <w:rPr>
          <w:rFonts w:cs="Arial"/>
        </w:rPr>
      </w:pPr>
      <w:r w:rsidRPr="00DD646A">
        <w:rPr>
          <w:rFonts w:cs="Arial"/>
        </w:rPr>
        <w:t>RVVI</w:t>
      </w:r>
      <w:r w:rsidRPr="00DD646A">
        <w:rPr>
          <w:rFonts w:cs="Arial"/>
        </w:rPr>
        <w:tab/>
      </w:r>
      <w:r w:rsidRPr="00DD646A">
        <w:rPr>
          <w:rFonts w:cs="Arial"/>
        </w:rPr>
        <w:tab/>
        <w:t>Rada pro výzkum, vývoj a inovace</w:t>
      </w:r>
    </w:p>
    <w:p w14:paraId="7E5C5E7A" w14:textId="77777777" w:rsidR="00DF71AB" w:rsidRPr="00212EB3" w:rsidRDefault="00DF71AB" w:rsidP="005F3B84">
      <w:pPr>
        <w:spacing w:after="0"/>
        <w:rPr>
          <w:rFonts w:cs="Arial"/>
        </w:rPr>
      </w:pPr>
      <w:r w:rsidRPr="00212EB3">
        <w:rPr>
          <w:rFonts w:cs="Arial"/>
        </w:rPr>
        <w:t>SF</w:t>
      </w:r>
      <w:r w:rsidRPr="00212EB3">
        <w:rPr>
          <w:rFonts w:cs="Arial"/>
        </w:rPr>
        <w:tab/>
      </w:r>
      <w:r w:rsidRPr="00212EB3">
        <w:rPr>
          <w:rFonts w:cs="Arial"/>
        </w:rPr>
        <w:tab/>
        <w:t>Strukturální fondy EU v období 2007–2013</w:t>
      </w:r>
    </w:p>
    <w:p w14:paraId="38A16ADA" w14:textId="77777777" w:rsidR="00DF71AB" w:rsidRPr="00DD646A" w:rsidRDefault="00DF71AB" w:rsidP="00DD646A">
      <w:pPr>
        <w:spacing w:after="0"/>
        <w:ind w:left="1410" w:hanging="1410"/>
        <w:rPr>
          <w:rFonts w:cs="Arial"/>
        </w:rPr>
      </w:pPr>
      <w:r w:rsidRPr="00DD646A">
        <w:rPr>
          <w:rFonts w:cs="Arial"/>
        </w:rPr>
        <w:t>SII</w:t>
      </w:r>
      <w:r w:rsidRPr="00DD646A">
        <w:rPr>
          <w:rFonts w:cs="Arial"/>
        </w:rPr>
        <w:tab/>
        <w:t>Souhrnný inovační index (</w:t>
      </w:r>
      <w:r w:rsidRPr="00DD646A">
        <w:t>Summary Innovation Index)</w:t>
      </w:r>
    </w:p>
    <w:p w14:paraId="238D02D7" w14:textId="77777777" w:rsidR="00DF71AB" w:rsidRPr="00DD646A" w:rsidRDefault="00DF71AB" w:rsidP="00DD646A">
      <w:pPr>
        <w:spacing w:after="0"/>
        <w:ind w:left="1410" w:hanging="1410"/>
        <w:rPr>
          <w:rFonts w:cs="Arial"/>
        </w:rPr>
      </w:pPr>
      <w:r w:rsidRPr="00DD646A">
        <w:rPr>
          <w:rFonts w:cs="Arial"/>
        </w:rPr>
        <w:t>SITC</w:t>
      </w:r>
      <w:r w:rsidRPr="00DD646A">
        <w:rPr>
          <w:rFonts w:cs="Arial"/>
        </w:rPr>
        <w:tab/>
      </w:r>
      <w:r w:rsidRPr="00DD646A">
        <w:rPr>
          <w:rFonts w:cs="Arial"/>
        </w:rPr>
        <w:tab/>
        <w:t>Standard International Trade Classification (Mezinárodní klasifikace zahr. obchodu)</w:t>
      </w:r>
    </w:p>
    <w:p w14:paraId="73B2BD2E" w14:textId="77777777" w:rsidR="00DF71AB" w:rsidRPr="00DD646A" w:rsidRDefault="00DF71AB" w:rsidP="00DD646A">
      <w:pPr>
        <w:spacing w:after="0"/>
        <w:rPr>
          <w:rFonts w:cs="Arial"/>
        </w:rPr>
      </w:pPr>
      <w:r w:rsidRPr="00DD646A">
        <w:rPr>
          <w:rFonts w:cs="Arial"/>
        </w:rPr>
        <w:lastRenderedPageBreak/>
        <w:t>SŠ</w:t>
      </w:r>
      <w:r w:rsidRPr="00DD646A">
        <w:rPr>
          <w:rFonts w:cs="Arial"/>
        </w:rPr>
        <w:tab/>
      </w:r>
      <w:r w:rsidRPr="00DD646A">
        <w:rPr>
          <w:rFonts w:cs="Arial"/>
        </w:rPr>
        <w:tab/>
        <w:t>Stření školy</w:t>
      </w:r>
    </w:p>
    <w:p w14:paraId="3526DB7F" w14:textId="77777777" w:rsidR="00DF71AB" w:rsidRPr="00DD646A" w:rsidRDefault="00DF71AB" w:rsidP="00DD646A">
      <w:pPr>
        <w:spacing w:after="0"/>
        <w:rPr>
          <w:rFonts w:cs="Arial"/>
        </w:rPr>
      </w:pPr>
      <w:r w:rsidRPr="00DD646A">
        <w:rPr>
          <w:rFonts w:cs="Arial"/>
        </w:rPr>
        <w:t>TA ČR</w:t>
      </w:r>
      <w:r w:rsidRPr="00DD646A">
        <w:rPr>
          <w:rFonts w:cs="Arial"/>
        </w:rPr>
        <w:tab/>
      </w:r>
      <w:r w:rsidRPr="00DD646A">
        <w:rPr>
          <w:rFonts w:cs="Arial"/>
        </w:rPr>
        <w:tab/>
        <w:t>Technologická agentura ČR</w:t>
      </w:r>
    </w:p>
    <w:p w14:paraId="2EBF6F41" w14:textId="77777777" w:rsidR="00DF71AB" w:rsidRPr="00DD646A" w:rsidRDefault="00DF71AB" w:rsidP="00DD646A">
      <w:pPr>
        <w:spacing w:after="0"/>
        <w:rPr>
          <w:rFonts w:cs="Arial"/>
        </w:rPr>
      </w:pPr>
      <w:r w:rsidRPr="00DD646A">
        <w:rPr>
          <w:rFonts w:cs="Arial"/>
        </w:rPr>
        <w:t>TPZ</w:t>
      </w:r>
      <w:r w:rsidRPr="00DD646A">
        <w:rPr>
          <w:rFonts w:cs="Arial"/>
        </w:rPr>
        <w:tab/>
      </w:r>
      <w:r w:rsidRPr="00DD646A">
        <w:rPr>
          <w:rFonts w:cs="Arial"/>
        </w:rPr>
        <w:tab/>
        <w:t>Teritoriální pakt zaměstnanosti</w:t>
      </w:r>
    </w:p>
    <w:p w14:paraId="011BDB79" w14:textId="77777777" w:rsidR="00DF71AB" w:rsidRPr="00DD646A" w:rsidRDefault="00DF71AB" w:rsidP="005F3B84">
      <w:pPr>
        <w:spacing w:after="0"/>
        <w:rPr>
          <w:rFonts w:cs="Arial"/>
        </w:rPr>
      </w:pPr>
      <w:r w:rsidRPr="00DD646A">
        <w:rPr>
          <w:rFonts w:cs="Arial"/>
        </w:rPr>
        <w:t>v.v.i.</w:t>
      </w:r>
      <w:r w:rsidRPr="00DD646A">
        <w:rPr>
          <w:rFonts w:cs="Arial"/>
        </w:rPr>
        <w:tab/>
      </w:r>
      <w:r w:rsidRPr="00DD646A">
        <w:rPr>
          <w:rFonts w:cs="Arial"/>
        </w:rPr>
        <w:tab/>
      </w:r>
      <w:r>
        <w:rPr>
          <w:rFonts w:cs="Arial"/>
        </w:rPr>
        <w:t>V</w:t>
      </w:r>
      <w:r w:rsidRPr="00DD646A">
        <w:rPr>
          <w:rFonts w:cs="Arial"/>
        </w:rPr>
        <w:t>eřejná výzkumná instituce</w:t>
      </w:r>
    </w:p>
    <w:p w14:paraId="24BF4FAE" w14:textId="77777777" w:rsidR="00DF71AB" w:rsidRPr="00DD646A" w:rsidRDefault="00DF71AB" w:rsidP="005F3B84">
      <w:pPr>
        <w:spacing w:after="0"/>
        <w:rPr>
          <w:rFonts w:cs="Arial"/>
        </w:rPr>
      </w:pPr>
      <w:r w:rsidRPr="00DD646A">
        <w:rPr>
          <w:rFonts w:cs="Arial"/>
        </w:rPr>
        <w:t>VaV</w:t>
      </w:r>
      <w:r w:rsidRPr="00DD646A">
        <w:rPr>
          <w:rFonts w:cs="Arial"/>
        </w:rPr>
        <w:tab/>
      </w:r>
      <w:r w:rsidRPr="00DD646A">
        <w:rPr>
          <w:rFonts w:cs="Arial"/>
        </w:rPr>
        <w:tab/>
      </w:r>
      <w:r>
        <w:rPr>
          <w:rFonts w:cs="Arial"/>
        </w:rPr>
        <w:t>V</w:t>
      </w:r>
      <w:r w:rsidRPr="00DD646A">
        <w:rPr>
          <w:rFonts w:cs="Arial"/>
        </w:rPr>
        <w:t>ýzkum a vývoj</w:t>
      </w:r>
    </w:p>
    <w:p w14:paraId="5A608BD2" w14:textId="77777777" w:rsidR="00DF71AB" w:rsidRPr="00DD646A" w:rsidRDefault="00DF71AB" w:rsidP="005F3B84">
      <w:pPr>
        <w:spacing w:after="0"/>
        <w:rPr>
          <w:rFonts w:cs="Arial"/>
        </w:rPr>
      </w:pPr>
      <w:r w:rsidRPr="00DD646A">
        <w:rPr>
          <w:rFonts w:cs="Arial"/>
        </w:rPr>
        <w:t>VaVaI</w:t>
      </w:r>
      <w:r w:rsidRPr="00DD646A">
        <w:rPr>
          <w:rFonts w:cs="Arial"/>
        </w:rPr>
        <w:tab/>
      </w:r>
      <w:r w:rsidRPr="00DD646A">
        <w:rPr>
          <w:rFonts w:cs="Arial"/>
        </w:rPr>
        <w:tab/>
      </w:r>
      <w:r>
        <w:rPr>
          <w:rFonts w:cs="Arial"/>
        </w:rPr>
        <w:t>V</w:t>
      </w:r>
      <w:r w:rsidRPr="00DD646A">
        <w:rPr>
          <w:rFonts w:cs="Arial"/>
        </w:rPr>
        <w:t>ýzkum, vývoj a inovace</w:t>
      </w:r>
    </w:p>
    <w:p w14:paraId="44E0D2D0" w14:textId="77777777" w:rsidR="00DF71AB" w:rsidRPr="00DD646A" w:rsidRDefault="00DF71AB" w:rsidP="005F3B84">
      <w:pPr>
        <w:spacing w:after="0"/>
        <w:rPr>
          <w:rFonts w:cs="Arial"/>
        </w:rPr>
      </w:pPr>
      <w:r w:rsidRPr="00DD646A">
        <w:rPr>
          <w:rFonts w:cs="Arial"/>
        </w:rPr>
        <w:t>VO</w:t>
      </w:r>
      <w:r w:rsidRPr="00DD646A">
        <w:rPr>
          <w:rFonts w:cs="Arial"/>
        </w:rPr>
        <w:tab/>
      </w:r>
      <w:r w:rsidRPr="00DD646A">
        <w:rPr>
          <w:rFonts w:cs="Arial"/>
        </w:rPr>
        <w:tab/>
      </w:r>
      <w:r>
        <w:rPr>
          <w:rFonts w:cs="Arial"/>
        </w:rPr>
        <w:t>V</w:t>
      </w:r>
      <w:r w:rsidRPr="00DD646A">
        <w:rPr>
          <w:rFonts w:cs="Arial"/>
        </w:rPr>
        <w:t>ýzkumné organizace</w:t>
      </w:r>
    </w:p>
    <w:p w14:paraId="00045DB8" w14:textId="77777777" w:rsidR="00DF71AB" w:rsidRPr="00DD646A" w:rsidRDefault="00DF71AB" w:rsidP="005F3B84">
      <w:pPr>
        <w:spacing w:after="0"/>
        <w:rPr>
          <w:rFonts w:cs="Arial"/>
        </w:rPr>
      </w:pPr>
      <w:r w:rsidRPr="00DD646A">
        <w:rPr>
          <w:rFonts w:cs="Arial"/>
        </w:rPr>
        <w:t>VŠ</w:t>
      </w:r>
      <w:r w:rsidRPr="00DD646A">
        <w:rPr>
          <w:rFonts w:cs="Arial"/>
        </w:rPr>
        <w:tab/>
      </w:r>
      <w:r w:rsidRPr="00DD646A">
        <w:rPr>
          <w:rFonts w:cs="Arial"/>
        </w:rPr>
        <w:tab/>
        <w:t>Vysoké školy</w:t>
      </w:r>
    </w:p>
    <w:p w14:paraId="428BFB64" w14:textId="77777777" w:rsidR="00DF71AB" w:rsidRPr="00DD646A" w:rsidRDefault="00DF71AB" w:rsidP="005F3B84">
      <w:pPr>
        <w:spacing w:after="0"/>
        <w:rPr>
          <w:rFonts w:cs="Arial"/>
        </w:rPr>
      </w:pPr>
      <w:r w:rsidRPr="00DD646A">
        <w:rPr>
          <w:rFonts w:cs="Arial"/>
        </w:rPr>
        <w:t>VTP</w:t>
      </w:r>
      <w:r w:rsidRPr="00DD646A">
        <w:rPr>
          <w:rFonts w:cs="Arial"/>
        </w:rPr>
        <w:tab/>
      </w:r>
      <w:r w:rsidRPr="00DD646A">
        <w:rPr>
          <w:rFonts w:cs="Arial"/>
        </w:rPr>
        <w:tab/>
      </w:r>
      <w:r>
        <w:rPr>
          <w:rFonts w:cs="Arial"/>
        </w:rPr>
        <w:t>V</w:t>
      </w:r>
      <w:r w:rsidRPr="00DD646A">
        <w:rPr>
          <w:rFonts w:cs="Arial"/>
        </w:rPr>
        <w:t>ědeckotechnický park</w:t>
      </w:r>
    </w:p>
    <w:p w14:paraId="0F37F0DE" w14:textId="77777777" w:rsidR="00DF71AB" w:rsidRPr="00DD646A" w:rsidRDefault="00DF71AB" w:rsidP="005F3B84">
      <w:pPr>
        <w:spacing w:after="0"/>
        <w:rPr>
          <w:rFonts w:cs="Arial"/>
        </w:rPr>
      </w:pPr>
      <w:r w:rsidRPr="00DD646A">
        <w:rPr>
          <w:rFonts w:cs="Arial"/>
        </w:rPr>
        <w:t>WEF</w:t>
      </w:r>
      <w:r w:rsidRPr="00DD646A">
        <w:rPr>
          <w:rFonts w:cs="Arial"/>
        </w:rPr>
        <w:tab/>
      </w:r>
      <w:r w:rsidRPr="00DD646A">
        <w:rPr>
          <w:rFonts w:cs="Arial"/>
        </w:rPr>
        <w:tab/>
        <w:t>World Economic Forum (Světové ekonomické fórum)</w:t>
      </w:r>
    </w:p>
    <w:p w14:paraId="70202533" w14:textId="77777777" w:rsidR="00DF71AB" w:rsidRPr="00BA4F8E" w:rsidRDefault="00DF71AB" w:rsidP="00062109">
      <w:pPr>
        <w:rPr>
          <w:rFonts w:cs="Arial"/>
        </w:rPr>
      </w:pPr>
      <w:r w:rsidRPr="00DD646A">
        <w:rPr>
          <w:rFonts w:cs="Arial"/>
        </w:rPr>
        <w:t>ZŠ</w:t>
      </w:r>
      <w:r w:rsidRPr="00DD646A">
        <w:rPr>
          <w:rFonts w:cs="Arial"/>
        </w:rPr>
        <w:tab/>
      </w:r>
      <w:r w:rsidRPr="00DD646A">
        <w:rPr>
          <w:rFonts w:cs="Arial"/>
        </w:rPr>
        <w:tab/>
        <w:t>Základní školy</w:t>
      </w:r>
      <w:r w:rsidRPr="00BA4F8E">
        <w:rPr>
          <w:rFonts w:cs="Arial"/>
        </w:rPr>
        <w:t xml:space="preserve"> </w:t>
      </w:r>
      <w:r w:rsidRPr="00BA4F8E">
        <w:rPr>
          <w:rFonts w:cs="Arial"/>
        </w:rPr>
        <w:br w:type="page"/>
      </w:r>
    </w:p>
    <w:p w14:paraId="77FB21F2" w14:textId="5962A722" w:rsidR="002E0A5D" w:rsidRPr="005C2F38" w:rsidRDefault="00665116" w:rsidP="005C2F38">
      <w:pPr>
        <w:pStyle w:val="Nadpis1"/>
      </w:pPr>
      <w:bookmarkStart w:id="1" w:name="_Toc525716158"/>
      <w:r w:rsidRPr="005C2F38">
        <w:lastRenderedPageBreak/>
        <w:t>ÚVOD</w:t>
      </w:r>
      <w:bookmarkEnd w:id="1"/>
    </w:p>
    <w:p w14:paraId="7852295C" w14:textId="162B1C75" w:rsidR="002E0A5D" w:rsidRDefault="00A97438" w:rsidP="00DC4286">
      <w:pPr>
        <w:pStyle w:val="Nadpis2"/>
        <w:spacing w:after="240"/>
      </w:pPr>
      <w:bookmarkStart w:id="2" w:name="_Toc525716159"/>
      <w:r>
        <w:t xml:space="preserve">Účel a zaměření </w:t>
      </w:r>
      <w:r w:rsidR="002E0A5D" w:rsidRPr="00BA4F8E">
        <w:t>Národní RIS3 strategie</w:t>
      </w:r>
      <w:bookmarkEnd w:id="2"/>
    </w:p>
    <w:p w14:paraId="057BD6C2" w14:textId="03565195" w:rsidR="00A97438" w:rsidRPr="00A97438" w:rsidRDefault="00A97438" w:rsidP="00DC4286">
      <w:pPr>
        <w:spacing w:after="240" w:line="360" w:lineRule="auto"/>
        <w:ind w:firstLine="576"/>
        <w:jc w:val="both"/>
      </w:pPr>
      <w:r w:rsidRPr="00A97438">
        <w:t>Národní výzkumná a inovační strategie pro inteligentní specializaci České republiky (</w:t>
      </w:r>
      <w:r w:rsidRPr="00664F84">
        <w:t>dále „Národní RIS3 strategie“</w:t>
      </w:r>
      <w:r w:rsidRPr="00A97438">
        <w:t xml:space="preserve"> z anglického </w:t>
      </w:r>
      <w:r w:rsidRPr="00A97438">
        <w:rPr>
          <w:i/>
          <w:iCs/>
        </w:rPr>
        <w:t>Research and Innovation Strategy for Smart Specialisation</w:t>
      </w:r>
      <w:r w:rsidRPr="00A97438">
        <w:t>) je strategický dokument zajišťující efektivní zacílení evropských, národních, regionálních a soukromých prostředků na aktivity vedoucí k</w:t>
      </w:r>
      <w:r w:rsidR="00D144BF">
        <w:t> </w:t>
      </w:r>
      <w:r w:rsidRPr="00A97438">
        <w:t>posílení</w:t>
      </w:r>
      <w:r w:rsidR="00D144BF">
        <w:t xml:space="preserve"> výzkumné</w:t>
      </w:r>
      <w:r w:rsidRPr="00A97438">
        <w:t xml:space="preserve"> inovační kapacity a do prioritně vytyčených perspektivních oblastí na národní i krajské úrovni, s cílem maximálně využít národní znalostní potenciál. Logickým efektem Národní RIS3 strategie by mělo být snižování nezaměstnanosti a</w:t>
      </w:r>
      <w:r w:rsidR="002D2CF8">
        <w:t> </w:t>
      </w:r>
      <w:r w:rsidRPr="00A97438">
        <w:t>posilování konkurenceschopnosti</w:t>
      </w:r>
      <w:r w:rsidRPr="00A97438">
        <w:rPr>
          <w:rStyle w:val="Znakapoznpodarou"/>
        </w:rPr>
        <w:footnoteReference w:id="1"/>
      </w:r>
      <w:r w:rsidRPr="00A97438">
        <w:t xml:space="preserve"> ekonomiky. </w:t>
      </w:r>
    </w:p>
    <w:p w14:paraId="7AEA72CA" w14:textId="77777777" w:rsidR="00A97438" w:rsidRPr="00A97438" w:rsidRDefault="00A97438" w:rsidP="009D43A1">
      <w:pPr>
        <w:spacing w:line="360" w:lineRule="auto"/>
        <w:ind w:firstLine="576"/>
        <w:jc w:val="both"/>
      </w:pPr>
      <w:r w:rsidRPr="00A97438">
        <w:t xml:space="preserve">Účel </w:t>
      </w:r>
      <w:r w:rsidRPr="00A97438">
        <w:rPr>
          <w:i/>
        </w:rPr>
        <w:t xml:space="preserve">RIS3 strategií </w:t>
      </w:r>
      <w:r w:rsidRPr="00A97438">
        <w:t xml:space="preserve">shrnul evropský komisař pro regionální politiku </w:t>
      </w:r>
      <w:r w:rsidRPr="00A97438">
        <w:rPr>
          <w:i/>
        </w:rPr>
        <w:t>Johannes Hahn</w:t>
      </w:r>
      <w:r w:rsidRPr="00A97438">
        <w:rPr>
          <w:rStyle w:val="Znakapoznpodarou"/>
          <w:i/>
        </w:rPr>
        <w:footnoteReference w:id="2"/>
      </w:r>
      <w:r w:rsidRPr="00A97438">
        <w:t xml:space="preserve">: </w:t>
      </w:r>
    </w:p>
    <w:p w14:paraId="0F42B6EE" w14:textId="77777777" w:rsidR="00A97438" w:rsidRPr="00A97438" w:rsidRDefault="00A97438" w:rsidP="009D43A1">
      <w:pPr>
        <w:spacing w:line="360" w:lineRule="auto"/>
        <w:ind w:left="1134" w:right="1134"/>
        <w:jc w:val="both"/>
        <w:rPr>
          <w:i/>
        </w:rPr>
      </w:pPr>
      <w:r w:rsidRPr="00A97438">
        <w:rPr>
          <w:i/>
        </w:rPr>
        <w:t xml:space="preserve">„Abychom pomohli Evropě vzpamatovat se z ekonomické krize, potřebujeme aktivity a investice, které pomáhají zemím a regionům uvolnit nový růstový potenciál. </w:t>
      </w:r>
    </w:p>
    <w:p w14:paraId="0D709292" w14:textId="77777777" w:rsidR="00A97438" w:rsidRPr="00A97438" w:rsidRDefault="00A97438" w:rsidP="009D43A1">
      <w:pPr>
        <w:spacing w:line="360" w:lineRule="auto"/>
        <w:ind w:left="1134" w:right="1134"/>
        <w:jc w:val="both"/>
        <w:rPr>
          <w:i/>
        </w:rPr>
      </w:pPr>
      <w:r w:rsidRPr="00A97438">
        <w:rPr>
          <w:i/>
        </w:rPr>
        <w:t xml:space="preserve">...  </w:t>
      </w:r>
    </w:p>
    <w:p w14:paraId="32B390CE" w14:textId="4E6E24A1" w:rsidR="00A97438" w:rsidRPr="00A97438" w:rsidRDefault="00A97438" w:rsidP="009D43A1">
      <w:pPr>
        <w:spacing w:line="360" w:lineRule="auto"/>
        <w:ind w:left="1134" w:right="1134"/>
        <w:jc w:val="both"/>
        <w:rPr>
          <w:i/>
        </w:rPr>
      </w:pPr>
      <w:r w:rsidRPr="00A97438">
        <w:rPr>
          <w:i/>
        </w:rPr>
        <w:t>Spíše než přístup řízení seshora („top-down“), který zahrnuje především veřejné orgány a úřady, vyžaduje nové pojetí investic do inovací přístup odspodu („bottom-up“), utvářený ve společném procesu „podnikatelského objevování“ („entrepreneurial discovery“), který zahrnuje soukromý sektor a</w:t>
      </w:r>
      <w:r w:rsidR="009D43A1">
        <w:rPr>
          <w:i/>
        </w:rPr>
        <w:t> </w:t>
      </w:r>
      <w:r w:rsidRPr="00A97438">
        <w:rPr>
          <w:i/>
        </w:rPr>
        <w:t>akademickou komunitu, staví na vnitřních silných stránkách každého regionu, na jeho podnikavosti a konkurenčních výhodách. Pomocí tohoto procesu mohou strategie inteligentní specializace zahájit ekonomickou transformaci pomocí modernizace, diverzifikace nebo radikální inovace ve všech regionech Evropské unie.“</w:t>
      </w:r>
    </w:p>
    <w:p w14:paraId="2DC6F74B" w14:textId="77777777" w:rsidR="00A97438" w:rsidRPr="00A97438" w:rsidRDefault="00A97438" w:rsidP="00B5645E">
      <w:pPr>
        <w:spacing w:after="0" w:line="360" w:lineRule="auto"/>
        <w:ind w:firstLine="708"/>
        <w:jc w:val="both"/>
      </w:pPr>
      <w:r w:rsidRPr="00A97438">
        <w:t xml:space="preserve">Evropské </w:t>
      </w:r>
      <w:r w:rsidRPr="00A97438">
        <w:rPr>
          <w:i/>
        </w:rPr>
        <w:t>RIS3 strategie</w:t>
      </w:r>
      <w:r w:rsidRPr="00A97438">
        <w:t xml:space="preserve"> je nutno pojímat v širším kontextu veřejných evropských politik. V tomto kontextu představují strategie inteligentní specializace (</w:t>
      </w:r>
      <w:r w:rsidRPr="00A97438">
        <w:rPr>
          <w:i/>
        </w:rPr>
        <w:t>smart specialisation strategies, „S3“</w:t>
      </w:r>
      <w:r w:rsidRPr="00A97438">
        <w:t xml:space="preserve">) předpoklad pro naplňování regionální a kohezní politiky EU a cílů strategie Evropa 2020. Ty byly formulovány v reakci na ekonomickou krizi, která na Evropu dopadla po letech 2007-2008 a usilují tedy o obnovení evropského hospodářského růstu. Nicméně je nutno zdůraznit, že se jedná o hospodářský růst založený na nových základech, tak aby byl v souladu s ostatními důležitými společenskými cíli. </w:t>
      </w:r>
      <w:r w:rsidRPr="00A97438">
        <w:lastRenderedPageBreak/>
        <w:t>Strategie inteligentní specializace představují strategii pro růst založený na principech inteligentních řešení (</w:t>
      </w:r>
      <w:r w:rsidRPr="00A97438">
        <w:rPr>
          <w:i/>
        </w:rPr>
        <w:t>smartness</w:t>
      </w:r>
      <w:r w:rsidRPr="00A97438">
        <w:t xml:space="preserve">), udržitelnosti a inkluzivity. Klíčové oblasti intervencí představují efektivní investice do vzdělávání i výzkumu, vývoje a inovací, a dále posun k nízkouhlíkové ekonomice, důraz na vytváření pracovních míst a redukci chudoby. </w:t>
      </w:r>
    </w:p>
    <w:p w14:paraId="4509C486" w14:textId="59DDE127" w:rsidR="00A97438" w:rsidRPr="00A97438" w:rsidRDefault="00A97438" w:rsidP="00B5645E">
      <w:pPr>
        <w:spacing w:after="0" w:line="360" w:lineRule="auto"/>
        <w:ind w:firstLine="709"/>
        <w:jc w:val="both"/>
      </w:pPr>
      <w:r w:rsidRPr="00A97438">
        <w:t>Existence propracované Národní RIS3 strategie představuje také předběžnou podmínku pro uskutečňování intervencí regionální politiky Evropské unie (</w:t>
      </w:r>
      <w:r w:rsidRPr="008326CD">
        <w:t>Evropských strukturálních a investičních fondů, ESIF) v oblasti podpory výzkum</w:t>
      </w:r>
      <w:r w:rsidRPr="00A97438">
        <w:t>u, vývoje a inovací</w:t>
      </w:r>
      <w:r w:rsidR="00704E27">
        <w:t xml:space="preserve"> v programovém období 2014 - 2020</w:t>
      </w:r>
      <w:r w:rsidRPr="00A97438">
        <w:t>. Podle Obecného nařízení (Nařízení Evropského parlamentu a Rady č. 1303/2013) je povinností zpracovat a</w:t>
      </w:r>
      <w:r w:rsidR="00535E93">
        <w:t> </w:t>
      </w:r>
      <w:r w:rsidRPr="00A97438">
        <w:t>předložit Evropské komisi strategii inteligentní specializace pro ty členské státy nebo regiony, které chtějí investovat prostředky ESIF do těchto tematických cílů:</w:t>
      </w:r>
    </w:p>
    <w:p w14:paraId="22C51F13" w14:textId="77777777" w:rsidR="00A97438" w:rsidRPr="00A97438" w:rsidRDefault="00A97438" w:rsidP="00543C1B">
      <w:pPr>
        <w:pStyle w:val="Odstavecseseznamem"/>
        <w:numPr>
          <w:ilvl w:val="0"/>
          <w:numId w:val="226"/>
        </w:numPr>
        <w:tabs>
          <w:tab w:val="left" w:pos="426"/>
        </w:tabs>
        <w:spacing w:after="120" w:line="360" w:lineRule="auto"/>
        <w:jc w:val="both"/>
        <w:rPr>
          <w:b/>
          <w:bCs/>
        </w:rPr>
      </w:pPr>
      <w:r w:rsidRPr="00A97438">
        <w:rPr>
          <w:b/>
          <w:bCs/>
        </w:rPr>
        <w:t>Posilování výzkumu, technologického rozvoje a inovací</w:t>
      </w:r>
    </w:p>
    <w:p w14:paraId="7F45DFEF" w14:textId="77777777" w:rsidR="00A97438" w:rsidRPr="00A97438" w:rsidRDefault="00A97438" w:rsidP="00543C1B">
      <w:pPr>
        <w:pStyle w:val="Odstavecseseznamem"/>
        <w:numPr>
          <w:ilvl w:val="0"/>
          <w:numId w:val="226"/>
        </w:numPr>
        <w:tabs>
          <w:tab w:val="left" w:pos="426"/>
        </w:tabs>
        <w:spacing w:after="120" w:line="360" w:lineRule="auto"/>
        <w:jc w:val="both"/>
        <w:rPr>
          <w:b/>
          <w:bCs/>
        </w:rPr>
      </w:pPr>
      <w:r w:rsidRPr="00A97438">
        <w:rPr>
          <w:b/>
          <w:bCs/>
        </w:rPr>
        <w:t>Zlepšení přístupu k informačním a komunikačním technologiím (IKT), využití a kvality IKT</w:t>
      </w:r>
    </w:p>
    <w:p w14:paraId="36ACD154" w14:textId="77777777" w:rsidR="00A97438" w:rsidRPr="00A97438" w:rsidRDefault="00A97438" w:rsidP="00B5645E">
      <w:pPr>
        <w:spacing w:after="0" w:line="360" w:lineRule="auto"/>
        <w:ind w:firstLine="709"/>
        <w:jc w:val="both"/>
      </w:pPr>
      <w:r w:rsidRPr="00A97438">
        <w:t xml:space="preserve">Následně se však v duchu téhož nařízení Národní RIS3 strategie stává pro danou oblast také </w:t>
      </w:r>
      <w:r w:rsidRPr="00A97438">
        <w:rPr>
          <w:b/>
          <w:bCs/>
        </w:rPr>
        <w:t xml:space="preserve">základním koordinačním mechanismem </w:t>
      </w:r>
      <w:r w:rsidRPr="00A97438">
        <w:t xml:space="preserve">intervencí všech, bez ohledu na to, z jakého zdroje jsou financovány. Primárním smyslem </w:t>
      </w:r>
      <w:r w:rsidRPr="00A97438">
        <w:rPr>
          <w:i/>
        </w:rPr>
        <w:t>RIS3 strategií</w:t>
      </w:r>
      <w:r w:rsidRPr="00A97438">
        <w:t xml:space="preserve"> není rozdělovat prostředky ESIF, nýbrž podpořit hospodářský růst a transformaci směrem ke znalostní ekonomice, se zohledněním společenských výzev a podmínek členských států a jejich regionů.  </w:t>
      </w:r>
    </w:p>
    <w:p w14:paraId="1EE766F3" w14:textId="1FA197BA" w:rsidR="00A97438" w:rsidRPr="00A97438" w:rsidRDefault="00A97438" w:rsidP="00B5645E">
      <w:pPr>
        <w:spacing w:after="0" w:line="360" w:lineRule="auto"/>
        <w:ind w:firstLine="709"/>
        <w:jc w:val="both"/>
      </w:pPr>
      <w:r w:rsidRPr="00A97438">
        <w:t>Hlavním cílem a účelem RIS3 strategií je zajistit hospodářský růst a konkurenceschopnost, které budou založené na využívání znalostí a na inovacích (na rozdíl od konkurenceschopnosti založené převážně na efektivitě). Nástrojem podporujícím hospodářský růst je „chytré, inteligentní“ využívání a</w:t>
      </w:r>
      <w:r w:rsidR="002315AB">
        <w:t> </w:t>
      </w:r>
      <w:r w:rsidRPr="00A97438">
        <w:t xml:space="preserve">rozvíjení specializace, kombinující hospodářskou specializaci se specializací znalostní. V tomto smyslu jsou evropské </w:t>
      </w:r>
      <w:r w:rsidRPr="00A97438">
        <w:rPr>
          <w:i/>
        </w:rPr>
        <w:t>RIS3 strategie</w:t>
      </w:r>
      <w:r w:rsidRPr="00A97438">
        <w:t xml:space="preserve"> dílčími hospodářskými strategiemi.</w:t>
      </w:r>
    </w:p>
    <w:p w14:paraId="2E652D2E" w14:textId="77777777" w:rsidR="00A97438" w:rsidRDefault="00A97438" w:rsidP="00B5645E">
      <w:pPr>
        <w:spacing w:after="0" w:line="360" w:lineRule="auto"/>
        <w:ind w:firstLine="709"/>
        <w:jc w:val="both"/>
      </w:pPr>
      <w:r w:rsidRPr="00A97438">
        <w:t xml:space="preserve">Úzce hospodářský rozměr je v evropských </w:t>
      </w:r>
      <w:r w:rsidRPr="00A97438">
        <w:rPr>
          <w:i/>
        </w:rPr>
        <w:t>RIS3 strategiích</w:t>
      </w:r>
      <w:r w:rsidRPr="00A97438">
        <w:t xml:space="preserve"> rozšířen přinejmenším ve dvou směrech: (i) společenské výzvy a problémy (např. ekologická udržitelnost, sociální soudržnost, nízkouhlíková ekonomika a technologie vedoucí ke snižování produkce skleníkových plynů) produkují vedle přímých ekonomických důsledků často také efekty nepřímé a zprostředkované; (ii) ve společnosti ovlivněné podnikáním ve výzkumu, vývoji a inovacích je, jako jakýsi rámec pro účinnou realizaci těchto aktivit, důležitou podmínkou režim </w:t>
      </w:r>
      <w:r w:rsidRPr="00A97438">
        <w:rPr>
          <w:i/>
        </w:rPr>
        <w:t>samotného fungování veřejných institucí</w:t>
      </w:r>
      <w:r w:rsidRPr="00A97438">
        <w:t>.</w:t>
      </w:r>
    </w:p>
    <w:p w14:paraId="2FB0564D" w14:textId="77777777" w:rsidR="00A97438" w:rsidRPr="00A97438" w:rsidRDefault="00A97438" w:rsidP="00A97438"/>
    <w:p w14:paraId="0309B6B8" w14:textId="270A7B6B" w:rsidR="002E0A5D" w:rsidRDefault="002E0A5D" w:rsidP="005C2F38">
      <w:pPr>
        <w:pStyle w:val="Nadpis2"/>
      </w:pPr>
      <w:bookmarkStart w:id="3" w:name="_Toc525716160"/>
      <w:r w:rsidRPr="005C2F38">
        <w:t>Vztah RIS3 k dalším koncepčním a strategickým dokumentům</w:t>
      </w:r>
      <w:bookmarkEnd w:id="3"/>
    </w:p>
    <w:p w14:paraId="4AB7FAE9" w14:textId="60CF751E" w:rsidR="00A97438" w:rsidRDefault="00A97438" w:rsidP="00DC4286">
      <w:pPr>
        <w:spacing w:before="240" w:line="360" w:lineRule="auto"/>
        <w:ind w:firstLine="709"/>
        <w:jc w:val="both"/>
      </w:pPr>
      <w:r w:rsidRPr="00A97438">
        <w:t xml:space="preserve">Národní RIS3 strategie má formovat intervence a návrhy, jejichž cílem je zefektivnění využívání výzkumu a vývoje (zejména veřejného) v inovacích. V tomto smyslu ji lze chápat jako </w:t>
      </w:r>
      <w:r w:rsidRPr="00A97438">
        <w:rPr>
          <w:i/>
        </w:rPr>
        <w:t xml:space="preserve">národní strategii </w:t>
      </w:r>
      <w:r w:rsidR="009D6DCB">
        <w:rPr>
          <w:i/>
        </w:rPr>
        <w:t xml:space="preserve">orientovaného a </w:t>
      </w:r>
      <w:r w:rsidRPr="00A97438">
        <w:rPr>
          <w:i/>
        </w:rPr>
        <w:t>aplikovaného výzkumu</w:t>
      </w:r>
      <w:r w:rsidRPr="00A97438">
        <w:t xml:space="preserve">. Nejedná se o strategický dokument, jehož účelem by bylo ovlivňovat celou politiku VaVaI v ČR (blíže </w:t>
      </w:r>
      <w:r w:rsidRPr="00777B2A">
        <w:t>k</w:t>
      </w:r>
      <w:r w:rsidRPr="00434ECD">
        <w:t xml:space="preserve">ap. </w:t>
      </w:r>
      <w:r w:rsidR="009B0629" w:rsidRPr="00434ECD">
        <w:fldChar w:fldCharType="begin"/>
      </w:r>
      <w:r w:rsidR="009B0629" w:rsidRPr="00434ECD">
        <w:instrText xml:space="preserve"> REF _Ref523144718 \r \h  \* MERGEFORMAT </w:instrText>
      </w:r>
      <w:r w:rsidR="009B0629" w:rsidRPr="00434ECD">
        <w:fldChar w:fldCharType="separate"/>
      </w:r>
      <w:r w:rsidR="00DE40D4">
        <w:t>7.2</w:t>
      </w:r>
      <w:r w:rsidR="009B0629" w:rsidRPr="00434ECD">
        <w:fldChar w:fldCharType="end"/>
      </w:r>
      <w:r w:rsidRPr="00434ECD">
        <w:t xml:space="preserve"> </w:t>
      </w:r>
      <w:r w:rsidR="009B0629" w:rsidRPr="00434ECD">
        <w:rPr>
          <w:highlight w:val="yellow"/>
        </w:rPr>
        <w:fldChar w:fldCharType="begin"/>
      </w:r>
      <w:r w:rsidR="009B0629" w:rsidRPr="00434ECD">
        <w:rPr>
          <w:highlight w:val="yellow"/>
        </w:rPr>
        <w:instrText xml:space="preserve"> REF _Ref523144734 \h </w:instrText>
      </w:r>
      <w:r w:rsidR="009B0629" w:rsidRPr="00434ECD">
        <w:rPr>
          <w:highlight w:val="yellow"/>
        </w:rPr>
      </w:r>
      <w:r w:rsidR="009B0629" w:rsidRPr="00434ECD">
        <w:rPr>
          <w:highlight w:val="yellow"/>
        </w:rPr>
        <w:fldChar w:fldCharType="separate"/>
      </w:r>
      <w:r w:rsidR="00DE40D4" w:rsidRPr="00EF4A38">
        <w:t xml:space="preserve">Institucionální řízení výzkumu, vývoje a inovací </w:t>
      </w:r>
      <w:r w:rsidR="00DE40D4">
        <w:t xml:space="preserve">v ČR </w:t>
      </w:r>
      <w:r w:rsidR="00DE40D4" w:rsidRPr="00EF4A38">
        <w:lastRenderedPageBreak/>
        <w:t>s vazbou na Národní RIS3 strategii</w:t>
      </w:r>
      <w:r w:rsidR="009B0629" w:rsidRPr="00434ECD">
        <w:rPr>
          <w:highlight w:val="yellow"/>
        </w:rPr>
        <w:fldChar w:fldCharType="end"/>
      </w:r>
      <w:r w:rsidRPr="00434ECD">
        <w:t xml:space="preserve">). </w:t>
      </w:r>
      <w:r w:rsidRPr="00A97438">
        <w:t>V Národní RIS3 strategii jsou dále formulovány některé intervence pro oblasti vzdělávání. Je tomu tak proto, že kvalitní vzdělání je považováno za nejvýznamnější průřezový faktor pro rozvíjení domén specializace a rozvoj inovačního podnikání</w:t>
      </w:r>
      <w:r w:rsidRPr="00A97438">
        <w:rPr>
          <w:rStyle w:val="Znakapoznpodarou"/>
        </w:rPr>
        <w:footnoteReference w:id="3"/>
      </w:r>
      <w:r w:rsidRPr="00A97438">
        <w:t>. V neposlední řadě,  hlediska svého účelu, souvisí Národní RIS3 strategie s národními hospodářskými strategiemi.</w:t>
      </w:r>
    </w:p>
    <w:p w14:paraId="28523F8D" w14:textId="77777777" w:rsidR="0016373F" w:rsidRPr="00A97438" w:rsidRDefault="0016373F" w:rsidP="00DC4286">
      <w:pPr>
        <w:spacing w:before="240" w:line="360" w:lineRule="auto"/>
        <w:ind w:firstLine="709"/>
        <w:jc w:val="both"/>
      </w:pPr>
    </w:p>
    <w:p w14:paraId="0F21A5FF" w14:textId="418E782C" w:rsidR="00A97438" w:rsidRDefault="001D23D0" w:rsidP="00580DE3">
      <w:pPr>
        <w:pStyle w:val="Titulek"/>
      </w:pPr>
      <w:bookmarkStart w:id="4" w:name="_Toc524677661"/>
      <w:r>
        <w:t xml:space="preserve">Tabulka </w:t>
      </w:r>
      <w:r w:rsidR="00B034E9">
        <w:rPr>
          <w:noProof/>
        </w:rPr>
        <w:fldChar w:fldCharType="begin"/>
      </w:r>
      <w:r w:rsidR="00B034E9">
        <w:rPr>
          <w:noProof/>
        </w:rPr>
        <w:instrText xml:space="preserve"> SEQ Tabulka \* ARABIC </w:instrText>
      </w:r>
      <w:r w:rsidR="00B034E9">
        <w:rPr>
          <w:noProof/>
        </w:rPr>
        <w:fldChar w:fldCharType="separate"/>
      </w:r>
      <w:r w:rsidR="00DE40D4">
        <w:rPr>
          <w:noProof/>
        </w:rPr>
        <w:t>1</w:t>
      </w:r>
      <w:r w:rsidR="00B034E9">
        <w:rPr>
          <w:noProof/>
        </w:rPr>
        <w:fldChar w:fldCharType="end"/>
      </w:r>
      <w:r>
        <w:t xml:space="preserve"> -</w:t>
      </w:r>
      <w:r w:rsidR="00A97438" w:rsidRPr="001D23D0">
        <w:t xml:space="preserve"> Přehled strategických a koncepčních dokumentů ČR, které jsou v přímém vztahu k</w:t>
      </w:r>
      <w:r w:rsidR="00BD740C">
        <w:t> </w:t>
      </w:r>
      <w:r w:rsidR="00A97438" w:rsidRPr="001D23D0">
        <w:t>Národní RIS3 strategii</w:t>
      </w:r>
      <w:r w:rsidR="00DE1642">
        <w:rPr>
          <w:rStyle w:val="Znakapoznpodarou"/>
        </w:rPr>
        <w:footnoteReference w:id="4"/>
      </w:r>
      <w:bookmarkEnd w:id="4"/>
    </w:p>
    <w:tbl>
      <w:tblPr>
        <w:tblStyle w:val="Mkatabulky2"/>
        <w:tblW w:w="0" w:type="auto"/>
        <w:jc w:val="center"/>
        <w:tblLook w:val="04A0" w:firstRow="1" w:lastRow="0" w:firstColumn="1" w:lastColumn="0" w:noHBand="0" w:noVBand="1"/>
      </w:tblPr>
      <w:tblGrid>
        <w:gridCol w:w="6139"/>
        <w:gridCol w:w="1279"/>
        <w:gridCol w:w="1644"/>
      </w:tblGrid>
      <w:tr w:rsidR="00A97438" w:rsidRPr="00E71AA2" w14:paraId="07DA3351" w14:textId="77777777" w:rsidTr="00567C00">
        <w:trPr>
          <w:jc w:val="center"/>
        </w:trPr>
        <w:tc>
          <w:tcPr>
            <w:tcW w:w="6145" w:type="dxa"/>
            <w:shd w:val="clear" w:color="auto" w:fill="004B8D"/>
          </w:tcPr>
          <w:p w14:paraId="18E9E9F3" w14:textId="77777777" w:rsidR="00A97438" w:rsidRPr="009B0629" w:rsidRDefault="00A97438" w:rsidP="00DD7B0C">
            <w:pPr>
              <w:spacing w:after="0" w:line="276" w:lineRule="auto"/>
              <w:rPr>
                <w:b/>
              </w:rPr>
            </w:pPr>
            <w:r w:rsidRPr="009B0629">
              <w:rPr>
                <w:b/>
              </w:rPr>
              <w:t>Název dokumentu</w:t>
            </w:r>
          </w:p>
        </w:tc>
        <w:tc>
          <w:tcPr>
            <w:tcW w:w="1272" w:type="dxa"/>
            <w:shd w:val="clear" w:color="auto" w:fill="004B8D"/>
          </w:tcPr>
          <w:p w14:paraId="60C0DF99" w14:textId="77777777" w:rsidR="00A97438" w:rsidRPr="009B0629" w:rsidRDefault="00A97438" w:rsidP="00DD7B0C">
            <w:pPr>
              <w:spacing w:after="0" w:line="276" w:lineRule="auto"/>
              <w:rPr>
                <w:b/>
              </w:rPr>
            </w:pPr>
            <w:r w:rsidRPr="009B0629">
              <w:rPr>
                <w:b/>
              </w:rPr>
              <w:t>Rok vzniku</w:t>
            </w:r>
          </w:p>
        </w:tc>
        <w:tc>
          <w:tcPr>
            <w:tcW w:w="1645" w:type="dxa"/>
            <w:shd w:val="clear" w:color="auto" w:fill="004B8D"/>
          </w:tcPr>
          <w:p w14:paraId="624EE5FE" w14:textId="77777777" w:rsidR="00A97438" w:rsidRPr="009B0629" w:rsidRDefault="00A97438" w:rsidP="00DD7B0C">
            <w:pPr>
              <w:spacing w:after="0" w:line="276" w:lineRule="auto"/>
              <w:rPr>
                <w:b/>
              </w:rPr>
            </w:pPr>
            <w:r w:rsidRPr="009B0629">
              <w:rPr>
                <w:b/>
              </w:rPr>
              <w:t>Zpracovatel</w:t>
            </w:r>
          </w:p>
        </w:tc>
      </w:tr>
      <w:tr w:rsidR="00A97438" w:rsidRPr="00E71AA2" w14:paraId="515CD8A2" w14:textId="77777777" w:rsidTr="00567C00">
        <w:trPr>
          <w:jc w:val="center"/>
        </w:trPr>
        <w:tc>
          <w:tcPr>
            <w:tcW w:w="6145" w:type="dxa"/>
          </w:tcPr>
          <w:p w14:paraId="58EF6F6F" w14:textId="77777777" w:rsidR="00A97438" w:rsidRPr="00E71AA2" w:rsidRDefault="00A97438" w:rsidP="00DD7B0C">
            <w:pPr>
              <w:spacing w:after="0"/>
              <w:rPr>
                <w:color w:val="000000"/>
              </w:rPr>
            </w:pPr>
            <w:r w:rsidRPr="00E71AA2">
              <w:rPr>
                <w:color w:val="000000"/>
              </w:rPr>
              <w:t>Analýza stavu výzkumu, vývoje a inovací v České republice a jejich sr</w:t>
            </w:r>
            <w:r>
              <w:rPr>
                <w:color w:val="000000"/>
              </w:rPr>
              <w:t>ovnání se zahraničím</w:t>
            </w:r>
          </w:p>
        </w:tc>
        <w:tc>
          <w:tcPr>
            <w:tcW w:w="1272" w:type="dxa"/>
          </w:tcPr>
          <w:p w14:paraId="7492DA53" w14:textId="77777777" w:rsidR="00A97438" w:rsidRPr="00E71AA2" w:rsidRDefault="00A97438" w:rsidP="00DD7B0C">
            <w:pPr>
              <w:spacing w:after="0"/>
              <w:rPr>
                <w:color w:val="000000"/>
              </w:rPr>
            </w:pPr>
            <w:r>
              <w:rPr>
                <w:color w:val="000000"/>
              </w:rPr>
              <w:t>2013, 2017</w:t>
            </w:r>
          </w:p>
        </w:tc>
        <w:tc>
          <w:tcPr>
            <w:tcW w:w="1645" w:type="dxa"/>
          </w:tcPr>
          <w:p w14:paraId="40CE9CA9" w14:textId="77777777" w:rsidR="00A97438" w:rsidRPr="00E71AA2" w:rsidRDefault="00A97438" w:rsidP="00DD7B0C">
            <w:pPr>
              <w:spacing w:after="0"/>
              <w:rPr>
                <w:color w:val="000000"/>
              </w:rPr>
            </w:pPr>
            <w:r>
              <w:rPr>
                <w:color w:val="000000"/>
              </w:rPr>
              <w:t>ÚV ČR</w:t>
            </w:r>
          </w:p>
        </w:tc>
      </w:tr>
      <w:tr w:rsidR="00A97438" w:rsidRPr="00E71AA2" w14:paraId="1904F19B" w14:textId="77777777" w:rsidTr="00567C00">
        <w:trPr>
          <w:jc w:val="center"/>
        </w:trPr>
        <w:tc>
          <w:tcPr>
            <w:tcW w:w="6145" w:type="dxa"/>
          </w:tcPr>
          <w:p w14:paraId="71EFA580" w14:textId="77777777" w:rsidR="00A97438" w:rsidRPr="00E71AA2" w:rsidRDefault="00A97438" w:rsidP="00DD7B0C">
            <w:pPr>
              <w:spacing w:after="0"/>
              <w:rPr>
                <w:color w:val="000000"/>
              </w:rPr>
            </w:pPr>
            <w:r w:rsidRPr="00E71AA2">
              <w:rPr>
                <w:color w:val="000000"/>
              </w:rPr>
              <w:t>Cestovní mapa ČR velkých infrastruktur pro výzkum, experimentální vývoj a inovace</w:t>
            </w:r>
          </w:p>
        </w:tc>
        <w:tc>
          <w:tcPr>
            <w:tcW w:w="1272" w:type="dxa"/>
          </w:tcPr>
          <w:p w14:paraId="11AD19DC" w14:textId="77777777" w:rsidR="00A97438" w:rsidRPr="00E71AA2" w:rsidRDefault="00A97438" w:rsidP="00DD7B0C">
            <w:pPr>
              <w:spacing w:after="0"/>
              <w:rPr>
                <w:color w:val="000000"/>
              </w:rPr>
            </w:pPr>
            <w:r>
              <w:rPr>
                <w:color w:val="000000"/>
              </w:rPr>
              <w:t>2011, 2015</w:t>
            </w:r>
          </w:p>
        </w:tc>
        <w:tc>
          <w:tcPr>
            <w:tcW w:w="1645" w:type="dxa"/>
          </w:tcPr>
          <w:p w14:paraId="38C5D83A" w14:textId="77777777" w:rsidR="00A97438" w:rsidRPr="00E71AA2" w:rsidRDefault="00A97438" w:rsidP="00DD7B0C">
            <w:pPr>
              <w:spacing w:after="0"/>
              <w:rPr>
                <w:color w:val="000000"/>
              </w:rPr>
            </w:pPr>
            <w:r>
              <w:rPr>
                <w:color w:val="000000"/>
              </w:rPr>
              <w:t>MŠMT</w:t>
            </w:r>
          </w:p>
        </w:tc>
      </w:tr>
      <w:tr w:rsidR="00A97438" w:rsidRPr="00E71AA2" w14:paraId="401AD76D" w14:textId="77777777" w:rsidTr="00567C00">
        <w:trPr>
          <w:jc w:val="center"/>
        </w:trPr>
        <w:tc>
          <w:tcPr>
            <w:tcW w:w="6145" w:type="dxa"/>
          </w:tcPr>
          <w:p w14:paraId="6DB57430" w14:textId="77777777" w:rsidR="00A97438" w:rsidRPr="00E71AA2" w:rsidRDefault="00A97438" w:rsidP="00DD7B0C">
            <w:pPr>
              <w:spacing w:after="0"/>
              <w:rPr>
                <w:color w:val="000000"/>
              </w:rPr>
            </w:pPr>
            <w:r w:rsidRPr="00E71AA2">
              <w:rPr>
                <w:color w:val="000000"/>
              </w:rPr>
              <w:t>Digitální Česko v 2.0 - Cesta k digitální ekonomice</w:t>
            </w:r>
          </w:p>
        </w:tc>
        <w:tc>
          <w:tcPr>
            <w:tcW w:w="1272" w:type="dxa"/>
          </w:tcPr>
          <w:p w14:paraId="65374E12" w14:textId="77777777" w:rsidR="00A97438" w:rsidRPr="00E71AA2" w:rsidRDefault="00A97438" w:rsidP="00DD7B0C">
            <w:pPr>
              <w:spacing w:after="0"/>
              <w:rPr>
                <w:color w:val="000000"/>
              </w:rPr>
            </w:pPr>
            <w:r>
              <w:rPr>
                <w:color w:val="000000"/>
              </w:rPr>
              <w:t>2013</w:t>
            </w:r>
            <w:r>
              <w:rPr>
                <w:rStyle w:val="Znakapoznpodarou"/>
                <w:color w:val="000000"/>
              </w:rPr>
              <w:footnoteReference w:id="5"/>
            </w:r>
          </w:p>
        </w:tc>
        <w:tc>
          <w:tcPr>
            <w:tcW w:w="1645" w:type="dxa"/>
          </w:tcPr>
          <w:p w14:paraId="15BAF377" w14:textId="77777777" w:rsidR="00A97438" w:rsidRPr="00E71AA2" w:rsidRDefault="00A97438" w:rsidP="00DD7B0C">
            <w:pPr>
              <w:spacing w:after="0"/>
              <w:rPr>
                <w:color w:val="000000"/>
              </w:rPr>
            </w:pPr>
            <w:r>
              <w:rPr>
                <w:color w:val="000000"/>
              </w:rPr>
              <w:t>MPO</w:t>
            </w:r>
          </w:p>
        </w:tc>
      </w:tr>
      <w:tr w:rsidR="00A97438" w:rsidRPr="00E71AA2" w14:paraId="33A05B7A" w14:textId="77777777" w:rsidTr="00567C00">
        <w:trPr>
          <w:jc w:val="center"/>
        </w:trPr>
        <w:tc>
          <w:tcPr>
            <w:tcW w:w="6145" w:type="dxa"/>
          </w:tcPr>
          <w:p w14:paraId="60C7371A" w14:textId="77777777" w:rsidR="00A97438" w:rsidRPr="00E71AA2" w:rsidRDefault="00A97438" w:rsidP="00DD7B0C">
            <w:pPr>
              <w:spacing w:after="0"/>
              <w:rPr>
                <w:color w:val="000000"/>
              </w:rPr>
            </w:pPr>
            <w:r w:rsidRPr="00E71AA2">
              <w:rPr>
                <w:color w:val="000000"/>
              </w:rPr>
              <w:t>Exportní strategie Č</w:t>
            </w:r>
            <w:r>
              <w:rPr>
                <w:color w:val="000000"/>
              </w:rPr>
              <w:t>R</w:t>
            </w:r>
            <w:r w:rsidRPr="00E71AA2">
              <w:rPr>
                <w:color w:val="000000"/>
              </w:rPr>
              <w:t xml:space="preserve"> pro období 2012 až 2020</w:t>
            </w:r>
          </w:p>
        </w:tc>
        <w:tc>
          <w:tcPr>
            <w:tcW w:w="1272" w:type="dxa"/>
          </w:tcPr>
          <w:p w14:paraId="5599DDB9" w14:textId="3FB9B26B" w:rsidR="00A97438" w:rsidRPr="00E71AA2" w:rsidRDefault="00A97438" w:rsidP="00DD7B0C">
            <w:pPr>
              <w:spacing w:after="0"/>
              <w:rPr>
                <w:color w:val="000000"/>
              </w:rPr>
            </w:pPr>
            <w:r>
              <w:rPr>
                <w:color w:val="000000"/>
              </w:rPr>
              <w:t>2012</w:t>
            </w:r>
            <w:r w:rsidR="00F2105F">
              <w:rPr>
                <w:color w:val="000000"/>
              </w:rPr>
              <w:t xml:space="preserve"> (aktualizace 2016)</w:t>
            </w:r>
          </w:p>
        </w:tc>
        <w:tc>
          <w:tcPr>
            <w:tcW w:w="1645" w:type="dxa"/>
          </w:tcPr>
          <w:p w14:paraId="0ADBF706" w14:textId="77777777" w:rsidR="00A97438" w:rsidRPr="00E71AA2" w:rsidRDefault="00A97438" w:rsidP="00DD7B0C">
            <w:pPr>
              <w:spacing w:after="0"/>
              <w:rPr>
                <w:color w:val="000000"/>
              </w:rPr>
            </w:pPr>
            <w:r>
              <w:rPr>
                <w:color w:val="000000"/>
              </w:rPr>
              <w:t>MPO</w:t>
            </w:r>
          </w:p>
        </w:tc>
      </w:tr>
      <w:tr w:rsidR="00A97438" w:rsidRPr="00E71AA2" w14:paraId="4C75926F" w14:textId="77777777" w:rsidTr="00567C00">
        <w:trPr>
          <w:jc w:val="center"/>
        </w:trPr>
        <w:tc>
          <w:tcPr>
            <w:tcW w:w="6145" w:type="dxa"/>
          </w:tcPr>
          <w:p w14:paraId="29E216F0" w14:textId="77777777" w:rsidR="00A97438" w:rsidRPr="00E71AA2" w:rsidRDefault="00A97438" w:rsidP="00DD7B0C">
            <w:pPr>
              <w:spacing w:after="0"/>
              <w:rPr>
                <w:color w:val="000000"/>
              </w:rPr>
            </w:pPr>
            <w:r w:rsidRPr="00E71AA2">
              <w:rPr>
                <w:color w:val="000000"/>
              </w:rPr>
              <w:t xml:space="preserve">Mezinárodní audit </w:t>
            </w:r>
            <w:r>
              <w:rPr>
                <w:color w:val="000000"/>
              </w:rPr>
              <w:t>výzkumu, vývoje a inovací</w:t>
            </w:r>
            <w:r w:rsidRPr="00E71AA2">
              <w:rPr>
                <w:color w:val="000000"/>
              </w:rPr>
              <w:t xml:space="preserve"> v ČR</w:t>
            </w:r>
          </w:p>
        </w:tc>
        <w:tc>
          <w:tcPr>
            <w:tcW w:w="1272" w:type="dxa"/>
          </w:tcPr>
          <w:p w14:paraId="6196B0D4" w14:textId="77777777" w:rsidR="00A97438" w:rsidRPr="00E71AA2" w:rsidRDefault="00A97438" w:rsidP="00DD7B0C">
            <w:pPr>
              <w:spacing w:after="0"/>
              <w:rPr>
                <w:color w:val="000000"/>
              </w:rPr>
            </w:pPr>
            <w:r>
              <w:rPr>
                <w:color w:val="000000"/>
              </w:rPr>
              <w:t>2011</w:t>
            </w:r>
          </w:p>
        </w:tc>
        <w:tc>
          <w:tcPr>
            <w:tcW w:w="1645" w:type="dxa"/>
          </w:tcPr>
          <w:p w14:paraId="6D0AA555" w14:textId="77777777" w:rsidR="00A97438" w:rsidRPr="00E71AA2" w:rsidRDefault="00A97438" w:rsidP="00DD7B0C">
            <w:pPr>
              <w:spacing w:after="0"/>
              <w:rPr>
                <w:color w:val="000000"/>
              </w:rPr>
            </w:pPr>
            <w:r>
              <w:rPr>
                <w:color w:val="000000"/>
              </w:rPr>
              <w:t>MŠMT</w:t>
            </w:r>
          </w:p>
        </w:tc>
      </w:tr>
      <w:tr w:rsidR="00A97438" w:rsidRPr="00E71AA2" w14:paraId="23541217" w14:textId="77777777" w:rsidTr="00567C00">
        <w:trPr>
          <w:jc w:val="center"/>
        </w:trPr>
        <w:tc>
          <w:tcPr>
            <w:tcW w:w="6145" w:type="dxa"/>
          </w:tcPr>
          <w:p w14:paraId="557F7D2C" w14:textId="77777777" w:rsidR="00A97438" w:rsidRPr="00E71AA2" w:rsidRDefault="00A97438" w:rsidP="00DD7B0C">
            <w:pPr>
              <w:spacing w:after="0"/>
              <w:rPr>
                <w:color w:val="000000"/>
              </w:rPr>
            </w:pPr>
            <w:r w:rsidRPr="00E71AA2">
              <w:rPr>
                <w:color w:val="000000"/>
              </w:rPr>
              <w:t>Národní inovační strategie České republiky</w:t>
            </w:r>
          </w:p>
        </w:tc>
        <w:tc>
          <w:tcPr>
            <w:tcW w:w="1272" w:type="dxa"/>
          </w:tcPr>
          <w:p w14:paraId="16F1DA74" w14:textId="77777777" w:rsidR="00A97438" w:rsidRPr="00E71AA2" w:rsidRDefault="00A97438" w:rsidP="00DD7B0C">
            <w:pPr>
              <w:spacing w:after="0"/>
              <w:rPr>
                <w:color w:val="000000"/>
              </w:rPr>
            </w:pPr>
            <w:r>
              <w:rPr>
                <w:color w:val="000000"/>
              </w:rPr>
              <w:t>2011</w:t>
            </w:r>
          </w:p>
        </w:tc>
        <w:tc>
          <w:tcPr>
            <w:tcW w:w="1645" w:type="dxa"/>
          </w:tcPr>
          <w:p w14:paraId="575642F8" w14:textId="77777777" w:rsidR="00A97438" w:rsidRPr="00E71AA2" w:rsidRDefault="00A97438" w:rsidP="00DD7B0C">
            <w:pPr>
              <w:spacing w:after="0"/>
              <w:rPr>
                <w:color w:val="000000"/>
              </w:rPr>
            </w:pPr>
            <w:r>
              <w:rPr>
                <w:color w:val="000000"/>
              </w:rPr>
              <w:t>MPO</w:t>
            </w:r>
          </w:p>
        </w:tc>
      </w:tr>
      <w:tr w:rsidR="00A97438" w:rsidRPr="00E71AA2" w14:paraId="5779D5D2" w14:textId="77777777" w:rsidTr="00567C00">
        <w:trPr>
          <w:jc w:val="center"/>
        </w:trPr>
        <w:tc>
          <w:tcPr>
            <w:tcW w:w="6145" w:type="dxa"/>
          </w:tcPr>
          <w:p w14:paraId="6B46C8B5" w14:textId="77777777" w:rsidR="00A97438" w:rsidRPr="00E71AA2" w:rsidRDefault="00A97438" w:rsidP="00DD7B0C">
            <w:pPr>
              <w:spacing w:after="0"/>
              <w:rPr>
                <w:color w:val="000000"/>
              </w:rPr>
            </w:pPr>
            <w:r>
              <w:rPr>
                <w:color w:val="000000"/>
              </w:rPr>
              <w:t>Národní politika</w:t>
            </w:r>
            <w:r w:rsidRPr="00E71AA2">
              <w:rPr>
                <w:color w:val="000000"/>
              </w:rPr>
              <w:t xml:space="preserve"> výzkumu, v</w:t>
            </w:r>
            <w:r>
              <w:rPr>
                <w:color w:val="000000"/>
              </w:rPr>
              <w:t>ývoje a inovací České republiky</w:t>
            </w:r>
          </w:p>
        </w:tc>
        <w:tc>
          <w:tcPr>
            <w:tcW w:w="1272" w:type="dxa"/>
          </w:tcPr>
          <w:p w14:paraId="158EA51E" w14:textId="77777777" w:rsidR="00A97438" w:rsidRPr="00E71AA2" w:rsidRDefault="00A97438" w:rsidP="00DD7B0C">
            <w:pPr>
              <w:spacing w:after="0"/>
              <w:rPr>
                <w:color w:val="000000"/>
              </w:rPr>
            </w:pPr>
            <w:r>
              <w:rPr>
                <w:color w:val="000000"/>
              </w:rPr>
              <w:t>2009 (aktualizace 2012), 2016</w:t>
            </w:r>
          </w:p>
        </w:tc>
        <w:tc>
          <w:tcPr>
            <w:tcW w:w="1645" w:type="dxa"/>
          </w:tcPr>
          <w:p w14:paraId="1C612FF7" w14:textId="77777777" w:rsidR="00A97438" w:rsidRPr="00E71AA2" w:rsidRDefault="00A97438" w:rsidP="00DD7B0C">
            <w:pPr>
              <w:spacing w:after="0"/>
              <w:rPr>
                <w:color w:val="000000"/>
              </w:rPr>
            </w:pPr>
            <w:r>
              <w:rPr>
                <w:color w:val="000000"/>
              </w:rPr>
              <w:t>ÚV ČR</w:t>
            </w:r>
          </w:p>
        </w:tc>
      </w:tr>
      <w:tr w:rsidR="00A97438" w:rsidRPr="00E71AA2" w14:paraId="67A01D29" w14:textId="77777777" w:rsidTr="00567C00">
        <w:trPr>
          <w:jc w:val="center"/>
        </w:trPr>
        <w:tc>
          <w:tcPr>
            <w:tcW w:w="6145" w:type="dxa"/>
          </w:tcPr>
          <w:p w14:paraId="780CB0E1" w14:textId="77777777" w:rsidR="00A97438" w:rsidRPr="00E71AA2" w:rsidRDefault="00A97438" w:rsidP="00DD7B0C">
            <w:pPr>
              <w:spacing w:after="0"/>
              <w:rPr>
                <w:color w:val="000000"/>
              </w:rPr>
            </w:pPr>
            <w:r w:rsidRPr="00E71AA2">
              <w:rPr>
                <w:color w:val="000000"/>
              </w:rPr>
              <w:t>Národní priority orientovaného výzkumu, experimentálního vývoje a inovací</w:t>
            </w:r>
          </w:p>
        </w:tc>
        <w:tc>
          <w:tcPr>
            <w:tcW w:w="1272" w:type="dxa"/>
          </w:tcPr>
          <w:p w14:paraId="19EA8E8B" w14:textId="77777777" w:rsidR="00A97438" w:rsidRPr="00E71AA2" w:rsidRDefault="00A97438" w:rsidP="00DD7B0C">
            <w:pPr>
              <w:spacing w:after="0"/>
              <w:rPr>
                <w:color w:val="000000"/>
              </w:rPr>
            </w:pPr>
            <w:r>
              <w:rPr>
                <w:color w:val="000000"/>
              </w:rPr>
              <w:t>2012</w:t>
            </w:r>
          </w:p>
        </w:tc>
        <w:tc>
          <w:tcPr>
            <w:tcW w:w="1645" w:type="dxa"/>
          </w:tcPr>
          <w:p w14:paraId="566B2610" w14:textId="77777777" w:rsidR="00A97438" w:rsidRPr="00E71AA2" w:rsidRDefault="00A97438" w:rsidP="00DD7B0C">
            <w:pPr>
              <w:spacing w:after="0"/>
              <w:rPr>
                <w:color w:val="000000"/>
              </w:rPr>
            </w:pPr>
            <w:r>
              <w:rPr>
                <w:color w:val="000000"/>
              </w:rPr>
              <w:t>ÚV ČR</w:t>
            </w:r>
          </w:p>
        </w:tc>
      </w:tr>
      <w:tr w:rsidR="00A97438" w:rsidRPr="00E71AA2" w14:paraId="2BEBCA7F" w14:textId="77777777" w:rsidTr="00567C00">
        <w:trPr>
          <w:jc w:val="center"/>
        </w:trPr>
        <w:tc>
          <w:tcPr>
            <w:tcW w:w="6145" w:type="dxa"/>
          </w:tcPr>
          <w:p w14:paraId="048B9693" w14:textId="77777777" w:rsidR="00A97438" w:rsidRPr="00E71AA2" w:rsidRDefault="00A97438" w:rsidP="00DD7B0C">
            <w:pPr>
              <w:spacing w:after="0"/>
              <w:rPr>
                <w:color w:val="000000"/>
              </w:rPr>
            </w:pPr>
            <w:r w:rsidRPr="00E71AA2">
              <w:rPr>
                <w:color w:val="000000"/>
              </w:rPr>
              <w:t>Národní prog</w:t>
            </w:r>
            <w:r>
              <w:rPr>
                <w:color w:val="000000"/>
              </w:rPr>
              <w:t>ram reforem České republiky</w:t>
            </w:r>
          </w:p>
        </w:tc>
        <w:tc>
          <w:tcPr>
            <w:tcW w:w="1272" w:type="dxa"/>
          </w:tcPr>
          <w:p w14:paraId="7A1C2F5C" w14:textId="77777777" w:rsidR="00A97438" w:rsidRPr="00E71AA2" w:rsidRDefault="00A97438" w:rsidP="00DD7B0C">
            <w:pPr>
              <w:spacing w:after="0"/>
              <w:rPr>
                <w:color w:val="000000"/>
              </w:rPr>
            </w:pPr>
            <w:r>
              <w:rPr>
                <w:color w:val="000000"/>
              </w:rPr>
              <w:t>2014, 2018</w:t>
            </w:r>
          </w:p>
        </w:tc>
        <w:tc>
          <w:tcPr>
            <w:tcW w:w="1645" w:type="dxa"/>
          </w:tcPr>
          <w:p w14:paraId="2651D1D6" w14:textId="77777777" w:rsidR="00A97438" w:rsidRPr="00E71AA2" w:rsidRDefault="00A97438" w:rsidP="00DD7B0C">
            <w:pPr>
              <w:spacing w:after="0"/>
              <w:rPr>
                <w:color w:val="000000"/>
              </w:rPr>
            </w:pPr>
            <w:r>
              <w:rPr>
                <w:color w:val="000000"/>
              </w:rPr>
              <w:t>ÚV ČR</w:t>
            </w:r>
          </w:p>
        </w:tc>
      </w:tr>
      <w:tr w:rsidR="00A97438" w:rsidRPr="00E71AA2" w14:paraId="5705E9F8" w14:textId="77777777" w:rsidTr="00567C00">
        <w:trPr>
          <w:jc w:val="center"/>
        </w:trPr>
        <w:tc>
          <w:tcPr>
            <w:tcW w:w="6145" w:type="dxa"/>
          </w:tcPr>
          <w:p w14:paraId="0FC4361E" w14:textId="77777777" w:rsidR="00A97438" w:rsidRPr="00E71AA2" w:rsidRDefault="00A97438" w:rsidP="00DD7B0C">
            <w:pPr>
              <w:spacing w:after="0"/>
              <w:rPr>
                <w:color w:val="000000"/>
              </w:rPr>
            </w:pPr>
            <w:r w:rsidRPr="00E71AA2">
              <w:rPr>
                <w:color w:val="000000"/>
              </w:rPr>
              <w:t>Strategie mezinárodní konkurenceschopnosti České republiky pro období 2012 až 2020</w:t>
            </w:r>
          </w:p>
        </w:tc>
        <w:tc>
          <w:tcPr>
            <w:tcW w:w="1272" w:type="dxa"/>
          </w:tcPr>
          <w:p w14:paraId="755CD76A" w14:textId="77777777" w:rsidR="00A97438" w:rsidRPr="00E71AA2" w:rsidRDefault="00A97438" w:rsidP="00DD7B0C">
            <w:pPr>
              <w:spacing w:after="0"/>
              <w:rPr>
                <w:color w:val="000000"/>
              </w:rPr>
            </w:pPr>
            <w:r>
              <w:rPr>
                <w:color w:val="000000"/>
              </w:rPr>
              <w:t>2012</w:t>
            </w:r>
          </w:p>
        </w:tc>
        <w:tc>
          <w:tcPr>
            <w:tcW w:w="1645" w:type="dxa"/>
          </w:tcPr>
          <w:p w14:paraId="05C0F865" w14:textId="77777777" w:rsidR="00A97438" w:rsidRPr="00E71AA2" w:rsidRDefault="00A97438" w:rsidP="00DD7B0C">
            <w:pPr>
              <w:spacing w:after="0"/>
              <w:rPr>
                <w:color w:val="000000"/>
              </w:rPr>
            </w:pPr>
            <w:r>
              <w:rPr>
                <w:color w:val="000000"/>
              </w:rPr>
              <w:t>MPO</w:t>
            </w:r>
          </w:p>
        </w:tc>
      </w:tr>
      <w:tr w:rsidR="00A97438" w:rsidRPr="00E71AA2" w14:paraId="7EAFF023" w14:textId="77777777" w:rsidTr="00567C00">
        <w:trPr>
          <w:jc w:val="center"/>
        </w:trPr>
        <w:tc>
          <w:tcPr>
            <w:tcW w:w="6145" w:type="dxa"/>
          </w:tcPr>
          <w:p w14:paraId="18EDC08A" w14:textId="77777777" w:rsidR="00A97438" w:rsidRPr="00E71AA2" w:rsidRDefault="00A97438" w:rsidP="00DD7B0C">
            <w:pPr>
              <w:spacing w:after="0"/>
              <w:rPr>
                <w:color w:val="000000"/>
              </w:rPr>
            </w:pPr>
            <w:r w:rsidRPr="00E71AA2">
              <w:rPr>
                <w:color w:val="000000"/>
              </w:rPr>
              <w:t>Strategie vzdělávací politiky České republiky do roku 2020</w:t>
            </w:r>
          </w:p>
        </w:tc>
        <w:tc>
          <w:tcPr>
            <w:tcW w:w="1272" w:type="dxa"/>
          </w:tcPr>
          <w:p w14:paraId="740021C1" w14:textId="77777777" w:rsidR="00A97438" w:rsidRPr="00E71AA2" w:rsidRDefault="00A97438" w:rsidP="00DD7B0C">
            <w:pPr>
              <w:spacing w:after="0"/>
              <w:rPr>
                <w:color w:val="000000"/>
              </w:rPr>
            </w:pPr>
            <w:r>
              <w:rPr>
                <w:color w:val="000000"/>
              </w:rPr>
              <w:t>2014</w:t>
            </w:r>
          </w:p>
        </w:tc>
        <w:tc>
          <w:tcPr>
            <w:tcW w:w="1645" w:type="dxa"/>
          </w:tcPr>
          <w:p w14:paraId="441BEF16" w14:textId="77777777" w:rsidR="00A97438" w:rsidRPr="00E71AA2" w:rsidRDefault="00A97438" w:rsidP="00DD7B0C">
            <w:pPr>
              <w:spacing w:after="0"/>
              <w:rPr>
                <w:color w:val="000000"/>
              </w:rPr>
            </w:pPr>
            <w:r>
              <w:rPr>
                <w:color w:val="000000"/>
              </w:rPr>
              <w:t>MŠMT</w:t>
            </w:r>
          </w:p>
        </w:tc>
      </w:tr>
    </w:tbl>
    <w:p w14:paraId="540A213B" w14:textId="77777777" w:rsidR="00547C46" w:rsidRPr="00A97438" w:rsidRDefault="00547C46" w:rsidP="00A97438"/>
    <w:p w14:paraId="26B373E8" w14:textId="5EAA0B21" w:rsidR="00AD17D5" w:rsidRDefault="00AD17D5" w:rsidP="005C2F38">
      <w:pPr>
        <w:pStyle w:val="Nadpis2"/>
      </w:pPr>
      <w:bookmarkStart w:id="5" w:name="_Toc525716161"/>
      <w:r w:rsidRPr="005C2F38">
        <w:t>Vznik Strategie inteligentní specializace v</w:t>
      </w:r>
      <w:r w:rsidR="0003130E">
        <w:t> </w:t>
      </w:r>
      <w:r w:rsidRPr="005C2F38">
        <w:t>ČR</w:t>
      </w:r>
      <w:bookmarkEnd w:id="5"/>
    </w:p>
    <w:p w14:paraId="05B3E419" w14:textId="6C1ED3F0" w:rsidR="009D6DCB" w:rsidRPr="0003130E" w:rsidRDefault="0003130E" w:rsidP="009D6DCB">
      <w:pPr>
        <w:spacing w:before="240" w:after="0" w:line="360" w:lineRule="auto"/>
        <w:ind w:firstLine="576"/>
        <w:jc w:val="both"/>
      </w:pPr>
      <w:r w:rsidRPr="0003130E">
        <w:t xml:space="preserve">Příprava Národní RIS3 strategie a jejích krajských příloh začala v květnu 2013 analytickými pracemi v krajích. Tyto práce byly provázeny budováním partnerství v krajích, často s využitím již </w:t>
      </w:r>
      <w:r w:rsidRPr="0003130E">
        <w:lastRenderedPageBreak/>
        <w:t>existujících struktur, např. regionálních inovačních strategií. Výstupy diskusí, které postupně v krajích probíhaly, byly jedním ze zdrojů pro návrh národního dokumentu RIS3 strategie. Národní RIS3 strategie je však samostatným dokumentem, nejedná se o souhr</w:t>
      </w:r>
      <w:r w:rsidR="009D6DCB">
        <w:t xml:space="preserve">n či excerpci krajských příloh. - </w:t>
      </w:r>
      <w:r w:rsidR="009D6DCB" w:rsidRPr="009D6DCB">
        <w:t>Národní RIS3 strategie je určujícím národním dokumentem a krajské přílohy jeho zaměření jednak</w:t>
      </w:r>
      <w:r w:rsidR="009D6DCB">
        <w:t xml:space="preserve"> specifikují</w:t>
      </w:r>
      <w:r w:rsidR="009D6DCB" w:rsidRPr="009D6DCB">
        <w:t xml:space="preserve"> </w:t>
      </w:r>
      <w:r w:rsidR="009D6DCB">
        <w:t>(</w:t>
      </w:r>
      <w:r w:rsidR="009D6DCB" w:rsidRPr="009D6DCB">
        <w:t>zvláště v případě navrhovaných specializací</w:t>
      </w:r>
      <w:r w:rsidR="009D6DCB">
        <w:t>)</w:t>
      </w:r>
      <w:r w:rsidR="009D6DCB" w:rsidRPr="009D6DCB">
        <w:t xml:space="preserve">, a </w:t>
      </w:r>
      <w:r w:rsidR="009D6DCB">
        <w:t xml:space="preserve">v </w:t>
      </w:r>
      <w:r w:rsidR="009D6DCB" w:rsidRPr="009D6DCB">
        <w:t>někt</w:t>
      </w:r>
      <w:r w:rsidR="009D6DCB">
        <w:t>erých případech také doplňují (</w:t>
      </w:r>
      <w:r w:rsidR="009D6DCB" w:rsidRPr="009D6DCB">
        <w:t>návrhy specifických intervencí</w:t>
      </w:r>
      <w:r w:rsidR="009D6DCB">
        <w:t xml:space="preserve"> </w:t>
      </w:r>
      <w:r w:rsidR="009D6DCB" w:rsidRPr="009D6DCB">
        <w:t>reflektujících zvláštní podmínky jednotlivých krajů</w:t>
      </w:r>
      <w:r w:rsidR="009D6DCB">
        <w:t>)</w:t>
      </w:r>
      <w:r w:rsidR="009D6DCB" w:rsidRPr="009D6DCB">
        <w:t>.</w:t>
      </w:r>
    </w:p>
    <w:p w14:paraId="7E503836" w14:textId="3C162B1A" w:rsidR="0003130E" w:rsidRPr="0003130E" w:rsidRDefault="0003130E" w:rsidP="009D6DCB">
      <w:pPr>
        <w:spacing w:after="0" w:line="360" w:lineRule="auto"/>
        <w:ind w:firstLine="709"/>
        <w:jc w:val="both"/>
      </w:pPr>
      <w:r w:rsidRPr="0003130E">
        <w:t>Práce na národním dokumentu byly zahájeny v listopadu 2013. Vedle výše uvedených dokumentů bylo využito také dílčích tuzemských a mezinárodních analytických prací zpracovaných dříve různými subjekty, vč. specifických regionálních strategií. Národní RIS3 strategie prošla během roku 2014 vícekolovým a vícestupňovým pojednávacím a připomínkovacím procesem, na jehož základě byla upravována až do stávající verze.</w:t>
      </w:r>
    </w:p>
    <w:p w14:paraId="38015C76" w14:textId="7BF7B7F9" w:rsidR="0003130E" w:rsidRPr="007B72F9" w:rsidRDefault="0003130E" w:rsidP="000141B4">
      <w:pPr>
        <w:spacing w:after="0" w:line="360" w:lineRule="auto"/>
        <w:ind w:firstLine="709"/>
        <w:jc w:val="both"/>
      </w:pPr>
      <w:r w:rsidRPr="0003130E">
        <w:t xml:space="preserve">Součástí Národní RIS3 jsou již zmiňované </w:t>
      </w:r>
      <w:r w:rsidRPr="0003130E">
        <w:rPr>
          <w:b/>
        </w:rPr>
        <w:t>krajské přílohy</w:t>
      </w:r>
      <w:r w:rsidRPr="0003130E">
        <w:t>. Smyslem krajských příloh je identifikovat zvláštnosti inovačních systémů</w:t>
      </w:r>
      <w:r w:rsidRPr="0003130E">
        <w:rPr>
          <w:rStyle w:val="Znakapoznpodarou"/>
        </w:rPr>
        <w:footnoteReference w:id="6"/>
      </w:r>
      <w:r w:rsidRPr="0003130E">
        <w:t xml:space="preserve"> v jednotlivých krajích, vysvětlit jejich souvislosti, a to s ohledem a</w:t>
      </w:r>
      <w:r w:rsidR="00352C58">
        <w:t> </w:t>
      </w:r>
      <w:r w:rsidRPr="0003130E">
        <w:t>důrazem na vlastní specifické projevy existující či potenciální specializace v krajích. Přes homogenitu hospodářství v České republice jsou regionální inovační systémy v jednotlivých českých krajích značně odlišné, a to nejenom povahou jednotlivých částí, ale také institucionální vyvinutostí a</w:t>
      </w:r>
      <w:r w:rsidR="00C804A8">
        <w:t> </w:t>
      </w:r>
      <w:r w:rsidRPr="0003130E">
        <w:t xml:space="preserve">zakotvením. Oba tyto důvody jsou silným argumentem pro navržení specifických krajských intervencí, které budou reflektovat krajské zvláštnosti a budou doplňovat rozsáhlejší intervence realizované z národní úrovně. </w:t>
      </w:r>
      <w:r w:rsidRPr="0003130E">
        <w:rPr>
          <w:b/>
        </w:rPr>
        <w:t>Všech 14 krajských příloh bylo v červnu – září 2014 úspěšně schváleno krajskými zastupitelstvy.</w:t>
      </w:r>
      <w:r w:rsidR="007B72F9">
        <w:rPr>
          <w:b/>
        </w:rPr>
        <w:t xml:space="preserve"> </w:t>
      </w:r>
      <w:r w:rsidR="00ED4456">
        <w:t>V letech 201</w:t>
      </w:r>
      <w:r w:rsidR="00D32E27">
        <w:t>5</w:t>
      </w:r>
      <w:r w:rsidR="00ED4456">
        <w:t xml:space="preserve"> a</w:t>
      </w:r>
      <w:r w:rsidR="00D32E27">
        <w:t>ž</w:t>
      </w:r>
      <w:r w:rsidR="00ED4456">
        <w:t xml:space="preserve"> 2017 nedošlo k aktualizaci krajských příloh. </w:t>
      </w:r>
      <w:r w:rsidR="009921C2">
        <w:t>V</w:t>
      </w:r>
      <w:r w:rsidR="007B72F9">
        <w:t> roce 2018 došlo k aktualizaci krajských příloh Jihočeského kraje, Královehradeckého kraje, Libereckého kraje, Mor</w:t>
      </w:r>
      <w:r w:rsidR="00F95914">
        <w:t>a</w:t>
      </w:r>
      <w:r w:rsidR="007B72F9">
        <w:t>vskoslezského kraje, Olomouckého kraje, Plzeňského kraje a Středočeského kraje.</w:t>
      </w:r>
    </w:p>
    <w:p w14:paraId="5A213049" w14:textId="77777777" w:rsidR="00DC4286" w:rsidRPr="0003130E" w:rsidRDefault="00DC4286" w:rsidP="0003130E">
      <w:pPr>
        <w:spacing w:line="360" w:lineRule="auto"/>
        <w:ind w:firstLine="360"/>
        <w:jc w:val="both"/>
      </w:pPr>
    </w:p>
    <w:p w14:paraId="74851B22" w14:textId="3C8683F2" w:rsidR="0003130E" w:rsidRDefault="00AD17D5" w:rsidP="00103F7E">
      <w:pPr>
        <w:pStyle w:val="Nadpis2"/>
      </w:pPr>
      <w:bookmarkStart w:id="6" w:name="_Toc525716162"/>
      <w:r w:rsidRPr="005C2F38">
        <w:t>Účast podnikatelů, výzkumníků a partnerů z triple/quadruple helix na přípravě a</w:t>
      </w:r>
      <w:r w:rsidR="00CF3FEB" w:rsidRPr="005C2F38">
        <w:t> </w:t>
      </w:r>
      <w:r w:rsidRPr="005C2F38">
        <w:t>realizaci strategie inteligentní specializace</w:t>
      </w:r>
      <w:r w:rsidR="0003130E">
        <w:t xml:space="preserve"> (EDP)</w:t>
      </w:r>
      <w:bookmarkEnd w:id="6"/>
    </w:p>
    <w:p w14:paraId="083580FC" w14:textId="173607D0" w:rsidR="0003130E" w:rsidRPr="0003130E" w:rsidRDefault="0003130E" w:rsidP="000F1BFA">
      <w:pPr>
        <w:spacing w:before="240" w:line="360" w:lineRule="auto"/>
        <w:ind w:firstLine="708"/>
        <w:jc w:val="both"/>
        <w:rPr>
          <w:b/>
          <w:sz w:val="26"/>
          <w:szCs w:val="26"/>
        </w:rPr>
      </w:pPr>
      <w:r w:rsidRPr="0003130E">
        <w:t>Významným rysem koncipování evropských RIS3 strategií je důraz na tzv. proces podnikatelského objevování nových příležitostí (</w:t>
      </w:r>
      <w:r w:rsidRPr="0003130E">
        <w:rPr>
          <w:i/>
          <w:iCs/>
        </w:rPr>
        <w:t xml:space="preserve">entrepreneurial discovery </w:t>
      </w:r>
      <w:r>
        <w:rPr>
          <w:i/>
          <w:iCs/>
        </w:rPr>
        <w:t>proces</w:t>
      </w:r>
      <w:r>
        <w:rPr>
          <w:iCs/>
        </w:rPr>
        <w:t xml:space="preserve">, </w:t>
      </w:r>
      <w:r w:rsidRPr="00007050">
        <w:rPr>
          <w:iCs/>
        </w:rPr>
        <w:t>dále „EDP“</w:t>
      </w:r>
      <w:r w:rsidRPr="00007050">
        <w:t>)</w:t>
      </w:r>
      <w:r w:rsidRPr="0003130E">
        <w:t>. Zjednodušeně řečeno jde o profilování oblastí specializace, vydefinovaných za rovnocenné spoluúčasti zástupců podnikatelské</w:t>
      </w:r>
      <w:r w:rsidR="007B087F">
        <w:t>, výzkumné</w:t>
      </w:r>
      <w:r w:rsidRPr="0003130E">
        <w:t xml:space="preserve"> i akademické sféry, a taktéž veřejné správy a občanské společnosti (</w:t>
      </w:r>
      <w:r w:rsidR="00FB0973">
        <w:t xml:space="preserve">tzv. </w:t>
      </w:r>
      <w:r w:rsidRPr="0003130E">
        <w:t xml:space="preserve">triple/quadruple helix). Tento proces se vztahuje nejen na počáteční nastavení priorit </w:t>
      </w:r>
      <w:r w:rsidR="0032220E">
        <w:lastRenderedPageBreak/>
        <w:t xml:space="preserve">orientovaného a </w:t>
      </w:r>
      <w:r w:rsidRPr="0003130E">
        <w:t>aplikovaného výzkumu ČR, ale musí probíhat po celou dobu naplňování strategie, jelikož poskytuje zpětnou vazbu a</w:t>
      </w:r>
      <w:r w:rsidR="001228AF">
        <w:t> </w:t>
      </w:r>
      <w:r w:rsidRPr="0003130E">
        <w:t>verifikaci pro intervence realizované, ovšem také východiska pro plán intervencí připravovaných.</w:t>
      </w:r>
      <w:r w:rsidR="00D453A7">
        <w:t xml:space="preserve"> Pro realizaci</w:t>
      </w:r>
      <w:r w:rsidR="00D453A7" w:rsidRPr="00D453A7">
        <w:t xml:space="preserve">, zacílení intervencí a dosažení výsledků RIS3 </w:t>
      </w:r>
      <w:r w:rsidR="00D453A7">
        <w:t xml:space="preserve">je EDP </w:t>
      </w:r>
      <w:r w:rsidR="00D453A7" w:rsidRPr="00D453A7">
        <w:t xml:space="preserve">zapojující zejména podnikatele a výzkumníky formou </w:t>
      </w:r>
      <w:r w:rsidR="00D453A7">
        <w:t xml:space="preserve">Národních inovačních platforem </w:t>
      </w:r>
      <w:r w:rsidR="00D453A7" w:rsidRPr="00D453A7">
        <w:t>zcela klíčový a</w:t>
      </w:r>
      <w:r w:rsidR="00073DF7">
        <w:t> </w:t>
      </w:r>
      <w:r w:rsidR="00D453A7" w:rsidRPr="00D453A7">
        <w:t>nenahraditelný</w:t>
      </w:r>
      <w:r w:rsidR="00D453A7">
        <w:t>.</w:t>
      </w:r>
    </w:p>
    <w:p w14:paraId="33D3E82E" w14:textId="77777777" w:rsidR="00483031" w:rsidRDefault="00483031" w:rsidP="000F1BFA">
      <w:pPr>
        <w:spacing w:before="240" w:line="360" w:lineRule="auto"/>
        <w:jc w:val="both"/>
        <w:rPr>
          <w:b/>
        </w:rPr>
      </w:pPr>
    </w:p>
    <w:p w14:paraId="07A1FE12" w14:textId="77777777" w:rsidR="0003130E" w:rsidRPr="0003130E" w:rsidRDefault="0003130E" w:rsidP="000F1BFA">
      <w:pPr>
        <w:spacing w:before="240" w:line="360" w:lineRule="auto"/>
        <w:jc w:val="both"/>
        <w:rPr>
          <w:b/>
        </w:rPr>
      </w:pPr>
      <w:r w:rsidRPr="0003130E">
        <w:rPr>
          <w:b/>
        </w:rPr>
        <w:t>EDP v období přípravy RIS3</w:t>
      </w:r>
    </w:p>
    <w:p w14:paraId="6C9CA6B1" w14:textId="77777777" w:rsidR="0003130E" w:rsidRPr="0003130E" w:rsidRDefault="0003130E" w:rsidP="002103CA">
      <w:pPr>
        <w:spacing w:before="240" w:line="360" w:lineRule="auto"/>
        <w:ind w:firstLine="709"/>
        <w:jc w:val="both"/>
      </w:pPr>
      <w:r w:rsidRPr="0003130E">
        <w:t xml:space="preserve">Příprava RIS3 začala v krajích v první polovině roku 2013. </w:t>
      </w:r>
      <w:r w:rsidRPr="0003130E">
        <w:rPr>
          <w:b/>
        </w:rPr>
        <w:t xml:space="preserve">Od září 2013 se rozběhl </w:t>
      </w:r>
      <w:r w:rsidRPr="0003130E">
        <w:t xml:space="preserve">proces vtahující jednotlivé podnikatele, výzkumníky a představitele dalších subjektů triple/quadruple helix do přípravy RIS3 strategií v následujících pojetích: </w:t>
      </w:r>
    </w:p>
    <w:p w14:paraId="50B3D04E" w14:textId="77777777" w:rsidR="0003130E" w:rsidRPr="0003130E" w:rsidRDefault="0003130E" w:rsidP="00543C1B">
      <w:pPr>
        <w:pStyle w:val="Odstavecseseznamem"/>
        <w:numPr>
          <w:ilvl w:val="0"/>
          <w:numId w:val="227"/>
        </w:numPr>
        <w:spacing w:before="240" w:after="200" w:line="360" w:lineRule="auto"/>
        <w:jc w:val="both"/>
      </w:pPr>
      <w:r w:rsidRPr="0003130E">
        <w:t xml:space="preserve">podnikatelské/inovační platformy, představují skupiny, v nichž převažují podnikatelé a účastní se jich výzkumníci a další představitelé triple/quadruple helix; </w:t>
      </w:r>
    </w:p>
    <w:p w14:paraId="1D4B31DB" w14:textId="77777777" w:rsidR="0003130E" w:rsidRPr="0003130E" w:rsidRDefault="0003130E" w:rsidP="00543C1B">
      <w:pPr>
        <w:pStyle w:val="Odstavecseseznamem"/>
        <w:numPr>
          <w:ilvl w:val="0"/>
          <w:numId w:val="227"/>
        </w:numPr>
        <w:spacing w:before="240" w:after="200" w:line="360" w:lineRule="auto"/>
        <w:jc w:val="both"/>
      </w:pPr>
      <w:r w:rsidRPr="0003130E">
        <w:t xml:space="preserve">krajské rady pro inovace, které představují řídící struktury krajských RIS3, ale i v nich jsou mimo další členy zpravidla také zástupci podnikatelů; </w:t>
      </w:r>
    </w:p>
    <w:p w14:paraId="68C45926" w14:textId="77777777" w:rsidR="0003130E" w:rsidRPr="0003130E" w:rsidRDefault="0003130E" w:rsidP="00543C1B">
      <w:pPr>
        <w:pStyle w:val="Odstavecseseznamem"/>
        <w:numPr>
          <w:ilvl w:val="0"/>
          <w:numId w:val="227"/>
        </w:numPr>
        <w:spacing w:before="240" w:after="200" w:line="360" w:lineRule="auto"/>
        <w:jc w:val="both"/>
      </w:pPr>
      <w:r w:rsidRPr="0003130E">
        <w:t xml:space="preserve">ad hoc jednání a setkání s podnikateli a výzkumníky, která byla organizována krajskými RIS3 manažery ve spolupráci s krajskými samosprávami; </w:t>
      </w:r>
    </w:p>
    <w:p w14:paraId="4F9D08A8" w14:textId="77777777" w:rsidR="0003130E" w:rsidRPr="0003130E" w:rsidRDefault="0003130E" w:rsidP="00543C1B">
      <w:pPr>
        <w:pStyle w:val="Odstavecseseznamem"/>
        <w:numPr>
          <w:ilvl w:val="0"/>
          <w:numId w:val="227"/>
        </w:numPr>
        <w:spacing w:before="240" w:after="200" w:line="360" w:lineRule="auto"/>
        <w:jc w:val="both"/>
      </w:pPr>
      <w:r w:rsidRPr="0003130E">
        <w:t>návštěvy podniků a výzkumných pracovišť, rozhovory o potřebách a bariérách inovačního procesu v kraji.</w:t>
      </w:r>
    </w:p>
    <w:p w14:paraId="5661E68D" w14:textId="77777777" w:rsidR="0003130E" w:rsidRPr="0003130E" w:rsidRDefault="0003130E" w:rsidP="000D36A3">
      <w:pPr>
        <w:spacing w:after="0" w:line="360" w:lineRule="auto"/>
        <w:ind w:firstLine="709"/>
        <w:jc w:val="both"/>
      </w:pPr>
      <w:r w:rsidRPr="0003130E">
        <w:t xml:space="preserve">Podrobnější informace o účasti podnikatelů, výzkumníků a dalších subjektů v průběhu přípravy krajských příloh Národní RIS3 strategie jsou uvedeny vždy v příslušné krajské příloze. Účast podnikatelů a výzkumníků a dalších představitelů triple/quadruple helix byla v každém kraji organizována poněkud jiným způsobem, přiměřeným a odpovídajícím daným podmínkám. Rovněž tak se v některých krajích </w:t>
      </w:r>
      <w:r w:rsidRPr="0003130E">
        <w:rPr>
          <w:b/>
        </w:rPr>
        <w:t>nepodařilo mobilizovat zástupce neziskové sféry</w:t>
      </w:r>
      <w:r w:rsidRPr="0003130E">
        <w:t xml:space="preserve">, proto se hovoří o triple/quadruple helix, nikoliv jen o quadruple helix. </w:t>
      </w:r>
    </w:p>
    <w:p w14:paraId="2E5838DA" w14:textId="272DC8D4" w:rsidR="0003130E" w:rsidRPr="00777B2A" w:rsidRDefault="0003130E" w:rsidP="000D36A3">
      <w:pPr>
        <w:spacing w:after="0" w:line="360" w:lineRule="auto"/>
        <w:ind w:firstLine="709"/>
        <w:jc w:val="both"/>
      </w:pPr>
      <w:r w:rsidRPr="0003130E">
        <w:t xml:space="preserve">Konzultace a účast podnikatelů a výzkumníků (a dalších subjektů) byly v každém kraji organizovány různým způsobem. V některých krajích byly ustaveny oborové inovační platformy pro vybrané znalostní či hospodářské domény specializace, v jiných se v této fázi jednalo o platformy organizované tematicky, tedy např. k problematice lidských zdrojů, podnikavosti apod. </w:t>
      </w:r>
      <w:r w:rsidRPr="0003130E">
        <w:rPr>
          <w:b/>
        </w:rPr>
        <w:t>Celkově se ve 14 krajích procesu přípravy RIS3 strategií, určování priorit a návrhu opatření a intervencí, a zejména návrhu domén specializace účastnily různou formou stovky subjektů -</w:t>
      </w:r>
      <w:r w:rsidRPr="0003130E">
        <w:rPr>
          <w:b/>
          <w:i/>
        </w:rPr>
        <w:t xml:space="preserve"> </w:t>
      </w:r>
      <w:r w:rsidRPr="0003130E">
        <w:t>jak podnikatelských, tak výzkumných</w:t>
      </w:r>
      <w:r w:rsidRPr="00777B2A">
        <w:t>, ale také subjektů z neziskové sféry</w:t>
      </w:r>
      <w:r w:rsidR="00C12F89">
        <w:t>, včetně klastrových organizací,</w:t>
      </w:r>
      <w:r w:rsidRPr="00777B2A">
        <w:t xml:space="preserve"> a představitelů veřejné správy.</w:t>
      </w:r>
    </w:p>
    <w:p w14:paraId="04D6A10B" w14:textId="7D859193" w:rsidR="0003130E" w:rsidRPr="001203BD" w:rsidRDefault="0003130E" w:rsidP="000D36A3">
      <w:pPr>
        <w:spacing w:after="0" w:line="360" w:lineRule="auto"/>
        <w:ind w:firstLine="709"/>
        <w:jc w:val="both"/>
      </w:pPr>
      <w:r w:rsidRPr="001203BD">
        <w:lastRenderedPageBreak/>
        <w:t>Pro návrh vybraných domén (</w:t>
      </w:r>
      <w:r w:rsidR="006B5EEE" w:rsidRPr="001203BD">
        <w:t xml:space="preserve">viz </w:t>
      </w:r>
      <w:r w:rsidRPr="001203BD">
        <w:t xml:space="preserve">kap. </w:t>
      </w:r>
      <w:r w:rsidR="00AF345E" w:rsidRPr="001203BD">
        <w:fldChar w:fldCharType="begin"/>
      </w:r>
      <w:r w:rsidR="00AF345E" w:rsidRPr="001203BD">
        <w:instrText xml:space="preserve"> REF _Ref521663811 \r \h  \* MERGEFORMAT </w:instrText>
      </w:r>
      <w:r w:rsidR="00AF345E" w:rsidRPr="001203BD">
        <w:fldChar w:fldCharType="separate"/>
      </w:r>
      <w:r w:rsidR="00DE40D4">
        <w:t>7.1</w:t>
      </w:r>
      <w:r w:rsidR="00AF345E" w:rsidRPr="001203BD">
        <w:fldChar w:fldCharType="end"/>
      </w:r>
      <w:r w:rsidR="00AF345E" w:rsidRPr="001203BD">
        <w:t xml:space="preserve"> </w:t>
      </w:r>
      <w:r w:rsidR="00AF345E" w:rsidRPr="001203BD">
        <w:fldChar w:fldCharType="begin"/>
      </w:r>
      <w:r w:rsidR="00AF345E" w:rsidRPr="001203BD">
        <w:instrText xml:space="preserve"> REF _Ref521663811 \h  \* MERGEFORMAT </w:instrText>
      </w:r>
      <w:r w:rsidR="00AF345E" w:rsidRPr="001203BD">
        <w:fldChar w:fldCharType="separate"/>
      </w:r>
      <w:r w:rsidR="00DE40D4">
        <w:t>Oblasti inteligentní specializace</w:t>
      </w:r>
      <w:r w:rsidR="00DE40D4" w:rsidRPr="00EF4A38">
        <w:t xml:space="preserve"> v České republice</w:t>
      </w:r>
      <w:r w:rsidR="00AF345E" w:rsidRPr="001203BD">
        <w:fldChar w:fldCharType="end"/>
      </w:r>
      <w:r w:rsidR="00AF345E" w:rsidRPr="001203BD">
        <w:t xml:space="preserve"> </w:t>
      </w:r>
      <w:r w:rsidRPr="001203BD">
        <w:t>a</w:t>
      </w:r>
      <w:r w:rsidR="00162150" w:rsidRPr="001203BD">
        <w:t> </w:t>
      </w:r>
      <w:r w:rsidR="00AF345E" w:rsidRPr="001203BD">
        <w:fldChar w:fldCharType="begin"/>
      </w:r>
      <w:r w:rsidR="00AF345E" w:rsidRPr="001203BD">
        <w:instrText xml:space="preserve"> REF _Ref521491484 \r \h  \* MERGEFORMAT </w:instrText>
      </w:r>
      <w:r w:rsidR="00AF345E" w:rsidRPr="001203BD">
        <w:fldChar w:fldCharType="separate"/>
      </w:r>
      <w:r w:rsidR="00DE40D4">
        <w:t>9.2</w:t>
      </w:r>
      <w:r w:rsidR="00AF345E" w:rsidRPr="001203BD">
        <w:fldChar w:fldCharType="end"/>
      </w:r>
      <w:r w:rsidR="00162150" w:rsidRPr="001203BD">
        <w:t> </w:t>
      </w:r>
      <w:r w:rsidR="00AF345E" w:rsidRPr="001203BD">
        <w:rPr>
          <w:highlight w:val="yellow"/>
        </w:rPr>
        <w:fldChar w:fldCharType="begin"/>
      </w:r>
      <w:r w:rsidR="00AF345E" w:rsidRPr="001203BD">
        <w:rPr>
          <w:highlight w:val="yellow"/>
        </w:rPr>
        <w:instrText xml:space="preserve"> REF _Ref521491484 \h </w:instrText>
      </w:r>
      <w:r w:rsidR="00AF345E" w:rsidRPr="001203BD">
        <w:rPr>
          <w:highlight w:val="yellow"/>
        </w:rPr>
      </w:r>
      <w:r w:rsidR="00AF345E" w:rsidRPr="001203BD">
        <w:rPr>
          <w:highlight w:val="yellow"/>
        </w:rPr>
        <w:fldChar w:fldCharType="separate"/>
      </w:r>
      <w:r w:rsidR="00DE40D4" w:rsidRPr="00EF4A38">
        <w:t>Priority výzkumu, vývoje a inovací zjištěné prostřednictvím EDP v rámci Národních inovačních platforem</w:t>
      </w:r>
      <w:r w:rsidR="00AF345E" w:rsidRPr="001203BD">
        <w:rPr>
          <w:highlight w:val="yellow"/>
        </w:rPr>
        <w:fldChar w:fldCharType="end"/>
      </w:r>
      <w:r w:rsidRPr="001203BD">
        <w:t>), v nichž má ČR silný potenciál, byly zpracovány vlastní analýzy, které poskytují rámec pro přesnější zacílení intervencí. Data a analýzy byly poprvé aktualizovány k datu 31. 7. 2014.  Národní RIS3 využila EDP v krajích k doplnění, resp. specifikaci domén specializace na národní úrovni (viz</w:t>
      </w:r>
      <w:r w:rsidR="0045709E">
        <w:t> </w:t>
      </w:r>
      <w:r w:rsidRPr="001203BD">
        <w:t>kap.</w:t>
      </w:r>
      <w:r w:rsidR="00D04A1B" w:rsidRPr="001203BD">
        <w:t> </w:t>
      </w:r>
      <w:r w:rsidR="00AF345E" w:rsidRPr="001203BD">
        <w:fldChar w:fldCharType="begin"/>
      </w:r>
      <w:r w:rsidR="00AF345E" w:rsidRPr="001203BD">
        <w:instrText xml:space="preserve"> REF _Ref523144948 \r \h  \* MERGEFORMAT </w:instrText>
      </w:r>
      <w:r w:rsidR="00AF345E" w:rsidRPr="001203BD">
        <w:fldChar w:fldCharType="separate"/>
      </w:r>
      <w:r w:rsidR="00DE40D4">
        <w:t>4.2</w:t>
      </w:r>
      <w:r w:rsidR="00AF345E" w:rsidRPr="001203BD">
        <w:fldChar w:fldCharType="end"/>
      </w:r>
      <w:r w:rsidR="00162150" w:rsidRPr="001203BD">
        <w:t> </w:t>
      </w:r>
      <w:r w:rsidR="00AF345E" w:rsidRPr="001203BD">
        <w:fldChar w:fldCharType="begin"/>
      </w:r>
      <w:r w:rsidR="00AF345E" w:rsidRPr="001203BD">
        <w:instrText xml:space="preserve"> REF _Ref523144955 \h  \* MERGEFORMAT </w:instrText>
      </w:r>
      <w:r w:rsidR="00AF345E" w:rsidRPr="001203BD">
        <w:fldChar w:fldCharType="separate"/>
      </w:r>
      <w:r w:rsidR="00DE40D4" w:rsidRPr="006A19EB">
        <w:t>Specializace ČR</w:t>
      </w:r>
      <w:r w:rsidR="00AF345E" w:rsidRPr="001203BD">
        <w:fldChar w:fldCharType="end"/>
      </w:r>
      <w:r w:rsidRPr="001203BD">
        <w:t>).</w:t>
      </w:r>
    </w:p>
    <w:p w14:paraId="4D725490" w14:textId="501DE750" w:rsidR="00AD17D5" w:rsidRPr="001203BD" w:rsidRDefault="0003130E" w:rsidP="000D36A3">
      <w:pPr>
        <w:spacing w:after="0" w:line="360" w:lineRule="auto"/>
        <w:ind w:firstLine="709"/>
        <w:jc w:val="both"/>
      </w:pPr>
      <w:r w:rsidRPr="001203BD">
        <w:t xml:space="preserve">Národní RIS3 strategie byla projednána na kulatém stole podnikatelů a výzkumníků v lednu 2014. Tento kulatý stůl byl zárodkem Národních inovačních platforem. Domény specializace na národní úrovni jsou výsledkem kombinace identifikování potřeb a specializací na národní úrovni a reflexí potřeb, názorů a doporučení na úrovni krajské (dále viz kap. </w:t>
      </w:r>
      <w:r w:rsidR="006A6DD4" w:rsidRPr="001203BD">
        <w:fldChar w:fldCharType="begin"/>
      </w:r>
      <w:r w:rsidR="006A6DD4" w:rsidRPr="001203BD">
        <w:instrText xml:space="preserve"> REF _Ref523144885 \r \h  \* MERGEFORMAT </w:instrText>
      </w:r>
      <w:r w:rsidR="006A6DD4" w:rsidRPr="001203BD">
        <w:fldChar w:fldCharType="separate"/>
      </w:r>
      <w:r w:rsidR="00DE40D4">
        <w:t>7.3</w:t>
      </w:r>
      <w:r w:rsidR="006A6DD4" w:rsidRPr="001203BD">
        <w:fldChar w:fldCharType="end"/>
      </w:r>
      <w:r w:rsidR="006A6DD4" w:rsidRPr="001203BD">
        <w:t xml:space="preserve"> </w:t>
      </w:r>
      <w:r w:rsidR="006A6DD4" w:rsidRPr="001203BD">
        <w:rPr>
          <w:highlight w:val="yellow"/>
        </w:rPr>
        <w:fldChar w:fldCharType="begin"/>
      </w:r>
      <w:r w:rsidR="006A6DD4" w:rsidRPr="001203BD">
        <w:instrText xml:space="preserve"> REF _Ref523144911 \h </w:instrText>
      </w:r>
      <w:r w:rsidR="006A6DD4" w:rsidRPr="001203BD">
        <w:rPr>
          <w:highlight w:val="yellow"/>
        </w:rPr>
      </w:r>
      <w:r w:rsidR="006A6DD4" w:rsidRPr="001203BD">
        <w:rPr>
          <w:highlight w:val="yellow"/>
        </w:rPr>
        <w:fldChar w:fldCharType="separate"/>
      </w:r>
      <w:r w:rsidR="00DE40D4" w:rsidRPr="00EF4A38">
        <w:t>Implementační struktury Národní RIS3 strategie včetně krajské úrovně</w:t>
      </w:r>
      <w:r w:rsidR="006A6DD4" w:rsidRPr="001203BD">
        <w:rPr>
          <w:highlight w:val="yellow"/>
        </w:rPr>
        <w:fldChar w:fldCharType="end"/>
      </w:r>
      <w:r w:rsidRPr="001203BD">
        <w:t xml:space="preserve">). </w:t>
      </w:r>
      <w:r w:rsidR="00033DAC" w:rsidRPr="001203BD">
        <w:br w:type="page"/>
      </w:r>
    </w:p>
    <w:p w14:paraId="3622FB85" w14:textId="50AD63C1" w:rsidR="00AD17D5" w:rsidRPr="005C2F38" w:rsidRDefault="00AD17D5" w:rsidP="005C2F38">
      <w:pPr>
        <w:pStyle w:val="Nadpis1"/>
      </w:pPr>
      <w:bookmarkStart w:id="7" w:name="_Toc525716163"/>
      <w:r w:rsidRPr="005C2F38">
        <w:lastRenderedPageBreak/>
        <w:t>Východiska strategie inteligentní specializace v ČR</w:t>
      </w:r>
      <w:bookmarkEnd w:id="7"/>
    </w:p>
    <w:p w14:paraId="7717E3AC" w14:textId="2D4E811C" w:rsidR="00AD17D5" w:rsidRPr="005C2F38" w:rsidRDefault="00AD17D5" w:rsidP="005C2F38">
      <w:pPr>
        <w:pStyle w:val="Nadpis2"/>
      </w:pPr>
      <w:bookmarkStart w:id="8" w:name="_Toc525716164"/>
      <w:r w:rsidRPr="005C2F38">
        <w:t>Východiska pro hodnocení konkurenceschopnosti</w:t>
      </w:r>
      <w:bookmarkEnd w:id="8"/>
    </w:p>
    <w:p w14:paraId="6A862CD3" w14:textId="7D0CD09C" w:rsidR="00C146E9" w:rsidRPr="00BA4F8E" w:rsidRDefault="00C146E9" w:rsidP="006D58C5">
      <w:pPr>
        <w:spacing w:before="240" w:after="0" w:line="360" w:lineRule="auto"/>
        <w:ind w:firstLine="709"/>
        <w:jc w:val="both"/>
        <w:rPr>
          <w:rFonts w:cs="Arial"/>
        </w:rPr>
      </w:pPr>
      <w:r w:rsidRPr="00BA4F8E">
        <w:rPr>
          <w:rFonts w:cs="Arial"/>
        </w:rPr>
        <w:t>Česká ekonomika rozvinula svou pozici kvalitní výrobní základy pro společný evropský trh v prostoru mezi nákladově dražšími zeměmi západní Evropy a současně nákladově konkurenceschopnějšími zeměmi ve střední a východní Evropě a v rozvíjejících se ekonomikách. V období mezi roky 2002–2008 ČR udržovala i</w:t>
      </w:r>
      <w:r w:rsidR="00E939F3" w:rsidRPr="00BA4F8E">
        <w:rPr>
          <w:rFonts w:cs="Arial"/>
        </w:rPr>
        <w:t> </w:t>
      </w:r>
      <w:r w:rsidRPr="00BA4F8E">
        <w:rPr>
          <w:rFonts w:cs="Arial"/>
        </w:rPr>
        <w:t>přes pokračující restrukturalizaci vysokou zaměstnanost v průmyslu, která byla podporována především PZI výrobního typu (podobně jako Polsko, Slovensko a</w:t>
      </w:r>
      <w:r w:rsidR="007B21BA" w:rsidRPr="00BA4F8E">
        <w:rPr>
          <w:rFonts w:cs="Arial"/>
        </w:rPr>
        <w:t> </w:t>
      </w:r>
      <w:r w:rsidRPr="00BA4F8E">
        <w:rPr>
          <w:rFonts w:cs="Arial"/>
        </w:rPr>
        <w:t xml:space="preserve">Maďarsko). Tato průmyslová specializace v rámci Evropy byla hlavním zdrojem vysokého ekonomického růstu země v tomto období. Prostor mezi levnějšími zeměmi </w:t>
      </w:r>
      <w:r w:rsidR="005B04D5">
        <w:rPr>
          <w:rFonts w:cs="Arial"/>
        </w:rPr>
        <w:t xml:space="preserve">s nižší kvalitou produkce </w:t>
      </w:r>
      <w:r w:rsidRPr="00BA4F8E">
        <w:rPr>
          <w:rFonts w:cs="Arial"/>
        </w:rPr>
        <w:t>a</w:t>
      </w:r>
      <w:r w:rsidR="007B21BA" w:rsidRPr="00BA4F8E">
        <w:rPr>
          <w:rFonts w:cs="Arial"/>
        </w:rPr>
        <w:t> </w:t>
      </w:r>
      <w:r w:rsidRPr="00BA4F8E">
        <w:rPr>
          <w:rFonts w:cs="Arial"/>
        </w:rPr>
        <w:t>nákladově dražšími státy, který vyplňuje ČR, se ale začíná zužovat s tím, jak rostou ceny vstupů v ČR a zároveň se zlepšuje poměr mezi kvalitou a výrobními náklady v ostatních zemích východní Evropy a</w:t>
      </w:r>
      <w:r w:rsidR="007B21BA" w:rsidRPr="00BA4F8E">
        <w:rPr>
          <w:rFonts w:cs="Arial"/>
        </w:rPr>
        <w:t> </w:t>
      </w:r>
      <w:r w:rsidRPr="00BA4F8E">
        <w:rPr>
          <w:rFonts w:cs="Arial"/>
        </w:rPr>
        <w:t>Asie.</w:t>
      </w:r>
    </w:p>
    <w:p w14:paraId="387297DC" w14:textId="77777777" w:rsidR="00C146E9" w:rsidRPr="00BA4F8E" w:rsidRDefault="00C146E9" w:rsidP="006D58C5">
      <w:pPr>
        <w:spacing w:after="0" w:line="360" w:lineRule="auto"/>
        <w:ind w:firstLine="709"/>
        <w:jc w:val="both"/>
        <w:rPr>
          <w:rFonts w:cs="Arial"/>
        </w:rPr>
      </w:pPr>
      <w:r w:rsidRPr="00BA4F8E">
        <w:rPr>
          <w:rFonts w:cs="Arial"/>
        </w:rPr>
        <w:t>Zásadním východiskem výše popsaného vývoje české ekonomiky je měnící se charakter organizace světové ekonomiky. Ta je stále více propojena nejen prostřednictvím mezinárodního obchodu, ale také prostřednictvím globálních produkčních sítí</w:t>
      </w:r>
      <w:r w:rsidRPr="00BA4F8E">
        <w:rPr>
          <w:rStyle w:val="Znakapoznpodarou"/>
          <w:rFonts w:cs="Arial"/>
        </w:rPr>
        <w:footnoteReference w:id="7"/>
      </w:r>
      <w:r w:rsidRPr="00BA4F8E">
        <w:rPr>
          <w:rFonts w:cs="Arial"/>
        </w:rPr>
        <w:t xml:space="preserve">. Tyto sítě jsou uspořádány tak, aby pokud možno s rostoucí efektivitou byly schopny obsluhovat stále se měnící celosvětovou spotřební poptávku. </w:t>
      </w:r>
    </w:p>
    <w:p w14:paraId="1F389A68" w14:textId="77777777" w:rsidR="00C146E9" w:rsidRPr="00BA4F8E" w:rsidRDefault="00C146E9" w:rsidP="006D58C5">
      <w:pPr>
        <w:spacing w:after="0" w:line="360" w:lineRule="auto"/>
        <w:ind w:firstLine="709"/>
        <w:jc w:val="both"/>
        <w:rPr>
          <w:rFonts w:cs="Arial"/>
        </w:rPr>
      </w:pPr>
      <w:r w:rsidRPr="00BA4F8E">
        <w:rPr>
          <w:rFonts w:cs="Arial"/>
        </w:rPr>
        <w:t>V období před ekonomickou krizí po roce 2008 se projevoval efekt, kdy zaměstnanost ve velkých průmyslových podnicích ovládaných zahraničními vlastníky, kteří využívali nejlepší dostupnou pracovní sílu, zúžila prostor pro tvorbu nových na znalostech založených vysoce růstových českých firem. V současné době, po odeznění dopadů ekonomické krize se jeví, že sektor malých a středních podniků je v ČR silný a rostoucí (zaměstnává cca 70% pracovní síly).</w:t>
      </w:r>
    </w:p>
    <w:p w14:paraId="1D0BB1ED" w14:textId="6779A562" w:rsidR="003F15C6" w:rsidRPr="00BA4F8E" w:rsidRDefault="003F15C6" w:rsidP="006D58C5">
      <w:pPr>
        <w:spacing w:after="0" w:line="360" w:lineRule="auto"/>
        <w:ind w:firstLine="709"/>
        <w:jc w:val="both"/>
        <w:rPr>
          <w:rFonts w:cs="Arial"/>
        </w:rPr>
      </w:pPr>
      <w:r w:rsidRPr="00BA4F8E">
        <w:rPr>
          <w:rFonts w:cs="Arial"/>
        </w:rPr>
        <w:t>Česká republika v hodnocení konkurenceschopnosti (dle The Global Competitiveness Report 2017–2018) mírně zlepšila svou pozici a nachází se na 31</w:t>
      </w:r>
      <w:r w:rsidR="005E35C0">
        <w:rPr>
          <w:rFonts w:cs="Arial"/>
        </w:rPr>
        <w:t xml:space="preserve"> pozici ze 137 hodnocených zemí a zároveň také došlo ke zlepšení DTF score.</w:t>
      </w:r>
      <w:r w:rsidRPr="00BA4F8E">
        <w:rPr>
          <w:rFonts w:cs="Arial"/>
        </w:rPr>
        <w:t xml:space="preserve"> Mezi oblasti, ve kterých ČR nemá zásadní problémy a převyšuje další srovnatelné státy, patří všeobecné makroekonomické prostředí, vývoj na finančním trhu. Srovnatelnou pozici si pak drží v sociální oblasti, zdravotnictví, vzdělávání. V oblasti inovací se ČR nachází za průměrem evropských i severoamerických států. Jako zásadní se však jeví, že stále ČR zaostává v některých oblastech základních předpokladů pro zvyšování konkurenceschopnosti, a těmi jsou kvalita institucí a infrastruktura. Vysoké břímě vládní regulace a nízká účinnost právního rámce snižují </w:t>
      </w:r>
      <w:r w:rsidRPr="00BA4F8E">
        <w:rPr>
          <w:rFonts w:cs="Arial"/>
        </w:rPr>
        <w:lastRenderedPageBreak/>
        <w:t xml:space="preserve">efektivitu vládního sektoru. Dlouhodobě špatnou pozici pak má ČR v oblasti kvality dopravní infrastruktury. </w:t>
      </w:r>
    </w:p>
    <w:p w14:paraId="59884632" w14:textId="758FB3F5" w:rsidR="00C146E9" w:rsidRPr="00C417B3" w:rsidRDefault="00DA00C6" w:rsidP="00991E14">
      <w:pPr>
        <w:spacing w:line="360" w:lineRule="auto"/>
        <w:ind w:firstLine="709"/>
        <w:jc w:val="both"/>
        <w:rPr>
          <w:noProof/>
        </w:rPr>
      </w:pPr>
      <w:r w:rsidRPr="00BA4F8E">
        <w:rPr>
          <w:rFonts w:cs="Arial"/>
        </w:rPr>
        <w:t xml:space="preserve">Kvalita podnikatelského prostředí je klíčovým předpokladem pro rozvoj konkurenceschopnosti. </w:t>
      </w:r>
      <w:r w:rsidR="00C146E9" w:rsidRPr="00BA4F8E">
        <w:rPr>
          <w:rFonts w:cs="Arial"/>
        </w:rPr>
        <w:t>Česká republika v kategorii koeficientu EDF (Ease of doing business)</w:t>
      </w:r>
      <w:r w:rsidR="0058626C" w:rsidRPr="00BA4F8E">
        <w:rPr>
          <w:rStyle w:val="Znakapoznpodarou"/>
          <w:rFonts w:cs="Arial"/>
        </w:rPr>
        <w:footnoteReference w:id="8"/>
      </w:r>
      <w:r w:rsidR="00C146E9" w:rsidRPr="00BA4F8E">
        <w:rPr>
          <w:rFonts w:cs="Arial"/>
        </w:rPr>
        <w:t xml:space="preserve"> vykazuje rostoucí tendenci po propadu mezi roky 2006–2013 v porovnání s ostatními zeměmi ve střední Evropě. </w:t>
      </w:r>
      <w:r w:rsidR="007A5B52" w:rsidRPr="00C417B3">
        <w:rPr>
          <w:rFonts w:cs="Arial"/>
          <w:highlight w:val="yellow"/>
        </w:rPr>
        <w:fldChar w:fldCharType="begin"/>
      </w:r>
      <w:r w:rsidR="007A5B52" w:rsidRPr="00C417B3">
        <w:rPr>
          <w:rFonts w:cs="Arial"/>
        </w:rPr>
        <w:instrText xml:space="preserve"> REF _Ref521313050 \h </w:instrText>
      </w:r>
      <w:r w:rsidR="00BA4F8E" w:rsidRPr="00C417B3">
        <w:rPr>
          <w:rFonts w:cs="Arial"/>
          <w:highlight w:val="yellow"/>
        </w:rPr>
        <w:instrText xml:space="preserve"> \* MERGEFORMAT </w:instrText>
      </w:r>
      <w:r w:rsidR="007A5B52" w:rsidRPr="00C417B3">
        <w:rPr>
          <w:rFonts w:cs="Arial"/>
          <w:highlight w:val="yellow"/>
        </w:rPr>
      </w:r>
      <w:r w:rsidR="007A5B52" w:rsidRPr="00C417B3">
        <w:rPr>
          <w:rFonts w:cs="Arial"/>
          <w:highlight w:val="yellow"/>
        </w:rPr>
        <w:fldChar w:fldCharType="separate"/>
      </w:r>
      <w:r w:rsidR="00DE40D4" w:rsidRPr="00BA4F8E">
        <w:t xml:space="preserve">Graf </w:t>
      </w:r>
      <w:r w:rsidR="00DE40D4">
        <w:rPr>
          <w:noProof/>
        </w:rPr>
        <w:t>1</w:t>
      </w:r>
      <w:r w:rsidR="007A5B52" w:rsidRPr="00C417B3">
        <w:rPr>
          <w:rFonts w:cs="Arial"/>
          <w:highlight w:val="yellow"/>
        </w:rPr>
        <w:fldChar w:fldCharType="end"/>
      </w:r>
      <w:r w:rsidR="00D115C1">
        <w:rPr>
          <w:rFonts w:cs="Arial"/>
        </w:rPr>
        <w:t xml:space="preserve"> </w:t>
      </w:r>
      <w:r w:rsidR="00C146E9" w:rsidRPr="00BA4F8E">
        <w:rPr>
          <w:rFonts w:cs="Arial"/>
        </w:rPr>
        <w:t>ukazuje jednotlivá kritéria,</w:t>
      </w:r>
      <w:r w:rsidR="008A7938" w:rsidRPr="00BA4F8E">
        <w:rPr>
          <w:rFonts w:cs="Arial"/>
        </w:rPr>
        <w:t xml:space="preserve"> která studie Doing Business hodnotí,</w:t>
      </w:r>
      <w:r w:rsidR="00C146E9" w:rsidRPr="00BA4F8E">
        <w:rPr>
          <w:rFonts w:cs="Arial"/>
        </w:rPr>
        <w:t xml:space="preserve"> jako je založení firmy, získání elektrické přípojky, registrace majetku, dostupnost úvěru, apod., což v</w:t>
      </w:r>
      <w:r w:rsidR="0079514A" w:rsidRPr="00BA4F8E">
        <w:rPr>
          <w:rFonts w:cs="Arial"/>
        </w:rPr>
        <w:t> </w:t>
      </w:r>
      <w:r w:rsidR="00C146E9" w:rsidRPr="00BA4F8E">
        <w:rPr>
          <w:rFonts w:cs="Arial"/>
        </w:rPr>
        <w:t>případě České republiky je v</w:t>
      </w:r>
      <w:r w:rsidR="00326FBC" w:rsidRPr="00BA4F8E">
        <w:rPr>
          <w:rFonts w:cs="Arial"/>
        </w:rPr>
        <w:t> </w:t>
      </w:r>
      <w:r w:rsidR="00C146E9" w:rsidRPr="00BA4F8E">
        <w:rPr>
          <w:rFonts w:cs="Arial"/>
        </w:rPr>
        <w:t>zásadě srovnatelné s okolními zeměmi (např.</w:t>
      </w:r>
      <w:r w:rsidR="00E939F3" w:rsidRPr="00BA4F8E">
        <w:rPr>
          <w:rFonts w:cs="Arial"/>
        </w:rPr>
        <w:t> </w:t>
      </w:r>
      <w:r w:rsidR="00C146E9" w:rsidRPr="00BA4F8E">
        <w:rPr>
          <w:rFonts w:cs="Arial"/>
        </w:rPr>
        <w:t>Německa, Polska, Maďarska a Itálie). V jednotlivých dílčích parametrech ČR tyto země předstihuje, v</w:t>
      </w:r>
      <w:r w:rsidR="00E939F3" w:rsidRPr="00BA4F8E">
        <w:rPr>
          <w:rFonts w:cs="Arial"/>
        </w:rPr>
        <w:t> </w:t>
      </w:r>
      <w:r w:rsidR="00C146E9" w:rsidRPr="00BA4F8E">
        <w:rPr>
          <w:rFonts w:cs="Arial"/>
        </w:rPr>
        <w:t xml:space="preserve">jiných je tomu naopak. </w:t>
      </w:r>
      <w:r w:rsidR="0074683B" w:rsidRPr="00BA4F8E">
        <w:rPr>
          <w:rFonts w:cs="Arial"/>
        </w:rPr>
        <w:t>Rovněž ze studie Doing Business jsou patrné nedostatky v oblastech infrastruktury a</w:t>
      </w:r>
      <w:r w:rsidR="00E939F3" w:rsidRPr="00BA4F8E">
        <w:rPr>
          <w:rFonts w:cs="Arial"/>
        </w:rPr>
        <w:t> </w:t>
      </w:r>
      <w:r w:rsidR="0074683B" w:rsidRPr="00BA4F8E">
        <w:rPr>
          <w:rFonts w:cs="Arial"/>
        </w:rPr>
        <w:t xml:space="preserve">institucí, viz např. </w:t>
      </w:r>
      <w:r w:rsidR="00C146E9" w:rsidRPr="00BA4F8E">
        <w:rPr>
          <w:rFonts w:cs="Arial"/>
        </w:rPr>
        <w:t>výraznější zaostávání v</w:t>
      </w:r>
      <w:r w:rsidR="00326FBC" w:rsidRPr="00BA4F8E">
        <w:rPr>
          <w:rFonts w:cs="Arial"/>
        </w:rPr>
        <w:t> </w:t>
      </w:r>
      <w:r w:rsidR="00C146E9" w:rsidRPr="00BA4F8E">
        <w:rPr>
          <w:rFonts w:cs="Arial"/>
        </w:rPr>
        <w:t xml:space="preserve">kritériu získávání stavebních povolení. </w:t>
      </w:r>
      <w:r w:rsidR="00C146E9" w:rsidRPr="00217377">
        <w:rPr>
          <w:rFonts w:cs="Arial"/>
        </w:rPr>
        <w:t>Z</w:t>
      </w:r>
      <w:r w:rsidR="00991E14">
        <w:rPr>
          <w:rFonts w:cs="Arial"/>
        </w:rPr>
        <w:t xml:space="preserve"> Grafu 2 </w:t>
      </w:r>
      <w:r w:rsidR="00C146E9" w:rsidRPr="00BE1158">
        <w:rPr>
          <w:rFonts w:cs="Arial"/>
        </w:rPr>
        <w:t>je</w:t>
      </w:r>
      <w:r w:rsidR="00C146E9" w:rsidRPr="00BA4F8E">
        <w:rPr>
          <w:rFonts w:cs="Arial"/>
        </w:rPr>
        <w:t xml:space="preserve"> dále zřejmé, že pro ČR je žádoucí zkvalitnit legislativu v oblasti ochrany menšinových investorů a lepší vymahatelnosti smluv. Za nejvíce problematické jsou respondenty vnímány zejména otázky daňové, vysoká míra byrokracie a</w:t>
      </w:r>
      <w:r w:rsidR="00E939F3" w:rsidRPr="00BA4F8E">
        <w:rPr>
          <w:rFonts w:cs="Arial"/>
        </w:rPr>
        <w:t> </w:t>
      </w:r>
      <w:r w:rsidR="00C146E9" w:rsidRPr="00BA4F8E">
        <w:rPr>
          <w:rFonts w:cs="Arial"/>
        </w:rPr>
        <w:t>politická nestabilita (</w:t>
      </w:r>
      <w:r w:rsidR="001528AF" w:rsidRPr="00BA4F8E">
        <w:rPr>
          <w:rFonts w:cs="Arial"/>
        </w:rPr>
        <w:t>viz</w:t>
      </w:r>
      <w:r w:rsidR="00326FBC" w:rsidRPr="00FF6774">
        <w:rPr>
          <w:rFonts w:cs="Arial"/>
        </w:rPr>
        <w:t> </w:t>
      </w:r>
      <w:r w:rsidR="00FB6AE9" w:rsidRPr="00FB6AE9">
        <w:rPr>
          <w:rFonts w:cs="Arial"/>
          <w:highlight w:val="yellow"/>
        </w:rPr>
        <w:fldChar w:fldCharType="begin"/>
      </w:r>
      <w:r w:rsidR="00FB6AE9" w:rsidRPr="00FB6AE9">
        <w:rPr>
          <w:rFonts w:cs="Arial"/>
        </w:rPr>
        <w:instrText xml:space="preserve"> REF _Ref523305882 \h </w:instrText>
      </w:r>
      <w:r w:rsidR="00D16DB7">
        <w:rPr>
          <w:rFonts w:cs="Arial"/>
          <w:highlight w:val="yellow"/>
        </w:rPr>
        <w:instrText xml:space="preserve"> \* MERGEFORMAT </w:instrText>
      </w:r>
      <w:r w:rsidR="00FB6AE9" w:rsidRPr="00FB6AE9">
        <w:rPr>
          <w:rFonts w:cs="Arial"/>
          <w:highlight w:val="yellow"/>
        </w:rPr>
      </w:r>
      <w:r w:rsidR="00FB6AE9" w:rsidRPr="00FB6AE9">
        <w:rPr>
          <w:rFonts w:cs="Arial"/>
          <w:highlight w:val="yellow"/>
        </w:rPr>
        <w:fldChar w:fldCharType="separate"/>
      </w:r>
      <w:r w:rsidR="00DE40D4">
        <w:t xml:space="preserve">Graf </w:t>
      </w:r>
      <w:r w:rsidR="00DE40D4">
        <w:rPr>
          <w:noProof/>
        </w:rPr>
        <w:t>3</w:t>
      </w:r>
      <w:r w:rsidR="00FB6AE9" w:rsidRPr="00FB6AE9">
        <w:rPr>
          <w:rFonts w:cs="Arial"/>
          <w:highlight w:val="yellow"/>
        </w:rPr>
        <w:fldChar w:fldCharType="end"/>
      </w:r>
      <w:r w:rsidR="00C146E9" w:rsidRPr="00FB6AE9">
        <w:rPr>
          <w:rFonts w:cs="Arial"/>
        </w:rPr>
        <w:t>)</w:t>
      </w:r>
      <w:r w:rsidR="00C146E9" w:rsidRPr="00BA4F8E">
        <w:rPr>
          <w:rFonts w:cs="Arial"/>
        </w:rPr>
        <w:t>. Mezinárodní žebříčky sledující konkurenceschopnost a podnikatelské prostředí potvrzují, že ČR v</w:t>
      </w:r>
      <w:r w:rsidR="00217D5C">
        <w:rPr>
          <w:rFonts w:cs="Arial"/>
        </w:rPr>
        <w:t> </w:t>
      </w:r>
      <w:r w:rsidR="00C146E9" w:rsidRPr="00BA4F8E">
        <w:rPr>
          <w:rFonts w:cs="Arial"/>
        </w:rPr>
        <w:t>období souvisejícím s ekonomickou krizí ztrácela v porovnání se svými hlavními konkurenty ve středoevropském prostoru, zatímco nyní se klíčové ukazatele zlepšují</w:t>
      </w:r>
      <w:r w:rsidR="00AC5319" w:rsidRPr="00BA4F8E">
        <w:rPr>
          <w:rFonts w:cs="Arial"/>
        </w:rPr>
        <w:t>.</w:t>
      </w:r>
      <w:r w:rsidR="00C146E9" w:rsidRPr="00BA4F8E">
        <w:rPr>
          <w:rFonts w:cs="Arial"/>
        </w:rPr>
        <w:t xml:space="preserve"> </w:t>
      </w:r>
    </w:p>
    <w:p w14:paraId="5BF9D1C4" w14:textId="77777777" w:rsidR="00D629A3" w:rsidRPr="00BA4F8E" w:rsidRDefault="00D629A3" w:rsidP="009E308F">
      <w:pPr>
        <w:spacing w:line="360" w:lineRule="auto"/>
        <w:ind w:firstLine="709"/>
        <w:jc w:val="both"/>
        <w:rPr>
          <w:rFonts w:cs="Arial"/>
        </w:rPr>
      </w:pPr>
    </w:p>
    <w:p w14:paraId="19F131BC" w14:textId="70202AB6" w:rsidR="00E766E1" w:rsidRPr="00BA4F8E" w:rsidRDefault="00831559" w:rsidP="00580DE3">
      <w:pPr>
        <w:pStyle w:val="Titulek"/>
      </w:pPr>
      <w:bookmarkStart w:id="9" w:name="_Ref521313050"/>
      <w:bookmarkStart w:id="10" w:name="_Toc525716303"/>
      <w:r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1</w:t>
      </w:r>
      <w:r w:rsidR="00EE7C52">
        <w:rPr>
          <w:noProof/>
        </w:rPr>
        <w:fldChar w:fldCharType="end"/>
      </w:r>
      <w:bookmarkEnd w:id="9"/>
      <w:r w:rsidR="004537D6" w:rsidRPr="00BA4F8E">
        <w:t xml:space="preserve"> – </w:t>
      </w:r>
      <w:r w:rsidR="00E766E1" w:rsidRPr="00BA4F8E">
        <w:t xml:space="preserve">Pořadí ČR v kvalitě podmínek pro podnikání (2018 pořadí ČR ze 190 zemí, 2013 </w:t>
      </w:r>
      <w:r w:rsidR="00CD017B" w:rsidRPr="00BA4F8E">
        <w:t xml:space="preserve">pořadí </w:t>
      </w:r>
      <w:r w:rsidR="00E766E1" w:rsidRPr="00BA4F8E">
        <w:t>ze 185 zemí)</w:t>
      </w:r>
      <w:bookmarkEnd w:id="10"/>
      <w:r w:rsidR="00E766E1" w:rsidRPr="00BA4F8E">
        <w:t xml:space="preserve"> </w:t>
      </w:r>
    </w:p>
    <w:p w14:paraId="550DB17E" w14:textId="77777777" w:rsidR="00E766E1" w:rsidRPr="00BA4F8E" w:rsidRDefault="00E766E1" w:rsidP="009E308F">
      <w:pPr>
        <w:spacing w:line="360" w:lineRule="auto"/>
        <w:jc w:val="center"/>
        <w:rPr>
          <w:rFonts w:cs="Arial"/>
        </w:rPr>
      </w:pPr>
      <w:r w:rsidRPr="00BA4F8E">
        <w:rPr>
          <w:rFonts w:cs="Arial"/>
          <w:noProof/>
          <w:lang w:eastAsia="cs-CZ"/>
        </w:rPr>
        <w:drawing>
          <wp:inline distT="0" distB="0" distL="0" distR="0" wp14:anchorId="5FFE2DEA" wp14:editId="006EF801">
            <wp:extent cx="4700905" cy="2949969"/>
            <wp:effectExtent l="0" t="0" r="4445" b="317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50148" cy="3043624"/>
                    </a:xfrm>
                    <a:prstGeom prst="rect">
                      <a:avLst/>
                    </a:prstGeom>
                    <a:noFill/>
                    <a:ln>
                      <a:noFill/>
                    </a:ln>
                  </pic:spPr>
                </pic:pic>
              </a:graphicData>
            </a:graphic>
          </wp:inline>
        </w:drawing>
      </w:r>
    </w:p>
    <w:p w14:paraId="095F1175" w14:textId="31B5D3B0" w:rsidR="00E766E1" w:rsidRPr="00505C03" w:rsidRDefault="00E766E1" w:rsidP="00505C03">
      <w:pPr>
        <w:spacing w:line="360" w:lineRule="auto"/>
        <w:rPr>
          <w:rFonts w:cs="Arial"/>
          <w:i/>
          <w:sz w:val="18"/>
          <w:szCs w:val="18"/>
        </w:rPr>
      </w:pPr>
      <w:r w:rsidRPr="00505C03">
        <w:rPr>
          <w:rFonts w:cs="Arial"/>
          <w:i/>
          <w:sz w:val="18"/>
          <w:szCs w:val="18"/>
        </w:rPr>
        <w:t xml:space="preserve">Zdroj: </w:t>
      </w:r>
      <w:r w:rsidR="00BC0A21" w:rsidRPr="00505C03">
        <w:rPr>
          <w:rFonts w:cs="Arial"/>
          <w:i/>
          <w:sz w:val="18"/>
          <w:szCs w:val="18"/>
        </w:rPr>
        <w:t>Svět</w:t>
      </w:r>
      <w:r w:rsidR="00774810" w:rsidRPr="00505C03">
        <w:rPr>
          <w:rFonts w:cs="Arial"/>
          <w:i/>
          <w:sz w:val="18"/>
          <w:szCs w:val="18"/>
        </w:rPr>
        <w:t xml:space="preserve">ová banka, </w:t>
      </w:r>
      <w:r w:rsidRPr="00505C03">
        <w:rPr>
          <w:rFonts w:cs="Arial"/>
          <w:i/>
          <w:sz w:val="18"/>
          <w:szCs w:val="18"/>
        </w:rPr>
        <w:t>Doing Business</w:t>
      </w:r>
      <w:r w:rsidR="00774810" w:rsidRPr="00505C03">
        <w:rPr>
          <w:rFonts w:cs="Arial"/>
          <w:i/>
          <w:sz w:val="18"/>
          <w:szCs w:val="18"/>
        </w:rPr>
        <w:t>, Data 2018, 2013</w:t>
      </w:r>
      <w:r w:rsidR="00D743E0" w:rsidRPr="00505C03">
        <w:rPr>
          <w:rFonts w:cs="Arial"/>
          <w:i/>
          <w:sz w:val="18"/>
          <w:szCs w:val="18"/>
        </w:rPr>
        <w:t>; vlastní zpracování</w:t>
      </w:r>
    </w:p>
    <w:p w14:paraId="2D66083E" w14:textId="4CB61B58" w:rsidR="00E766E1" w:rsidRPr="00BA4F8E" w:rsidRDefault="007A5B52" w:rsidP="00580DE3">
      <w:pPr>
        <w:pStyle w:val="Titulek"/>
      </w:pPr>
      <w:bookmarkStart w:id="11" w:name="_Ref521313076"/>
      <w:bookmarkStart w:id="12" w:name="_Toc525716304"/>
      <w:r w:rsidRPr="00BA4F8E">
        <w:lastRenderedPageBreak/>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2</w:t>
      </w:r>
      <w:r w:rsidR="00EE7C52">
        <w:rPr>
          <w:noProof/>
        </w:rPr>
        <w:fldChar w:fldCharType="end"/>
      </w:r>
      <w:bookmarkEnd w:id="11"/>
      <w:r w:rsidRPr="00BA4F8E">
        <w:t xml:space="preserve"> </w:t>
      </w:r>
      <w:r w:rsidR="00BA4A8F" w:rsidRPr="00BA4F8E">
        <w:t xml:space="preserve">- </w:t>
      </w:r>
      <w:r w:rsidR="00E766E1" w:rsidRPr="00BA4F8E">
        <w:t>Dosažená úroveň ČR v kvalitě podmínek pro podnikání (Žádoucí ú</w:t>
      </w:r>
      <w:r w:rsidR="00061BC7" w:rsidRPr="00BA4F8E">
        <w:t>roveň=100</w:t>
      </w:r>
      <w:r w:rsidR="00E766E1" w:rsidRPr="00BA4F8E">
        <w:t>)</w:t>
      </w:r>
      <w:bookmarkEnd w:id="12"/>
      <w:r w:rsidR="00E766E1" w:rsidRPr="00BA4F8E">
        <w:t xml:space="preserve"> </w:t>
      </w:r>
    </w:p>
    <w:p w14:paraId="295FDBC0" w14:textId="77777777" w:rsidR="00505C03" w:rsidRDefault="00E766E1" w:rsidP="00505C03">
      <w:pPr>
        <w:spacing w:line="360" w:lineRule="auto"/>
        <w:jc w:val="center"/>
        <w:rPr>
          <w:rFonts w:cs="Arial"/>
        </w:rPr>
      </w:pPr>
      <w:r w:rsidRPr="00BA4F8E">
        <w:rPr>
          <w:rFonts w:cs="Arial"/>
          <w:noProof/>
          <w:lang w:eastAsia="cs-CZ"/>
        </w:rPr>
        <w:drawing>
          <wp:inline distT="0" distB="0" distL="0" distR="0" wp14:anchorId="35CD3772" wp14:editId="048DCC96">
            <wp:extent cx="5258251" cy="2501661"/>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5144" cy="2504941"/>
                    </a:xfrm>
                    <a:prstGeom prst="rect">
                      <a:avLst/>
                    </a:prstGeom>
                    <a:noFill/>
                    <a:ln>
                      <a:noFill/>
                    </a:ln>
                  </pic:spPr>
                </pic:pic>
              </a:graphicData>
            </a:graphic>
          </wp:inline>
        </w:drawing>
      </w:r>
    </w:p>
    <w:p w14:paraId="2BA4C76B" w14:textId="5D7E2AD7" w:rsidR="00E766E1" w:rsidRPr="00505C03" w:rsidRDefault="00E766E1" w:rsidP="00505C03">
      <w:pPr>
        <w:spacing w:line="360" w:lineRule="auto"/>
        <w:rPr>
          <w:rFonts w:cs="Arial"/>
        </w:rPr>
      </w:pPr>
      <w:r w:rsidRPr="00505C03">
        <w:rPr>
          <w:rFonts w:cs="Arial"/>
          <w:i/>
          <w:sz w:val="18"/>
          <w:szCs w:val="18"/>
        </w:rPr>
        <w:t>Zdroj:</w:t>
      </w:r>
      <w:r w:rsidR="00CD017B" w:rsidRPr="00505C03">
        <w:rPr>
          <w:rFonts w:cs="Arial"/>
          <w:i/>
          <w:sz w:val="18"/>
          <w:szCs w:val="18"/>
        </w:rPr>
        <w:t xml:space="preserve"> </w:t>
      </w:r>
      <w:r w:rsidR="00495C8A" w:rsidRPr="00505C03">
        <w:rPr>
          <w:rFonts w:cs="Arial"/>
          <w:i/>
          <w:sz w:val="18"/>
          <w:szCs w:val="18"/>
        </w:rPr>
        <w:t xml:space="preserve">Světová banka, </w:t>
      </w:r>
      <w:r w:rsidR="00CD017B" w:rsidRPr="00505C03">
        <w:rPr>
          <w:rFonts w:cs="Arial"/>
          <w:i/>
          <w:sz w:val="18"/>
          <w:szCs w:val="18"/>
        </w:rPr>
        <w:t>Doing Business 2018</w:t>
      </w:r>
      <w:r w:rsidR="00D743E0" w:rsidRPr="00505C03">
        <w:rPr>
          <w:rFonts w:cs="Arial"/>
          <w:i/>
          <w:sz w:val="18"/>
          <w:szCs w:val="18"/>
        </w:rPr>
        <w:t>; vlastní zpracování</w:t>
      </w:r>
    </w:p>
    <w:p w14:paraId="6B83114F" w14:textId="77777777" w:rsidR="00D629A3" w:rsidRPr="00BA4F8E" w:rsidRDefault="00D629A3" w:rsidP="009E308F">
      <w:pPr>
        <w:spacing w:line="360" w:lineRule="auto"/>
        <w:rPr>
          <w:rFonts w:cs="Arial"/>
          <w:i/>
        </w:rPr>
      </w:pPr>
    </w:p>
    <w:p w14:paraId="1E3C01CE" w14:textId="62C6EB79" w:rsidR="00BA61EB" w:rsidRPr="00BA4F8E" w:rsidRDefault="00FB6AE9" w:rsidP="00FB6AE9">
      <w:pPr>
        <w:pStyle w:val="Titulek"/>
        <w:rPr>
          <w:snapToGrid w:val="0"/>
          <w:color w:val="000000"/>
        </w:rPr>
      </w:pPr>
      <w:bookmarkStart w:id="13" w:name="_Ref523305882"/>
      <w:bookmarkStart w:id="14" w:name="_Toc525716305"/>
      <w:r>
        <w:t xml:space="preserve">Graf </w:t>
      </w:r>
      <w:r w:rsidR="00E42ECD">
        <w:rPr>
          <w:noProof/>
        </w:rPr>
        <w:fldChar w:fldCharType="begin"/>
      </w:r>
      <w:r w:rsidR="00E42ECD">
        <w:rPr>
          <w:noProof/>
        </w:rPr>
        <w:instrText xml:space="preserve"> SEQ Graf \* ARABIC </w:instrText>
      </w:r>
      <w:r w:rsidR="00E42ECD">
        <w:rPr>
          <w:noProof/>
        </w:rPr>
        <w:fldChar w:fldCharType="separate"/>
      </w:r>
      <w:r w:rsidR="00DE40D4">
        <w:rPr>
          <w:noProof/>
        </w:rPr>
        <w:t>3</w:t>
      </w:r>
      <w:r w:rsidR="00E42ECD">
        <w:rPr>
          <w:noProof/>
        </w:rPr>
        <w:fldChar w:fldCharType="end"/>
      </w:r>
      <w:bookmarkEnd w:id="13"/>
      <w:r w:rsidR="00FB759D" w:rsidRPr="00BA4F8E">
        <w:t xml:space="preserve"> </w:t>
      </w:r>
      <w:r w:rsidR="00AD59D6" w:rsidRPr="00BA4F8E">
        <w:t xml:space="preserve">- </w:t>
      </w:r>
      <w:r w:rsidR="00BA61EB" w:rsidRPr="00BA4F8E">
        <w:t>Nejproblematičtější faktory pro podnikání v ČR, podíl odpovědí respondentů</w:t>
      </w:r>
      <w:bookmarkEnd w:id="14"/>
    </w:p>
    <w:p w14:paraId="7F1E0A48" w14:textId="77777777" w:rsidR="00BA61EB" w:rsidRPr="00BA4F8E" w:rsidRDefault="00BA61EB" w:rsidP="00BA61EB">
      <w:pPr>
        <w:jc w:val="center"/>
      </w:pPr>
      <w:r w:rsidRPr="00BA4F8E">
        <w:rPr>
          <w:noProof/>
          <w:lang w:eastAsia="cs-CZ"/>
        </w:rPr>
        <w:drawing>
          <wp:inline distT="0" distB="0" distL="0" distR="0" wp14:anchorId="2FAA0B99" wp14:editId="20999443">
            <wp:extent cx="4936927" cy="295886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34030" cy="3017057"/>
                    </a:xfrm>
                    <a:prstGeom prst="rect">
                      <a:avLst/>
                    </a:prstGeom>
                    <a:noFill/>
                    <a:ln>
                      <a:noFill/>
                    </a:ln>
                  </pic:spPr>
                </pic:pic>
              </a:graphicData>
            </a:graphic>
          </wp:inline>
        </w:drawing>
      </w:r>
    </w:p>
    <w:p w14:paraId="3E7D732D" w14:textId="1907B02F" w:rsidR="00BA61EB" w:rsidRPr="00505C03" w:rsidRDefault="00BA61EB" w:rsidP="00505C03">
      <w:pPr>
        <w:spacing w:line="360" w:lineRule="auto"/>
        <w:jc w:val="both"/>
        <w:rPr>
          <w:rFonts w:cs="Arial"/>
          <w:i/>
          <w:sz w:val="18"/>
          <w:szCs w:val="18"/>
        </w:rPr>
      </w:pPr>
      <w:r w:rsidRPr="00505C03">
        <w:rPr>
          <w:rFonts w:cs="Arial"/>
          <w:i/>
          <w:sz w:val="18"/>
          <w:szCs w:val="18"/>
        </w:rPr>
        <w:t>Zdroj:</w:t>
      </w:r>
      <w:r w:rsidR="00681DED" w:rsidRPr="00505C03">
        <w:rPr>
          <w:rFonts w:cs="Arial"/>
          <w:i/>
          <w:sz w:val="18"/>
          <w:szCs w:val="18"/>
        </w:rPr>
        <w:t xml:space="preserve"> </w:t>
      </w:r>
      <w:r w:rsidR="00495C8A" w:rsidRPr="00505C03">
        <w:rPr>
          <w:rFonts w:cs="Arial"/>
          <w:i/>
          <w:color w:val="000000"/>
          <w:sz w:val="18"/>
          <w:szCs w:val="18"/>
        </w:rPr>
        <w:t>Světové ekonomické fórum - The Global Competitiveness Report 2017-2018 (</w:t>
      </w:r>
      <w:r w:rsidR="00620ACD" w:rsidRPr="00505C03">
        <w:rPr>
          <w:rFonts w:cs="Arial"/>
          <w:i/>
          <w:color w:val="000000"/>
          <w:sz w:val="18"/>
          <w:szCs w:val="18"/>
        </w:rPr>
        <w:t xml:space="preserve">The </w:t>
      </w:r>
      <w:r w:rsidR="00495C8A" w:rsidRPr="00505C03">
        <w:rPr>
          <w:rFonts w:cs="Arial"/>
          <w:i/>
          <w:color w:val="000000"/>
          <w:sz w:val="18"/>
          <w:szCs w:val="18"/>
        </w:rPr>
        <w:t>Executive Opinion Survey)</w:t>
      </w:r>
      <w:r w:rsidR="00D743E0" w:rsidRPr="00505C03">
        <w:rPr>
          <w:rFonts w:cs="Arial"/>
          <w:i/>
          <w:color w:val="000000"/>
          <w:sz w:val="18"/>
          <w:szCs w:val="18"/>
        </w:rPr>
        <w:t>; vlastní zpracování</w:t>
      </w:r>
    </w:p>
    <w:p w14:paraId="6DB86B79" w14:textId="77777777" w:rsidR="003206CD" w:rsidRPr="00BA4F8E" w:rsidRDefault="003206CD" w:rsidP="00BA61EB">
      <w:pPr>
        <w:spacing w:line="360" w:lineRule="auto"/>
        <w:ind w:firstLine="709"/>
        <w:jc w:val="both"/>
        <w:rPr>
          <w:rFonts w:cs="Arial"/>
        </w:rPr>
      </w:pPr>
    </w:p>
    <w:p w14:paraId="56FFF0E6" w14:textId="7B6423D5" w:rsidR="00BA61EB" w:rsidRPr="00BA4F8E" w:rsidRDefault="00BA61EB" w:rsidP="00BA61EB">
      <w:pPr>
        <w:spacing w:line="360" w:lineRule="auto"/>
        <w:ind w:firstLine="709"/>
        <w:jc w:val="both"/>
        <w:rPr>
          <w:rFonts w:cs="Arial"/>
        </w:rPr>
      </w:pPr>
      <w:r w:rsidRPr="00BA4F8E">
        <w:rPr>
          <w:rFonts w:cs="Arial"/>
        </w:rPr>
        <w:t xml:space="preserve">V roce 2018 se tedy ČR nachází v situaci, kdy hlavním tahounem ekonomiky je průmyslová specializace, na kterou je navázána i řada komerčních služeb. Zatím nižší význam v domácí ekonomice mají znalostně intenzivní služby (tzv. knowledge-intensive services – KIS), kde se ve vyspělých ekonomikách koncentruje značná část inovací. Zaměstnanost české populace ve znalostních odvětvích </w:t>
      </w:r>
      <w:r w:rsidRPr="00BA4F8E">
        <w:rPr>
          <w:rFonts w:cs="Arial"/>
        </w:rPr>
        <w:lastRenderedPageBreak/>
        <w:t xml:space="preserve">služeb rostla v letech 2008-2017 rychlejším tempem (1,3 %) ve srovnání s EU-28 (0,9 %), i když ke sbližování dochází jen velmi pomalu </w:t>
      </w:r>
      <w:r w:rsidRPr="005E1ED5">
        <w:rPr>
          <w:rFonts w:cs="Arial"/>
        </w:rPr>
        <w:t>(</w:t>
      </w:r>
      <w:r w:rsidR="00103A70" w:rsidRPr="005E1ED5">
        <w:rPr>
          <w:rFonts w:cs="Arial"/>
        </w:rPr>
        <w:t xml:space="preserve">viz </w:t>
      </w:r>
      <w:r w:rsidR="009E1EBD">
        <w:rPr>
          <w:rFonts w:cs="Arial"/>
        </w:rPr>
        <w:t>Graf</w:t>
      </w:r>
      <w:r w:rsidR="00101104" w:rsidRPr="005E1ED5">
        <w:rPr>
          <w:rFonts w:cs="Arial"/>
          <w:highlight w:val="yellow"/>
        </w:rPr>
        <w:fldChar w:fldCharType="begin"/>
      </w:r>
      <w:r w:rsidR="00101104" w:rsidRPr="005E1ED5">
        <w:rPr>
          <w:rFonts w:cs="Arial"/>
        </w:rPr>
        <w:instrText xml:space="preserve"> REF _Ref521487779 \h </w:instrText>
      </w:r>
      <w:r w:rsidR="00101104" w:rsidRPr="005E1ED5">
        <w:rPr>
          <w:rFonts w:cs="Arial"/>
          <w:highlight w:val="yellow"/>
        </w:rPr>
      </w:r>
      <w:r w:rsidR="00101104" w:rsidRPr="005E1ED5">
        <w:rPr>
          <w:rFonts w:cs="Arial"/>
          <w:highlight w:val="yellow"/>
        </w:rPr>
        <w:fldChar w:fldCharType="separate"/>
      </w:r>
      <w:r w:rsidR="00DE40D4" w:rsidRPr="00BA4F8E">
        <w:t xml:space="preserve"> </w:t>
      </w:r>
      <w:r w:rsidR="00101104" w:rsidRPr="005E1ED5">
        <w:rPr>
          <w:rFonts w:cs="Arial"/>
          <w:highlight w:val="yellow"/>
        </w:rPr>
        <w:fldChar w:fldCharType="end"/>
      </w:r>
      <w:r w:rsidR="0065054B">
        <w:rPr>
          <w:rFonts w:cs="Arial"/>
        </w:rPr>
        <w:t>4</w:t>
      </w:r>
      <w:r w:rsidRPr="005E1ED5">
        <w:rPr>
          <w:rFonts w:cs="Arial"/>
        </w:rPr>
        <w:t xml:space="preserve">). </w:t>
      </w:r>
      <w:r w:rsidRPr="00BA4F8E">
        <w:rPr>
          <w:rFonts w:cs="Arial"/>
        </w:rPr>
        <w:t>V EU v průměru tvoří znalostní odvětví 40 % celkové zaměstnanosti, v ČR 33 % (rok 2017).</w:t>
      </w:r>
    </w:p>
    <w:p w14:paraId="33C98FC8" w14:textId="77777777" w:rsidR="00AA350C" w:rsidRPr="00BA4F8E" w:rsidRDefault="00AA350C" w:rsidP="00BA61EB">
      <w:pPr>
        <w:spacing w:line="360" w:lineRule="auto"/>
        <w:ind w:firstLine="709"/>
        <w:jc w:val="both"/>
        <w:rPr>
          <w:rFonts w:cs="Arial"/>
        </w:rPr>
      </w:pPr>
    </w:p>
    <w:p w14:paraId="569DB888" w14:textId="68835D9A" w:rsidR="00BA61EB" w:rsidRPr="00BA4F8E" w:rsidRDefault="00A379AE" w:rsidP="00A379AE">
      <w:pPr>
        <w:pStyle w:val="Titulek"/>
      </w:pPr>
      <w:bookmarkStart w:id="15" w:name="_Ref523306278"/>
      <w:bookmarkStart w:id="16" w:name="_Toc525716306"/>
      <w:r>
        <w:t xml:space="preserve">Graf </w:t>
      </w:r>
      <w:r w:rsidR="00E42ECD">
        <w:rPr>
          <w:noProof/>
        </w:rPr>
        <w:fldChar w:fldCharType="begin"/>
      </w:r>
      <w:r w:rsidR="00E42ECD">
        <w:rPr>
          <w:noProof/>
        </w:rPr>
        <w:instrText xml:space="preserve"> SEQ Graf \* ARABIC </w:instrText>
      </w:r>
      <w:r w:rsidR="00E42ECD">
        <w:rPr>
          <w:noProof/>
        </w:rPr>
        <w:fldChar w:fldCharType="separate"/>
      </w:r>
      <w:r w:rsidR="00DE40D4">
        <w:rPr>
          <w:noProof/>
        </w:rPr>
        <w:t>4</w:t>
      </w:r>
      <w:r w:rsidR="00E42ECD">
        <w:rPr>
          <w:noProof/>
        </w:rPr>
        <w:fldChar w:fldCharType="end"/>
      </w:r>
      <w:bookmarkEnd w:id="15"/>
      <w:r>
        <w:t xml:space="preserve"> </w:t>
      </w:r>
      <w:r w:rsidR="00AA350C" w:rsidRPr="00BA4F8E">
        <w:t xml:space="preserve">- </w:t>
      </w:r>
      <w:r w:rsidR="00BA61EB" w:rsidRPr="00BA4F8E">
        <w:t>Podíl vysoce znalostních výrobních odvětví a služeb na celkové zaměstnanosti</w:t>
      </w:r>
      <w:bookmarkEnd w:id="16"/>
    </w:p>
    <w:p w14:paraId="7BBD212E" w14:textId="77777777" w:rsidR="00BA61EB" w:rsidRPr="00BA4F8E" w:rsidRDefault="00BA61EB" w:rsidP="00BA61EB">
      <w:pPr>
        <w:spacing w:line="360" w:lineRule="auto"/>
        <w:ind w:firstLine="709"/>
        <w:jc w:val="both"/>
        <w:rPr>
          <w:rFonts w:cs="Arial"/>
          <w:lang w:eastAsia="cs-CZ"/>
        </w:rPr>
      </w:pPr>
    </w:p>
    <w:p w14:paraId="21AED182" w14:textId="77777777" w:rsidR="00BA61EB" w:rsidRPr="00BA4F8E" w:rsidRDefault="00BA61EB" w:rsidP="00B03881">
      <w:pPr>
        <w:spacing w:line="360" w:lineRule="auto"/>
        <w:ind w:firstLine="709"/>
        <w:jc w:val="center"/>
        <w:rPr>
          <w:rFonts w:cs="Arial"/>
        </w:rPr>
      </w:pPr>
      <w:r w:rsidRPr="00BA4F8E">
        <w:rPr>
          <w:rFonts w:cs="Arial"/>
          <w:noProof/>
          <w:lang w:eastAsia="cs-CZ"/>
        </w:rPr>
        <w:drawing>
          <wp:inline distT="0" distB="0" distL="0" distR="0" wp14:anchorId="6E095FCA" wp14:editId="15A368FD">
            <wp:extent cx="4815102" cy="2501660"/>
            <wp:effectExtent l="0" t="0" r="508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98209" cy="2596792"/>
                    </a:xfrm>
                    <a:prstGeom prst="rect">
                      <a:avLst/>
                    </a:prstGeom>
                    <a:noFill/>
                  </pic:spPr>
                </pic:pic>
              </a:graphicData>
            </a:graphic>
          </wp:inline>
        </w:drawing>
      </w:r>
    </w:p>
    <w:p w14:paraId="4AA81C00" w14:textId="28FBD52D" w:rsidR="000D224D" w:rsidRPr="0097340C" w:rsidRDefault="000D224D" w:rsidP="006634ED">
      <w:pPr>
        <w:spacing w:line="360" w:lineRule="auto"/>
        <w:ind w:firstLine="709"/>
        <w:rPr>
          <w:rFonts w:cs="Arial"/>
          <w:i/>
          <w:sz w:val="18"/>
          <w:szCs w:val="18"/>
        </w:rPr>
      </w:pPr>
      <w:r w:rsidRPr="0097340C">
        <w:rPr>
          <w:rFonts w:cs="Arial"/>
          <w:i/>
          <w:sz w:val="18"/>
          <w:szCs w:val="18"/>
        </w:rPr>
        <w:t>Zdroj:</w:t>
      </w:r>
      <w:r w:rsidR="00681DED" w:rsidRPr="0097340C">
        <w:rPr>
          <w:rFonts w:cs="Arial"/>
          <w:i/>
          <w:sz w:val="18"/>
          <w:szCs w:val="18"/>
        </w:rPr>
        <w:t xml:space="preserve"> </w:t>
      </w:r>
      <w:r w:rsidR="00620ACD" w:rsidRPr="0097340C">
        <w:rPr>
          <w:rFonts w:cs="Arial"/>
          <w:i/>
          <w:sz w:val="18"/>
          <w:szCs w:val="18"/>
        </w:rPr>
        <w:t>Eurostat – Database:Total knowledge-intensive services</w:t>
      </w:r>
    </w:p>
    <w:p w14:paraId="76E0925B" w14:textId="77777777" w:rsidR="00C96E1F" w:rsidRPr="00BA4F8E" w:rsidRDefault="00C96E1F" w:rsidP="00BA61EB">
      <w:pPr>
        <w:spacing w:line="360" w:lineRule="auto"/>
        <w:ind w:firstLine="709"/>
        <w:jc w:val="both"/>
        <w:rPr>
          <w:rFonts w:cs="Arial"/>
          <w:i/>
        </w:rPr>
      </w:pPr>
    </w:p>
    <w:p w14:paraId="2E47198C" w14:textId="7601A2AC" w:rsidR="00BA61EB" w:rsidRPr="00BA4F8E" w:rsidRDefault="00BA61EB" w:rsidP="006D58C5">
      <w:pPr>
        <w:spacing w:after="0" w:line="360" w:lineRule="auto"/>
        <w:ind w:firstLine="708"/>
        <w:jc w:val="both"/>
        <w:rPr>
          <w:rFonts w:cs="Arial"/>
        </w:rPr>
      </w:pPr>
      <w:r w:rsidRPr="00BA4F8E">
        <w:rPr>
          <w:rFonts w:cs="Arial"/>
        </w:rPr>
        <w:t>Jedním z pozitivních příkladů v ČR jsou IT a softwarové služby, u nichž vzrůstá význam v ekonomice i</w:t>
      </w:r>
      <w:r w:rsidR="00C96E1F" w:rsidRPr="00BA4F8E">
        <w:rPr>
          <w:rFonts w:cs="Arial"/>
        </w:rPr>
        <w:t> </w:t>
      </w:r>
      <w:r w:rsidRPr="00BA4F8E">
        <w:rPr>
          <w:rFonts w:cs="Arial"/>
        </w:rPr>
        <w:t>exportní výkonnost. Aktivity s nejvyšší přidanou hodnotou se nejčastěji realizují na počátku (VaV) a na konci (marketing, prodej, kontakt se zákazníkem) produkčního řetězce a právě vznik těchto aktivit je potřeba podněcovat nebo je do ČR přilákat a dále je rozvíjet. Rozvinutost průmyslu a</w:t>
      </w:r>
      <w:r w:rsidR="00C04BED" w:rsidRPr="00BA4F8E">
        <w:rPr>
          <w:rFonts w:cs="Arial"/>
        </w:rPr>
        <w:t> </w:t>
      </w:r>
      <w:r w:rsidRPr="00BA4F8E">
        <w:rPr>
          <w:rFonts w:cs="Arial"/>
        </w:rPr>
        <w:t>technických kompetencí pracovní síly může oproti tomu být silnou stránkou v souvislosti s příležitostí předpokládané částečné re-industrializace Evropy</w:t>
      </w:r>
      <w:r w:rsidRPr="00BA4F8E">
        <w:rPr>
          <w:rStyle w:val="Znakapoznpodarou"/>
          <w:rFonts w:cs="Arial"/>
        </w:rPr>
        <w:footnoteReference w:id="9"/>
      </w:r>
      <w:r w:rsidRPr="00BA4F8E">
        <w:rPr>
          <w:rFonts w:cs="Arial"/>
        </w:rPr>
        <w:t>.</w:t>
      </w:r>
    </w:p>
    <w:p w14:paraId="78ABD8C3" w14:textId="65E2E092" w:rsidR="00BA61EB" w:rsidRPr="00BA4F8E" w:rsidRDefault="00BA61EB" w:rsidP="006D58C5">
      <w:pPr>
        <w:spacing w:after="0" w:line="360" w:lineRule="auto"/>
        <w:ind w:firstLine="708"/>
        <w:jc w:val="both"/>
        <w:rPr>
          <w:rFonts w:cs="Arial"/>
        </w:rPr>
      </w:pPr>
      <w:r w:rsidRPr="00BA4F8E">
        <w:rPr>
          <w:rFonts w:cs="Arial"/>
        </w:rPr>
        <w:t xml:space="preserve">Současný stav v oblasti inovační výkonnosti zveřejnila Evropská komise </w:t>
      </w:r>
      <w:r w:rsidR="001B7962" w:rsidRPr="00BA4F8E">
        <w:rPr>
          <w:rFonts w:cs="Arial"/>
        </w:rPr>
        <w:t>v dokumentu z června 2018</w:t>
      </w:r>
      <w:r w:rsidRPr="00BA4F8E">
        <w:rPr>
          <w:rFonts w:cs="Arial"/>
        </w:rPr>
        <w:t>.</w:t>
      </w:r>
      <w:r w:rsidRPr="00BA4F8E">
        <w:rPr>
          <w:rStyle w:val="Znakapoznpodarou"/>
          <w:rFonts w:cs="Arial"/>
        </w:rPr>
        <w:footnoteReference w:id="10"/>
      </w:r>
      <w:r w:rsidRPr="00BA4F8E">
        <w:rPr>
          <w:rFonts w:cs="Arial"/>
        </w:rPr>
        <w:t xml:space="preserve"> Z</w:t>
      </w:r>
      <w:r w:rsidR="00104EA3" w:rsidRPr="00BA4F8E">
        <w:rPr>
          <w:rFonts w:cs="Arial"/>
        </w:rPr>
        <w:t> </w:t>
      </w:r>
      <w:r w:rsidRPr="00BA4F8E">
        <w:rPr>
          <w:rFonts w:cs="Arial"/>
        </w:rPr>
        <w:t xml:space="preserve"> přehledu plyne, že inovační výkonnost Evropské unie se sice průběžně zvyšuje, je však třeba dalšího úsilí, aby byla Evropa globálně konkurenceschopná. Členské státy se na základě svého průměrného skóre výkonnosti vypočteného pomocí složeného ukazatele – souhrnného inovačního indexu – řadí do čtyř různých výkonnostních skupin (viz</w:t>
      </w:r>
      <w:r w:rsidR="005F0731" w:rsidRPr="00BA4F8E">
        <w:rPr>
          <w:rFonts w:cs="Arial"/>
        </w:rPr>
        <w:t xml:space="preserve"> </w:t>
      </w:r>
      <w:r w:rsidR="005F0731" w:rsidRPr="00366B2E">
        <w:rPr>
          <w:rFonts w:cs="Arial"/>
          <w:highlight w:val="yellow"/>
        </w:rPr>
        <w:fldChar w:fldCharType="begin"/>
      </w:r>
      <w:r w:rsidR="005F0731" w:rsidRPr="00366B2E">
        <w:rPr>
          <w:rFonts w:cs="Arial"/>
        </w:rPr>
        <w:instrText xml:space="preserve"> REF _Ref521313203 \h </w:instrText>
      </w:r>
      <w:r w:rsidR="00BA4F8E" w:rsidRPr="00366B2E">
        <w:rPr>
          <w:rFonts w:cs="Arial"/>
          <w:highlight w:val="yellow"/>
        </w:rPr>
        <w:instrText xml:space="preserve"> \* MERGEFORMAT </w:instrText>
      </w:r>
      <w:r w:rsidR="005F0731" w:rsidRPr="00366B2E">
        <w:rPr>
          <w:rFonts w:cs="Arial"/>
          <w:highlight w:val="yellow"/>
        </w:rPr>
      </w:r>
      <w:r w:rsidR="005F0731" w:rsidRPr="00366B2E">
        <w:rPr>
          <w:rFonts w:cs="Arial"/>
          <w:highlight w:val="yellow"/>
        </w:rPr>
        <w:fldChar w:fldCharType="separate"/>
      </w:r>
      <w:r w:rsidR="00DE40D4" w:rsidRPr="00BA4F8E">
        <w:t xml:space="preserve">Graf </w:t>
      </w:r>
      <w:r w:rsidR="00DE40D4">
        <w:rPr>
          <w:noProof/>
        </w:rPr>
        <w:t>5</w:t>
      </w:r>
      <w:r w:rsidR="005F0731" w:rsidRPr="00366B2E">
        <w:rPr>
          <w:rFonts w:cs="Arial"/>
          <w:highlight w:val="yellow"/>
        </w:rPr>
        <w:fldChar w:fldCharType="end"/>
      </w:r>
      <w:r w:rsidRPr="00366B2E">
        <w:rPr>
          <w:rFonts w:cs="Arial"/>
        </w:rPr>
        <w:t>)</w:t>
      </w:r>
      <w:r w:rsidRPr="00BA4F8E">
        <w:rPr>
          <w:rFonts w:cs="Arial"/>
        </w:rPr>
        <w:t>.</w:t>
      </w:r>
    </w:p>
    <w:p w14:paraId="73A7A6ED" w14:textId="593BD937" w:rsidR="00BA61EB" w:rsidRPr="00BA4F8E" w:rsidRDefault="00BA61EB" w:rsidP="00BA61EB">
      <w:pPr>
        <w:spacing w:line="360" w:lineRule="auto"/>
        <w:ind w:firstLine="708"/>
        <w:jc w:val="both"/>
        <w:rPr>
          <w:rFonts w:cs="Arial"/>
        </w:rPr>
      </w:pPr>
      <w:r w:rsidRPr="00BA4F8E">
        <w:rPr>
          <w:rFonts w:cs="Arial"/>
        </w:rPr>
        <w:lastRenderedPageBreak/>
        <w:t>Výkonnost České republiky je nižší než průměr EU v r. 2017 (13. místo). Od r. 2010 se v</w:t>
      </w:r>
      <w:r w:rsidR="00104EA3" w:rsidRPr="00BA4F8E">
        <w:rPr>
          <w:rFonts w:cs="Arial"/>
        </w:rPr>
        <w:t> </w:t>
      </w:r>
      <w:r w:rsidRPr="00BA4F8E">
        <w:rPr>
          <w:rFonts w:cs="Arial"/>
        </w:rPr>
        <w:t xml:space="preserve">hodnocení řadí do zemí ze skupiny </w:t>
      </w:r>
      <w:r w:rsidR="005C4E4A">
        <w:rPr>
          <w:rFonts w:cs="Arial"/>
        </w:rPr>
        <w:t>průměrný</w:t>
      </w:r>
      <w:r w:rsidR="00BD0A8A">
        <w:rPr>
          <w:rFonts w:cs="Arial"/>
        </w:rPr>
        <w:t>ch</w:t>
      </w:r>
      <w:r w:rsidRPr="00BA4F8E">
        <w:rPr>
          <w:rFonts w:cs="Arial"/>
        </w:rPr>
        <w:t xml:space="preserve"> inovátorů. Hodnocení inovační aktivity za ČR ukazuje na zaostávání v</w:t>
      </w:r>
      <w:r w:rsidR="00104EA3" w:rsidRPr="00BA4F8E">
        <w:rPr>
          <w:rFonts w:cs="Arial"/>
        </w:rPr>
        <w:t> </w:t>
      </w:r>
      <w:r w:rsidRPr="00BA4F8E">
        <w:rPr>
          <w:rFonts w:cs="Arial"/>
        </w:rPr>
        <w:t>inovacích v malých a středních podnicích zejména v oblasti organizace a marketingu, tak i</w:t>
      </w:r>
      <w:r w:rsidR="009359D1">
        <w:rPr>
          <w:rFonts w:cs="Arial"/>
        </w:rPr>
        <w:t> </w:t>
      </w:r>
      <w:r w:rsidRPr="00BA4F8E">
        <w:rPr>
          <w:rFonts w:cs="Arial"/>
        </w:rPr>
        <w:t>ve stále nedostačujících aktivitách v produktových inovacích a v procesních (technologických) inovacích uvnitř podniku, i když v posledních dvou letech dochází ke zlepšení. Posuzované vazby jsou nedostatečně rozvinuté v oblasti veřejných a soukromých společných publikací VO a podniků a</w:t>
      </w:r>
      <w:r w:rsidR="00B47EB4" w:rsidRPr="00BA4F8E">
        <w:rPr>
          <w:rFonts w:cs="Arial"/>
        </w:rPr>
        <w:t> </w:t>
      </w:r>
      <w:r w:rsidRPr="00BA4F8E">
        <w:rPr>
          <w:rFonts w:cs="Arial"/>
        </w:rPr>
        <w:t>v</w:t>
      </w:r>
      <w:r w:rsidR="00B47EB4" w:rsidRPr="00BA4F8E">
        <w:rPr>
          <w:rFonts w:cs="Arial"/>
        </w:rPr>
        <w:t> </w:t>
      </w:r>
      <w:r w:rsidRPr="00BA4F8E">
        <w:rPr>
          <w:rFonts w:cs="Arial"/>
        </w:rPr>
        <w:t xml:space="preserve"> rozsahu, v jakém soukromý sektor financuje veřejné výzkumné a vývojové činnosti. Vztahy spolupráce mezi inovujícími podniky v letech hospodářského růstu nabývají na intenzitě. Veřejné výdaje na výzkum a vývoj vyjádřené jako podíl HDP mají tendenci propadat pod cílovou hodnotu (1%</w:t>
      </w:r>
      <w:r w:rsidR="00E71584" w:rsidRPr="00BA4F8E">
        <w:rPr>
          <w:rFonts w:cs="Arial"/>
        </w:rPr>
        <w:t> </w:t>
      </w:r>
      <w:r w:rsidRPr="00BA4F8E">
        <w:rPr>
          <w:rFonts w:cs="Arial"/>
        </w:rPr>
        <w:t>HDP, vliv příspěvku růstu HDP a limitované čerpání EU fondů). Slabou stránkou je nízká podpora od investorů ve výdajích na rizikový kapitál v oblasti aplikací výzkumu a vývoje.</w:t>
      </w:r>
    </w:p>
    <w:p w14:paraId="01BBB622" w14:textId="77777777" w:rsidR="003206CD" w:rsidRPr="00BA4F8E" w:rsidRDefault="003206CD" w:rsidP="00BA61EB">
      <w:pPr>
        <w:spacing w:line="360" w:lineRule="auto"/>
        <w:ind w:firstLine="708"/>
        <w:jc w:val="both"/>
        <w:rPr>
          <w:rFonts w:cs="Arial"/>
        </w:rPr>
      </w:pPr>
    </w:p>
    <w:p w14:paraId="1946D659" w14:textId="4B08EEE2" w:rsidR="00BA61EB" w:rsidRPr="00BA4F8E" w:rsidRDefault="003206CD" w:rsidP="00580DE3">
      <w:pPr>
        <w:pStyle w:val="Titulek"/>
      </w:pPr>
      <w:bookmarkStart w:id="17" w:name="_Ref519154469"/>
      <w:bookmarkStart w:id="18" w:name="_Ref521313203"/>
      <w:bookmarkStart w:id="19" w:name="_Toc525716307"/>
      <w:r w:rsidRPr="00BA4F8E">
        <w:rPr>
          <w:noProof/>
        </w:rPr>
        <w:drawing>
          <wp:anchor distT="0" distB="0" distL="114300" distR="114300" simplePos="0" relativeHeight="251659264" behindDoc="0" locked="0" layoutInCell="1" allowOverlap="1" wp14:anchorId="15420F24" wp14:editId="5A5C3DAB">
            <wp:simplePos x="0" y="0"/>
            <wp:positionH relativeFrom="margin">
              <wp:align>left</wp:align>
            </wp:positionH>
            <wp:positionV relativeFrom="paragraph">
              <wp:posOffset>295275</wp:posOffset>
            </wp:positionV>
            <wp:extent cx="5894070" cy="2768600"/>
            <wp:effectExtent l="0" t="0" r="0" b="0"/>
            <wp:wrapSquare wrapText="bothSides"/>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4070" cy="27686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17"/>
      <w:r w:rsidR="005F0731"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5</w:t>
      </w:r>
      <w:r w:rsidR="00EE7C52">
        <w:rPr>
          <w:noProof/>
        </w:rPr>
        <w:fldChar w:fldCharType="end"/>
      </w:r>
      <w:bookmarkEnd w:id="18"/>
      <w:r w:rsidRPr="00BA4F8E">
        <w:t xml:space="preserve"> - </w:t>
      </w:r>
      <w:r w:rsidR="00BA61EB" w:rsidRPr="00BA4F8E">
        <w:t>Výkonnost inovačních systémů členských zemí EU v r. 2017</w:t>
      </w:r>
      <w:bookmarkEnd w:id="19"/>
    </w:p>
    <w:p w14:paraId="4D99DD50" w14:textId="77777777" w:rsidR="00BA61EB" w:rsidRPr="00BA4F8E" w:rsidRDefault="00BA61EB" w:rsidP="003206CD">
      <w:pPr>
        <w:spacing w:line="360" w:lineRule="auto"/>
        <w:ind w:firstLineChars="709" w:firstLine="1560"/>
        <w:jc w:val="center"/>
        <w:rPr>
          <w:rFonts w:cs="Arial"/>
        </w:rPr>
      </w:pPr>
    </w:p>
    <w:p w14:paraId="22CC33C2" w14:textId="77777777" w:rsidR="00BA61EB" w:rsidRPr="009D34DA" w:rsidRDefault="00BA61EB" w:rsidP="00BA61EB">
      <w:pPr>
        <w:spacing w:line="360" w:lineRule="auto"/>
        <w:jc w:val="both"/>
        <w:rPr>
          <w:rFonts w:cs="Arial"/>
          <w:i/>
          <w:sz w:val="18"/>
          <w:szCs w:val="18"/>
        </w:rPr>
      </w:pPr>
      <w:r w:rsidRPr="009D34DA">
        <w:rPr>
          <w:rFonts w:cs="Arial"/>
          <w:i/>
          <w:sz w:val="18"/>
          <w:szCs w:val="18"/>
        </w:rPr>
        <w:t>Zdroj: Evropská komise - Tisková zpráva: Evropský srovnávací přehled inovací 2018: Evropa musí zvýšit svůj inovační náskok</w:t>
      </w:r>
    </w:p>
    <w:p w14:paraId="0EEA7052" w14:textId="77777777" w:rsidR="003206CD" w:rsidRDefault="003206CD" w:rsidP="00BA61EB">
      <w:pPr>
        <w:spacing w:line="360" w:lineRule="auto"/>
        <w:jc w:val="both"/>
        <w:rPr>
          <w:rFonts w:cs="Arial"/>
          <w:i/>
        </w:rPr>
      </w:pPr>
    </w:p>
    <w:p w14:paraId="460FB3C3" w14:textId="77777777" w:rsidR="006D58C5" w:rsidRPr="00BA4F8E" w:rsidRDefault="006D58C5" w:rsidP="00BA61EB">
      <w:pPr>
        <w:spacing w:line="360" w:lineRule="auto"/>
        <w:jc w:val="both"/>
        <w:rPr>
          <w:rFonts w:cs="Arial"/>
          <w:i/>
        </w:rPr>
      </w:pPr>
    </w:p>
    <w:p w14:paraId="52E3C145" w14:textId="69519B71" w:rsidR="00AD17D5" w:rsidRPr="005C2F38" w:rsidRDefault="00AD17D5" w:rsidP="005C2F38">
      <w:pPr>
        <w:pStyle w:val="Nadpis2"/>
      </w:pPr>
      <w:bookmarkStart w:id="20" w:name="_Toc525716165"/>
      <w:r w:rsidRPr="005C2F38">
        <w:t>Makroekonomický rámec</w:t>
      </w:r>
      <w:bookmarkEnd w:id="20"/>
    </w:p>
    <w:p w14:paraId="4015AF68" w14:textId="74B5296F" w:rsidR="00263E57" w:rsidRPr="00BA4F8E" w:rsidRDefault="00336E97" w:rsidP="006D58C5">
      <w:pPr>
        <w:spacing w:after="0" w:line="360" w:lineRule="auto"/>
        <w:ind w:firstLine="709"/>
        <w:jc w:val="both"/>
        <w:rPr>
          <w:rFonts w:cs="Arial"/>
        </w:rPr>
      </w:pPr>
      <w:r w:rsidRPr="00BA4F8E">
        <w:rPr>
          <w:rFonts w:cs="Arial"/>
        </w:rPr>
        <w:t>Česká ekonomika prošla v posledních letech turbulentním vývojem. Jeho počátkem byla globální hospodářská krize, která zasáhla domácí ekonomiku propadem její výkonnosti v roce 2009 o</w:t>
      </w:r>
      <w:r w:rsidR="003A4637" w:rsidRPr="00BA4F8E">
        <w:rPr>
          <w:rFonts w:cs="Arial"/>
        </w:rPr>
        <w:t> </w:t>
      </w:r>
      <w:r w:rsidRPr="00BA4F8E">
        <w:rPr>
          <w:rFonts w:cs="Arial"/>
        </w:rPr>
        <w:t xml:space="preserve">téměř 5 %. Po dvou letech mírného oživení následovalo v letech 2012-2013 období nové recese na </w:t>
      </w:r>
      <w:r w:rsidRPr="00BA4F8E">
        <w:rPr>
          <w:rFonts w:cs="Arial"/>
        </w:rPr>
        <w:lastRenderedPageBreak/>
        <w:t>pozadí dluhové krize eurozóny, na kterém se v domácích podmínkách výrazně podepsala restriktivní fiskální politika tehdejší české vlády. Značně se propadla tvorba hrubého kapitálu vlivem omezení vládních investic a opatrností firem a</w:t>
      </w:r>
      <w:r w:rsidR="0084539C" w:rsidRPr="00BA4F8E">
        <w:rPr>
          <w:rFonts w:cs="Arial"/>
        </w:rPr>
        <w:t> </w:t>
      </w:r>
      <w:r w:rsidRPr="00BA4F8E">
        <w:rPr>
          <w:rFonts w:cs="Arial"/>
        </w:rPr>
        <w:t xml:space="preserve">domácností při nejistém výhledu dalšího vývoje. </w:t>
      </w:r>
      <w:r w:rsidR="00263E57" w:rsidRPr="00263E57">
        <w:rPr>
          <w:rFonts w:cs="Arial"/>
        </w:rPr>
        <w:t>Naopak hlubšímu poklesu ekonomického výkonu bránil zahraniční obchod, když slabá domácí poptávka a</w:t>
      </w:r>
      <w:r w:rsidR="00263E57">
        <w:rPr>
          <w:rFonts w:cs="Arial"/>
        </w:rPr>
        <w:t> </w:t>
      </w:r>
      <w:r w:rsidR="00263E57" w:rsidRPr="00263E57">
        <w:rPr>
          <w:rFonts w:cs="Arial"/>
        </w:rPr>
        <w:t>přijetí kurzového závazku ČNB zabraňujícího dalšímu posilování koruny vedly k předstihu tempa růstu vývozu před dovozem</w:t>
      </w:r>
      <w:r w:rsidR="0063762C">
        <w:rPr>
          <w:rFonts w:cs="Arial"/>
        </w:rPr>
        <w:t>.</w:t>
      </w:r>
    </w:p>
    <w:p w14:paraId="7C39609B" w14:textId="77777777" w:rsidR="00336E97" w:rsidRPr="00BA4F8E" w:rsidRDefault="00336E97" w:rsidP="006D58C5">
      <w:pPr>
        <w:spacing w:after="0" w:line="360" w:lineRule="auto"/>
        <w:ind w:firstLine="709"/>
        <w:jc w:val="both"/>
        <w:rPr>
          <w:rFonts w:cs="Arial"/>
        </w:rPr>
      </w:pPr>
      <w:r w:rsidRPr="00BA4F8E">
        <w:rPr>
          <w:rFonts w:cs="Arial"/>
        </w:rPr>
        <w:t xml:space="preserve">K růstové trajektorii se tuzemská ekonomika vrátila počínaje rokem 2014. Pohled na vývoj jednotlivých výdajových složek ukazuje, že rozhodující roli v posledních čtyřech letech sehrála domácí poptávka. Kladný vliv se však po celé období projevoval pouze u spotřeby, kde stabilizačním prvkem byla především spotřeba domácností, zatímco příspěvek vládní spotřeby nebyl tak významný. Tvorba hrubého kapitálu, která byla v letech 2014 - 2015 hlavním hnacím motorem, měla na hospodářský růst brzdící účinek v roce 2016, který souvisel s odezněním mimořádného vlivu čerpání evropských dotací v předchozím roce. Propad investic však byl částečně kompenzován čistým vývozem. </w:t>
      </w:r>
    </w:p>
    <w:p w14:paraId="403C095A" w14:textId="77777777" w:rsidR="00336E97" w:rsidRPr="00BA4F8E" w:rsidRDefault="00336E97" w:rsidP="006D58C5">
      <w:pPr>
        <w:spacing w:after="0" w:line="360" w:lineRule="auto"/>
        <w:ind w:firstLine="709"/>
        <w:jc w:val="both"/>
        <w:rPr>
          <w:rFonts w:cs="Arial"/>
        </w:rPr>
      </w:pPr>
      <w:r w:rsidRPr="00BA4F8E">
        <w:rPr>
          <w:rFonts w:cs="Arial"/>
        </w:rPr>
        <w:t>V roce 2017 přispívaly k růstu HDP již všechny hlavní výdajové složky. Rozhodující vliv si udržela spotřeba domácností, především díky rekordní míře ekonomické aktivity a silné důvěře domácností v budoucí vývoj, která byla podložena rychlým růstem mezd a velmi nízkou nezaměstnaností. Nicméně k akceleraci ekonomiky nejvíce přispělo oživení investic, zatím výraznější v soukromé sféře, kde byl jejich silný růst motivován snahou o zvýšení produktivity práce při stále akutnějším nedostatku pracovníků. Na růstu se podílely také čisté exporty, když příznivý vývoj vnějšího prostředí vedl ke zrychlení růstu obchodní výměny.</w:t>
      </w:r>
    </w:p>
    <w:p w14:paraId="3E32B281" w14:textId="5D65C631" w:rsidR="00C96E1F" w:rsidRDefault="00336E97" w:rsidP="00AF20A7">
      <w:pPr>
        <w:spacing w:after="0" w:line="360" w:lineRule="auto"/>
        <w:ind w:firstLine="709"/>
        <w:jc w:val="both"/>
        <w:rPr>
          <w:rFonts w:cs="Arial"/>
        </w:rPr>
      </w:pPr>
      <w:r w:rsidRPr="00BA4F8E">
        <w:rPr>
          <w:rFonts w:cs="Arial"/>
        </w:rPr>
        <w:t>Jinak tomu bylo v 1. čtvrtletí 2018, kdy se hospodářský růst opíral výhradně o vyšší domácí poptávku. Při stabilním vývoji spotřeby posílil příspěvek investic. Investiční aktivita rostla ve všech sektorech a byla podpořena především investicemi do staveb a budov, včetně obydlí, a do strojního vybavení. Na druhé straně oslabil vliv zahraničního obchodu, protože v prostředí náznaků slábnoucí zahraniční poptávky byla strana dovozů zatěžována vysokou dovozní náročností českého vývozu a silnou domácí poptávkou.</w:t>
      </w:r>
    </w:p>
    <w:p w14:paraId="3DC73B55" w14:textId="77777777" w:rsidR="00567C00" w:rsidRDefault="00567C00">
      <w:pPr>
        <w:spacing w:after="200" w:line="276" w:lineRule="auto"/>
        <w:rPr>
          <w:rFonts w:cs="Arial"/>
        </w:rPr>
      </w:pPr>
      <w:r>
        <w:rPr>
          <w:b/>
          <w:bCs/>
        </w:rPr>
        <w:br w:type="page"/>
      </w:r>
    </w:p>
    <w:p w14:paraId="1EAF3C13" w14:textId="1FB6AAE8" w:rsidR="00BA61EB" w:rsidRPr="00BA4F8E" w:rsidRDefault="006A5A52" w:rsidP="00580DE3">
      <w:pPr>
        <w:pStyle w:val="Titulek"/>
      </w:pPr>
      <w:bookmarkStart w:id="21" w:name="_Toc525716308"/>
      <w:r w:rsidRPr="00BA4F8E">
        <w:lastRenderedPageBreak/>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6</w:t>
      </w:r>
      <w:r w:rsidR="00EE7C52">
        <w:rPr>
          <w:noProof/>
        </w:rPr>
        <w:fldChar w:fldCharType="end"/>
      </w:r>
      <w:r w:rsidRPr="00BA4F8E">
        <w:t xml:space="preserve"> </w:t>
      </w:r>
      <w:r w:rsidR="008638B0" w:rsidRPr="00BA4F8E">
        <w:t>–</w:t>
      </w:r>
      <w:r w:rsidR="00A657BD" w:rsidRPr="00BA4F8E">
        <w:t xml:space="preserve"> </w:t>
      </w:r>
      <w:r w:rsidR="008638B0" w:rsidRPr="00BA4F8E">
        <w:t>Struktura výdajů na HDP</w:t>
      </w:r>
      <w:bookmarkEnd w:id="21"/>
    </w:p>
    <w:p w14:paraId="556BF293" w14:textId="77777777" w:rsidR="008638B0" w:rsidRPr="00BA4F8E" w:rsidRDefault="008638B0" w:rsidP="008638B0">
      <w:pPr>
        <w:pStyle w:val="xl23"/>
        <w:pBdr>
          <w:left w:val="none" w:sz="0" w:space="0" w:color="auto"/>
          <w:right w:val="none" w:sz="0" w:space="0" w:color="auto"/>
        </w:pBdr>
        <w:tabs>
          <w:tab w:val="left" w:pos="6804"/>
        </w:tabs>
        <w:overflowPunct w:val="0"/>
        <w:autoSpaceDE w:val="0"/>
        <w:autoSpaceDN w:val="0"/>
        <w:adjustRightInd w:val="0"/>
        <w:spacing w:before="0" w:beforeAutospacing="0" w:after="0" w:afterAutospacing="0"/>
        <w:jc w:val="center"/>
        <w:textAlignment w:val="baseline"/>
        <w:rPr>
          <w:rFonts w:asciiTheme="minorHAnsi" w:hAnsiTheme="minorHAnsi" w:cs="Arial"/>
        </w:rPr>
      </w:pPr>
      <w:r w:rsidRPr="00BA4F8E">
        <w:rPr>
          <w:rFonts w:asciiTheme="minorHAnsi" w:hAnsiTheme="minorHAnsi" w:cs="Arial"/>
        </w:rPr>
        <w:t>(HDP - změna v %, výdaje - příspěvek ke změně v p. b)</w:t>
      </w:r>
    </w:p>
    <w:p w14:paraId="0FB95E86" w14:textId="40AA8E96" w:rsidR="008638B0" w:rsidRPr="00BA4F8E" w:rsidRDefault="008638B0" w:rsidP="008638B0">
      <w:pPr>
        <w:rPr>
          <w:lang w:eastAsia="cs-CZ"/>
        </w:rPr>
      </w:pPr>
      <w:r w:rsidRPr="00BA4F8E">
        <w:rPr>
          <w:noProof/>
          <w:lang w:eastAsia="cs-CZ"/>
        </w:rPr>
        <w:drawing>
          <wp:anchor distT="0" distB="0" distL="114300" distR="114300" simplePos="0" relativeHeight="251666432" behindDoc="0" locked="0" layoutInCell="1" allowOverlap="1" wp14:anchorId="55BE1D9A" wp14:editId="1120D124">
            <wp:simplePos x="0" y="0"/>
            <wp:positionH relativeFrom="column">
              <wp:posOffset>47625</wp:posOffset>
            </wp:positionH>
            <wp:positionV relativeFrom="paragraph">
              <wp:posOffset>215900</wp:posOffset>
            </wp:positionV>
            <wp:extent cx="6120130" cy="3956685"/>
            <wp:effectExtent l="0" t="0" r="0" b="5715"/>
            <wp:wrapNone/>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margin">
              <wp14:pctWidth>0</wp14:pctWidth>
            </wp14:sizeRelH>
            <wp14:sizeRelV relativeFrom="margin">
              <wp14:pctHeight>0</wp14:pctHeight>
            </wp14:sizeRelV>
          </wp:anchor>
        </w:drawing>
      </w:r>
    </w:p>
    <w:p w14:paraId="2945DE93" w14:textId="422C8301" w:rsidR="008638B0" w:rsidRPr="00BA4F8E" w:rsidRDefault="008638B0" w:rsidP="008638B0">
      <w:pPr>
        <w:rPr>
          <w:lang w:eastAsia="cs-CZ"/>
        </w:rPr>
      </w:pPr>
    </w:p>
    <w:p w14:paraId="787879D3" w14:textId="1EACC660" w:rsidR="008638B0" w:rsidRPr="00BA4F8E" w:rsidRDefault="008638B0" w:rsidP="008638B0">
      <w:pPr>
        <w:rPr>
          <w:lang w:eastAsia="cs-CZ"/>
        </w:rPr>
      </w:pPr>
    </w:p>
    <w:p w14:paraId="4FFEB169" w14:textId="77777777" w:rsidR="00C96E1F" w:rsidRPr="00BA4F8E" w:rsidRDefault="00C96E1F" w:rsidP="008638B0">
      <w:pPr>
        <w:rPr>
          <w:lang w:eastAsia="cs-CZ"/>
        </w:rPr>
      </w:pPr>
    </w:p>
    <w:p w14:paraId="40E69E58" w14:textId="71EABDBB" w:rsidR="008638B0" w:rsidRPr="00BA4F8E" w:rsidRDefault="008638B0" w:rsidP="008638B0">
      <w:pPr>
        <w:rPr>
          <w:lang w:eastAsia="cs-CZ"/>
        </w:rPr>
      </w:pPr>
    </w:p>
    <w:p w14:paraId="6A557833" w14:textId="27A37FF4" w:rsidR="008638B0" w:rsidRPr="00BA4F8E" w:rsidRDefault="008638B0" w:rsidP="008638B0">
      <w:pPr>
        <w:rPr>
          <w:lang w:eastAsia="cs-CZ"/>
        </w:rPr>
      </w:pPr>
    </w:p>
    <w:p w14:paraId="6BF11B62" w14:textId="585B4DE6" w:rsidR="008638B0" w:rsidRPr="00BA4F8E" w:rsidRDefault="008638B0" w:rsidP="008638B0">
      <w:pPr>
        <w:rPr>
          <w:lang w:eastAsia="cs-CZ"/>
        </w:rPr>
      </w:pPr>
    </w:p>
    <w:p w14:paraId="1BB47D28" w14:textId="0A78DE75" w:rsidR="008638B0" w:rsidRPr="00BA4F8E" w:rsidRDefault="008638B0" w:rsidP="008638B0">
      <w:pPr>
        <w:rPr>
          <w:lang w:eastAsia="cs-CZ"/>
        </w:rPr>
      </w:pPr>
    </w:p>
    <w:p w14:paraId="7632396D" w14:textId="15D4B1F7" w:rsidR="008638B0" w:rsidRPr="00BA4F8E" w:rsidRDefault="008638B0" w:rsidP="008638B0">
      <w:pPr>
        <w:rPr>
          <w:lang w:eastAsia="cs-CZ"/>
        </w:rPr>
      </w:pPr>
    </w:p>
    <w:p w14:paraId="7FD1F8E3" w14:textId="0296A08D" w:rsidR="008638B0" w:rsidRPr="00BA4F8E" w:rsidRDefault="008638B0" w:rsidP="008638B0">
      <w:pPr>
        <w:rPr>
          <w:lang w:eastAsia="cs-CZ"/>
        </w:rPr>
      </w:pPr>
    </w:p>
    <w:p w14:paraId="35462B0E" w14:textId="65B02579" w:rsidR="008638B0" w:rsidRPr="00BA4F8E" w:rsidRDefault="008638B0" w:rsidP="008638B0">
      <w:pPr>
        <w:rPr>
          <w:lang w:eastAsia="cs-CZ"/>
        </w:rPr>
      </w:pPr>
    </w:p>
    <w:p w14:paraId="5F436969" w14:textId="77777777" w:rsidR="00E4671C" w:rsidRPr="00BA4F8E" w:rsidRDefault="00E4671C" w:rsidP="008638B0">
      <w:pPr>
        <w:rPr>
          <w:lang w:eastAsia="cs-CZ"/>
        </w:rPr>
      </w:pPr>
    </w:p>
    <w:p w14:paraId="382FCE17" w14:textId="77777777" w:rsidR="00E4671C" w:rsidRPr="00BA4F8E" w:rsidRDefault="00E4671C" w:rsidP="008638B0">
      <w:pPr>
        <w:rPr>
          <w:lang w:eastAsia="cs-CZ"/>
        </w:rPr>
      </w:pPr>
    </w:p>
    <w:p w14:paraId="1D02263E" w14:textId="77777777" w:rsidR="00E4671C" w:rsidRPr="00BA4F8E" w:rsidRDefault="00E4671C" w:rsidP="008638B0">
      <w:pPr>
        <w:rPr>
          <w:lang w:eastAsia="cs-CZ"/>
        </w:rPr>
      </w:pPr>
    </w:p>
    <w:p w14:paraId="43A06411" w14:textId="52F92C67" w:rsidR="00BA61EB" w:rsidRPr="00AF062D" w:rsidRDefault="00BA61EB" w:rsidP="008C7E04">
      <w:pPr>
        <w:spacing w:line="360" w:lineRule="auto"/>
        <w:jc w:val="both"/>
        <w:rPr>
          <w:rFonts w:cs="Arial"/>
          <w:i/>
          <w:sz w:val="18"/>
          <w:szCs w:val="18"/>
        </w:rPr>
      </w:pPr>
      <w:r w:rsidRPr="00AF062D">
        <w:rPr>
          <w:rFonts w:cs="Arial"/>
          <w:i/>
          <w:sz w:val="18"/>
          <w:szCs w:val="18"/>
        </w:rPr>
        <w:t>Zdroj: ČSÚ</w:t>
      </w:r>
      <w:r w:rsidR="00BF1662" w:rsidRPr="00AF062D">
        <w:rPr>
          <w:rFonts w:cs="Arial"/>
          <w:i/>
          <w:sz w:val="18"/>
          <w:szCs w:val="18"/>
        </w:rPr>
        <w:t>, vlastní zpracování</w:t>
      </w:r>
      <w:r w:rsidRPr="00AF062D">
        <w:rPr>
          <w:rFonts w:cs="Arial"/>
          <w:i/>
          <w:sz w:val="18"/>
          <w:szCs w:val="18"/>
        </w:rPr>
        <w:t xml:space="preserve"> </w:t>
      </w:r>
    </w:p>
    <w:p w14:paraId="3B3E1D6F" w14:textId="77777777" w:rsidR="00C96E1F" w:rsidRPr="00BA4F8E" w:rsidRDefault="00C96E1F" w:rsidP="00BA61EB">
      <w:pPr>
        <w:spacing w:line="360" w:lineRule="auto"/>
        <w:ind w:firstLineChars="709" w:firstLine="1560"/>
        <w:jc w:val="both"/>
        <w:rPr>
          <w:rFonts w:cs="Arial"/>
          <w:i/>
        </w:rPr>
      </w:pPr>
    </w:p>
    <w:p w14:paraId="33041CEF" w14:textId="6C4018D6" w:rsidR="008638B0" w:rsidRPr="00BA4F8E" w:rsidRDefault="00E4671C" w:rsidP="00E4671C">
      <w:pPr>
        <w:spacing w:line="360" w:lineRule="auto"/>
        <w:ind w:firstLine="708"/>
        <w:jc w:val="both"/>
        <w:rPr>
          <w:rFonts w:cs="Arial"/>
          <w:i/>
        </w:rPr>
      </w:pPr>
      <w:r w:rsidRPr="00BA4F8E">
        <w:rPr>
          <w:rFonts w:cs="Arial"/>
        </w:rPr>
        <w:t>V průběhu let 1993 až 2017 se podstatně změnila struktura přílivu kapitálu. V prvních letech transformace byla mezera mezi tuzemskými úsporami a investicemi financována zahraničními zdroji ve formě dluhového kapitálu. Impulsem pro příliv tohoto kapitálu bylo v první polovině 90. let rozšíření vnější směnitelnosti koruny, liberalizace kapitálových toků, vstup do OECD a zlepšení ratingu. Vyšší úroveň domácích úrokových sazeb při režimu fixního kurzu přitahovala zejména v letech 1995 a 1996 krátkodobý kapitál. Po měnové krizi v roce 1997 a změně kurzového režimu přestal hrát krátkodobý kapitál významnou roli, neboť výsledkem byly méně zajímavé úrokové sazby. Postupem času se začaly prosazovat PZI ve formě nedluhového doplnění národních úspor. Jejich příliv zesílil rokem 1998, přičemž jedním z důvodů byla nižší cena aktiv z pohledu zahraničních investorů. Vláda také podpořila příliv PZI pomocí investičních pobídek a</w:t>
      </w:r>
      <w:r w:rsidR="00FA3002" w:rsidRPr="00BA4F8E">
        <w:rPr>
          <w:rFonts w:cs="Arial"/>
        </w:rPr>
        <w:t> </w:t>
      </w:r>
      <w:r w:rsidRPr="00BA4F8E">
        <w:rPr>
          <w:rFonts w:cs="Arial"/>
        </w:rPr>
        <w:t xml:space="preserve">umožnila vstup do strategicky důležitých odvětví. V roce 2002 činil příliv PZI přes 270 mld. Kč a byl podpořen privatizací velkých státních podniků a zaváděním investičních pobídek. Příliv PZI kulminoval v roce 2005 díky vstupu ČR do EU. Naproti tomu nástup reinvestic započal v roce 1998. Jeho význam byl marginální, ale postupem času narůstal. Objem </w:t>
      </w:r>
      <w:r w:rsidRPr="00BA4F8E">
        <w:rPr>
          <w:rFonts w:cs="Arial"/>
        </w:rPr>
        <w:lastRenderedPageBreak/>
        <w:t>reinvestic kulminoval v roce 2007, kdy činil 140,5 mld. Kč. V životním cyklu PZI se od roku 2008 projevuje výrazná dominance výplaty dividend oproti reinvestovanému zisku. Dochází tak ke kompenzaci počátečních vysokých investic do rozšiřování a rozvoje v tuzemsku držených majetkových účastí.</w:t>
      </w:r>
      <w:r w:rsidRPr="00BA4F8E">
        <w:rPr>
          <w:rStyle w:val="Znakapoznpodarou"/>
          <w:rFonts w:cs="Arial"/>
        </w:rPr>
        <w:footnoteReference w:id="11"/>
      </w:r>
    </w:p>
    <w:p w14:paraId="53CE9D33" w14:textId="77777777" w:rsidR="00BA61EB" w:rsidRPr="00BA4F8E" w:rsidRDefault="00BA61EB" w:rsidP="00BA61EB">
      <w:pPr>
        <w:spacing w:line="360" w:lineRule="auto"/>
        <w:ind w:firstLineChars="709" w:firstLine="1566"/>
        <w:jc w:val="both"/>
        <w:rPr>
          <w:rFonts w:cs="Arial"/>
          <w:b/>
        </w:rPr>
      </w:pPr>
    </w:p>
    <w:p w14:paraId="38719A53" w14:textId="75BCF4F4" w:rsidR="00BA61EB" w:rsidRPr="00BA4F8E" w:rsidRDefault="004373E4" w:rsidP="00580DE3">
      <w:pPr>
        <w:pStyle w:val="Titulek"/>
      </w:pPr>
      <w:bookmarkStart w:id="22" w:name="_Toc525716309"/>
      <w:r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7</w:t>
      </w:r>
      <w:r w:rsidR="00EE7C52">
        <w:rPr>
          <w:noProof/>
        </w:rPr>
        <w:fldChar w:fldCharType="end"/>
      </w:r>
      <w:r w:rsidRPr="00BA4F8E">
        <w:t xml:space="preserve"> </w:t>
      </w:r>
      <w:r w:rsidR="00E4671C" w:rsidRPr="00BA4F8E">
        <w:t>–</w:t>
      </w:r>
      <w:r w:rsidR="000E574A" w:rsidRPr="00BA4F8E">
        <w:t xml:space="preserve"> </w:t>
      </w:r>
      <w:r w:rsidR="00E4671C" w:rsidRPr="00BA4F8E">
        <w:t>Stav přímých</w:t>
      </w:r>
      <w:r w:rsidR="008F4FBF">
        <w:t xml:space="preserve"> zahraničních investic v ČR (mld</w:t>
      </w:r>
      <w:r w:rsidR="00E4671C" w:rsidRPr="00BA4F8E">
        <w:t>. Kč)</w:t>
      </w:r>
      <w:bookmarkEnd w:id="22"/>
    </w:p>
    <w:p w14:paraId="793A3219" w14:textId="1F5E70DD" w:rsidR="000E574A" w:rsidRPr="00BA4F8E" w:rsidRDefault="00590CA9" w:rsidP="00590CA9">
      <w:pPr>
        <w:jc w:val="center"/>
        <w:rPr>
          <w:lang w:eastAsia="cs-CZ"/>
        </w:rPr>
      </w:pPr>
      <w:r w:rsidRPr="00BA4F8E">
        <w:rPr>
          <w:noProof/>
          <w:lang w:eastAsia="cs-CZ"/>
        </w:rPr>
        <w:drawing>
          <wp:inline distT="0" distB="0" distL="0" distR="0" wp14:anchorId="051C88F5" wp14:editId="46033C03">
            <wp:extent cx="5167423" cy="2945218"/>
            <wp:effectExtent l="0" t="0" r="14605" b="7620"/>
            <wp:docPr id="8"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5F0B93E2" w14:textId="3666113F" w:rsidR="00BA61EB" w:rsidRPr="00AF062D" w:rsidRDefault="00BA61EB" w:rsidP="00AF062D">
      <w:pPr>
        <w:spacing w:line="360" w:lineRule="auto"/>
        <w:ind w:firstLine="708"/>
        <w:rPr>
          <w:rFonts w:cs="Arial"/>
          <w:i/>
          <w:sz w:val="18"/>
          <w:szCs w:val="18"/>
        </w:rPr>
      </w:pPr>
      <w:r w:rsidRPr="00AF062D">
        <w:rPr>
          <w:rFonts w:cs="Arial"/>
          <w:i/>
          <w:noProof/>
          <w:sz w:val="18"/>
          <w:szCs w:val="18"/>
          <w:lang w:eastAsia="cs-CZ"/>
        </w:rPr>
        <w:t>Zdroj:</w:t>
      </w:r>
      <w:r w:rsidR="000E574A" w:rsidRPr="00AF062D">
        <w:rPr>
          <w:rFonts w:cs="Arial"/>
          <w:b/>
          <w:i/>
          <w:sz w:val="18"/>
          <w:szCs w:val="18"/>
        </w:rPr>
        <w:t xml:space="preserve"> </w:t>
      </w:r>
      <w:r w:rsidR="00E4671C" w:rsidRPr="00AF062D">
        <w:rPr>
          <w:rFonts w:cs="Arial"/>
          <w:i/>
          <w:sz w:val="18"/>
          <w:szCs w:val="18"/>
        </w:rPr>
        <w:t>ČNB</w:t>
      </w:r>
      <w:r w:rsidR="00D743E0" w:rsidRPr="00AF062D">
        <w:rPr>
          <w:rFonts w:cs="Arial"/>
          <w:i/>
          <w:sz w:val="18"/>
          <w:szCs w:val="18"/>
        </w:rPr>
        <w:t>, vlastní zpracování</w:t>
      </w:r>
    </w:p>
    <w:p w14:paraId="5A353C89" w14:textId="77777777" w:rsidR="002D4809" w:rsidRPr="00BA4F8E" w:rsidRDefault="002D4809" w:rsidP="002D4809">
      <w:pPr>
        <w:spacing w:line="360" w:lineRule="auto"/>
        <w:ind w:left="848" w:firstLineChars="395" w:firstLine="869"/>
        <w:rPr>
          <w:rFonts w:cs="Arial"/>
          <w:i/>
          <w:noProof/>
          <w:lang w:eastAsia="cs-CZ"/>
        </w:rPr>
      </w:pPr>
    </w:p>
    <w:p w14:paraId="47604224" w14:textId="22070FE8" w:rsidR="00BA61EB" w:rsidRPr="00BA4F8E" w:rsidRDefault="00A4355C" w:rsidP="002D4809">
      <w:pPr>
        <w:spacing w:line="360" w:lineRule="auto"/>
        <w:ind w:firstLine="708"/>
        <w:jc w:val="both"/>
        <w:rPr>
          <w:rFonts w:cs="Arial"/>
        </w:rPr>
      </w:pPr>
      <w:r w:rsidRPr="00BA4F8E">
        <w:rPr>
          <w:rFonts w:cs="Arial"/>
        </w:rPr>
        <w:t>Světová e</w:t>
      </w:r>
      <w:r w:rsidR="00BA61EB" w:rsidRPr="00BA4F8E">
        <w:rPr>
          <w:rFonts w:cs="Arial"/>
        </w:rPr>
        <w:t>konomika v letech 2008 až 2012 prošla zatěžkávacím obdobím hospodářské krize a</w:t>
      </w:r>
      <w:r w:rsidR="002D4809" w:rsidRPr="00BA4F8E">
        <w:rPr>
          <w:rFonts w:cs="Arial"/>
        </w:rPr>
        <w:t> </w:t>
      </w:r>
      <w:r w:rsidR="00BA61EB" w:rsidRPr="00BA4F8E">
        <w:rPr>
          <w:rFonts w:cs="Arial"/>
        </w:rPr>
        <w:t>poklesu. Země V4 se zotavily s menšími následky poklesu a stagnace, mezi nejúspěšnějšími zeměmi bylo Polsko, které hospodářsky rostlo i v době ekonomické krize v Evropě. Česká republika se zařadila v roce 2015 a 2017 k lídrům hospodářského růstu.</w:t>
      </w:r>
    </w:p>
    <w:p w14:paraId="52D627E8" w14:textId="05222C0A" w:rsidR="00590CA9" w:rsidRDefault="00590CA9">
      <w:pPr>
        <w:spacing w:after="200" w:line="276" w:lineRule="auto"/>
        <w:rPr>
          <w:rFonts w:cs="Arial"/>
          <w:noProof/>
          <w:lang w:eastAsia="cs-CZ"/>
        </w:rPr>
      </w:pPr>
      <w:r>
        <w:rPr>
          <w:rFonts w:cs="Arial"/>
          <w:noProof/>
          <w:lang w:eastAsia="cs-CZ"/>
        </w:rPr>
        <w:br w:type="page"/>
      </w:r>
    </w:p>
    <w:p w14:paraId="7CC5DE66" w14:textId="7DFEA3C2" w:rsidR="00BA61EB" w:rsidRPr="00BA4F8E" w:rsidRDefault="00BA61EB" w:rsidP="00580DE3">
      <w:pPr>
        <w:pStyle w:val="Titulek"/>
      </w:pPr>
      <w:r w:rsidRPr="00BA4F8E">
        <w:lastRenderedPageBreak/>
        <w:t xml:space="preserve"> </w:t>
      </w:r>
      <w:bookmarkStart w:id="23" w:name="_Toc525716310"/>
      <w:r w:rsidR="00997F75" w:rsidRPr="00BA4F8E">
        <w:t xml:space="preserve">Graf </w:t>
      </w:r>
      <w:r w:rsidR="00DE4B82" w:rsidRPr="00BA4F8E">
        <w:rPr>
          <w:noProof/>
        </w:rPr>
        <w:fldChar w:fldCharType="begin"/>
      </w:r>
      <w:r w:rsidR="00DE4B82" w:rsidRPr="00BA4F8E">
        <w:rPr>
          <w:noProof/>
        </w:rPr>
        <w:instrText xml:space="preserve"> SEQ Graf \* ARABIC </w:instrText>
      </w:r>
      <w:r w:rsidR="00DE4B82" w:rsidRPr="00BA4F8E">
        <w:rPr>
          <w:noProof/>
        </w:rPr>
        <w:fldChar w:fldCharType="separate"/>
      </w:r>
      <w:r w:rsidR="00DE40D4">
        <w:rPr>
          <w:noProof/>
        </w:rPr>
        <w:t>8</w:t>
      </w:r>
      <w:r w:rsidR="00DE4B82" w:rsidRPr="00BA4F8E">
        <w:rPr>
          <w:noProof/>
        </w:rPr>
        <w:fldChar w:fldCharType="end"/>
      </w:r>
      <w:r w:rsidR="00997F75" w:rsidRPr="00BA4F8E">
        <w:t xml:space="preserve"> - </w:t>
      </w:r>
      <w:r w:rsidRPr="00BA4F8E">
        <w:t>Průměrný reálný roční růst HDP 2008–2012 a 2013–2017</w:t>
      </w:r>
      <w:bookmarkEnd w:id="23"/>
    </w:p>
    <w:p w14:paraId="4DF1D734" w14:textId="77777777" w:rsidR="00BA61EB" w:rsidRPr="00BA4F8E" w:rsidRDefault="00BA61EB" w:rsidP="00BA61EB">
      <w:pPr>
        <w:spacing w:after="60" w:line="360" w:lineRule="auto"/>
        <w:jc w:val="center"/>
        <w:rPr>
          <w:rFonts w:cs="Arial"/>
        </w:rPr>
      </w:pPr>
      <w:r w:rsidRPr="00BA4F8E">
        <w:rPr>
          <w:rFonts w:cs="Arial"/>
          <w:noProof/>
          <w:lang w:eastAsia="cs-CZ"/>
        </w:rPr>
        <w:drawing>
          <wp:inline distT="0" distB="0" distL="0" distR="0" wp14:anchorId="29C16EC5" wp14:editId="7CC331E3">
            <wp:extent cx="5316203" cy="325755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83376" cy="3298711"/>
                    </a:xfrm>
                    <a:prstGeom prst="rect">
                      <a:avLst/>
                    </a:prstGeom>
                    <a:noFill/>
                    <a:ln>
                      <a:noFill/>
                    </a:ln>
                  </pic:spPr>
                </pic:pic>
              </a:graphicData>
            </a:graphic>
          </wp:inline>
        </w:drawing>
      </w:r>
    </w:p>
    <w:p w14:paraId="51D9D250" w14:textId="180DC421" w:rsidR="00BA61EB" w:rsidRPr="00664F84" w:rsidRDefault="002D4809" w:rsidP="002D4809">
      <w:pPr>
        <w:spacing w:after="60" w:line="360" w:lineRule="auto"/>
        <w:ind w:left="708" w:firstLine="1"/>
        <w:rPr>
          <w:rFonts w:cs="Arial"/>
          <w:i/>
          <w:sz w:val="18"/>
          <w:szCs w:val="18"/>
        </w:rPr>
      </w:pPr>
      <w:r w:rsidRPr="00664F84">
        <w:rPr>
          <w:rFonts w:cs="Arial"/>
          <w:i/>
          <w:sz w:val="18"/>
          <w:szCs w:val="18"/>
        </w:rPr>
        <w:t xml:space="preserve">        Zdroj: </w:t>
      </w:r>
      <w:r w:rsidR="007747A9" w:rsidRPr="00664F84">
        <w:rPr>
          <w:rFonts w:cs="Arial"/>
          <w:i/>
          <w:sz w:val="18"/>
          <w:szCs w:val="18"/>
        </w:rPr>
        <w:t>Eurostat – Database: National accounts, GDP and main components</w:t>
      </w:r>
    </w:p>
    <w:p w14:paraId="2C661A89" w14:textId="77777777" w:rsidR="002D4809" w:rsidRPr="00BA4F8E" w:rsidRDefault="002D4809" w:rsidP="00BA61EB">
      <w:pPr>
        <w:spacing w:after="60" w:line="360" w:lineRule="auto"/>
        <w:rPr>
          <w:rFonts w:cs="Arial"/>
        </w:rPr>
      </w:pPr>
    </w:p>
    <w:p w14:paraId="395B4D55" w14:textId="77777777" w:rsidR="00881B5E" w:rsidRPr="00BA4F8E" w:rsidRDefault="00881B5E" w:rsidP="006D58C5">
      <w:pPr>
        <w:spacing w:after="0" w:line="360" w:lineRule="auto"/>
        <w:ind w:firstLine="709"/>
        <w:jc w:val="both"/>
        <w:rPr>
          <w:rFonts w:cs="Arial"/>
        </w:rPr>
      </w:pPr>
      <w:r w:rsidRPr="00BA4F8E">
        <w:rPr>
          <w:rFonts w:cs="Arial"/>
        </w:rPr>
        <w:t>Domácí ekonomika postupně zmenšuje výkonností mezeru za vyspělou Evropou. V tomto ohledu nyní dosahuje dosud nejlepšího postavení, které bylo v roce 2017 vyjádřeno hrubým domácím produktem na 1 obyvatele (ve standardu kupní síly) na úrovni cca 89 % průměru EU. Od vstupu do Unie v roce 2004, kdy hrubý domácí produkt na obyvatele dosahoval 79 % průměru EU, Česká republika postoupila na 15. místo evropské osmadvacítky. Přeskočila již čtyři země, nejprve Portugalsko, a dále pak Řecko, Slovinsko a Kypr.</w:t>
      </w:r>
    </w:p>
    <w:p w14:paraId="6414BA95" w14:textId="6D1F716C" w:rsidR="00BA61EB" w:rsidRPr="00BA4F8E" w:rsidRDefault="009A6F4F" w:rsidP="006D58C5">
      <w:pPr>
        <w:spacing w:after="0" w:line="360" w:lineRule="auto"/>
        <w:ind w:firstLine="709"/>
        <w:jc w:val="both"/>
        <w:rPr>
          <w:rFonts w:cs="Arial"/>
        </w:rPr>
      </w:pPr>
      <w:r w:rsidRPr="00BA4F8E">
        <w:rPr>
          <w:rFonts w:cs="Arial"/>
        </w:rPr>
        <w:t>M</w:t>
      </w:r>
      <w:r w:rsidR="00BA61EB" w:rsidRPr="00BA4F8E">
        <w:rPr>
          <w:rFonts w:cs="Arial"/>
        </w:rPr>
        <w:t>ezi výrobními a montážními aktivitami NNS ve zpracovatelském průmyslu na území ČR postupně roste produkce relativně složitějších komponent s vyšší přidanou hodnotou a</w:t>
      </w:r>
      <w:r w:rsidR="008A7E26" w:rsidRPr="00BA4F8E">
        <w:rPr>
          <w:rFonts w:cs="Arial"/>
        </w:rPr>
        <w:t> </w:t>
      </w:r>
      <w:r w:rsidR="00BA61EB" w:rsidRPr="00BA4F8E">
        <w:rPr>
          <w:rFonts w:cs="Arial"/>
        </w:rPr>
        <w:t>finálních produktů, zatímco významná část jednoduchých dílů se dováží. Postupný přesun aktivit s vyšší přidanou hodnotou u poboček NNS je stále motivován zejména nákladovou efektivitou</w:t>
      </w:r>
      <w:r w:rsidR="00BA61EB" w:rsidRPr="00BA4F8E">
        <w:rPr>
          <w:rStyle w:val="Znakapoznpodarou"/>
          <w:rFonts w:cs="Arial"/>
        </w:rPr>
        <w:footnoteReference w:id="12"/>
      </w:r>
      <w:r w:rsidR="00BA61EB" w:rsidRPr="00BA4F8E">
        <w:rPr>
          <w:rFonts w:cs="Arial"/>
        </w:rPr>
        <w:t>, nikoli přístupem k</w:t>
      </w:r>
      <w:r w:rsidR="0029212D" w:rsidRPr="00BA4F8E">
        <w:rPr>
          <w:rFonts w:cs="Arial"/>
        </w:rPr>
        <w:t> </w:t>
      </w:r>
      <w:r w:rsidR="00BA61EB" w:rsidRPr="00BA4F8E">
        <w:rPr>
          <w:rFonts w:cs="Arial"/>
        </w:rPr>
        <w:t>jedinečnému globálně uplatnitelnému know-how a znalostem. Paradoxně tak přetrvává model jen s postupným kvalifikačním posunem od využívání montážních dělníků k inženýrům zaměstnaným na aktivitách konstrukce a vývoje.</w:t>
      </w:r>
    </w:p>
    <w:p w14:paraId="24CA58DD" w14:textId="6FABF105" w:rsidR="00307C99" w:rsidRPr="00BA4F8E" w:rsidRDefault="00307C99" w:rsidP="006D58C5">
      <w:pPr>
        <w:spacing w:after="0" w:line="360" w:lineRule="auto"/>
        <w:ind w:firstLine="708"/>
        <w:jc w:val="both"/>
        <w:rPr>
          <w:rFonts w:cs="Arial"/>
        </w:rPr>
      </w:pPr>
      <w:r w:rsidRPr="00BA4F8E">
        <w:rPr>
          <w:rFonts w:cs="Arial"/>
        </w:rPr>
        <w:t xml:space="preserve">Pochopitelným důsledkem působnosti NNS v ČR je jejich snaha udržet klíčové know-how doma a distribuovat subdodávky různým pobočkám, nebo kontrahovaným subdodavatelům, aby nemohla </w:t>
      </w:r>
      <w:r w:rsidRPr="00BA4F8E">
        <w:rPr>
          <w:rFonts w:cs="Arial"/>
        </w:rPr>
        <w:lastRenderedPageBreak/>
        <w:t>vzniknout konkurence. Z úhlu pohledu českých firem, resp. poboček NNS je žádoucí se z tohoto postavení vymanit. Příklady existují, není to ovšem snadné.</w:t>
      </w:r>
    </w:p>
    <w:p w14:paraId="27EFE881" w14:textId="4A2ED0B9" w:rsidR="00E71F96" w:rsidRPr="00BA4F8E" w:rsidRDefault="00E71F96" w:rsidP="00E71F96">
      <w:pPr>
        <w:spacing w:line="360" w:lineRule="auto"/>
        <w:ind w:firstLine="708"/>
        <w:jc w:val="both"/>
        <w:rPr>
          <w:rFonts w:cs="Arial"/>
        </w:rPr>
      </w:pPr>
      <w:r w:rsidRPr="00BA4F8E">
        <w:rPr>
          <w:rFonts w:cs="Arial"/>
        </w:rPr>
        <w:t>Česká republika, jakožto malá a otevřená ekonomika, je vysoce začleněná v globálních hodnotových řetězcích. Dle předběžných odhadů OECD činil v roce 2014 zahraniční obsah v</w:t>
      </w:r>
      <w:r w:rsidR="00B84155" w:rsidRPr="00BA4F8E">
        <w:rPr>
          <w:rFonts w:cs="Arial"/>
        </w:rPr>
        <w:t> </w:t>
      </w:r>
      <w:r w:rsidRPr="00BA4F8E">
        <w:rPr>
          <w:rFonts w:cs="Arial"/>
        </w:rPr>
        <w:t>exportovaném zboží z ČR 46,6 %. Tento ukazatel zaznamenal za dvě dekády výrazný růst, když od roku 1995 vzrostl o 16,2 procentních bodů. Rostoucí otevřenost české ekonomiky naznačuje také to, že 46,4 % domácí přidané hodnoty v roce 2014 bylo realizováno pro zahraniční poptávku a v roce 1995 to bylo o 11,8 procentních bodů méně. Ještě výraznější nárůst nastal ve zpracovatelském průmyslu z</w:t>
      </w:r>
      <w:r w:rsidR="00B84155" w:rsidRPr="00BA4F8E">
        <w:rPr>
          <w:rFonts w:cs="Arial"/>
        </w:rPr>
        <w:t> </w:t>
      </w:r>
      <w:r w:rsidRPr="00BA4F8E">
        <w:rPr>
          <w:rFonts w:cs="Arial"/>
        </w:rPr>
        <w:t xml:space="preserve">52,9 % na 77,0 %. </w:t>
      </w:r>
    </w:p>
    <w:p w14:paraId="58FC0ADB" w14:textId="77777777" w:rsidR="00C96E1F" w:rsidRPr="00BA4F8E" w:rsidRDefault="00C96E1F" w:rsidP="00E71F96">
      <w:pPr>
        <w:spacing w:line="360" w:lineRule="auto"/>
        <w:ind w:firstLine="708"/>
        <w:jc w:val="both"/>
        <w:rPr>
          <w:rFonts w:cs="Arial"/>
        </w:rPr>
      </w:pPr>
    </w:p>
    <w:p w14:paraId="208CA685" w14:textId="63F1CA83" w:rsidR="00E71F96" w:rsidRPr="00B15677" w:rsidRDefault="00590CA9" w:rsidP="00580DE3">
      <w:pPr>
        <w:pStyle w:val="Titulek"/>
      </w:pPr>
      <w:bookmarkStart w:id="24" w:name="_Toc525716311"/>
      <w:r w:rsidRPr="00BA4F8E">
        <w:rPr>
          <w:noProof/>
          <w:color w:val="000000" w:themeColor="text1"/>
        </w:rPr>
        <w:drawing>
          <wp:anchor distT="0" distB="0" distL="114300" distR="114300" simplePos="0" relativeHeight="251697152" behindDoc="0" locked="0" layoutInCell="1" allowOverlap="1" wp14:anchorId="129C678B" wp14:editId="09BFC643">
            <wp:simplePos x="0" y="0"/>
            <wp:positionH relativeFrom="margin">
              <wp:align>center</wp:align>
            </wp:positionH>
            <wp:positionV relativeFrom="paragraph">
              <wp:posOffset>208915</wp:posOffset>
            </wp:positionV>
            <wp:extent cx="6094730" cy="2982595"/>
            <wp:effectExtent l="0" t="0" r="1270" b="8255"/>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94730" cy="2982595"/>
                    </a:xfrm>
                    <a:prstGeom prst="rect">
                      <a:avLst/>
                    </a:prstGeom>
                    <a:noFill/>
                  </pic:spPr>
                </pic:pic>
              </a:graphicData>
            </a:graphic>
          </wp:anchor>
        </w:drawing>
      </w:r>
      <w:r w:rsidR="007D1783"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9</w:t>
      </w:r>
      <w:r w:rsidR="00EE7C52">
        <w:rPr>
          <w:noProof/>
        </w:rPr>
        <w:fldChar w:fldCharType="end"/>
      </w:r>
      <w:r w:rsidR="007D1783" w:rsidRPr="00BA4F8E">
        <w:t xml:space="preserve"> </w:t>
      </w:r>
      <w:r w:rsidR="005909E1" w:rsidRPr="00BA4F8E">
        <w:t xml:space="preserve">- </w:t>
      </w:r>
      <w:r w:rsidR="00E71F96" w:rsidRPr="00BA4F8E">
        <w:t>Podíl zahraniční přidané hodnoty v hrubých exportech (v %)</w:t>
      </w:r>
      <w:bookmarkEnd w:id="24"/>
    </w:p>
    <w:p w14:paraId="4EDCEE85" w14:textId="476F54DB" w:rsidR="00E71F96" w:rsidRPr="00AF062D" w:rsidRDefault="00E71F96" w:rsidP="00E71F96">
      <w:pPr>
        <w:jc w:val="both"/>
        <w:rPr>
          <w:i/>
          <w:color w:val="000000" w:themeColor="text1"/>
          <w:sz w:val="18"/>
          <w:szCs w:val="18"/>
        </w:rPr>
      </w:pPr>
      <w:r w:rsidRPr="00AF062D">
        <w:rPr>
          <w:i/>
          <w:color w:val="000000" w:themeColor="text1"/>
          <w:sz w:val="18"/>
          <w:szCs w:val="18"/>
        </w:rPr>
        <w:t xml:space="preserve">Zdroj: OECD, databáze TiVA, vlastní </w:t>
      </w:r>
      <w:r w:rsidR="00700E66" w:rsidRPr="00AF062D">
        <w:rPr>
          <w:i/>
          <w:color w:val="000000" w:themeColor="text1"/>
          <w:sz w:val="18"/>
          <w:szCs w:val="18"/>
        </w:rPr>
        <w:t>zpracování</w:t>
      </w:r>
    </w:p>
    <w:p w14:paraId="085801A0" w14:textId="77777777" w:rsidR="005004E0" w:rsidRPr="00BA4F8E" w:rsidRDefault="005004E0" w:rsidP="00446CA8">
      <w:pPr>
        <w:spacing w:line="360" w:lineRule="auto"/>
        <w:jc w:val="both"/>
        <w:rPr>
          <w:rFonts w:cs="Arial"/>
        </w:rPr>
      </w:pPr>
    </w:p>
    <w:p w14:paraId="4E5862E8" w14:textId="77777777" w:rsidR="00446CA8" w:rsidRPr="00BA4F8E" w:rsidRDefault="00BA61EB" w:rsidP="00446CA8">
      <w:pPr>
        <w:spacing w:line="360" w:lineRule="auto"/>
        <w:ind w:firstLine="708"/>
        <w:jc w:val="both"/>
        <w:rPr>
          <w:rFonts w:cs="Arial"/>
        </w:rPr>
      </w:pPr>
      <w:r w:rsidRPr="00BA4F8E">
        <w:rPr>
          <w:rFonts w:cs="Arial"/>
        </w:rPr>
        <w:t>Hlavním motorem vysoké exportní výkonnosti ČR byla zahraniční poptávka po produktech z</w:t>
      </w:r>
      <w:r w:rsidR="008A7E26" w:rsidRPr="00BA4F8E">
        <w:rPr>
          <w:rFonts w:cs="Arial"/>
        </w:rPr>
        <w:t> </w:t>
      </w:r>
      <w:r w:rsidRPr="00BA4F8E">
        <w:rPr>
          <w:rFonts w:cs="Arial"/>
        </w:rPr>
        <w:t xml:space="preserve">ČR, která byla naplňována pobočkami NNS výrobního typu, z čehož profitovaly svými subdodávkami i domácí firmy. Méně se na tom podílela rostoucí konkurenceschopnost a exportní výkonnosti endogenních firem. </w:t>
      </w:r>
      <w:r w:rsidR="00446CA8" w:rsidRPr="00BA4F8E">
        <w:rPr>
          <w:rFonts w:cs="Arial"/>
        </w:rPr>
        <w:t>Hlavní vývozní položkou jsou tradičně výrobky zpracovatelského průmyslu, především pak stroje a dopravní prostředky.</w:t>
      </w:r>
    </w:p>
    <w:p w14:paraId="22A16F5E" w14:textId="77777777" w:rsidR="00366B2E" w:rsidRDefault="00366B2E" w:rsidP="00580DE3">
      <w:pPr>
        <w:pStyle w:val="Titulek"/>
      </w:pPr>
    </w:p>
    <w:p w14:paraId="263A2B76" w14:textId="77777777" w:rsidR="00366B2E" w:rsidRDefault="00366B2E" w:rsidP="00580DE3">
      <w:pPr>
        <w:pStyle w:val="Titulek"/>
      </w:pPr>
    </w:p>
    <w:p w14:paraId="20A21E31" w14:textId="77777777" w:rsidR="00366B2E" w:rsidRDefault="00366B2E" w:rsidP="00580DE3">
      <w:pPr>
        <w:pStyle w:val="Titulek"/>
      </w:pPr>
    </w:p>
    <w:p w14:paraId="2DCD72D5" w14:textId="77C74346" w:rsidR="004C39C8" w:rsidRPr="00BA4F8E" w:rsidRDefault="00192493" w:rsidP="00580DE3">
      <w:pPr>
        <w:pStyle w:val="Titulek"/>
      </w:pPr>
      <w:bookmarkStart w:id="25" w:name="_Toc525716312"/>
      <w:r w:rsidRPr="00BA4F8E">
        <w:lastRenderedPageBreak/>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10</w:t>
      </w:r>
      <w:r w:rsidR="00EE7C52">
        <w:rPr>
          <w:noProof/>
        </w:rPr>
        <w:fldChar w:fldCharType="end"/>
      </w:r>
      <w:r w:rsidR="001D5289" w:rsidRPr="00BA4F8E">
        <w:t xml:space="preserve"> – Struktura exportu podle teritorií a komodit (%)</w:t>
      </w:r>
      <w:bookmarkEnd w:id="25"/>
    </w:p>
    <w:p w14:paraId="3DBB14C5" w14:textId="6DABC884" w:rsidR="004C39C8" w:rsidRPr="00BA4F8E" w:rsidRDefault="00590CA9" w:rsidP="000A22B0">
      <w:pPr>
        <w:spacing w:line="360" w:lineRule="auto"/>
        <w:jc w:val="center"/>
        <w:rPr>
          <w:rFonts w:cs="Arial"/>
        </w:rPr>
      </w:pPr>
      <w:r w:rsidRPr="00BA4F8E">
        <w:rPr>
          <w:rFonts w:cs="Arial"/>
          <w:noProof/>
          <w:lang w:eastAsia="cs-CZ"/>
        </w:rPr>
        <w:drawing>
          <wp:anchor distT="0" distB="0" distL="114300" distR="114300" simplePos="0" relativeHeight="251669504" behindDoc="0" locked="0" layoutInCell="1" allowOverlap="1" wp14:anchorId="09E08C17" wp14:editId="3B1BF47E">
            <wp:simplePos x="0" y="0"/>
            <wp:positionH relativeFrom="margin">
              <wp:align>left</wp:align>
            </wp:positionH>
            <wp:positionV relativeFrom="paragraph">
              <wp:posOffset>3206750</wp:posOffset>
            </wp:positionV>
            <wp:extent cx="6067425" cy="3569970"/>
            <wp:effectExtent l="0" t="0" r="9525" b="0"/>
            <wp:wrapSquare wrapText="bothSides"/>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067425" cy="3569970"/>
                    </a:xfrm>
                    <a:prstGeom prst="rect">
                      <a:avLst/>
                    </a:prstGeom>
                    <a:noFill/>
                  </pic:spPr>
                </pic:pic>
              </a:graphicData>
            </a:graphic>
            <wp14:sizeRelH relativeFrom="margin">
              <wp14:pctWidth>0</wp14:pctWidth>
            </wp14:sizeRelH>
            <wp14:sizeRelV relativeFrom="margin">
              <wp14:pctHeight>0</wp14:pctHeight>
            </wp14:sizeRelV>
          </wp:anchor>
        </w:drawing>
      </w:r>
      <w:r w:rsidRPr="00BA4F8E">
        <w:rPr>
          <w:noProof/>
          <w:lang w:eastAsia="cs-CZ"/>
        </w:rPr>
        <w:drawing>
          <wp:anchor distT="0" distB="0" distL="114300" distR="114300" simplePos="0" relativeHeight="251667456" behindDoc="0" locked="0" layoutInCell="1" allowOverlap="1" wp14:anchorId="47A1D4D3" wp14:editId="649113BB">
            <wp:simplePos x="0" y="0"/>
            <wp:positionH relativeFrom="margin">
              <wp:posOffset>2751943</wp:posOffset>
            </wp:positionH>
            <wp:positionV relativeFrom="paragraph">
              <wp:posOffset>320025</wp:posOffset>
            </wp:positionV>
            <wp:extent cx="3419475" cy="2809875"/>
            <wp:effectExtent l="0" t="0" r="0" b="0"/>
            <wp:wrapTopAndBottom/>
            <wp:docPr id="11"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margin">
              <wp14:pctWidth>0</wp14:pctWidth>
            </wp14:sizeRelH>
            <wp14:sizeRelV relativeFrom="margin">
              <wp14:pctHeight>0</wp14:pctHeight>
            </wp14:sizeRelV>
          </wp:anchor>
        </w:drawing>
      </w:r>
      <w:r w:rsidRPr="00BA4F8E">
        <w:rPr>
          <w:noProof/>
          <w:lang w:eastAsia="cs-CZ"/>
        </w:rPr>
        <w:drawing>
          <wp:anchor distT="0" distB="0" distL="114300" distR="114300" simplePos="0" relativeHeight="251668480" behindDoc="0" locked="0" layoutInCell="1" allowOverlap="1" wp14:anchorId="1CEB7CCD" wp14:editId="5C18D9F1">
            <wp:simplePos x="0" y="0"/>
            <wp:positionH relativeFrom="margin">
              <wp:align>left</wp:align>
            </wp:positionH>
            <wp:positionV relativeFrom="paragraph">
              <wp:posOffset>299867</wp:posOffset>
            </wp:positionV>
            <wp:extent cx="2880000" cy="2880000"/>
            <wp:effectExtent l="0" t="0" r="0" b="0"/>
            <wp:wrapSquare wrapText="bothSides"/>
            <wp:docPr id="10" name="Graf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anchor>
        </w:drawing>
      </w:r>
    </w:p>
    <w:p w14:paraId="4358F470" w14:textId="151741E8" w:rsidR="004C39C8" w:rsidRPr="007266F0" w:rsidRDefault="00BB4241" w:rsidP="004D01D9">
      <w:pPr>
        <w:spacing w:line="360" w:lineRule="auto"/>
        <w:jc w:val="both"/>
        <w:rPr>
          <w:rFonts w:cs="Arial"/>
          <w:i/>
          <w:sz w:val="18"/>
          <w:szCs w:val="18"/>
        </w:rPr>
      </w:pPr>
      <w:r w:rsidRPr="007266F0">
        <w:rPr>
          <w:rFonts w:cs="Arial"/>
          <w:i/>
          <w:sz w:val="18"/>
          <w:szCs w:val="18"/>
        </w:rPr>
        <w:t xml:space="preserve">Zdroj: </w:t>
      </w:r>
      <w:r w:rsidR="00A76A0B" w:rsidRPr="007266F0">
        <w:rPr>
          <w:rFonts w:cs="Arial"/>
          <w:i/>
          <w:sz w:val="18"/>
          <w:szCs w:val="18"/>
        </w:rPr>
        <w:t>ČSÚ</w:t>
      </w:r>
      <w:r w:rsidR="00700E66" w:rsidRPr="007266F0">
        <w:rPr>
          <w:rFonts w:cs="Arial"/>
          <w:i/>
          <w:sz w:val="18"/>
          <w:szCs w:val="18"/>
        </w:rPr>
        <w:t>, vlastní zpracování</w:t>
      </w:r>
    </w:p>
    <w:p w14:paraId="0E68729A" w14:textId="77777777" w:rsidR="006D58C5" w:rsidRPr="00BA4F8E" w:rsidRDefault="006D58C5" w:rsidP="00446CA8">
      <w:pPr>
        <w:spacing w:line="360" w:lineRule="auto"/>
        <w:ind w:firstLine="708"/>
        <w:jc w:val="both"/>
        <w:rPr>
          <w:rFonts w:cs="Arial"/>
        </w:rPr>
      </w:pPr>
    </w:p>
    <w:p w14:paraId="46C85AA6" w14:textId="4EBD382A" w:rsidR="00EF7B18" w:rsidRPr="00BA4F8E" w:rsidRDefault="00500312" w:rsidP="006D58C5">
      <w:pPr>
        <w:spacing w:after="0" w:line="360" w:lineRule="auto"/>
        <w:ind w:firstLine="709"/>
        <w:jc w:val="both"/>
        <w:rPr>
          <w:rFonts w:cs="Arial"/>
        </w:rPr>
      </w:pPr>
      <w:r w:rsidRPr="00BA4F8E">
        <w:rPr>
          <w:rFonts w:cs="Arial"/>
        </w:rPr>
        <w:t xml:space="preserve">Hlavním cílovým exportním trhem je tradičně Evropská unie, kam dlouhodobě směřuje více jak 83 % hodnoty celkového exportu. Podíl EU v čase je vcelku konzistentní a závisí především na ekonomickém výkonu jednotlivých států EU a zároveň na poptávce po produktech vyráběných v ČR. Vysoce aktivní bilance zahraničního obchodu s většinou zemí EU je mj. důsledkem lokalizace výrobních </w:t>
      </w:r>
      <w:r w:rsidRPr="00BA4F8E">
        <w:rPr>
          <w:rFonts w:cs="Arial"/>
        </w:rPr>
        <w:lastRenderedPageBreak/>
        <w:t>kapacit zahraničních (zejména evropských) firem do ČR, přičemž schopnost obsazovat tyto náročné zahraniční trhy tkví v aktivitách lokalizovaných v zahraničí</w:t>
      </w:r>
      <w:r w:rsidR="009F6252">
        <w:rPr>
          <w:rStyle w:val="Znakapoznpodarou"/>
          <w:rFonts w:cs="Arial"/>
        </w:rPr>
        <w:footnoteReference w:id="13"/>
      </w:r>
      <w:r w:rsidRPr="00BA4F8E">
        <w:rPr>
          <w:rFonts w:cs="Arial"/>
        </w:rPr>
        <w:t>, ve většině případů se nejedná o aktivity řízené z ČR nebo využívající místní schopnosti tyto trhy obsadit. V posledních letech se daří obchodu ČR s ostatními vyspělými ekonomikami, což naznačuje rostoucí schopnost místních podniků obsazovat náročné zahraniční trhy i mimo EU. I přesto však zůstává objem zahraničního obchodu s ostatními vyspělými ekonomikami mimo EU vzhledem k jejich velikosti nízký.</w:t>
      </w:r>
      <w:r w:rsidR="00BA61EB" w:rsidRPr="00BA4F8E">
        <w:rPr>
          <w:rFonts w:cs="Arial"/>
        </w:rPr>
        <w:t xml:space="preserve"> </w:t>
      </w:r>
    </w:p>
    <w:p w14:paraId="46EDE111" w14:textId="18FEA9D1" w:rsidR="008E59DC" w:rsidRDefault="00133DBF" w:rsidP="006D58C5">
      <w:pPr>
        <w:spacing w:after="0" w:line="360" w:lineRule="auto"/>
        <w:ind w:firstLine="709"/>
        <w:jc w:val="both"/>
        <w:rPr>
          <w:rFonts w:cs="Arial"/>
        </w:rPr>
      </w:pPr>
      <w:r w:rsidRPr="00BA4F8E">
        <w:rPr>
          <w:rFonts w:cs="Arial"/>
        </w:rPr>
        <w:t xml:space="preserve">Příznivý vývoj obchodní bilance vypovídá o přetrvávající cenové konkurenceschopnosti českých vývozů na zahraničních trzích. I přes dlouhodobě posilující kurz koruny a </w:t>
      </w:r>
      <w:r>
        <w:rPr>
          <w:rFonts w:cs="Arial"/>
        </w:rPr>
        <w:t xml:space="preserve">konvergenci mzdové úrovně </w:t>
      </w:r>
      <w:r w:rsidRPr="00BA4F8E">
        <w:rPr>
          <w:rFonts w:cs="Arial"/>
        </w:rPr>
        <w:t>nedochází k nekontrolovanému zdražení domácích exportů z titulu posílení reálného efektivního kurzu koruny. I</w:t>
      </w:r>
      <w:r>
        <w:rPr>
          <w:rFonts w:cs="Arial"/>
        </w:rPr>
        <w:t> </w:t>
      </w:r>
      <w:r w:rsidRPr="00BA4F8E">
        <w:rPr>
          <w:rFonts w:cs="Arial"/>
        </w:rPr>
        <w:t>když reálný efektivní kurz koruny od roku 2015 postupně posiluje, stále se drží na slabších úrovních oproti REER v Německu. Naopak oproti ostatním zemím z regionu střední Evropy (Maďarsko, Polsko) je kurz koruny mírně silnější.</w:t>
      </w:r>
      <w:r>
        <w:rPr>
          <w:rFonts w:cs="Arial"/>
        </w:rPr>
        <w:t xml:space="preserve"> V důsledku konvergence tuzemské ekonomiky k vyspělým ekonomikách lze i nadále očekávat postupné posílení rovnovážného reálného kurzu, který bude tlačit na zvyšování produktivity práce u českých firem. V krátkodobém horizontu by však mohlo dojít k rychlejší nežli rovnovážné apreciaci koruny, např. kvůli opuštění kurzového závazku a rychlejšímu zvýšení úrokových sazeb ČNB. To by společně s rychlým růstem mzdových nákladů mohlo krátkodobě zhoršovat cenovou konkurenceschopnost </w:t>
      </w:r>
      <w:r w:rsidRPr="00BA4F8E">
        <w:rPr>
          <w:rFonts w:cs="Arial"/>
        </w:rPr>
        <w:t>českých exportérů</w:t>
      </w:r>
      <w:r w:rsidR="00B660F0">
        <w:rPr>
          <w:rStyle w:val="Znakapoznpodarou"/>
          <w:rFonts w:cs="Arial"/>
        </w:rPr>
        <w:footnoteReference w:id="14"/>
      </w:r>
      <w:r w:rsidR="008E59DC" w:rsidRPr="00BA4F8E">
        <w:rPr>
          <w:rFonts w:cs="Arial"/>
        </w:rPr>
        <w:t>.</w:t>
      </w:r>
    </w:p>
    <w:p w14:paraId="3F5E62C2" w14:textId="22FF8B6A" w:rsidR="003C70D1" w:rsidRPr="00BA4F8E" w:rsidRDefault="00133DBF" w:rsidP="00133DBF">
      <w:pPr>
        <w:spacing w:after="200" w:line="276" w:lineRule="auto"/>
        <w:rPr>
          <w:rFonts w:cs="Arial"/>
        </w:rPr>
      </w:pPr>
      <w:r>
        <w:rPr>
          <w:rFonts w:cs="Arial"/>
        </w:rPr>
        <w:br w:type="page"/>
      </w:r>
    </w:p>
    <w:p w14:paraId="4133BDCE" w14:textId="05FB795D" w:rsidR="00E23CB6" w:rsidRPr="00BA4F8E" w:rsidRDefault="00166B52" w:rsidP="00580DE3">
      <w:pPr>
        <w:pStyle w:val="Titulek"/>
      </w:pPr>
      <w:bookmarkStart w:id="26" w:name="_Toc525716313"/>
      <w:r w:rsidRPr="00BA4F8E">
        <w:lastRenderedPageBreak/>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11</w:t>
      </w:r>
      <w:r w:rsidR="00EE7C52">
        <w:rPr>
          <w:noProof/>
        </w:rPr>
        <w:fldChar w:fldCharType="end"/>
      </w:r>
      <w:r w:rsidRPr="00BA4F8E">
        <w:t xml:space="preserve"> </w:t>
      </w:r>
      <w:r w:rsidR="00E23CB6" w:rsidRPr="00BA4F8E">
        <w:t>- Reálný efektivní kurz vybraných zemí (deflováno jednotkovými náklady práce)</w:t>
      </w:r>
      <w:bookmarkEnd w:id="26"/>
    </w:p>
    <w:p w14:paraId="0F43928E" w14:textId="69F2DD66" w:rsidR="00E23CB6" w:rsidRPr="00BA4F8E" w:rsidRDefault="00E23CB6" w:rsidP="00E23CB6">
      <w:pPr>
        <w:rPr>
          <w:lang w:eastAsia="cs-CZ"/>
        </w:rPr>
      </w:pPr>
      <w:r w:rsidRPr="00BA4F8E">
        <w:rPr>
          <w:rFonts w:cs="Arial"/>
          <w:noProof/>
          <w:lang w:eastAsia="cs-CZ"/>
        </w:rPr>
        <w:drawing>
          <wp:inline distT="0" distB="0" distL="0" distR="0" wp14:anchorId="25248585" wp14:editId="052315A3">
            <wp:extent cx="5943600" cy="370078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3700780"/>
                    </a:xfrm>
                    <a:prstGeom prst="rect">
                      <a:avLst/>
                    </a:prstGeom>
                    <a:noFill/>
                  </pic:spPr>
                </pic:pic>
              </a:graphicData>
            </a:graphic>
          </wp:inline>
        </w:drawing>
      </w:r>
    </w:p>
    <w:p w14:paraId="32936603" w14:textId="645C3AAC" w:rsidR="00E23CB6" w:rsidRPr="00032666" w:rsidRDefault="00E23CB6" w:rsidP="00E23CB6">
      <w:pPr>
        <w:rPr>
          <w:i/>
          <w:sz w:val="18"/>
          <w:szCs w:val="18"/>
          <w:lang w:eastAsia="cs-CZ"/>
        </w:rPr>
      </w:pPr>
      <w:r w:rsidRPr="00032666">
        <w:rPr>
          <w:i/>
          <w:sz w:val="18"/>
          <w:szCs w:val="18"/>
          <w:lang w:eastAsia="cs-CZ"/>
        </w:rPr>
        <w:t>Zdroj:</w:t>
      </w:r>
      <w:r w:rsidR="00B92210" w:rsidRPr="00032666">
        <w:rPr>
          <w:i/>
          <w:sz w:val="18"/>
          <w:szCs w:val="18"/>
          <w:lang w:eastAsia="cs-CZ"/>
        </w:rPr>
        <w:t xml:space="preserve"> Eurostat – 37 obchodních partnerů (průmyslové země)</w:t>
      </w:r>
      <w:r w:rsidR="00790A0A" w:rsidRPr="00032666">
        <w:rPr>
          <w:i/>
          <w:sz w:val="18"/>
          <w:szCs w:val="18"/>
          <w:lang w:eastAsia="cs-CZ"/>
        </w:rPr>
        <w:t xml:space="preserve">, </w:t>
      </w:r>
      <w:r w:rsidR="00700E66" w:rsidRPr="00032666">
        <w:rPr>
          <w:i/>
          <w:sz w:val="18"/>
          <w:szCs w:val="18"/>
          <w:lang w:eastAsia="cs-CZ"/>
        </w:rPr>
        <w:t>vlastní zpracování</w:t>
      </w:r>
    </w:p>
    <w:p w14:paraId="0F4A6328" w14:textId="77777777" w:rsidR="00BA61EB" w:rsidRPr="00BA4F8E" w:rsidRDefault="00BA61EB" w:rsidP="00BA61EB">
      <w:pPr>
        <w:spacing w:line="360" w:lineRule="auto"/>
        <w:ind w:firstLineChars="709" w:firstLine="1560"/>
        <w:jc w:val="both"/>
        <w:rPr>
          <w:rFonts w:cs="Arial"/>
        </w:rPr>
      </w:pPr>
    </w:p>
    <w:p w14:paraId="33CAA8A2" w14:textId="114273F4" w:rsidR="00AD17D5" w:rsidRPr="005C2F38" w:rsidRDefault="00AD17D5" w:rsidP="005C2F38">
      <w:pPr>
        <w:pStyle w:val="Nadpis2"/>
      </w:pPr>
      <w:bookmarkStart w:id="27" w:name="_Toc525716166"/>
      <w:r w:rsidRPr="005C2F38">
        <w:t>Světové trendy</w:t>
      </w:r>
      <w:bookmarkEnd w:id="27"/>
    </w:p>
    <w:p w14:paraId="00B4240D" w14:textId="3040A885" w:rsidR="00EF7B18" w:rsidRPr="00BA4F8E" w:rsidRDefault="00EF7B18" w:rsidP="005F458F">
      <w:pPr>
        <w:spacing w:before="240" w:line="360" w:lineRule="auto"/>
        <w:ind w:firstLine="709"/>
        <w:jc w:val="both"/>
        <w:rPr>
          <w:rFonts w:cs="Arial"/>
        </w:rPr>
      </w:pPr>
      <w:r w:rsidRPr="00BA4F8E">
        <w:rPr>
          <w:rFonts w:cs="Arial"/>
        </w:rPr>
        <w:t xml:space="preserve">Českou ekonomiku a její konkurenceschopnost ovlivňuje celá řada celosvětových trendů, které mají pro </w:t>
      </w:r>
      <w:r w:rsidR="00D118C6" w:rsidRPr="00BA4F8E">
        <w:rPr>
          <w:rFonts w:cs="Arial"/>
        </w:rPr>
        <w:t>ni</w:t>
      </w:r>
      <w:r w:rsidRPr="00BA4F8E">
        <w:rPr>
          <w:rFonts w:cs="Arial"/>
        </w:rPr>
        <w:t xml:space="preserve"> charakter příležitostí nebo hrozeb a v mnoha případech působí protichůdně. Trendy lze rozdělit na změny v organizačním uspořádání světové ekonomiky a na druhé straně na tzv.</w:t>
      </w:r>
      <w:r w:rsidR="00D118C6" w:rsidRPr="00BA4F8E">
        <w:rPr>
          <w:rFonts w:cs="Arial"/>
        </w:rPr>
        <w:t> </w:t>
      </w:r>
      <w:r w:rsidRPr="00BA4F8E">
        <w:rPr>
          <w:rFonts w:cs="Arial"/>
        </w:rPr>
        <w:t>Megatrendy, které ovlivňují zejména světovou společnost a světovou poptávku. Výčet trendů není vyčerpávající a jejich síla a způsob, jakým</w:t>
      </w:r>
      <w:r w:rsidR="007601C9" w:rsidRPr="00BA4F8E">
        <w:rPr>
          <w:rFonts w:cs="Arial"/>
        </w:rPr>
        <w:t xml:space="preserve"> ovlivňují a</w:t>
      </w:r>
      <w:r w:rsidRPr="00BA4F8E">
        <w:rPr>
          <w:rFonts w:cs="Arial"/>
        </w:rPr>
        <w:t xml:space="preserve"> budou ovlivňovat konkurenceschopnost české ekonomiky, je různý a vzájemně se ovlivňující. </w:t>
      </w:r>
    </w:p>
    <w:p w14:paraId="19D7A7FE" w14:textId="77777777" w:rsidR="005F458F" w:rsidRPr="00BA4F8E" w:rsidRDefault="005F458F" w:rsidP="005F458F">
      <w:pPr>
        <w:spacing w:before="240" w:line="360" w:lineRule="auto"/>
        <w:ind w:firstLine="709"/>
        <w:jc w:val="both"/>
        <w:rPr>
          <w:rFonts w:cs="Arial"/>
        </w:rPr>
      </w:pPr>
    </w:p>
    <w:p w14:paraId="015487A1" w14:textId="25DE22A7" w:rsidR="00860F23" w:rsidRPr="005C2F38" w:rsidRDefault="00860F23" w:rsidP="005C2F38">
      <w:pPr>
        <w:pStyle w:val="Nadpis3"/>
      </w:pPr>
      <w:bookmarkStart w:id="28" w:name="_Toc525716167"/>
      <w:r w:rsidRPr="005C2F38">
        <w:t>Organizační trendy</w:t>
      </w:r>
      <w:bookmarkEnd w:id="28"/>
    </w:p>
    <w:p w14:paraId="19ED8D9C" w14:textId="4F90BB9C" w:rsidR="00553BB4" w:rsidRPr="00BA4F8E" w:rsidRDefault="00860F23" w:rsidP="006D58C5">
      <w:pPr>
        <w:spacing w:before="240" w:after="0" w:line="360" w:lineRule="auto"/>
        <w:ind w:firstLine="708"/>
        <w:jc w:val="both"/>
        <w:rPr>
          <w:rFonts w:cs="Arial"/>
        </w:rPr>
      </w:pPr>
      <w:r w:rsidRPr="00BA4F8E">
        <w:rPr>
          <w:rFonts w:cs="Arial"/>
        </w:rPr>
        <w:t xml:space="preserve">Fenomén </w:t>
      </w:r>
      <w:r w:rsidRPr="00BA4F8E">
        <w:rPr>
          <w:rFonts w:cs="Arial"/>
          <w:b/>
        </w:rPr>
        <w:t>globalizace</w:t>
      </w:r>
      <w:r w:rsidRPr="00BA4F8E">
        <w:rPr>
          <w:rFonts w:cs="Arial"/>
        </w:rPr>
        <w:t xml:space="preserve"> se v uplynulých 25 letech naplno projevil v ČR. Hlavní hybnou silou v ekonomické globalizaci byla dezintegrace hodnotových řetězců, která díky klesajícím obchodním bariérám umožnila silným NNS řídícím globální produkční sítě umisťovat/outsourcovat podle potřeby své aktivity v různých částech světa a optimalizovat způsob organizace vlastních aktivit.</w:t>
      </w:r>
      <w:r w:rsidR="00553BB4" w:rsidRPr="00BA4F8E">
        <w:rPr>
          <w:rFonts w:cs="Arial"/>
        </w:rPr>
        <w:t xml:space="preserve"> Lze </w:t>
      </w:r>
      <w:r w:rsidR="00553BB4" w:rsidRPr="00BA4F8E">
        <w:rPr>
          <w:rFonts w:cs="Arial"/>
        </w:rPr>
        <w:lastRenderedPageBreak/>
        <w:t xml:space="preserve">předpokládat, že globalizace světového obchodu bude pokračovat i přes současnou protekcionistickou politiku některých </w:t>
      </w:r>
      <w:r w:rsidR="00E3619D">
        <w:rPr>
          <w:rFonts w:cs="Arial"/>
        </w:rPr>
        <w:t>států</w:t>
      </w:r>
      <w:r w:rsidR="00553BB4" w:rsidRPr="00BA4F8E">
        <w:rPr>
          <w:rFonts w:cs="Arial"/>
        </w:rPr>
        <w:t xml:space="preserve">. </w:t>
      </w:r>
    </w:p>
    <w:p w14:paraId="1D2DD17A" w14:textId="14D03653" w:rsidR="00860F23" w:rsidRPr="00BA4F8E" w:rsidRDefault="00860F23" w:rsidP="006D58C5">
      <w:pPr>
        <w:spacing w:after="0" w:line="360" w:lineRule="auto"/>
        <w:ind w:firstLine="708"/>
        <w:jc w:val="both"/>
        <w:rPr>
          <w:rFonts w:cs="Arial"/>
        </w:rPr>
      </w:pPr>
      <w:r w:rsidRPr="00BA4F8E">
        <w:rPr>
          <w:rFonts w:cs="Arial"/>
        </w:rPr>
        <w:t>To souvisí i s </w:t>
      </w:r>
      <w:r w:rsidRPr="00BA4F8E">
        <w:rPr>
          <w:rFonts w:cs="Arial"/>
          <w:b/>
        </w:rPr>
        <w:t>proměnou organizace VaVaI aktivit NNS, kde jedním ze dvou hlavních trendů je koncentrace vlastního VaV pouze do několika míst po světě</w:t>
      </w:r>
      <w:r w:rsidRPr="00BA4F8E">
        <w:rPr>
          <w:rFonts w:cs="Arial"/>
        </w:rPr>
        <w:t>. Cílem je nejen zvýšit nákladovou efektivitu</w:t>
      </w:r>
      <w:r w:rsidR="00F96BFD">
        <w:rPr>
          <w:rFonts w:cs="Arial"/>
        </w:rPr>
        <w:t>,</w:t>
      </w:r>
      <w:r w:rsidRPr="00BA4F8E">
        <w:rPr>
          <w:rFonts w:cs="Arial"/>
        </w:rPr>
        <w:t xml:space="preserve"> ale i proces tvorby znalostí a inovací.</w:t>
      </w:r>
    </w:p>
    <w:p w14:paraId="6E1E599E" w14:textId="77777777" w:rsidR="00645F31" w:rsidRPr="00645F31" w:rsidRDefault="00860F23" w:rsidP="00645F31">
      <w:pPr>
        <w:autoSpaceDE w:val="0"/>
        <w:autoSpaceDN w:val="0"/>
        <w:adjustRightInd w:val="0"/>
        <w:spacing w:after="0" w:line="360" w:lineRule="auto"/>
        <w:ind w:firstLine="708"/>
        <w:jc w:val="both"/>
        <w:rPr>
          <w:rFonts w:cs="Arial"/>
        </w:rPr>
      </w:pPr>
      <w:r w:rsidRPr="00BA4F8E">
        <w:rPr>
          <w:rFonts w:cs="Arial"/>
        </w:rPr>
        <w:t>Intenzivní globální pohyb talentů s sebou nese riziko pro ČR, kterým je odliv talentů, který není dostatečně nahrazován jejich příchodem ze zahraničí.</w:t>
      </w:r>
      <w:r w:rsidR="00645F31">
        <w:rPr>
          <w:rFonts w:cs="Arial"/>
        </w:rPr>
        <w:t xml:space="preserve"> </w:t>
      </w:r>
      <w:r w:rsidR="00645F31" w:rsidRPr="00645F31">
        <w:rPr>
          <w:rFonts w:cs="Arial"/>
        </w:rPr>
        <w:t>Dostupnost talentů je kriticky důležitým předpokladem inovačně založené ekonomiky a změny v organizaci globálních produkčních sítí zvyšují význam soutěže o talenty a jejich speciální kompetence.</w:t>
      </w:r>
    </w:p>
    <w:p w14:paraId="3B649B3A" w14:textId="341124C7" w:rsidR="00860F23" w:rsidRPr="00BA4F8E" w:rsidRDefault="00860F23" w:rsidP="006D58C5">
      <w:pPr>
        <w:spacing w:after="0" w:line="360" w:lineRule="auto"/>
        <w:ind w:firstLine="708"/>
        <w:jc w:val="both"/>
        <w:rPr>
          <w:rFonts w:cs="Arial"/>
        </w:rPr>
      </w:pPr>
      <w:r w:rsidRPr="00BA4F8E">
        <w:rPr>
          <w:rFonts w:cs="Arial"/>
          <w:b/>
        </w:rPr>
        <w:t>Open innovation je druhým současným trendem VaVaI aktivit firem, který probíhá spolu s koncentrací jádrových VaV aktivit NNS</w:t>
      </w:r>
      <w:r w:rsidRPr="00BA4F8E">
        <w:rPr>
          <w:rStyle w:val="Znakapoznpodarou"/>
          <w:rFonts w:cs="Arial"/>
          <w:b/>
        </w:rPr>
        <w:footnoteReference w:id="15"/>
      </w:r>
      <w:r w:rsidRPr="00BA4F8E">
        <w:rPr>
          <w:rFonts w:cs="Arial"/>
          <w:b/>
        </w:rPr>
        <w:t xml:space="preserve">. </w:t>
      </w:r>
      <w:r w:rsidRPr="00BA4F8E">
        <w:rPr>
          <w:rFonts w:cs="Arial"/>
        </w:rPr>
        <w:t xml:space="preserve">Hlavním cílem otevřeného inovačního procesu je využívat sítí a nových zdrojů znalostí k identifikaci nových příležitostí </w:t>
      </w:r>
      <w:r w:rsidRPr="00BA4F8E">
        <w:rPr>
          <w:rFonts w:cs="Arial"/>
          <w:b/>
        </w:rPr>
        <w:t>mimo hlavní obor působení</w:t>
      </w:r>
      <w:r w:rsidRPr="00BA4F8E">
        <w:rPr>
          <w:rFonts w:cs="Arial"/>
        </w:rPr>
        <w:t xml:space="preserve"> firem. Smyslem je ve světě rozložených znalostních sítí využívat kromě interních zdrojů i zdroje externí a</w:t>
      </w:r>
      <w:r w:rsidR="0097283E" w:rsidRPr="00BA4F8E">
        <w:rPr>
          <w:rFonts w:cs="Arial"/>
        </w:rPr>
        <w:t> </w:t>
      </w:r>
      <w:r w:rsidRPr="00BA4F8E">
        <w:rPr>
          <w:rFonts w:cs="Arial"/>
        </w:rPr>
        <w:t>hledat podněty pro inovace i vně firem.</w:t>
      </w:r>
    </w:p>
    <w:p w14:paraId="1DA3E30E" w14:textId="2DE00F79" w:rsidR="00860F23" w:rsidRPr="00BA4F8E" w:rsidRDefault="00860F23" w:rsidP="006D58C5">
      <w:pPr>
        <w:spacing w:after="0" w:line="360" w:lineRule="auto"/>
        <w:ind w:firstLine="708"/>
        <w:jc w:val="both"/>
        <w:rPr>
          <w:rFonts w:cs="Arial"/>
        </w:rPr>
      </w:pPr>
      <w:r w:rsidRPr="00BA4F8E">
        <w:rPr>
          <w:rFonts w:cs="Arial"/>
        </w:rPr>
        <w:t>Z otevřené inovace mohou čerpat i české firmy a VaV instituce, a to za předpokladu, že budou schopny nabídnout globálním hráčům atraktivní a jedinečnou znalost a naopak pokud bude česká ekonomika disponovat firmami schopnými absorbovat znalosti z vnějšku. V tomto směru působí v ČR velmi heterogenní firmy. Firmy, které staví svou konkurenceschopnost na znalostech a</w:t>
      </w:r>
      <w:r w:rsidR="0099774D" w:rsidRPr="00BA4F8E">
        <w:rPr>
          <w:rFonts w:cs="Arial"/>
        </w:rPr>
        <w:t> </w:t>
      </w:r>
      <w:r w:rsidRPr="00BA4F8E">
        <w:rPr>
          <w:rFonts w:cs="Arial"/>
        </w:rPr>
        <w:t>jejich tvorbě a</w:t>
      </w:r>
      <w:r w:rsidR="0097283E" w:rsidRPr="00BA4F8E">
        <w:rPr>
          <w:rFonts w:cs="Arial"/>
        </w:rPr>
        <w:t> </w:t>
      </w:r>
      <w:r w:rsidRPr="00BA4F8E">
        <w:rPr>
          <w:rFonts w:cs="Arial"/>
        </w:rPr>
        <w:t>přijímání (tzv. „endogenous champions</w:t>
      </w:r>
      <w:r w:rsidR="00A9499B">
        <w:rPr>
          <w:rStyle w:val="Znakapoznpodarou"/>
          <w:rFonts w:cs="Arial"/>
        </w:rPr>
        <w:footnoteReference w:id="16"/>
      </w:r>
      <w:r w:rsidRPr="00BA4F8E">
        <w:rPr>
          <w:rFonts w:cs="Arial"/>
        </w:rPr>
        <w:t xml:space="preserve">“). Na druhé straně je poměrně velká skupina firem čerpající konkurenceschopnost z cenové výhody. Největší skupinu tvoří firmy, které se pohybují mezi vymezenými kategoriemi a pro některé z nich může trend </w:t>
      </w:r>
      <w:r w:rsidRPr="00BA4F8E">
        <w:rPr>
          <w:rFonts w:cs="Arial"/>
          <w:i/>
        </w:rPr>
        <w:t>open innovation</w:t>
      </w:r>
      <w:r w:rsidRPr="00BA4F8E">
        <w:rPr>
          <w:rFonts w:cs="Arial"/>
        </w:rPr>
        <w:t xml:space="preserve"> znamenat nastartování pozitivní spirály růstu, která je může posunout mezi tzv. „</w:t>
      </w:r>
      <w:r w:rsidRPr="00BA4F8E">
        <w:rPr>
          <w:rFonts w:cs="Arial"/>
          <w:i/>
        </w:rPr>
        <w:t>endogenous champions</w:t>
      </w:r>
      <w:r w:rsidRPr="00BA4F8E">
        <w:rPr>
          <w:rFonts w:cs="Arial"/>
        </w:rPr>
        <w:t>“.</w:t>
      </w:r>
    </w:p>
    <w:p w14:paraId="334A588B" w14:textId="77777777" w:rsidR="005363CE" w:rsidRPr="00BA4F8E" w:rsidRDefault="00860F23" w:rsidP="006D58C5">
      <w:pPr>
        <w:spacing w:after="0" w:line="360" w:lineRule="auto"/>
        <w:ind w:firstLine="708"/>
        <w:jc w:val="both"/>
        <w:rPr>
          <w:rFonts w:cs="Arial"/>
        </w:rPr>
      </w:pPr>
      <w:r w:rsidRPr="00BA4F8E">
        <w:rPr>
          <w:rFonts w:cs="Arial"/>
          <w:b/>
        </w:rPr>
        <w:t xml:space="preserve">Rozložené znalostní sítě. </w:t>
      </w:r>
      <w:r w:rsidRPr="00BA4F8E">
        <w:rPr>
          <w:rFonts w:cs="Arial"/>
        </w:rPr>
        <w:t>Trend doplňuje koncept otevřené inovace a stojí v širokém pojetí na systémově propojeném souboru znalostí napříč ekonomickými a sociálními institucemi vč.</w:t>
      </w:r>
      <w:r w:rsidR="0099774D" w:rsidRPr="00BA4F8E">
        <w:rPr>
          <w:rFonts w:cs="Arial"/>
        </w:rPr>
        <w:t> </w:t>
      </w:r>
      <w:r w:rsidRPr="00BA4F8E">
        <w:rPr>
          <w:rFonts w:cs="Arial"/>
        </w:rPr>
        <w:t>jedinců.</w:t>
      </w:r>
      <w:r w:rsidR="00F61D1C" w:rsidRPr="00BA4F8E">
        <w:rPr>
          <w:rFonts w:cs="Arial"/>
        </w:rPr>
        <w:t xml:space="preserve"> </w:t>
      </w:r>
      <w:r w:rsidR="005363CE" w:rsidRPr="00BA4F8E">
        <w:rPr>
          <w:rFonts w:cs="Arial"/>
        </w:rPr>
        <w:t>Využívá otevřenosti inovačního procesu a mezioborové výměny znalostí, která umožňuje firmám získat konkurenční výhodu v podobě jedinečné kombinované znalosti. Technologický pokrok v IT může způsobit například rozvojový impuls v zemědělství, a to tím způsobem, že se podaří vyvinout SW, který bude zvyšovat například efektivitu sklizně nebo kontrolovat její kvalitu. Klíčovou roli ve znalostních sítích mají tzv. KETs</w:t>
      </w:r>
      <w:r w:rsidR="005363CE" w:rsidRPr="00BA4F8E">
        <w:rPr>
          <w:rStyle w:val="Znakapoznpodarou"/>
          <w:rFonts w:cs="Arial"/>
        </w:rPr>
        <w:footnoteReference w:id="17"/>
      </w:r>
      <w:r w:rsidR="005363CE" w:rsidRPr="00BA4F8E">
        <w:rPr>
          <w:rFonts w:cs="Arial"/>
        </w:rPr>
        <w:t xml:space="preserve">. KETs jsou velkou příležitostí i pro českou ekonomiku, neboť inovace vytvořené </w:t>
      </w:r>
      <w:r w:rsidR="005363CE" w:rsidRPr="00BA4F8E">
        <w:rPr>
          <w:rFonts w:cs="Arial"/>
        </w:rPr>
        <w:lastRenderedPageBreak/>
        <w:t>na základě těchto znalostních domén nalézají využití i v oborech na první pohled málo znalostně náročných nebo oborově vzdálených.</w:t>
      </w:r>
    </w:p>
    <w:p w14:paraId="463398C6" w14:textId="77777777" w:rsidR="0099774D" w:rsidRPr="00BA4F8E" w:rsidRDefault="0099774D" w:rsidP="00F61D1C">
      <w:pPr>
        <w:spacing w:line="360" w:lineRule="auto"/>
        <w:ind w:firstLine="708"/>
        <w:jc w:val="both"/>
        <w:rPr>
          <w:rFonts w:cs="Arial"/>
        </w:rPr>
      </w:pPr>
    </w:p>
    <w:p w14:paraId="4478BA52" w14:textId="1E8FB2B1" w:rsidR="00B236C4" w:rsidRPr="005C2F38" w:rsidRDefault="00DE79D6" w:rsidP="005C2F38">
      <w:pPr>
        <w:pStyle w:val="Nadpis3"/>
      </w:pPr>
      <w:r w:rsidRPr="005C2F38">
        <w:t xml:space="preserve"> </w:t>
      </w:r>
      <w:bookmarkStart w:id="29" w:name="_Toc525716168"/>
      <w:r w:rsidRPr="005C2F38">
        <w:t>Globální spotřební megatrendy</w:t>
      </w:r>
      <w:bookmarkEnd w:id="29"/>
    </w:p>
    <w:p w14:paraId="5B0FF694" w14:textId="529C2F97" w:rsidR="00DE79D6" w:rsidRPr="00BA4F8E" w:rsidRDefault="00DE79D6" w:rsidP="006D58C5">
      <w:pPr>
        <w:spacing w:before="240" w:after="0" w:line="360" w:lineRule="auto"/>
        <w:ind w:firstLine="708"/>
        <w:jc w:val="both"/>
        <w:rPr>
          <w:rFonts w:cs="Arial"/>
        </w:rPr>
      </w:pPr>
      <w:r w:rsidRPr="00BA4F8E">
        <w:rPr>
          <w:rFonts w:cs="Arial"/>
          <w:b/>
        </w:rPr>
        <w:t>Zdrojové napětí planety.</w:t>
      </w:r>
      <w:r w:rsidRPr="00BA4F8E">
        <w:rPr>
          <w:rFonts w:cs="Arial"/>
        </w:rPr>
        <w:t xml:space="preserve"> Růst počtu obyvatel a jejich poptávky v celosvětovém měřítku zvyšuje tlak na základní zdroje (vodu, potraviny, půdu) a tradiční energetické zdroje. Zvyšuje se tlak na přírodu a</w:t>
      </w:r>
      <w:r w:rsidR="00B84155" w:rsidRPr="00BA4F8E">
        <w:rPr>
          <w:rFonts w:cs="Arial"/>
        </w:rPr>
        <w:t> </w:t>
      </w:r>
      <w:r w:rsidRPr="00BA4F8E">
        <w:rPr>
          <w:rFonts w:cs="Arial"/>
        </w:rPr>
        <w:t>společně se změnami klimatu klesá biodiverzita a zvyšuje se četnost extrémních výkyvů počasí, což zhoršuje dostupnost a kvalitu základních zdrojů. Rostoucí počet lidí bez přístupu k pitné vodě a</w:t>
      </w:r>
      <w:r w:rsidR="00B84155" w:rsidRPr="00BA4F8E">
        <w:rPr>
          <w:rFonts w:cs="Arial"/>
        </w:rPr>
        <w:t> </w:t>
      </w:r>
      <w:r w:rsidRPr="00BA4F8E">
        <w:rPr>
          <w:rFonts w:cs="Arial"/>
        </w:rPr>
        <w:t>základním potravinám je hrozbou pro společensko-politickou stabilitu. Dlouhodobě udržitelné využívání zdrojů, eliminace chudoby a růst kvality života jsou hlavními výzvami. Globální růst poptávky po inovativních řešeních v těchto oblastech povede k růstu podnikatelských příležitostí a</w:t>
      </w:r>
      <w:r w:rsidR="0099774D" w:rsidRPr="00BA4F8E">
        <w:rPr>
          <w:rFonts w:cs="Arial"/>
        </w:rPr>
        <w:t> </w:t>
      </w:r>
      <w:r w:rsidRPr="00BA4F8E">
        <w:rPr>
          <w:rFonts w:cs="Arial"/>
        </w:rPr>
        <w:t>pracovních míst v oblasti dlouhodobé udržitelnosti.</w:t>
      </w:r>
    </w:p>
    <w:p w14:paraId="0E736F20" w14:textId="77777777" w:rsidR="00DE79D6" w:rsidRPr="00BA4F8E" w:rsidRDefault="00DE79D6" w:rsidP="006D58C5">
      <w:pPr>
        <w:spacing w:after="0" w:line="360" w:lineRule="auto"/>
        <w:ind w:firstLine="708"/>
        <w:jc w:val="both"/>
        <w:rPr>
          <w:rFonts w:cs="Arial"/>
        </w:rPr>
      </w:pPr>
      <w:r w:rsidRPr="00BA4F8E">
        <w:rPr>
          <w:rFonts w:cs="Arial"/>
          <w:b/>
        </w:rPr>
        <w:t>Růst od nás na východ.</w:t>
      </w:r>
      <w:r w:rsidRPr="00BA4F8E">
        <w:rPr>
          <w:rFonts w:cs="Arial"/>
        </w:rPr>
        <w:t xml:space="preserve"> Asie nejen využila konkurenční výhodu založenou na růstu využití zdrojů a růstu produktivity, tvoří a koncentruje bohatství, populačně roste, ale postupně se stává stále významnějším hráčem na poli výzkumu, technologií a inovací a centrem světové produkce i spotřeby (na úkor tradiční tzv. Globální triády – Severní Amerika, EU, Japonsko, která oslabuje i geopoliticky). Rostoucí životní úroveň zvyšuje masivně i náklady na výrobu v asijských zemích. V kombinaci s přetrvávající nižší technickou dovedností tamní pracovní síly budou některé firmy své kapacity přesouvat zpět do Evropy. Růst Asie tedy velmi pravděpodobně přinese částečnou a selektivní re-industrializaci Evropy a Česká republika vzhledem ke své průmyslové tradici a stále dobrému poměru výrobních nákladů a dovednosti pracovní síly vůči západní Evropě z toho může profitovat. </w:t>
      </w:r>
    </w:p>
    <w:p w14:paraId="7D7ACC8D" w14:textId="6465112E" w:rsidR="00DE79D6" w:rsidRPr="00BA4F8E" w:rsidRDefault="00DE79D6" w:rsidP="006D58C5">
      <w:pPr>
        <w:spacing w:after="0" w:line="360" w:lineRule="auto"/>
        <w:ind w:firstLine="708"/>
        <w:jc w:val="both"/>
        <w:rPr>
          <w:rFonts w:cs="Arial"/>
        </w:rPr>
      </w:pPr>
      <w:r w:rsidRPr="00BA4F8E">
        <w:rPr>
          <w:rFonts w:cs="Arial"/>
          <w:b/>
        </w:rPr>
        <w:t xml:space="preserve">Urbanizace světa. </w:t>
      </w:r>
      <w:r w:rsidRPr="00BA4F8E">
        <w:rPr>
          <w:rFonts w:cs="Arial"/>
        </w:rPr>
        <w:t>Dlouhodobě roste počet i podíl obyvatel žijících ve městech ve vyspělých a</w:t>
      </w:r>
      <w:r w:rsidR="00C25C93">
        <w:rPr>
          <w:rFonts w:cs="Arial"/>
        </w:rPr>
        <w:t> </w:t>
      </w:r>
      <w:r w:rsidRPr="00BA4F8E">
        <w:rPr>
          <w:rFonts w:cs="Arial"/>
        </w:rPr>
        <w:t>ještě rychleji v méně rozvinutých zemích. V současnosti celosvětový podíl lidí žijících ve městech přesáhl 50 %. Na omezeném území se bude koncentrovat vysoká ekonomická aktivita i počet lidí. Problémy a</w:t>
      </w:r>
      <w:r w:rsidR="00B84155" w:rsidRPr="00BA4F8E">
        <w:rPr>
          <w:rFonts w:cs="Arial"/>
        </w:rPr>
        <w:t> </w:t>
      </w:r>
      <w:r w:rsidRPr="00BA4F8E">
        <w:rPr>
          <w:rFonts w:cs="Arial"/>
        </w:rPr>
        <w:t xml:space="preserve">rizika způsobená urbanizací v oblasti mobility, životního prostředí a sociálních problémů budou představovat klíčové výzvy, které bude nutné stále častěji řešit. V tomto ohleduje je důležitý koncept „smart cities“, zaměřený na inovativní řešení městských problémů nebo na zlepšení fungování města a </w:t>
      </w:r>
      <w:r w:rsidR="00A856C4" w:rsidRPr="00BA4F8E">
        <w:rPr>
          <w:rFonts w:cs="Arial"/>
        </w:rPr>
        <w:t xml:space="preserve">na nabídku nových služeb. </w:t>
      </w:r>
    </w:p>
    <w:p w14:paraId="6B064AAF" w14:textId="6481D72F" w:rsidR="00DE79D6" w:rsidRPr="00BA4F8E" w:rsidRDefault="00DE79D6" w:rsidP="006D58C5">
      <w:pPr>
        <w:spacing w:after="0" w:line="360" w:lineRule="auto"/>
        <w:ind w:firstLine="708"/>
        <w:jc w:val="both"/>
        <w:rPr>
          <w:rFonts w:cs="Arial"/>
        </w:rPr>
      </w:pPr>
      <w:r w:rsidRPr="00BA4F8E">
        <w:rPr>
          <w:rFonts w:cs="Arial"/>
          <w:b/>
        </w:rPr>
        <w:t>Nové stárnutí.</w:t>
      </w:r>
      <w:r w:rsidRPr="00BA4F8E">
        <w:rPr>
          <w:rFonts w:cs="Arial"/>
        </w:rPr>
        <w:t xml:space="preserve"> Ve vyspělých zemích roste počet i podíl seniorů a demografické stárnutí postihuje postupně i</w:t>
      </w:r>
      <w:r w:rsidR="0097329C" w:rsidRPr="00BA4F8E">
        <w:rPr>
          <w:rFonts w:cs="Arial"/>
        </w:rPr>
        <w:t> </w:t>
      </w:r>
      <w:r w:rsidRPr="00BA4F8E">
        <w:rPr>
          <w:rFonts w:cs="Arial"/>
        </w:rPr>
        <w:t>rozvíjející se ekonomiky. Hlavní hrozbou pro veřejný sektor je udržitelnost financování důchodových systémů, zvyšující se nároky na sociální a zdravotní péči, pnutí ve společnosti mezi mladými a seniory a</w:t>
      </w:r>
      <w:r w:rsidR="00F94E97" w:rsidRPr="00BA4F8E">
        <w:rPr>
          <w:rFonts w:cs="Arial"/>
        </w:rPr>
        <w:t> </w:t>
      </w:r>
      <w:r w:rsidRPr="00BA4F8E">
        <w:rPr>
          <w:rFonts w:cs="Arial"/>
        </w:rPr>
        <w:t>problémy se zaměstnatelností mladých lidí bez praxe (na úkor starších zkušených pracovníků). Toto jsou hlavní výzvy provázející stárnutí obyvatelstva, které se týká nejen vyspělých zemí, ale rychle bude akcelerovat i v zemích rozvojových.</w:t>
      </w:r>
    </w:p>
    <w:p w14:paraId="7427A65C" w14:textId="1CD5C856" w:rsidR="00F9423A" w:rsidRPr="00F9423A" w:rsidRDefault="00F9423A" w:rsidP="00AF20A7">
      <w:pPr>
        <w:spacing w:after="0" w:line="360" w:lineRule="auto"/>
        <w:ind w:firstLine="709"/>
        <w:jc w:val="both"/>
        <w:rPr>
          <w:rFonts w:cs="Arial"/>
        </w:rPr>
      </w:pPr>
      <w:r w:rsidRPr="00F9423A">
        <w:rPr>
          <w:rFonts w:cs="Arial"/>
          <w:b/>
        </w:rPr>
        <w:lastRenderedPageBreak/>
        <w:t xml:space="preserve">Technologie pro budoucnost. </w:t>
      </w:r>
      <w:r w:rsidRPr="00F9423A">
        <w:rPr>
          <w:rFonts w:cs="Arial"/>
        </w:rPr>
        <w:t>Prohlubování digitalizace a automatizace a rozvoj nových technologií bude i nadále měnit organizaci a produktivitu tradičních hodnotových řetězců. To bude také znamenat nižší využívání nespecializované pracovní síly ve výrobě a distribuci, což může být hrozbou pro zaměstnanost této skupiny lidí, která se bude týkat vyspělých zemí ale postupně stále více i zemí rozvojových. Nové technologie mění způsoby spotřeby, způsoby práce, podnikání a výroby, způsoby uplatnění na trzích i společenské vztahy a způs</w:t>
      </w:r>
      <w:r>
        <w:rPr>
          <w:rFonts w:cs="Arial"/>
        </w:rPr>
        <w:t>ob života. Klíčové technologie</w:t>
      </w:r>
      <w:r>
        <w:rPr>
          <w:rStyle w:val="Znakapoznpodarou"/>
          <w:rFonts w:cs="Arial"/>
        </w:rPr>
        <w:footnoteReference w:id="18"/>
      </w:r>
      <w:r>
        <w:rPr>
          <w:rFonts w:cs="Arial"/>
        </w:rPr>
        <w:t xml:space="preserve"> </w:t>
      </w:r>
      <w:r w:rsidRPr="00F9423A">
        <w:rPr>
          <w:rFonts w:cs="Arial"/>
        </w:rPr>
        <w:t>fungují jako široké znalostní domény s možností použití v rozsáhlém portfoliu oborů a produktů i daleko mimo původní oblast působení s vysokým potenciálem pro inovace. Jejich kombinace s dalšími znalostmi představuje jednu z klíčových schopností světových ekonomik, jak umožnit nové směry aplikace a</w:t>
      </w:r>
      <w:r w:rsidR="00BE42F0">
        <w:rPr>
          <w:rFonts w:cs="Arial"/>
        </w:rPr>
        <w:t> </w:t>
      </w:r>
      <w:r w:rsidRPr="00F9423A">
        <w:rPr>
          <w:rFonts w:cs="Arial"/>
        </w:rPr>
        <w:t>naplňování specifických potřeb vyplývajících z nových trendů světové poptávky.</w:t>
      </w:r>
    </w:p>
    <w:p w14:paraId="6B6C1960" w14:textId="302610BB" w:rsidR="00E33BA2" w:rsidRPr="00BA4F8E" w:rsidRDefault="00DE79D6" w:rsidP="00AF20A7">
      <w:pPr>
        <w:spacing w:after="0" w:line="360" w:lineRule="auto"/>
        <w:ind w:firstLine="709"/>
        <w:jc w:val="both"/>
        <w:rPr>
          <w:rFonts w:cs="Arial"/>
        </w:rPr>
      </w:pPr>
      <w:r w:rsidRPr="00BA4F8E">
        <w:rPr>
          <w:rFonts w:cs="Arial"/>
          <w:b/>
        </w:rPr>
        <w:t>Moc jednotlivců.</w:t>
      </w:r>
      <w:r w:rsidRPr="00BA4F8E">
        <w:rPr>
          <w:rFonts w:cs="Arial"/>
        </w:rPr>
        <w:t xml:space="preserve"> Globální ekonomický růst, přeshraniční obchod a šíření politicko-společenských změn přispěly k růstu světové střední třídy, která se časem stane ve většině zemí nejpočetnější skupinou obyvatel. Technologie ruší informační asymetrie, jednotlivci jsou vybaveni informacemi i</w:t>
      </w:r>
      <w:r w:rsidR="003C384F">
        <w:rPr>
          <w:rFonts w:cs="Arial"/>
        </w:rPr>
        <w:t> </w:t>
      </w:r>
      <w:r w:rsidRPr="00BA4F8E">
        <w:rPr>
          <w:rFonts w:cs="Arial"/>
        </w:rPr>
        <w:t xml:space="preserve">nástroji masového šíření informací. Schopnost jednotlivců vytvořit masovou vlnu podpory nebo odporu se nikoli znásobila ale je exponenciálně zesílena. Fragmentovaná poptávka zvýší význam tržních nik a pro firmy bude důležité tyto trendy analyzovat a obsloužit je. </w:t>
      </w:r>
      <w:r w:rsidR="00E33BA2" w:rsidRPr="00BA4F8E">
        <w:rPr>
          <w:rFonts w:cs="Arial"/>
        </w:rPr>
        <w:br w:type="page"/>
      </w:r>
    </w:p>
    <w:p w14:paraId="2D16772E" w14:textId="3188AC03" w:rsidR="003802C0" w:rsidRPr="005C2F38" w:rsidRDefault="003802C0" w:rsidP="005C2F38">
      <w:pPr>
        <w:pStyle w:val="Nadpis1"/>
      </w:pPr>
      <w:bookmarkStart w:id="30" w:name="_Toc525716169"/>
      <w:r w:rsidRPr="005C2F38">
        <w:lastRenderedPageBreak/>
        <w:t>Analytická část</w:t>
      </w:r>
      <w:bookmarkEnd w:id="30"/>
    </w:p>
    <w:p w14:paraId="51E6EA90" w14:textId="17D485E5" w:rsidR="003802C0" w:rsidRPr="005C2F38" w:rsidRDefault="003802C0" w:rsidP="005C2F38">
      <w:pPr>
        <w:pStyle w:val="Nadpis2"/>
      </w:pPr>
      <w:bookmarkStart w:id="31" w:name="_Toc525716170"/>
      <w:r w:rsidRPr="005C2F38">
        <w:t>Podnikání a inovace</w:t>
      </w:r>
      <w:bookmarkEnd w:id="31"/>
    </w:p>
    <w:p w14:paraId="22C181C3" w14:textId="2E0CDC3D" w:rsidR="003802C0" w:rsidRPr="005C2F38" w:rsidRDefault="003802C0" w:rsidP="005C2F38">
      <w:pPr>
        <w:pStyle w:val="Nadpis3"/>
      </w:pPr>
      <w:bookmarkStart w:id="32" w:name="_Toc525716171"/>
      <w:r w:rsidRPr="005C2F38">
        <w:t>Úvod</w:t>
      </w:r>
      <w:bookmarkEnd w:id="32"/>
    </w:p>
    <w:p w14:paraId="749BDB72" w14:textId="77777777" w:rsidR="00EF1C29" w:rsidRPr="00BA4F8E" w:rsidRDefault="00EF1C29" w:rsidP="00AB4FE2">
      <w:pPr>
        <w:spacing w:before="240" w:after="0" w:line="360" w:lineRule="auto"/>
        <w:ind w:firstLine="708"/>
        <w:jc w:val="both"/>
        <w:rPr>
          <w:rFonts w:cs="Arial"/>
        </w:rPr>
      </w:pPr>
      <w:r w:rsidRPr="00BA4F8E">
        <w:rPr>
          <w:rFonts w:cs="Arial"/>
        </w:rPr>
        <w:t xml:space="preserve">Inovace se v průběhu posledních dvou dekád staly středobodem firemních strategií. Tím se také dostaly do odborných diskusí týkajících se podstaty konkurenční výhody a tím hospodářského růstu států i jednotlivých regionů. Inovace představuje komplexní fenomén vyskytující se v mnoha podobách, což komplikuje jeho vnímání, měření a tím také koncipování podpory inovací ze strany veřejného sektoru. </w:t>
      </w:r>
    </w:p>
    <w:p w14:paraId="1A3E9ACE" w14:textId="06CC7030" w:rsidR="00EF1C29" w:rsidRPr="00BA4F8E" w:rsidRDefault="00EF1C29" w:rsidP="00AB4FE2">
      <w:pPr>
        <w:spacing w:after="0" w:line="360" w:lineRule="auto"/>
        <w:ind w:firstLine="708"/>
        <w:jc w:val="both"/>
        <w:rPr>
          <w:rFonts w:cs="Arial"/>
        </w:rPr>
      </w:pPr>
      <w:r w:rsidRPr="00BA4F8E">
        <w:rPr>
          <w:rFonts w:cs="Arial"/>
        </w:rPr>
        <w:t>Pro účely RIS3 v této části</w:t>
      </w:r>
      <w:r w:rsidRPr="00BA4F8E">
        <w:rPr>
          <w:rStyle w:val="Znakapoznpodarou"/>
          <w:rFonts w:cs="Arial"/>
        </w:rPr>
        <w:footnoteReference w:id="19"/>
      </w:r>
      <w:r w:rsidRPr="00BA4F8E">
        <w:rPr>
          <w:rFonts w:cs="Arial"/>
        </w:rPr>
        <w:t xml:space="preserve"> definujeme inovaci jako </w:t>
      </w:r>
      <w:r w:rsidRPr="00BA4F8E">
        <w:rPr>
          <w:rFonts w:cs="Arial"/>
          <w:b/>
          <w:i/>
        </w:rPr>
        <w:t>změnu, která přináší hodnotu zákazníkům, za kterou jsou ochotni zaplatit</w:t>
      </w:r>
      <w:r w:rsidRPr="00BA4F8E">
        <w:rPr>
          <w:rFonts w:cs="Arial"/>
          <w:b/>
        </w:rPr>
        <w:t xml:space="preserve"> </w:t>
      </w:r>
      <w:r w:rsidRPr="00BA4F8E">
        <w:rPr>
          <w:rFonts w:cs="Arial"/>
        </w:rPr>
        <w:t>(např. Tidd a kol., 2005). Z pohledu cílů hospodářské politiky (zejm. cíle zaměstnanosti) je klíčovým aspektem inovací jejich přijetí na trhu. Pouze to rozhoduje v konečném důsledku o účinnosti inovační</w:t>
      </w:r>
      <w:r w:rsidRPr="00BA4F8E">
        <w:rPr>
          <w:rStyle w:val="Znakapoznpodarou"/>
          <w:rFonts w:cs="Arial"/>
        </w:rPr>
        <w:footnoteReference w:id="20"/>
      </w:r>
      <w:r w:rsidRPr="00BA4F8E">
        <w:rPr>
          <w:rFonts w:cs="Arial"/>
        </w:rPr>
        <w:t xml:space="preserve"> politiky. Mnoho nedorozumění vzniká tím, že za inovace jsou někdy označována technická řešení (např. prototyp) vzešlá z výzkumných organizací, aniž by tato řešení byla dostatečně prověřena z hlediska konkrétních potřeb na trhu a měla šanci na přijetí zákazníky. Toto vnímání inovací jako technických řešení často vede ke koncentraci pozornosti na výzkum, vývoj a</w:t>
      </w:r>
      <w:r w:rsidR="00B54618" w:rsidRPr="00BA4F8E">
        <w:rPr>
          <w:rFonts w:cs="Arial"/>
        </w:rPr>
        <w:t> </w:t>
      </w:r>
      <w:r w:rsidRPr="00BA4F8E">
        <w:rPr>
          <w:rFonts w:cs="Arial"/>
        </w:rPr>
        <w:t>spolupráci mezi podnikovým a akademickým sektorem. Vede však také k podcenění role celkové podnikové strategie, netechnických inovací (vč.</w:t>
      </w:r>
      <w:r w:rsidR="0099774D" w:rsidRPr="00BA4F8E">
        <w:rPr>
          <w:rFonts w:cs="Arial"/>
        </w:rPr>
        <w:t> </w:t>
      </w:r>
      <w:r w:rsidRPr="00BA4F8E">
        <w:rPr>
          <w:rFonts w:cs="Arial"/>
        </w:rPr>
        <w:t>marketingu, organizačních inovací) a</w:t>
      </w:r>
      <w:r w:rsidR="00B20908">
        <w:rPr>
          <w:rFonts w:cs="Arial"/>
        </w:rPr>
        <w:t> </w:t>
      </w:r>
      <w:r w:rsidRPr="00BA4F8E">
        <w:rPr>
          <w:rFonts w:cs="Arial"/>
        </w:rPr>
        <w:t xml:space="preserve">dalších vnitropodnikových procesů, které mají významný vliv na schopnost firem růst a inovovat. </w:t>
      </w:r>
    </w:p>
    <w:p w14:paraId="20F1D648" w14:textId="77777777" w:rsidR="00F9423A" w:rsidRDefault="00F9423A" w:rsidP="008B44A0">
      <w:pPr>
        <w:spacing w:after="0" w:line="360" w:lineRule="auto"/>
        <w:ind w:firstLine="708"/>
        <w:jc w:val="both"/>
        <w:rPr>
          <w:rFonts w:cs="Arial"/>
        </w:rPr>
      </w:pPr>
      <w:r w:rsidRPr="00F9423A">
        <w:rPr>
          <w:rFonts w:cs="Arial"/>
        </w:rPr>
        <w:t xml:space="preserve">Většina inovací tedy vzniká na trzích a jsou realizovány firmami. Zejména v případě vyšších řádů různých typů technických inovací jsou významným subjektem inovačních procesů firem také výzkumné organizace. To platí především v oblastech, kde existuje tvůrčí interakce výzkumných organizací, firem a trhů. Podpoře inovací, při nichž je největší prostor pro využití výsledků výzkumu věnuje Národní RIS3 specifickou pozornost. Současně je zohledněna struktura místní ekonomiky s vysokým podílem tradičních průmyslových odvětví a význam netechnických inovací pro získávání / udržení konkurenční výhody firem. Kromě inovací vznikajících ve firmách je pozornost zaměřena také na inovace ve veřejném a neziskovém sektoru. </w:t>
      </w:r>
    </w:p>
    <w:p w14:paraId="6EC58402" w14:textId="78B641ED" w:rsidR="00EF1C29" w:rsidRPr="00BA4F8E" w:rsidRDefault="00EF1C29" w:rsidP="008B44A0">
      <w:pPr>
        <w:spacing w:after="0" w:line="360" w:lineRule="auto"/>
        <w:ind w:firstLine="708"/>
        <w:jc w:val="both"/>
        <w:rPr>
          <w:rFonts w:cs="Arial"/>
        </w:rPr>
      </w:pPr>
      <w:r w:rsidRPr="00BA4F8E">
        <w:rPr>
          <w:rFonts w:cs="Arial"/>
        </w:rPr>
        <w:t>Strukturace problémových oblastí i návrhové části do značné míry odráží následující východiska. Inovační výkonnost firem a tím i celých ekonomik závisí především na (i) podnikavosti, (ii)</w:t>
      </w:r>
      <w:r w:rsidR="006634ED">
        <w:rPr>
          <w:rFonts w:cs="Arial"/>
        </w:rPr>
        <w:t> </w:t>
      </w:r>
      <w:r w:rsidRPr="00BA4F8E">
        <w:rPr>
          <w:rFonts w:cs="Arial"/>
        </w:rPr>
        <w:t xml:space="preserve">nových znalostech a (iii) příznivém regulačním rámci pro podnikání. Podnikavostí se v rámci RIS3 rozumí „aktivní síla, která propojuje zdroje potřebné pro úspěšnou inovaci“ (Fagerberg, 2005). </w:t>
      </w:r>
      <w:r w:rsidRPr="00BA4F8E">
        <w:rPr>
          <w:rFonts w:cs="Arial"/>
        </w:rPr>
        <w:lastRenderedPageBreak/>
        <w:t>Nositelem této síly jsou podnikatelé a</w:t>
      </w:r>
      <w:r w:rsidR="00292F2B" w:rsidRPr="00BA4F8E">
        <w:rPr>
          <w:rFonts w:cs="Arial"/>
        </w:rPr>
        <w:t> </w:t>
      </w:r>
      <w:r w:rsidRPr="00BA4F8E">
        <w:rPr>
          <w:rFonts w:cs="Arial"/>
        </w:rPr>
        <w:t xml:space="preserve">manažeři, kteří v rámci inovačního procesu usilují o propojení trhů, znalostí a konkrétních technických řešení. Pokud jde o nové znalosti jako specifického vstupu do inovačního procesu, na trhu úspěšné inovace vyžadují účelové propojení jejich různorodých forem. Obvykle mají nové znalosti nezbytné pro inovace (včetně technických inovací) charakter „nové kombinace již existujících znalostí či informací“ (Jensen et al., 2007). </w:t>
      </w:r>
      <w:r w:rsidR="008B44A0" w:rsidRPr="008B44A0">
        <w:rPr>
          <w:rFonts w:cs="Arial"/>
        </w:rPr>
        <w:t>Výzkum a vývoj pro potřeby inovací je tedy velmi cílený a je velmi odlišný od výzkumu zaměřeného na posouvání hranic poznání společnosti.</w:t>
      </w:r>
      <w:r w:rsidRPr="00BA4F8E">
        <w:rPr>
          <w:rFonts w:cs="Arial"/>
        </w:rPr>
        <w:t xml:space="preserve"> Regulační rámec podnikání zahrnuje jak celková pravidla pro podnikání (např. při zakládání či ukončování podnikání), tak legislativně nastavené podmínky ovlivňující jeho výnosnost (např. úroveň a forma zdanění). Velmi významná je také specificky oborová regulace (např. pravidla pro nakládání s GMO či oborové standardy jakosti).</w:t>
      </w:r>
    </w:p>
    <w:p w14:paraId="2A664341" w14:textId="77777777" w:rsidR="00EF1C29" w:rsidRPr="00BA4F8E" w:rsidRDefault="00EF1C29" w:rsidP="00AB4FE2">
      <w:pPr>
        <w:spacing w:after="0" w:line="360" w:lineRule="auto"/>
        <w:ind w:firstLine="709"/>
        <w:jc w:val="both"/>
        <w:rPr>
          <w:rFonts w:cs="Arial"/>
        </w:rPr>
      </w:pPr>
      <w:r w:rsidRPr="00BA4F8E">
        <w:rPr>
          <w:rFonts w:cs="Arial"/>
        </w:rPr>
        <w:t>Na základě provedených analýz, rešerší a diskusí se stakeholdery (klíčovými hráči) byly identifikovány tyto hlavní problémové okruhy:</w:t>
      </w:r>
    </w:p>
    <w:p w14:paraId="302ED846" w14:textId="563C6380" w:rsidR="00EF1C29" w:rsidRPr="00BA4F8E" w:rsidRDefault="00F9423A" w:rsidP="00543C1B">
      <w:pPr>
        <w:pStyle w:val="Odstavecseseznamem"/>
        <w:numPr>
          <w:ilvl w:val="0"/>
          <w:numId w:val="10"/>
        </w:numPr>
        <w:spacing w:after="0" w:line="360" w:lineRule="auto"/>
        <w:jc w:val="both"/>
        <w:rPr>
          <w:rFonts w:cs="Arial"/>
        </w:rPr>
      </w:pPr>
      <w:r>
        <w:rPr>
          <w:rFonts w:cs="Arial"/>
        </w:rPr>
        <w:t>Slabá úroveň podnikavosti a n</w:t>
      </w:r>
      <w:r w:rsidR="00EF1C29" w:rsidRPr="00BA4F8E">
        <w:rPr>
          <w:rFonts w:cs="Arial"/>
        </w:rPr>
        <w:t>edostatečně silný endogenní podnikatelský sektor</w:t>
      </w:r>
    </w:p>
    <w:p w14:paraId="102BD019" w14:textId="77777777" w:rsidR="00F52275" w:rsidRPr="00BA4F8E" w:rsidRDefault="00F52275" w:rsidP="00543C1B">
      <w:pPr>
        <w:pStyle w:val="Odstavecseseznamem"/>
        <w:numPr>
          <w:ilvl w:val="0"/>
          <w:numId w:val="10"/>
        </w:numPr>
        <w:spacing w:after="0" w:line="360" w:lineRule="auto"/>
        <w:jc w:val="both"/>
        <w:rPr>
          <w:rFonts w:cs="Arial"/>
        </w:rPr>
      </w:pPr>
      <w:r w:rsidRPr="00BA4F8E">
        <w:rPr>
          <w:rFonts w:cs="Arial"/>
        </w:rPr>
        <w:t>Vysoká závislost hospodářského vývoje ČR na aktivitách zahraničních firem</w:t>
      </w:r>
      <w:r w:rsidRPr="00BA4F8E">
        <w:rPr>
          <w:rFonts w:cs="Arial"/>
          <w:vertAlign w:val="superscript"/>
        </w:rPr>
        <w:footnoteReference w:id="21"/>
      </w:r>
    </w:p>
    <w:p w14:paraId="7BDAFA50" w14:textId="77777777" w:rsidR="00F52275" w:rsidRPr="00BA4F8E" w:rsidRDefault="00F52275" w:rsidP="00543C1B">
      <w:pPr>
        <w:pStyle w:val="Odstavecseseznamem"/>
        <w:numPr>
          <w:ilvl w:val="0"/>
          <w:numId w:val="10"/>
        </w:numPr>
        <w:spacing w:after="0" w:line="360" w:lineRule="auto"/>
        <w:jc w:val="both"/>
        <w:rPr>
          <w:rFonts w:cs="Arial"/>
        </w:rPr>
      </w:pPr>
      <w:r w:rsidRPr="00BA4F8E">
        <w:rPr>
          <w:rFonts w:cs="Arial"/>
        </w:rPr>
        <w:t>Nestabilita regulačního rámce a administrativní náročnost plnění regulačních pravidel</w:t>
      </w:r>
    </w:p>
    <w:p w14:paraId="1AC1C7D9" w14:textId="77777777" w:rsidR="00F52275" w:rsidRPr="00BA4F8E" w:rsidRDefault="00F52275" w:rsidP="00543C1B">
      <w:pPr>
        <w:pStyle w:val="Odstavecseseznamem"/>
        <w:numPr>
          <w:ilvl w:val="0"/>
          <w:numId w:val="10"/>
        </w:numPr>
        <w:spacing w:after="0" w:line="360" w:lineRule="auto"/>
        <w:jc w:val="both"/>
        <w:rPr>
          <w:rFonts w:cs="Arial"/>
        </w:rPr>
      </w:pPr>
      <w:r w:rsidRPr="00BA4F8E">
        <w:rPr>
          <w:rFonts w:cs="Arial"/>
        </w:rPr>
        <w:t>Přetrvávající podcenění digitální agendy v podnikání</w:t>
      </w:r>
    </w:p>
    <w:p w14:paraId="171CA22E" w14:textId="77777777" w:rsidR="00F52275" w:rsidRPr="00BA4F8E" w:rsidRDefault="00F52275" w:rsidP="00F52275">
      <w:pPr>
        <w:pStyle w:val="Odstavecseseznamem"/>
        <w:spacing w:after="200" w:line="360" w:lineRule="auto"/>
        <w:jc w:val="both"/>
        <w:rPr>
          <w:rFonts w:cs="Arial"/>
        </w:rPr>
      </w:pPr>
    </w:p>
    <w:p w14:paraId="40868A17" w14:textId="6C80774D" w:rsidR="00EF1C29" w:rsidRPr="005C2F38" w:rsidRDefault="00F52275" w:rsidP="005C2F38">
      <w:pPr>
        <w:pStyle w:val="Nadpis3"/>
      </w:pPr>
      <w:bookmarkStart w:id="33" w:name="_Toc525716172"/>
      <w:r w:rsidRPr="005C2F38">
        <w:t>Problémový okruh 1: Nedostatečně silný endogenní podnikatelský sektor</w:t>
      </w:r>
      <w:bookmarkEnd w:id="33"/>
    </w:p>
    <w:p w14:paraId="046C63DC" w14:textId="77777777" w:rsidR="00F52275" w:rsidRPr="00BA4F8E" w:rsidRDefault="00F52275" w:rsidP="00AB4FE2">
      <w:pPr>
        <w:spacing w:before="240" w:after="0" w:line="360" w:lineRule="auto"/>
        <w:ind w:firstLine="708"/>
        <w:jc w:val="both"/>
        <w:rPr>
          <w:rFonts w:cs="Arial"/>
        </w:rPr>
      </w:pPr>
      <w:r w:rsidRPr="00BA4F8E">
        <w:rPr>
          <w:rFonts w:cs="Arial"/>
        </w:rPr>
        <w:t xml:space="preserve">Podnikový sektor jako celek vstoupil do procesu přechodu na trhem řízenou ekonomiku ve stavu silné zaostalosti v technologiích, manažerském řízení, obchodních strategiích atd. Za těchto podmínek bylo otázkou času, kdy se velká část podnikového sektoru stane prostřednictvím akvizic součástí nadnárodních firem. Podniky bez účasti zahraničního kapitálu se s následky výše uvedených skutečností potýkají dodnes, byť se je postupně daří eliminovat. </w:t>
      </w:r>
    </w:p>
    <w:p w14:paraId="4D3F97AF" w14:textId="77777777" w:rsidR="00F52275" w:rsidRPr="00BA4F8E" w:rsidRDefault="00F52275" w:rsidP="00AB4FE2">
      <w:pPr>
        <w:spacing w:after="0" w:line="360" w:lineRule="auto"/>
        <w:ind w:firstLine="708"/>
        <w:jc w:val="both"/>
        <w:rPr>
          <w:rFonts w:cs="Arial"/>
        </w:rPr>
      </w:pPr>
      <w:r w:rsidRPr="00BA4F8E">
        <w:rPr>
          <w:rFonts w:cs="Arial"/>
        </w:rPr>
        <w:t>Namísto trendů v zavedených tržních ekonomikách se zde zpočátku rozvíjela kultura zaměstnanecké společnosti projevující se v současnosti např. tím, že nejúspěšnější absolventi VŠ masově usilují o nalezení zaměstnání v pobočce renomované zahraniční firmy či dokonce ve veřejném sektoru namísto úsilí o vytvoření vlastní firmy</w:t>
      </w:r>
    </w:p>
    <w:p w14:paraId="1BAAE739" w14:textId="77777777" w:rsidR="00F52275" w:rsidRPr="00BA4F8E" w:rsidRDefault="00F52275" w:rsidP="00AB4FE2">
      <w:pPr>
        <w:spacing w:after="0" w:line="360" w:lineRule="auto"/>
        <w:ind w:firstLine="708"/>
        <w:jc w:val="both"/>
        <w:rPr>
          <w:rFonts w:cs="Arial"/>
        </w:rPr>
      </w:pPr>
      <w:r w:rsidRPr="00BA4F8E">
        <w:rPr>
          <w:rFonts w:cs="Arial"/>
        </w:rPr>
        <w:t xml:space="preserve">Významnou příčinou slabosti endogenního segmentu firem je omezená motivace místních podnikatelů dále zvětšovat své firmy (Pavlínek, Ženka, 2011). Příčin omezené motivace k dalšímu růstu je více a je obtížné je zobecnit. Vedle absence následovníků, jimž by bylo možné rostoucí firmy předat, </w:t>
      </w:r>
      <w:r w:rsidRPr="00BA4F8E">
        <w:rPr>
          <w:rFonts w:cs="Arial"/>
        </w:rPr>
        <w:lastRenderedPageBreak/>
        <w:t>jsou motivace související s generačním charakterem českých podnikatelů, kteří začali po roce 1989 podnikat a jsou nyní na konci své aktivní životní fáze.</w:t>
      </w:r>
    </w:p>
    <w:p w14:paraId="06753699" w14:textId="3AEDBCB3" w:rsidR="00F52275" w:rsidRDefault="00F52275" w:rsidP="00AB4FE2">
      <w:pPr>
        <w:spacing w:after="0" w:line="360" w:lineRule="auto"/>
        <w:ind w:firstLine="708"/>
        <w:jc w:val="both"/>
        <w:rPr>
          <w:rFonts w:cs="Arial"/>
        </w:rPr>
      </w:pPr>
      <w:r w:rsidRPr="00BA4F8E">
        <w:rPr>
          <w:rFonts w:cs="Arial"/>
        </w:rPr>
        <w:t>Důsledkem slabého endogenního podnikového segmentu je specifická inovační poptávka firem. Nevelký počet endogenních firem schopných posunovat technologickou hranici ve svém oboru v kombinaci s tím, že přední zahraniční firmy působící v ČR mají své výzkumné a</w:t>
      </w:r>
      <w:r w:rsidR="00E25F90" w:rsidRPr="00BA4F8E">
        <w:rPr>
          <w:rFonts w:cs="Arial"/>
        </w:rPr>
        <w:t> </w:t>
      </w:r>
      <w:r w:rsidRPr="00BA4F8E">
        <w:rPr>
          <w:rFonts w:cs="Arial"/>
        </w:rPr>
        <w:t xml:space="preserve">strategické funkce z velké části mimo ČR, způsobuje slabou inovační poptávku v segmentu inovací vyšších řádů. </w:t>
      </w:r>
      <w:r w:rsidR="00DD4D09">
        <w:rPr>
          <w:rFonts w:ascii="Calibri" w:hAnsi="Calibri" w:cs="Calibri"/>
        </w:rPr>
        <w:t xml:space="preserve">U těchto inovací je obvykle zapotřebí významných vstupů v podobě nových znalostí získaných prostřednictvím výzkumu a vývoje. Slabá poptávka v segmentu vyšších řádů inovací znamená omezenou potřebu firem po spolupráci s výzkumnými organizacemi. </w:t>
      </w:r>
      <w:r w:rsidRPr="00BA4F8E">
        <w:rPr>
          <w:rFonts w:cs="Arial"/>
        </w:rPr>
        <w:t xml:space="preserve">Tím je z pohledu akademické sféry omezen potenciál pro komercializaci výstupů jejich výzkumu, neboť většina případů úspěšné komercializace výsledků veřejného výzkumu bývá tažena poptávkou aplikační sféry. </w:t>
      </w:r>
    </w:p>
    <w:p w14:paraId="10397D3E" w14:textId="77777777" w:rsidR="0091750E" w:rsidRPr="00BA4F8E" w:rsidRDefault="0091750E" w:rsidP="00AB4FE2">
      <w:pPr>
        <w:spacing w:after="0" w:line="360" w:lineRule="auto"/>
        <w:ind w:firstLine="708"/>
        <w:jc w:val="both"/>
        <w:rPr>
          <w:rFonts w:cs="Arial"/>
        </w:rPr>
      </w:pPr>
    </w:p>
    <w:p w14:paraId="72BCD5CF" w14:textId="44A10809" w:rsidR="007637A7" w:rsidRPr="005C2F38" w:rsidRDefault="007637A7" w:rsidP="00103F7E">
      <w:pPr>
        <w:pStyle w:val="Nadpis3"/>
      </w:pPr>
      <w:bookmarkStart w:id="34" w:name="_Toc525716173"/>
      <w:r w:rsidRPr="005C2F38">
        <w:t>Problémový okruh 2: Vysoká závislost hospodářského vývoje ČR na aktivitách zahraničních firem</w:t>
      </w:r>
      <w:bookmarkEnd w:id="34"/>
    </w:p>
    <w:p w14:paraId="51636E1E" w14:textId="77777777" w:rsidR="0099171B" w:rsidRPr="00BA4F8E" w:rsidRDefault="007637A7" w:rsidP="00EA3846">
      <w:pPr>
        <w:spacing w:before="240" w:after="0" w:line="360" w:lineRule="auto"/>
        <w:ind w:firstLine="709"/>
        <w:jc w:val="both"/>
        <w:rPr>
          <w:rFonts w:cs="Arial"/>
        </w:rPr>
      </w:pPr>
      <w:r w:rsidRPr="00BA4F8E">
        <w:rPr>
          <w:rFonts w:cs="Arial"/>
        </w:rPr>
        <w:t>Původní příčiny dnešního stavu ekonomiky, resp. podnikového sektoru, spočívají ve čtyři dekády (1948–1989) trvajícím přerušení soukromého podnikání. Spolu s tím také v historicky specifické kombinaci vnitřních faktorů a vnějších podmínek na počátku 90. let minulého století, kdy se ekonomika ČR začala opětovně integrovat do světové ekonomiky na základě tržních principů. Vnitřními faktory byly zejména (i) výhodný poměr ceny a kvalifikace pracovní síly, (ii) silná průmyslová tradice a relativní technická vyspělost, (iii) kvalitní infrastruktura mezi zeměmi střední Evropy a (iv) slabý domácí sektor schopný pouze velmi omezené konkurence. Vnější podmínky dále posilovaly význam atraktivity české</w:t>
      </w:r>
      <w:r w:rsidR="0099171B" w:rsidRPr="00BA4F8E">
        <w:rPr>
          <w:rFonts w:cs="Arial"/>
        </w:rPr>
        <w:t xml:space="preserve"> ekonomiky pro rozvoj aktivit zahraničních firem a mezi hlavní patřily zejména (v) blízkost rozvinutým evropským trhům posléze s výhledem na vstup do EU a (vi) změny v organizaci a tím územní konfiguraci nadnárodních produkčních systémů</w:t>
      </w:r>
      <w:r w:rsidR="0099171B" w:rsidRPr="00BA4F8E">
        <w:rPr>
          <w:rStyle w:val="Znakapoznpodarou"/>
          <w:rFonts w:cs="Arial"/>
        </w:rPr>
        <w:footnoteReference w:id="22"/>
      </w:r>
      <w:r w:rsidR="0099171B" w:rsidRPr="00BA4F8E">
        <w:rPr>
          <w:rFonts w:cs="Arial"/>
        </w:rPr>
        <w:t>.</w:t>
      </w:r>
    </w:p>
    <w:p w14:paraId="6E8461EB" w14:textId="4059CC69" w:rsidR="0099171B" w:rsidRPr="00BA4F8E" w:rsidRDefault="0099171B" w:rsidP="00EA3846">
      <w:pPr>
        <w:spacing w:after="0" w:line="360" w:lineRule="auto"/>
        <w:ind w:firstLine="709"/>
        <w:jc w:val="both"/>
        <w:rPr>
          <w:rFonts w:cs="Arial"/>
        </w:rPr>
      </w:pPr>
      <w:r w:rsidRPr="00BA4F8E">
        <w:rPr>
          <w:rFonts w:cs="Arial"/>
        </w:rPr>
        <w:t xml:space="preserve">Česká ekonomika se nyní nachází ve stadiu, kdy postupně ztrácí výhodu cenové konkurenceschopnosti, zejména ve zpracovatelském průmyslu, což je dáno domácím růstem cen práce, energií a služeb a je umocněno růstem atraktivity podmínek pro umístění určitých typů aktivit do rozvíjejících se zemí. V důsledku uvedeného a v souvislosti s hospodářskou krizí po r. 2008 se potenciální i reálný hospodářský růst České republiky zpomalil, zatímco v posledních letech vykazuje silný růst.  Endogenní sektor zatím jen postupně posiluje, především v důsledku vysoce kompetitivního pracovního trhu. Další hospodářský růst ČR závisí jak na její budoucí atraktivitě pro aktivity zahraničních </w:t>
      </w:r>
      <w:r w:rsidRPr="00BA4F8E">
        <w:rPr>
          <w:rFonts w:cs="Arial"/>
        </w:rPr>
        <w:lastRenderedPageBreak/>
        <w:t>firem, tak na schopnosti českých firem uspět pod tlakem růstu mezd. Jedinou cestou je soustředit se na postup na vyšší příčky žebříčku přidané hodnoty vyšší podpor</w:t>
      </w:r>
      <w:r w:rsidR="00D97405" w:rsidRPr="00BA4F8E">
        <w:rPr>
          <w:rFonts w:cs="Arial"/>
        </w:rPr>
        <w:t>o</w:t>
      </w:r>
      <w:r w:rsidRPr="00BA4F8E">
        <w:rPr>
          <w:rFonts w:cs="Arial"/>
        </w:rPr>
        <w:t xml:space="preserve">u výzkumu a vývoje. </w:t>
      </w:r>
    </w:p>
    <w:p w14:paraId="0CE9F5C8" w14:textId="43C17F51" w:rsidR="00A34066" w:rsidRPr="00A34066" w:rsidRDefault="0099171B" w:rsidP="00A34066">
      <w:pPr>
        <w:spacing w:after="0" w:line="360" w:lineRule="auto"/>
        <w:ind w:firstLine="709"/>
        <w:jc w:val="both"/>
        <w:rPr>
          <w:rFonts w:cs="Arial"/>
        </w:rPr>
      </w:pPr>
      <w:r w:rsidRPr="00BA4F8E">
        <w:rPr>
          <w:rFonts w:cs="Arial"/>
        </w:rPr>
        <w:t>Současný vývoj v každém případě ukazuje na nutnost posílení endogenního sektoru podniků, byť nemůže vliv PZI krátkodobě či střednědobě nahradit. Vysoká závislost ekonomiky na zahraničních firmách má také specifické důsledky pro oblast spolupráce podnikového a</w:t>
      </w:r>
      <w:r w:rsidR="007D71C0" w:rsidRPr="00BA4F8E">
        <w:rPr>
          <w:rFonts w:cs="Arial"/>
        </w:rPr>
        <w:t> </w:t>
      </w:r>
      <w:r w:rsidRPr="00BA4F8E">
        <w:rPr>
          <w:rFonts w:cs="Arial"/>
        </w:rPr>
        <w:t xml:space="preserve">akademického sektoru. Rozhodující objem znalostně intenzivních ale také strategických aktivit, jako je obchod, marketing, komunikace se zákazníky, místních poboček zahraničních firem je realizován mimo ČR. V důsledku toho mají tyto pobočky, včetně jejich místních dodavatelů, velmi omezený prostor pro inovace, což je, celkem pochopitelně součástí jejich firemní strategie, únik klíčového know-how mateřské firmy může mít za následek její vytlačení z trhu nově vzniklou konkurencí. </w:t>
      </w:r>
      <w:r w:rsidR="00A34066">
        <w:rPr>
          <w:rFonts w:ascii="Calibri" w:hAnsi="Calibri" w:cs="Calibri"/>
        </w:rPr>
        <w:t>Na druhou stranu zahraniční firmy, které zde realizují VaV (např. Honeywell, Siemens ad.), představují mimořádnou příležitost pro místní výzkumné organizace z hlediska spolupráce s aplikační sférou, včetně potenciálního zajištění významných příjmů ze soukromého sektoru.</w:t>
      </w:r>
    </w:p>
    <w:p w14:paraId="0044CC6F" w14:textId="77777777" w:rsidR="00182F87" w:rsidRPr="00BA4F8E" w:rsidRDefault="00182F87" w:rsidP="007D71C0">
      <w:pPr>
        <w:spacing w:line="360" w:lineRule="auto"/>
        <w:ind w:firstLine="709"/>
        <w:jc w:val="both"/>
        <w:rPr>
          <w:rFonts w:cs="Arial"/>
        </w:rPr>
      </w:pPr>
    </w:p>
    <w:p w14:paraId="6A6360F0" w14:textId="1F1D785A" w:rsidR="007637A7" w:rsidRPr="005C2F38" w:rsidRDefault="00EA6E31" w:rsidP="00103F7E">
      <w:pPr>
        <w:pStyle w:val="Nadpis3"/>
      </w:pPr>
      <w:bookmarkStart w:id="35" w:name="_Toc525716174"/>
      <w:r w:rsidRPr="005C2F38">
        <w:t>Problémový okruh 3: Nestabilita regulačního rámce a administrativní náročnost plnění regulačních pravidel</w:t>
      </w:r>
      <w:bookmarkEnd w:id="35"/>
    </w:p>
    <w:p w14:paraId="018AD440" w14:textId="6CC30032" w:rsidR="00877238" w:rsidRPr="00BA4F8E" w:rsidRDefault="00877238" w:rsidP="00BF6859">
      <w:pPr>
        <w:spacing w:before="240" w:after="0" w:line="360" w:lineRule="auto"/>
        <w:ind w:firstLine="709"/>
        <w:jc w:val="both"/>
        <w:rPr>
          <w:rFonts w:cs="Arial"/>
        </w:rPr>
      </w:pPr>
      <w:r w:rsidRPr="00BA4F8E">
        <w:rPr>
          <w:rFonts w:cs="Arial"/>
        </w:rPr>
        <w:t>Nestabilita daňového a regulačního rámce podnikání představuje závažný problém podnikatelského prostředí v ČR. Dle pravidelného mezinárodního šetření Světového ekonomického fóra</w:t>
      </w:r>
      <w:r w:rsidRPr="00BA4F8E">
        <w:rPr>
          <w:rStyle w:val="Znakapoznpodarou"/>
          <w:rFonts w:cs="Arial"/>
        </w:rPr>
        <w:footnoteReference w:id="23"/>
      </w:r>
      <w:r w:rsidRPr="00BA4F8E">
        <w:rPr>
          <w:rFonts w:cs="Arial"/>
        </w:rPr>
        <w:t xml:space="preserve"> považují místní podnikatelé a manažeři za hlavní problémy (i) korupci, (ii) administrativní zátěž, (iii) sazby a výběr daní a (iv) regulace spojené se zaměstnáváním lidí. S výjimkou korupce se nejedná o</w:t>
      </w:r>
      <w:r w:rsidR="00AB730E" w:rsidRPr="00BA4F8E">
        <w:rPr>
          <w:rFonts w:cs="Arial"/>
        </w:rPr>
        <w:t> </w:t>
      </w:r>
      <w:r w:rsidRPr="00BA4F8E">
        <w:rPr>
          <w:rFonts w:cs="Arial"/>
        </w:rPr>
        <w:t>nic výjimečného, neboť ostatní tři položky dominují problémům podnikatelského prostředí ve většině zemí OECD. Nicméně pravidelné mezinárodní šetření Světové banky</w:t>
      </w:r>
      <w:r w:rsidRPr="00BA4F8E">
        <w:rPr>
          <w:rStyle w:val="Znakapoznpodarou"/>
          <w:rFonts w:cs="Arial"/>
        </w:rPr>
        <w:footnoteReference w:id="24"/>
      </w:r>
      <w:r w:rsidRPr="00BA4F8E">
        <w:rPr>
          <w:rFonts w:cs="Arial"/>
        </w:rPr>
        <w:t xml:space="preserve"> ukazuje, že závažnost těchto problémů je v ČR vyšší.</w:t>
      </w:r>
    </w:p>
    <w:p w14:paraId="45FD3CD1" w14:textId="14338590" w:rsidR="00877238" w:rsidRPr="00BA4F8E" w:rsidRDefault="000C0D38" w:rsidP="00BF6859">
      <w:pPr>
        <w:spacing w:after="0" w:line="360" w:lineRule="auto"/>
        <w:ind w:firstLine="709"/>
        <w:jc w:val="both"/>
        <w:rPr>
          <w:rFonts w:cs="Arial"/>
        </w:rPr>
      </w:pPr>
      <w:r w:rsidRPr="00BA4F8E">
        <w:rPr>
          <w:rFonts w:cs="Arial"/>
        </w:rPr>
        <w:t xml:space="preserve">Vzhledem k předcházejícímu období </w:t>
      </w:r>
      <w:r w:rsidR="00A6414D">
        <w:rPr>
          <w:rFonts w:cs="Arial"/>
        </w:rPr>
        <w:t xml:space="preserve">(2014) </w:t>
      </w:r>
      <w:r w:rsidR="00F407AD" w:rsidRPr="00BA4F8E">
        <w:rPr>
          <w:rFonts w:cs="Arial"/>
        </w:rPr>
        <w:t xml:space="preserve">došlo v této oblasti k výraznému </w:t>
      </w:r>
      <w:r w:rsidR="00DD546B" w:rsidRPr="00BA4F8E">
        <w:rPr>
          <w:rFonts w:cs="Arial"/>
        </w:rPr>
        <w:t>zlepšení</w:t>
      </w:r>
      <w:r w:rsidR="000955D2" w:rsidRPr="00BA4F8E">
        <w:rPr>
          <w:rFonts w:cs="Arial"/>
        </w:rPr>
        <w:t xml:space="preserve"> </w:t>
      </w:r>
      <w:r w:rsidR="00A6414D">
        <w:rPr>
          <w:rFonts w:cs="Arial"/>
        </w:rPr>
        <w:t xml:space="preserve">(data 2018) </w:t>
      </w:r>
      <w:r w:rsidR="000955D2" w:rsidRPr="00BA4F8E">
        <w:rPr>
          <w:rFonts w:cs="Arial"/>
        </w:rPr>
        <w:t>a lze očekávat, že další zlepšení bude následovat</w:t>
      </w:r>
      <w:r w:rsidR="00D60143">
        <w:rPr>
          <w:rFonts w:cs="Arial"/>
        </w:rPr>
        <w:t xml:space="preserve"> (viz </w:t>
      </w:r>
      <w:r w:rsidR="00161092">
        <w:rPr>
          <w:rFonts w:cs="Arial"/>
        </w:rPr>
        <w:t>kap.</w:t>
      </w:r>
      <w:r w:rsidR="002876D5">
        <w:rPr>
          <w:rFonts w:cs="Arial"/>
        </w:rPr>
        <w:t xml:space="preserve"> </w:t>
      </w:r>
      <w:r w:rsidR="002876D5">
        <w:rPr>
          <w:rFonts w:cs="Arial"/>
        </w:rPr>
        <w:fldChar w:fldCharType="begin"/>
      </w:r>
      <w:r w:rsidR="002876D5">
        <w:rPr>
          <w:rFonts w:cs="Arial"/>
        </w:rPr>
        <w:instrText xml:space="preserve"> REF _Ref521331535 \r \h </w:instrText>
      </w:r>
      <w:r w:rsidR="002876D5">
        <w:rPr>
          <w:rFonts w:cs="Arial"/>
        </w:rPr>
      </w:r>
      <w:r w:rsidR="002876D5">
        <w:rPr>
          <w:rFonts w:cs="Arial"/>
        </w:rPr>
        <w:fldChar w:fldCharType="separate"/>
      </w:r>
      <w:r w:rsidR="00DE40D4">
        <w:rPr>
          <w:rFonts w:cs="Arial"/>
        </w:rPr>
        <w:t>9.1</w:t>
      </w:r>
      <w:r w:rsidR="002876D5">
        <w:rPr>
          <w:rFonts w:cs="Arial"/>
        </w:rPr>
        <w:fldChar w:fldCharType="end"/>
      </w:r>
      <w:r w:rsidR="00D60143">
        <w:rPr>
          <w:rFonts w:cs="Arial"/>
        </w:rPr>
        <w:t>.)</w:t>
      </w:r>
      <w:r w:rsidR="00F407AD" w:rsidRPr="00BA4F8E">
        <w:rPr>
          <w:rFonts w:cs="Arial"/>
        </w:rPr>
        <w:t>.</w:t>
      </w:r>
      <w:r w:rsidR="00877238" w:rsidRPr="00BA4F8E">
        <w:rPr>
          <w:rStyle w:val="Znakapoznpodarou"/>
          <w:rFonts w:cs="Arial"/>
        </w:rPr>
        <w:footnoteReference w:id="25"/>
      </w:r>
    </w:p>
    <w:p w14:paraId="1F130628" w14:textId="732581F8" w:rsidR="00271FF6" w:rsidRPr="00BA4F8E" w:rsidRDefault="00573693" w:rsidP="00580DE3">
      <w:pPr>
        <w:pStyle w:val="Titulek"/>
      </w:pPr>
      <w:bookmarkStart w:id="36" w:name="_Toc524677662"/>
      <w:r w:rsidRPr="00BA4F8E">
        <w:rPr>
          <w:noProof/>
        </w:rPr>
        <w:lastRenderedPageBreak/>
        <w:drawing>
          <wp:anchor distT="0" distB="0" distL="114300" distR="114300" simplePos="0" relativeHeight="251661312" behindDoc="0" locked="0" layoutInCell="1" allowOverlap="1" wp14:anchorId="0A22A686" wp14:editId="6E5B1BB3">
            <wp:simplePos x="0" y="0"/>
            <wp:positionH relativeFrom="margin">
              <wp:align>right</wp:align>
            </wp:positionH>
            <wp:positionV relativeFrom="paragraph">
              <wp:posOffset>193675</wp:posOffset>
            </wp:positionV>
            <wp:extent cx="6114415" cy="8096885"/>
            <wp:effectExtent l="0" t="0" r="635" b="0"/>
            <wp:wrapTopAndBottom/>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l="33779" t="15708" r="32957" b="5980"/>
                    <a:stretch/>
                  </pic:blipFill>
                  <pic:spPr bwMode="auto">
                    <a:xfrm>
                      <a:off x="0" y="0"/>
                      <a:ext cx="6114415" cy="8096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8111A"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2</w:t>
      </w:r>
      <w:r w:rsidR="00EE7C52">
        <w:rPr>
          <w:noProof/>
        </w:rPr>
        <w:fldChar w:fldCharType="end"/>
      </w:r>
      <w:r w:rsidR="00AE3D32" w:rsidRPr="00BA4F8E">
        <w:t xml:space="preserve"> - </w:t>
      </w:r>
      <w:r w:rsidR="00271FF6" w:rsidRPr="00BA4F8E">
        <w:t>Přehled zemí v sumárním kritériu "Ease of doing business" v r. 2018</w:t>
      </w:r>
      <w:bookmarkEnd w:id="36"/>
    </w:p>
    <w:p w14:paraId="226800FD" w14:textId="77777777" w:rsidR="00A14BA8" w:rsidRPr="00802F74" w:rsidRDefault="00A14BA8" w:rsidP="00271FF6">
      <w:pPr>
        <w:pStyle w:val="Odstavecseseznamem"/>
        <w:ind w:left="0"/>
        <w:rPr>
          <w:rFonts w:cs="Arial"/>
          <w:i/>
          <w:sz w:val="18"/>
          <w:szCs w:val="18"/>
        </w:rPr>
      </w:pPr>
      <w:r w:rsidRPr="00802F74">
        <w:rPr>
          <w:rFonts w:cs="Arial"/>
          <w:i/>
          <w:sz w:val="18"/>
          <w:szCs w:val="18"/>
        </w:rPr>
        <w:t>Zdroj:</w:t>
      </w:r>
      <w:r w:rsidR="00CA2B66" w:rsidRPr="00802F74">
        <w:rPr>
          <w:rFonts w:cs="Arial"/>
          <w:sz w:val="18"/>
          <w:szCs w:val="18"/>
        </w:rPr>
        <w:t xml:space="preserve"> </w:t>
      </w:r>
      <w:r w:rsidR="00CA2B66" w:rsidRPr="00802F74">
        <w:rPr>
          <w:rFonts w:cs="Arial"/>
          <w:i/>
          <w:sz w:val="18"/>
          <w:szCs w:val="18"/>
        </w:rPr>
        <w:t>Doing Business 2018</w:t>
      </w:r>
    </w:p>
    <w:p w14:paraId="4C3DE795" w14:textId="77777777" w:rsidR="00271FF6" w:rsidRPr="00BA4F8E" w:rsidRDefault="00271FF6" w:rsidP="00355139">
      <w:pPr>
        <w:spacing w:after="0" w:line="360" w:lineRule="auto"/>
        <w:ind w:firstLine="708"/>
        <w:jc w:val="both"/>
        <w:rPr>
          <w:rFonts w:cs="Arial"/>
        </w:rPr>
      </w:pPr>
      <w:r w:rsidRPr="00BA4F8E">
        <w:rPr>
          <w:rFonts w:cs="Arial"/>
        </w:rPr>
        <w:lastRenderedPageBreak/>
        <w:t>Příčinou absence či pomalého zavádění reforem zlepšujících regulatorní rámec pro podnikání je vysoká personální fluktuace uvnitř ústředních orgánů státní správy a také ve vedení jimi zřizovaných institucí. Politická nestabilita vede k častým dílčím změnám daňových zákonů a dalších regulačních pravidel. Tyto změny jsou motivovány spíše krátkodobými cíli, nikoliv dlouhodobou hospodářskou strategií země.</w:t>
      </w:r>
    </w:p>
    <w:p w14:paraId="7DEA2AF2" w14:textId="776BCF9D" w:rsidR="00271FF6" w:rsidRPr="00BA4F8E" w:rsidRDefault="00271FF6" w:rsidP="00355139">
      <w:pPr>
        <w:spacing w:after="0" w:line="360" w:lineRule="auto"/>
        <w:ind w:firstLine="708"/>
        <w:jc w:val="both"/>
        <w:rPr>
          <w:rFonts w:cs="Arial"/>
          <w:b/>
        </w:rPr>
      </w:pPr>
      <w:r w:rsidRPr="00BA4F8E">
        <w:rPr>
          <w:rFonts w:cs="Arial"/>
        </w:rPr>
        <w:t>Nestabilní a složitý regulační rámec podnikání ve spojení s vysokou mírou subjektivně vnímané korupce vytváří vzorce chování, které příliš nepodporují inovace, resp. rozvoj firem obecně a tím celé ekonomiky. Nestabilita a obtížná předvídatelnost daňových podmínek zatěžuje strategické plánování firem. Aktivity s vyšší přidanou hodnotou jsou celkově více citlivé na kvalitní podnikatelské prostředí. Další zlepšení podmínek pro zahajování a ukončování podnikání je dlouhodobě jedním z předpokladů vyšší dynamiky a</w:t>
      </w:r>
      <w:r w:rsidR="003C0FE8" w:rsidRPr="00BA4F8E">
        <w:rPr>
          <w:rFonts w:cs="Arial"/>
        </w:rPr>
        <w:t> </w:t>
      </w:r>
      <w:r w:rsidRPr="00BA4F8E">
        <w:rPr>
          <w:rFonts w:cs="Arial"/>
        </w:rPr>
        <w:t xml:space="preserve">inovační výkonnosti endogenního podnikového sektoru. </w:t>
      </w:r>
    </w:p>
    <w:p w14:paraId="1B7E94BB" w14:textId="77777777" w:rsidR="00271FF6" w:rsidRPr="00BA4F8E" w:rsidRDefault="00271FF6" w:rsidP="00271FF6">
      <w:pPr>
        <w:rPr>
          <w:rFonts w:cs="Calibri"/>
          <w:b/>
        </w:rPr>
      </w:pPr>
    </w:p>
    <w:p w14:paraId="621C8580" w14:textId="1EC9D0E3" w:rsidR="00271FF6" w:rsidRPr="005C2F38" w:rsidRDefault="001C3AF3" w:rsidP="005C2F38">
      <w:pPr>
        <w:pStyle w:val="Nadpis3"/>
      </w:pPr>
      <w:bookmarkStart w:id="37" w:name="_Toc525716175"/>
      <w:r w:rsidRPr="005C2F38">
        <w:t>Problémový okruh 4: Přetrvávající podcenění digitální agendy v podnikání</w:t>
      </w:r>
      <w:bookmarkEnd w:id="37"/>
    </w:p>
    <w:p w14:paraId="7B3A68D9" w14:textId="77777777" w:rsidR="001C3AF3" w:rsidRPr="00BA4F8E" w:rsidRDefault="001C3AF3" w:rsidP="00355139">
      <w:pPr>
        <w:spacing w:before="240" w:after="0" w:line="360" w:lineRule="auto"/>
        <w:ind w:firstLine="709"/>
        <w:jc w:val="both"/>
        <w:rPr>
          <w:rFonts w:cs="Arial"/>
          <w:b/>
        </w:rPr>
      </w:pPr>
      <w:r w:rsidRPr="00BA4F8E">
        <w:rPr>
          <w:rFonts w:cs="Arial"/>
        </w:rPr>
        <w:t xml:space="preserve">Nedůvěra, respektive důvěra v bezpečnost využívání elektronické komunikace patří mezi klíčové faktory digitální ekonomiky. Bez důvěry uživatelů digitální služeb a technologií v jejich bezpečnost nelze předpokládat rozvoj jak digitalizovaných odběratelsko-dodavatelských vazeb, tak digitální ekonomiky samotné.  </w:t>
      </w:r>
    </w:p>
    <w:p w14:paraId="0AD53583" w14:textId="77777777" w:rsidR="001C3AF3" w:rsidRPr="00BA4F8E" w:rsidRDefault="001C3AF3" w:rsidP="00355139">
      <w:pPr>
        <w:spacing w:after="0" w:line="360" w:lineRule="auto"/>
        <w:ind w:firstLine="709"/>
        <w:jc w:val="both"/>
        <w:rPr>
          <w:rFonts w:cs="Arial"/>
        </w:rPr>
      </w:pPr>
      <w:r w:rsidRPr="00BA4F8E">
        <w:rPr>
          <w:rFonts w:cs="Arial"/>
        </w:rPr>
        <w:t>Nedostatečné investice do fyzické infrastruktury vysokorychlostního připojení vedly k</w:t>
      </w:r>
      <w:r w:rsidR="001C605C" w:rsidRPr="00BA4F8E">
        <w:rPr>
          <w:rFonts w:cs="Arial"/>
        </w:rPr>
        <w:t> </w:t>
      </w:r>
      <w:r w:rsidRPr="00BA4F8E">
        <w:rPr>
          <w:rFonts w:cs="Arial"/>
        </w:rPr>
        <w:t>zastarávání infrastruktury zejména z hlediska její kapacity. Situace není optimální v rozvoji optické infrastruktury, ta jediná je schopna dopravovat gigabitové toky až ke koncovým odběratelům. Poskytovatelé internetového připojení nebyli nijak motivováni k rozvoji infrastruktury, a tak své disponibilní prostředky využívali k jinému účelu.</w:t>
      </w:r>
    </w:p>
    <w:p w14:paraId="30728CA0" w14:textId="2A47EB8E" w:rsidR="001C3AF3" w:rsidRPr="00BA4F8E" w:rsidRDefault="001C3AF3" w:rsidP="00355139">
      <w:pPr>
        <w:spacing w:after="0" w:line="360" w:lineRule="auto"/>
        <w:ind w:firstLine="709"/>
        <w:jc w:val="both"/>
        <w:rPr>
          <w:rFonts w:cs="Arial"/>
          <w:b/>
        </w:rPr>
      </w:pPr>
      <w:r w:rsidRPr="00BA4F8E">
        <w:rPr>
          <w:rFonts w:cs="Arial"/>
        </w:rPr>
        <w:t>Investice do fyzické infrastruktury mají zásadní vliv na udržení ČR na globálních trzích a</w:t>
      </w:r>
      <w:r w:rsidR="001C605C" w:rsidRPr="00BA4F8E">
        <w:rPr>
          <w:rFonts w:cs="Arial"/>
        </w:rPr>
        <w:t> </w:t>
      </w:r>
      <w:r w:rsidRPr="00BA4F8E">
        <w:rPr>
          <w:rFonts w:cs="Arial"/>
        </w:rPr>
        <w:t>zároveň mohou podpořit domácí ekonomickou aktivitu, a to nejen v segmentu nových technologií a digitálních služeb, ale také v segmentu stavebnictví zaměřeného na výstavbu potřebné infrastruktury. Rostoucí poptávka po koncových zařízeních a digitálních službách vede ke vzniku nových segmentů trhu a tím i</w:t>
      </w:r>
      <w:r w:rsidR="00BA56ED" w:rsidRPr="00BA4F8E">
        <w:rPr>
          <w:rFonts w:cs="Arial"/>
        </w:rPr>
        <w:t> </w:t>
      </w:r>
      <w:r w:rsidRPr="00BA4F8E">
        <w:rPr>
          <w:rFonts w:cs="Arial"/>
        </w:rPr>
        <w:t>vzniku nových podnikatelských subjektů na těchto trzích působících.</w:t>
      </w:r>
    </w:p>
    <w:p w14:paraId="3589AC25" w14:textId="77777777" w:rsidR="00EF1C29" w:rsidRPr="00BA4F8E" w:rsidRDefault="00EF1C29" w:rsidP="00EF1C29"/>
    <w:p w14:paraId="7D9DCEFF" w14:textId="24931281" w:rsidR="003802C0" w:rsidRPr="005C2F38" w:rsidRDefault="003802C0" w:rsidP="005C2F38">
      <w:pPr>
        <w:pStyle w:val="Nadpis2"/>
      </w:pPr>
      <w:bookmarkStart w:id="38" w:name="_Toc525716176"/>
      <w:r w:rsidRPr="005C2F38">
        <w:t>Výzkum a vývoj</w:t>
      </w:r>
      <w:bookmarkEnd w:id="38"/>
    </w:p>
    <w:p w14:paraId="2A1AF863" w14:textId="46D07087" w:rsidR="003802C0" w:rsidRPr="005C2F38" w:rsidRDefault="003802C0" w:rsidP="005C2F38">
      <w:pPr>
        <w:pStyle w:val="Nadpis3"/>
      </w:pPr>
      <w:bookmarkStart w:id="39" w:name="_Toc525716177"/>
      <w:r w:rsidRPr="005C2F38">
        <w:t>Úvod</w:t>
      </w:r>
      <w:bookmarkEnd w:id="39"/>
    </w:p>
    <w:p w14:paraId="6C49A2B2" w14:textId="77777777" w:rsidR="00185153" w:rsidRDefault="00185153" w:rsidP="00E57814">
      <w:pPr>
        <w:spacing w:before="240" w:after="0" w:line="360" w:lineRule="auto"/>
        <w:ind w:firstLine="708"/>
        <w:jc w:val="both"/>
        <w:rPr>
          <w:rFonts w:cs="Arial"/>
        </w:rPr>
      </w:pPr>
      <w:r w:rsidRPr="00185153">
        <w:rPr>
          <w:rFonts w:cs="Arial"/>
        </w:rPr>
        <w:t>Kvalitní výzkum je zásadním zdrojem nových znalostí, které rozšiřují dosažitelné technologické možnosti využitelné pro inovace.</w:t>
      </w:r>
    </w:p>
    <w:p w14:paraId="67B7A93B" w14:textId="5FF373D5" w:rsidR="005330F9" w:rsidRPr="00BA4F8E" w:rsidRDefault="005330F9" w:rsidP="00E57814">
      <w:pPr>
        <w:spacing w:before="240" w:after="0" w:line="360" w:lineRule="auto"/>
        <w:ind w:firstLine="708"/>
        <w:jc w:val="both"/>
        <w:rPr>
          <w:rFonts w:cs="Arial"/>
        </w:rPr>
      </w:pPr>
      <w:r w:rsidRPr="00BA4F8E">
        <w:rPr>
          <w:rFonts w:cs="Arial"/>
        </w:rPr>
        <w:lastRenderedPageBreak/>
        <w:t>Kvalita výzkumu a jeho praktická relevance (aplikační využitelnost) nejsou, jak dokládá celá řada analytických studií, ve vzájemném rozporu. Při vhodném řízení výzkumného systému a</w:t>
      </w:r>
      <w:r w:rsidR="001C605C" w:rsidRPr="00BA4F8E">
        <w:rPr>
          <w:rFonts w:cs="Arial"/>
        </w:rPr>
        <w:t> </w:t>
      </w:r>
      <w:r w:rsidRPr="00BA4F8E">
        <w:rPr>
          <w:rFonts w:cs="Arial"/>
        </w:rPr>
        <w:t>ukotvení základního i</w:t>
      </w:r>
      <w:r w:rsidR="006A12BD" w:rsidRPr="00BA4F8E">
        <w:rPr>
          <w:rFonts w:cs="Arial"/>
        </w:rPr>
        <w:t> </w:t>
      </w:r>
      <w:r w:rsidRPr="00BA4F8E">
        <w:rPr>
          <w:rFonts w:cs="Arial"/>
        </w:rPr>
        <w:t>aplikovaného výzkumu a vysokoškolského vzdělávání v rámci výzkumných agend orientovaných na dlouhodobé strategické výzvy, lze dosáhnout vzájemných synergií, které přispívají jak ke kvalitě výzkumu, tak zvyšují jeho přínosy pro společnost a ekonomiku.</w:t>
      </w:r>
      <w:r w:rsidRPr="00BA4F8E">
        <w:rPr>
          <w:rStyle w:val="Znakapoznpodarou"/>
          <w:rFonts w:cs="Arial"/>
        </w:rPr>
        <w:t xml:space="preserve"> </w:t>
      </w:r>
      <w:r w:rsidRPr="00BA4F8E">
        <w:rPr>
          <w:rStyle w:val="Znakapoznpodarou"/>
          <w:rFonts w:cs="Arial"/>
        </w:rPr>
        <w:footnoteReference w:id="26"/>
      </w:r>
      <w:r w:rsidRPr="00BA4F8E">
        <w:rPr>
          <w:rFonts w:cs="Arial"/>
        </w:rPr>
        <w:t xml:space="preserve"> Z hlediska praktické relevance výzkumu je nutné zdůraznit, že se nejedná výlučně o výzkum v technologických oborech, ale také o výzkum a rozvoj a šíření znalostí v oblasti společenských věd, které představují klíčovou expertízu nezbytnou pro netechnické inovace, včetně inovací sociálních a inovací ve službách (management inovací apod.). </w:t>
      </w:r>
    </w:p>
    <w:p w14:paraId="0BE43047" w14:textId="3FD16A60" w:rsidR="005330F9" w:rsidRPr="00BA4F8E" w:rsidRDefault="005330F9" w:rsidP="00E57814">
      <w:pPr>
        <w:spacing w:after="0" w:line="360" w:lineRule="auto"/>
        <w:ind w:firstLine="708"/>
        <w:jc w:val="both"/>
        <w:rPr>
          <w:rFonts w:cs="Arial"/>
        </w:rPr>
      </w:pPr>
      <w:r w:rsidRPr="00BA4F8E">
        <w:rPr>
          <w:rFonts w:cs="Arial"/>
        </w:rPr>
        <w:t>Hlavní strategické dokumenty ČR vnímají vhodné podmínky pro kvalitní veřejný výzkum</w:t>
      </w:r>
      <w:r w:rsidRPr="00BA4F8E">
        <w:rPr>
          <w:rStyle w:val="Znakapoznpodarou"/>
          <w:rFonts w:cs="Arial"/>
        </w:rPr>
        <w:footnoteReference w:id="27"/>
      </w:r>
      <w:r w:rsidRPr="00BA4F8E">
        <w:rPr>
          <w:rFonts w:cs="Arial"/>
        </w:rPr>
        <w:t xml:space="preserve"> jako jednu ze zásadních podmínek konkurenceschopnosti a z dlouhodobého hlediska ji považují za jednu z klíčových podmínek inovační výkonnosti ekonomiky, která vytváří podněty pro rozvoj nových aplikačních směrů.</w:t>
      </w:r>
      <w:r w:rsidRPr="00BA4F8E">
        <w:rPr>
          <w:rStyle w:val="Znakapoznpodarou"/>
          <w:rFonts w:cs="Arial"/>
        </w:rPr>
        <w:footnoteReference w:id="28"/>
      </w:r>
      <w:r w:rsidRPr="00BA4F8E">
        <w:rPr>
          <w:rFonts w:cs="Arial"/>
        </w:rPr>
        <w:t xml:space="preserve"> Výzkum v České republice, jeho kvalita a kvalitativní vyváženost, je závisl</w:t>
      </w:r>
      <w:r w:rsidR="0005359A" w:rsidRPr="00BA4F8E">
        <w:rPr>
          <w:rFonts w:cs="Arial"/>
        </w:rPr>
        <w:t>á na míře financování (HDP a jeho</w:t>
      </w:r>
      <w:r w:rsidRPr="00BA4F8E">
        <w:rPr>
          <w:rFonts w:cs="Arial"/>
        </w:rPr>
        <w:t xml:space="preserve"> podílu investovaném do veřejného výzkumu) a</w:t>
      </w:r>
      <w:r w:rsidR="002E10BD" w:rsidRPr="00BA4F8E">
        <w:rPr>
          <w:rFonts w:cs="Arial"/>
        </w:rPr>
        <w:t> </w:t>
      </w:r>
      <w:r w:rsidRPr="00BA4F8E">
        <w:rPr>
          <w:rFonts w:cs="Arial"/>
        </w:rPr>
        <w:t>nevyhnutelně existují a</w:t>
      </w:r>
      <w:r w:rsidR="000F07B1">
        <w:rPr>
          <w:rFonts w:cs="Arial"/>
        </w:rPr>
        <w:t> </w:t>
      </w:r>
      <w:r w:rsidRPr="00BA4F8E">
        <w:rPr>
          <w:rFonts w:cs="Arial"/>
        </w:rPr>
        <w:t>existovat budou kvalitativní rozdíly. V období před vlnou strukturálních fondů (ve výzkumu OP VaVpI) bylo možné říci, že úroveň výzkumu v ČR</w:t>
      </w:r>
      <w:r w:rsidRPr="00BA4F8E">
        <w:rPr>
          <w:rStyle w:val="Znakapoznpodarou"/>
          <w:rFonts w:cs="Arial"/>
        </w:rPr>
        <w:footnoteReference w:id="29"/>
      </w:r>
      <w:r w:rsidRPr="00BA4F8E">
        <w:rPr>
          <w:rFonts w:cs="Arial"/>
        </w:rPr>
        <w:t xml:space="preserve"> zaostávala za nejvyspělejšími zeměmi.</w:t>
      </w:r>
      <w:r w:rsidRPr="00BA4F8E">
        <w:rPr>
          <w:rStyle w:val="Znakapoznpodarou"/>
          <w:rFonts w:cs="Arial"/>
        </w:rPr>
        <w:footnoteReference w:id="30"/>
      </w:r>
      <w:r w:rsidRPr="00BA4F8E">
        <w:rPr>
          <w:rFonts w:cs="Arial"/>
        </w:rPr>
        <w:t xml:space="preserve"> Investice do výzkumné infrastruktury v rámci OP VaVpI znamenaly pro českou vědu významný kvalitativní posun a</w:t>
      </w:r>
      <w:r w:rsidR="000F07B1">
        <w:rPr>
          <w:rFonts w:cs="Arial"/>
        </w:rPr>
        <w:t> </w:t>
      </w:r>
      <w:r w:rsidRPr="00BA4F8E">
        <w:rPr>
          <w:rFonts w:cs="Arial"/>
        </w:rPr>
        <w:t>přiblížila řadu oborů (západo)</w:t>
      </w:r>
      <w:r w:rsidR="0047078D" w:rsidRPr="00BA4F8E">
        <w:rPr>
          <w:rFonts w:cs="Arial"/>
        </w:rPr>
        <w:t xml:space="preserve"> </w:t>
      </w:r>
      <w:r w:rsidRPr="00BA4F8E">
        <w:rPr>
          <w:rFonts w:cs="Arial"/>
        </w:rPr>
        <w:t>evropskému průměru. OP VaVpI byl zaměřen na budování infrastruktur pro vědu a</w:t>
      </w:r>
      <w:r w:rsidR="00B34AD7" w:rsidRPr="00BA4F8E">
        <w:rPr>
          <w:rFonts w:cs="Arial"/>
        </w:rPr>
        <w:t> </w:t>
      </w:r>
      <w:r w:rsidRPr="00BA4F8E">
        <w:rPr>
          <w:rFonts w:cs="Arial"/>
        </w:rPr>
        <w:t xml:space="preserve">kladlo si za cíl vyvážit existující disproporci kapacit ve prospěch Prahy. Toho bylo dosaženo, přičemž navazující </w:t>
      </w:r>
      <w:r w:rsidR="00FC1E1B">
        <w:rPr>
          <w:rFonts w:cs="Arial"/>
        </w:rPr>
        <w:t>program</w:t>
      </w:r>
      <w:r w:rsidRPr="00BA4F8E">
        <w:rPr>
          <w:rFonts w:cs="Arial"/>
        </w:rPr>
        <w:t xml:space="preserve"> OP</w:t>
      </w:r>
      <w:r w:rsidR="00EC24CA" w:rsidRPr="00BA4F8E">
        <w:rPr>
          <w:rFonts w:cs="Arial"/>
        </w:rPr>
        <w:t> </w:t>
      </w:r>
      <w:r w:rsidRPr="00BA4F8E">
        <w:rPr>
          <w:rFonts w:cs="Arial"/>
        </w:rPr>
        <w:t>VVV, kter</w:t>
      </w:r>
      <w:r w:rsidR="00FC1E1B">
        <w:rPr>
          <w:rFonts w:cs="Arial"/>
        </w:rPr>
        <w:t>ý</w:t>
      </w:r>
      <w:r w:rsidRPr="00BA4F8E">
        <w:rPr>
          <w:rFonts w:cs="Arial"/>
        </w:rPr>
        <w:t xml:space="preserve"> směřuje k podpoře výzkumu jako takového (nikoli budování nových infrastruktur) již Prahu nevylučuje. Významné zlepšení materiálních podmínek pro česko</w:t>
      </w:r>
      <w:r w:rsidR="00E72AEC" w:rsidRPr="00BA4F8E">
        <w:rPr>
          <w:rFonts w:cs="Arial"/>
        </w:rPr>
        <w:t>u</w:t>
      </w:r>
      <w:r w:rsidRPr="00BA4F8E">
        <w:rPr>
          <w:rFonts w:cs="Arial"/>
        </w:rPr>
        <w:t xml:space="preserve"> vědu vedlo i ke zlepšení internacionalizace, i když i zde existují oboro</w:t>
      </w:r>
      <w:r w:rsidR="00185153">
        <w:rPr>
          <w:rFonts w:cs="Arial"/>
        </w:rPr>
        <w:t>vé rozdíly.</w:t>
      </w:r>
    </w:p>
    <w:p w14:paraId="4C1CC03A" w14:textId="77777777" w:rsidR="005330F9" w:rsidRPr="00BA4F8E" w:rsidRDefault="005330F9" w:rsidP="00E57814">
      <w:pPr>
        <w:spacing w:after="0" w:line="360" w:lineRule="auto"/>
        <w:ind w:firstLine="708"/>
        <w:jc w:val="both"/>
        <w:rPr>
          <w:rFonts w:cs="Arial"/>
        </w:rPr>
      </w:pPr>
      <w:r w:rsidRPr="00BA4F8E">
        <w:rPr>
          <w:rFonts w:cs="Arial"/>
        </w:rPr>
        <w:t>Oblast řízení politiky výzkumu a vývoje má svá specifika v každém státě, v ČR však tato oblast dlouhodobě vykazuje řadu nedostatků a je předmětem dlouhodobé kritiky a politických debat. Reforma systému VaVaI nastartovaná v roce 2008 přinesla řadu dílčích zlepšení, stále však v tomto směru existuje prostor pro zlepšení.</w:t>
      </w:r>
    </w:p>
    <w:p w14:paraId="06073FE6" w14:textId="77777777" w:rsidR="005330F9" w:rsidRPr="00BA4F8E" w:rsidRDefault="005330F9" w:rsidP="005330F9">
      <w:pPr>
        <w:spacing w:line="360" w:lineRule="auto"/>
        <w:ind w:firstLine="708"/>
        <w:jc w:val="both"/>
        <w:rPr>
          <w:rFonts w:eastAsia="Times New Roman" w:cs="Arial"/>
          <w:lang w:eastAsia="cs-CZ"/>
        </w:rPr>
      </w:pPr>
      <w:r w:rsidRPr="00BA4F8E">
        <w:rPr>
          <w:rFonts w:eastAsia="Times New Roman" w:cs="Arial"/>
          <w:lang w:eastAsia="cs-CZ"/>
        </w:rPr>
        <w:lastRenderedPageBreak/>
        <w:t>Výše popsané charakteristiky veřejného výzkumu v ČR jsou dále rozvedeny a vysvětleny v členění na jednotlivé problémové okruhy či témata:</w:t>
      </w:r>
    </w:p>
    <w:p w14:paraId="5F2B1153" w14:textId="77777777" w:rsidR="005330F9" w:rsidRPr="00BA4F8E" w:rsidRDefault="005330F9" w:rsidP="00543C1B">
      <w:pPr>
        <w:pStyle w:val="Odstavecseseznamem"/>
        <w:numPr>
          <w:ilvl w:val="0"/>
          <w:numId w:val="11"/>
        </w:numPr>
        <w:spacing w:after="200" w:line="360" w:lineRule="auto"/>
        <w:jc w:val="both"/>
        <w:rPr>
          <w:rFonts w:cs="Arial"/>
        </w:rPr>
      </w:pPr>
      <w:r w:rsidRPr="00BA4F8E">
        <w:rPr>
          <w:rFonts w:cs="Arial"/>
        </w:rPr>
        <w:t>Nevyrovnaná kvalita veřejného výzkumu</w:t>
      </w:r>
    </w:p>
    <w:p w14:paraId="124494E4" w14:textId="77777777" w:rsidR="005330F9" w:rsidRPr="00BA4F8E" w:rsidRDefault="005330F9" w:rsidP="00543C1B">
      <w:pPr>
        <w:pStyle w:val="Odstavecseseznamem"/>
        <w:numPr>
          <w:ilvl w:val="0"/>
          <w:numId w:val="11"/>
        </w:numPr>
        <w:spacing w:after="200" w:line="360" w:lineRule="auto"/>
        <w:jc w:val="both"/>
        <w:rPr>
          <w:rFonts w:cs="Arial"/>
        </w:rPr>
      </w:pPr>
      <w:r w:rsidRPr="00BA4F8E">
        <w:rPr>
          <w:rFonts w:cs="Arial"/>
        </w:rPr>
        <w:t>Rizika digitální agendy ve veřejném výzkumu</w:t>
      </w:r>
    </w:p>
    <w:p w14:paraId="6C10AC58" w14:textId="79E0A5D7" w:rsidR="005330F9" w:rsidRPr="00BA4F8E" w:rsidRDefault="005330F9" w:rsidP="00543C1B">
      <w:pPr>
        <w:pStyle w:val="Odstavecseseznamem"/>
        <w:numPr>
          <w:ilvl w:val="0"/>
          <w:numId w:val="11"/>
        </w:numPr>
        <w:spacing w:after="200" w:line="360" w:lineRule="auto"/>
        <w:jc w:val="both"/>
        <w:rPr>
          <w:rFonts w:cs="Arial"/>
        </w:rPr>
      </w:pPr>
      <w:r w:rsidRPr="00BA4F8E">
        <w:rPr>
          <w:rFonts w:cs="Arial"/>
        </w:rPr>
        <w:t xml:space="preserve">Nízká relevance </w:t>
      </w:r>
      <w:r w:rsidR="005C1662">
        <w:rPr>
          <w:rFonts w:cs="Arial"/>
        </w:rPr>
        <w:t xml:space="preserve">a málo rozvinutá </w:t>
      </w:r>
      <w:r w:rsidRPr="00BA4F8E">
        <w:rPr>
          <w:rFonts w:cs="Arial"/>
        </w:rPr>
        <w:t>spolupráce veřejného výzkumu s aplikační sférou</w:t>
      </w:r>
    </w:p>
    <w:p w14:paraId="56B08AAD" w14:textId="77777777" w:rsidR="005330F9" w:rsidRPr="00BA4F8E" w:rsidRDefault="005330F9" w:rsidP="00543C1B">
      <w:pPr>
        <w:pStyle w:val="Odstavecseseznamem"/>
        <w:numPr>
          <w:ilvl w:val="0"/>
          <w:numId w:val="11"/>
        </w:numPr>
        <w:spacing w:after="200" w:line="360" w:lineRule="auto"/>
        <w:jc w:val="both"/>
        <w:rPr>
          <w:rFonts w:cs="Arial"/>
        </w:rPr>
      </w:pPr>
      <w:r w:rsidRPr="00BA4F8E">
        <w:rPr>
          <w:rFonts w:cs="Arial"/>
        </w:rPr>
        <w:t>Nedostatečná mezinárodní otevřenost výzkumného prostředí v ČR</w:t>
      </w:r>
    </w:p>
    <w:p w14:paraId="4DC4FF77" w14:textId="77777777" w:rsidR="005330F9" w:rsidRPr="00BA4F8E" w:rsidRDefault="005330F9" w:rsidP="00543C1B">
      <w:pPr>
        <w:pStyle w:val="Odstavecseseznamem"/>
        <w:numPr>
          <w:ilvl w:val="0"/>
          <w:numId w:val="11"/>
        </w:numPr>
        <w:spacing w:after="200" w:line="360" w:lineRule="auto"/>
        <w:jc w:val="both"/>
        <w:rPr>
          <w:rFonts w:cs="Arial"/>
        </w:rPr>
      </w:pPr>
      <w:r w:rsidRPr="00BA4F8E">
        <w:rPr>
          <w:rFonts w:cs="Arial"/>
        </w:rPr>
        <w:t>Nedostatky v řízení a správě (governance) v oblasti politiky VaVaI</w:t>
      </w:r>
    </w:p>
    <w:p w14:paraId="1989524C" w14:textId="77777777" w:rsidR="00B80FAE" w:rsidRPr="00BA4F8E" w:rsidRDefault="00B80FAE" w:rsidP="00B80FAE">
      <w:pPr>
        <w:pStyle w:val="Odstavecseseznamem"/>
        <w:spacing w:after="200" w:line="360" w:lineRule="auto"/>
        <w:jc w:val="both"/>
        <w:rPr>
          <w:rFonts w:cs="Arial"/>
        </w:rPr>
      </w:pPr>
    </w:p>
    <w:p w14:paraId="4426EDD3" w14:textId="507AC0CA" w:rsidR="004D40A5" w:rsidRPr="005C2F38" w:rsidRDefault="004D40A5" w:rsidP="005C2F38">
      <w:pPr>
        <w:pStyle w:val="Nadpis3"/>
      </w:pPr>
      <w:r w:rsidRPr="005C2F38">
        <w:t xml:space="preserve"> </w:t>
      </w:r>
      <w:bookmarkStart w:id="40" w:name="_Toc525716178"/>
      <w:r w:rsidRPr="005C2F38">
        <w:t>Problémový okruh 1: Nevyrovnaná kvalita veřejného výzkumu</w:t>
      </w:r>
      <w:bookmarkEnd w:id="40"/>
    </w:p>
    <w:p w14:paraId="247E84AE" w14:textId="77777777" w:rsidR="004D40A5" w:rsidRPr="00BA4F8E" w:rsidRDefault="004D40A5" w:rsidP="002E10BD">
      <w:pPr>
        <w:spacing w:before="240" w:line="360" w:lineRule="auto"/>
        <w:ind w:firstLine="708"/>
        <w:jc w:val="both"/>
        <w:rPr>
          <w:rFonts w:cs="Arial"/>
        </w:rPr>
      </w:pPr>
      <w:r w:rsidRPr="00BA4F8E">
        <w:rPr>
          <w:rFonts w:cs="Arial"/>
        </w:rPr>
        <w:t>Příčiny nižší kvality českého výzkumu ve srovnání se zahraničím spočívají jak v nedostatcích regulačního rámce, tak v oblastech vyžadující intervence na úrovni výzkumných organizací.</w:t>
      </w:r>
    </w:p>
    <w:p w14:paraId="24B4D690" w14:textId="77777777" w:rsidR="004D40A5" w:rsidRPr="00BA4F8E" w:rsidRDefault="004D40A5" w:rsidP="00543C1B">
      <w:pPr>
        <w:pStyle w:val="Odstavecseseznamem"/>
        <w:numPr>
          <w:ilvl w:val="0"/>
          <w:numId w:val="22"/>
        </w:numPr>
        <w:spacing w:line="360" w:lineRule="auto"/>
        <w:jc w:val="both"/>
        <w:rPr>
          <w:rFonts w:cs="Arial"/>
        </w:rPr>
      </w:pPr>
      <w:r w:rsidRPr="00BA4F8E">
        <w:rPr>
          <w:rFonts w:cs="Arial"/>
        </w:rPr>
        <w:t>Regulační rámec</w:t>
      </w:r>
    </w:p>
    <w:p w14:paraId="48981380" w14:textId="60416F37" w:rsidR="004D40A5" w:rsidRPr="00BA4F8E" w:rsidRDefault="004D40A5" w:rsidP="00F62493">
      <w:pPr>
        <w:pStyle w:val="Odstavecseseznamem"/>
        <w:numPr>
          <w:ilvl w:val="0"/>
          <w:numId w:val="12"/>
        </w:numPr>
        <w:spacing w:after="200" w:line="360" w:lineRule="auto"/>
        <w:jc w:val="both"/>
        <w:rPr>
          <w:rFonts w:cs="Arial"/>
        </w:rPr>
      </w:pPr>
      <w:r w:rsidRPr="00BA4F8E">
        <w:rPr>
          <w:rFonts w:cs="Arial"/>
        </w:rPr>
        <w:t xml:space="preserve">Systém </w:t>
      </w:r>
      <w:r w:rsidRPr="00BA4F8E">
        <w:rPr>
          <w:rFonts w:cs="Arial"/>
          <w:i/>
        </w:rPr>
        <w:t>hodnocení kvality</w:t>
      </w:r>
      <w:r w:rsidRPr="00BA4F8E">
        <w:rPr>
          <w:rStyle w:val="Znakapoznpodarou"/>
          <w:rFonts w:cs="Arial"/>
        </w:rPr>
        <w:footnoteReference w:id="31"/>
      </w:r>
      <w:r w:rsidRPr="00BA4F8E">
        <w:rPr>
          <w:rFonts w:cs="Arial"/>
        </w:rPr>
        <w:t xml:space="preserve"> a související </w:t>
      </w:r>
      <w:r w:rsidRPr="00BA4F8E">
        <w:rPr>
          <w:rFonts w:cs="Arial"/>
          <w:i/>
        </w:rPr>
        <w:t>systém financování výzkumu</w:t>
      </w:r>
      <w:r w:rsidRPr="00BA4F8E">
        <w:rPr>
          <w:rFonts w:cs="Arial"/>
        </w:rPr>
        <w:t xml:space="preserve"> v ČR, působil v mnoha ohledech proti snahám o zvýšení kvality výzkumu.</w:t>
      </w:r>
      <w:r w:rsidR="00F62493">
        <w:rPr>
          <w:rFonts w:cs="Arial"/>
        </w:rPr>
        <w:t xml:space="preserve"> </w:t>
      </w:r>
      <w:r w:rsidR="00F62493" w:rsidRPr="00F62493">
        <w:rPr>
          <w:rFonts w:cs="Arial"/>
        </w:rPr>
        <w:t>Systém hodnocení byl nastaven na počítání výstupů, na kvantitu dosažených výsledků namísto kvality, což motivuje k produkci balastních výsledků</w:t>
      </w:r>
      <w:r w:rsidR="00F62493">
        <w:rPr>
          <w:rFonts w:cs="Arial"/>
        </w:rPr>
        <w:t>.</w:t>
      </w:r>
      <w:r w:rsidRPr="00BA4F8E">
        <w:rPr>
          <w:rFonts w:cs="Arial"/>
        </w:rPr>
        <w:t xml:space="preserve"> Po období rozsáhlé kritiky z akademické obce a nezávislých analýz byla platnost systému zrušena</w:t>
      </w:r>
      <w:r w:rsidR="002A07FC" w:rsidRPr="00BA4F8E">
        <w:rPr>
          <w:rFonts w:cs="Arial"/>
        </w:rPr>
        <w:t>. V roce 2017 byla usnesení</w:t>
      </w:r>
      <w:r w:rsidR="001927B1" w:rsidRPr="00BA4F8E">
        <w:rPr>
          <w:rFonts w:cs="Arial"/>
        </w:rPr>
        <w:t>m</w:t>
      </w:r>
      <w:r w:rsidR="002A07FC" w:rsidRPr="00BA4F8E">
        <w:rPr>
          <w:rFonts w:cs="Arial"/>
        </w:rPr>
        <w:t xml:space="preserve"> vlády ČR (č. 107) schválena</w:t>
      </w:r>
      <w:r w:rsidRPr="00BA4F8E">
        <w:rPr>
          <w:rFonts w:cs="Arial"/>
        </w:rPr>
        <w:t xml:space="preserve"> </w:t>
      </w:r>
      <w:r w:rsidR="002A07FC" w:rsidRPr="00BA4F8E">
        <w:rPr>
          <w:rFonts w:cs="Arial"/>
        </w:rPr>
        <w:t xml:space="preserve">nová </w:t>
      </w:r>
      <w:r w:rsidR="007271B7" w:rsidRPr="00DD646A">
        <w:rPr>
          <w:rFonts w:cs="Arial"/>
        </w:rPr>
        <w:t>Metodika hodnocení výzkumných organizací a hodnocení programů úč</w:t>
      </w:r>
      <w:r w:rsidR="00277782">
        <w:rPr>
          <w:rFonts w:cs="Arial"/>
        </w:rPr>
        <w:t>elové podpory výzkumu, vývoje a </w:t>
      </w:r>
      <w:r w:rsidR="007271B7" w:rsidRPr="00DD646A">
        <w:rPr>
          <w:rFonts w:cs="Arial"/>
        </w:rPr>
        <w:t>inovací</w:t>
      </w:r>
      <w:r w:rsidR="007271B7" w:rsidRPr="00BA4F8E">
        <w:rPr>
          <w:rFonts w:cs="Arial"/>
        </w:rPr>
        <w:t xml:space="preserve"> </w:t>
      </w:r>
      <w:r w:rsidR="007271B7">
        <w:rPr>
          <w:rFonts w:cs="Arial"/>
        </w:rPr>
        <w:t>(</w:t>
      </w:r>
      <w:r w:rsidR="002A07FC" w:rsidRPr="00BA4F8E">
        <w:rPr>
          <w:rFonts w:cs="Arial"/>
        </w:rPr>
        <w:t>M2017</w:t>
      </w:r>
      <w:r w:rsidR="00FF2FE9" w:rsidRPr="00BA4F8E">
        <w:rPr>
          <w:rFonts w:cs="Arial"/>
        </w:rPr>
        <w:t>+</w:t>
      </w:r>
      <w:r w:rsidR="007271B7">
        <w:rPr>
          <w:rFonts w:cs="Arial"/>
        </w:rPr>
        <w:t>)</w:t>
      </w:r>
      <w:r w:rsidR="002A07FC" w:rsidRPr="00BA4F8E">
        <w:rPr>
          <w:rFonts w:cs="Arial"/>
        </w:rPr>
        <w:t xml:space="preserve">, která </w:t>
      </w:r>
      <w:r w:rsidRPr="00BA4F8E">
        <w:rPr>
          <w:rFonts w:cs="Arial"/>
        </w:rPr>
        <w:t xml:space="preserve">do značné míry </w:t>
      </w:r>
      <w:r w:rsidR="001927B1" w:rsidRPr="00BA4F8E">
        <w:rPr>
          <w:rFonts w:cs="Arial"/>
        </w:rPr>
        <w:t xml:space="preserve">vychází </w:t>
      </w:r>
      <w:r w:rsidR="002A07FC" w:rsidRPr="00BA4F8E">
        <w:rPr>
          <w:rFonts w:cs="Arial"/>
        </w:rPr>
        <w:t>ze</w:t>
      </w:r>
      <w:r w:rsidRPr="00BA4F8E">
        <w:rPr>
          <w:rFonts w:cs="Arial"/>
        </w:rPr>
        <w:t xml:space="preserve"> systém</w:t>
      </w:r>
      <w:r w:rsidR="002A07FC" w:rsidRPr="00BA4F8E">
        <w:rPr>
          <w:rFonts w:cs="Arial"/>
        </w:rPr>
        <w:t>u</w:t>
      </w:r>
      <w:r w:rsidRPr="00BA4F8E">
        <w:rPr>
          <w:rFonts w:cs="Arial"/>
        </w:rPr>
        <w:t xml:space="preserve"> hodnocení AV ČR.</w:t>
      </w:r>
    </w:p>
    <w:p w14:paraId="2982EC78" w14:textId="5055C3F4" w:rsidR="004D40A5" w:rsidRPr="00BA4F8E" w:rsidRDefault="004D40A5" w:rsidP="00543C1B">
      <w:pPr>
        <w:pStyle w:val="Odstavecseseznamem"/>
        <w:numPr>
          <w:ilvl w:val="0"/>
          <w:numId w:val="12"/>
        </w:numPr>
        <w:spacing w:after="200" w:line="360" w:lineRule="auto"/>
        <w:jc w:val="both"/>
        <w:rPr>
          <w:rFonts w:cs="Arial"/>
        </w:rPr>
      </w:pPr>
      <w:r w:rsidRPr="00BA4F8E">
        <w:rPr>
          <w:rFonts w:cs="Arial"/>
        </w:rPr>
        <w:t>Vedlejším efektem velkého podílu prostředků</w:t>
      </w:r>
      <w:r w:rsidR="00633D16" w:rsidRPr="00BA4F8E">
        <w:rPr>
          <w:rFonts w:cs="Arial"/>
        </w:rPr>
        <w:t xml:space="preserve"> na realizaci projektů</w:t>
      </w:r>
      <w:r w:rsidRPr="00BA4F8E">
        <w:rPr>
          <w:rFonts w:cs="Arial"/>
        </w:rPr>
        <w:t xml:space="preserve"> je </w:t>
      </w:r>
      <w:r w:rsidRPr="00BA4F8E">
        <w:rPr>
          <w:rFonts w:cs="Arial"/>
          <w:i/>
        </w:rPr>
        <w:t>generování nadměrné administrativy</w:t>
      </w:r>
      <w:r w:rsidRPr="00BA4F8E">
        <w:rPr>
          <w:rFonts w:cs="Arial"/>
        </w:rPr>
        <w:t xml:space="preserve"> (</w:t>
      </w:r>
      <w:r w:rsidR="003F5FFC" w:rsidRPr="00BA4F8E">
        <w:rPr>
          <w:rFonts w:cs="Arial"/>
        </w:rPr>
        <w:t xml:space="preserve">projekty </w:t>
      </w:r>
      <w:r w:rsidRPr="00BA4F8E">
        <w:rPr>
          <w:rFonts w:cs="Arial"/>
        </w:rPr>
        <w:t xml:space="preserve">vyžadují reporting, podávání dalších </w:t>
      </w:r>
      <w:r w:rsidR="003F5FFC" w:rsidRPr="00BA4F8E">
        <w:rPr>
          <w:rFonts w:cs="Arial"/>
        </w:rPr>
        <w:t>projektových</w:t>
      </w:r>
      <w:r w:rsidRPr="00BA4F8E">
        <w:rPr>
          <w:rFonts w:cs="Arial"/>
        </w:rPr>
        <w:t xml:space="preserve"> přihlášek, což snižuje úspěšnost a vede k nemalým zmařeným investicím), což </w:t>
      </w:r>
      <w:r w:rsidR="00146198">
        <w:rPr>
          <w:rFonts w:cs="Arial"/>
        </w:rPr>
        <w:t xml:space="preserve">může bránit </w:t>
      </w:r>
      <w:r w:rsidRPr="00BA4F8E">
        <w:rPr>
          <w:rFonts w:cs="Arial"/>
        </w:rPr>
        <w:t>formulaci dlouhodobých, ambiciózních výzkumných agend a sestavení (a zejména dlouhodobému udržení) kvalitních výzkumných pracovníků</w:t>
      </w:r>
    </w:p>
    <w:p w14:paraId="1EB67DA7" w14:textId="77777777" w:rsidR="004D40A5" w:rsidRPr="00BA4F8E" w:rsidRDefault="004D40A5" w:rsidP="00543C1B">
      <w:pPr>
        <w:pStyle w:val="Odstavecseseznamem"/>
        <w:numPr>
          <w:ilvl w:val="0"/>
          <w:numId w:val="12"/>
        </w:numPr>
        <w:spacing w:after="200" w:line="360" w:lineRule="auto"/>
        <w:jc w:val="both"/>
        <w:rPr>
          <w:rFonts w:cs="Arial"/>
        </w:rPr>
      </w:pPr>
      <w:r w:rsidRPr="00BA4F8E">
        <w:rPr>
          <w:rFonts w:cs="Arial"/>
        </w:rPr>
        <w:t>Běžná praxe v </w:t>
      </w:r>
      <w:r w:rsidRPr="00BA4F8E">
        <w:rPr>
          <w:rFonts w:cs="Arial"/>
          <w:i/>
        </w:rPr>
        <w:t>hodnocení projektů</w:t>
      </w:r>
      <w:r w:rsidRPr="00BA4F8E">
        <w:rPr>
          <w:rFonts w:cs="Arial"/>
        </w:rPr>
        <w:t xml:space="preserve"> na úrovni poskytovatelů vykazuje řadu nedostatků, včetně nízké míry otevřenosti zahraničním hodnotitelům. Systém podporuje averzi proti riziku, což vede k formalismu a deformaci vědeckého prostředí. </w:t>
      </w:r>
    </w:p>
    <w:p w14:paraId="59FF4323" w14:textId="1D9686EE" w:rsidR="002001BF" w:rsidRDefault="002001BF">
      <w:pPr>
        <w:spacing w:after="200" w:line="276" w:lineRule="auto"/>
        <w:rPr>
          <w:rFonts w:cs="Arial"/>
        </w:rPr>
      </w:pPr>
      <w:r>
        <w:rPr>
          <w:rFonts w:cs="Arial"/>
        </w:rPr>
        <w:br w:type="page"/>
      </w:r>
    </w:p>
    <w:p w14:paraId="30BF7CE4" w14:textId="77777777" w:rsidR="004D40A5" w:rsidRPr="00BA4F8E" w:rsidRDefault="004D40A5" w:rsidP="00543C1B">
      <w:pPr>
        <w:pStyle w:val="Odstavecseseznamem"/>
        <w:numPr>
          <w:ilvl w:val="0"/>
          <w:numId w:val="22"/>
        </w:numPr>
        <w:spacing w:line="360" w:lineRule="auto"/>
        <w:jc w:val="both"/>
        <w:rPr>
          <w:rFonts w:cs="Arial"/>
          <w:lang w:eastAsia="cs-CZ"/>
        </w:rPr>
      </w:pPr>
      <w:r w:rsidRPr="00BA4F8E">
        <w:rPr>
          <w:rFonts w:cs="Arial"/>
          <w:lang w:eastAsia="cs-CZ"/>
        </w:rPr>
        <w:lastRenderedPageBreak/>
        <w:t>Výzkumné organizace</w:t>
      </w:r>
    </w:p>
    <w:p w14:paraId="1F6699E8" w14:textId="77777777" w:rsidR="004D40A5" w:rsidRDefault="004D40A5" w:rsidP="00543C1B">
      <w:pPr>
        <w:pStyle w:val="Odstavecseseznamem"/>
        <w:numPr>
          <w:ilvl w:val="0"/>
          <w:numId w:val="13"/>
        </w:numPr>
        <w:spacing w:after="200" w:line="360" w:lineRule="auto"/>
        <w:jc w:val="both"/>
        <w:rPr>
          <w:rFonts w:cs="Arial"/>
        </w:rPr>
      </w:pPr>
      <w:r w:rsidRPr="00BA4F8E">
        <w:rPr>
          <w:rFonts w:cs="Arial"/>
        </w:rPr>
        <w:t>Nedostatky v řízení se negativně projevují i v málo strategickém přístupu k </w:t>
      </w:r>
      <w:r w:rsidRPr="00BA4F8E">
        <w:rPr>
          <w:rFonts w:cs="Arial"/>
          <w:i/>
        </w:rPr>
        <w:t>plánování výzkumné činnosti</w:t>
      </w:r>
      <w:r w:rsidRPr="00BA4F8E">
        <w:rPr>
          <w:rFonts w:cs="Arial"/>
        </w:rPr>
        <w:t xml:space="preserve"> (málo ambiciózní výzkumné cíle, nedostatečná analýza konkurence při plánování výzkumu, nízká mezioborová a meziinstitucionální spolupráce).</w:t>
      </w:r>
    </w:p>
    <w:p w14:paraId="326FADF0" w14:textId="77777777" w:rsidR="00F62493" w:rsidRPr="00F62493" w:rsidRDefault="00F62493" w:rsidP="00F62493">
      <w:pPr>
        <w:pStyle w:val="Odstavecseseznamem"/>
        <w:numPr>
          <w:ilvl w:val="0"/>
          <w:numId w:val="13"/>
        </w:numPr>
        <w:spacing w:after="200" w:line="360" w:lineRule="auto"/>
        <w:jc w:val="both"/>
        <w:rPr>
          <w:rFonts w:cs="Arial"/>
        </w:rPr>
      </w:pPr>
      <w:r w:rsidRPr="00F62493">
        <w:rPr>
          <w:rFonts w:cs="Arial"/>
        </w:rPr>
        <w:t xml:space="preserve">Negativní důsledky nedostatečného operativního řízení se v každodenní činnosti projevují nízkou kvalitou podpůrných procesů, což se týká oblasti řízení lidských zdrojů (málo propracované procesy náboru a kariérního růstu výzkumných pracovníků), grantové podpory (absence nebo často nízká profesionalita grantové podpory), podpůrných činností pro spolupráci s aplikační sférou (absence nebo nedostatečná zkušenost pracovníků odpovědných za komercializaci výsledků a navazování partnerských vztahů s aplikační sférou), i obecných administrativních procesů (finanční a technická podpora výzkumu). </w:t>
      </w:r>
    </w:p>
    <w:p w14:paraId="524F8EB3" w14:textId="5B540DAF" w:rsidR="00F62493" w:rsidRPr="00F62493" w:rsidRDefault="00F62493" w:rsidP="00F62493">
      <w:pPr>
        <w:pStyle w:val="Odstavecseseznamem"/>
        <w:numPr>
          <w:ilvl w:val="0"/>
          <w:numId w:val="13"/>
        </w:numPr>
        <w:spacing w:after="200" w:line="360" w:lineRule="auto"/>
        <w:jc w:val="both"/>
        <w:rPr>
          <w:rFonts w:cs="Arial"/>
        </w:rPr>
      </w:pPr>
      <w:r w:rsidRPr="00F62493">
        <w:rPr>
          <w:rFonts w:cs="Arial"/>
        </w:rPr>
        <w:t>Nedostatky v řízení se negativně projevují i v málo strategickém přístupu k plánování výzkumné činnosti (málo ambiciózní výzkumné cíle, nedostatečná analýza konkurence při plánování výzkumu, nízká mezioborová a meziinstitucionální spolupráce), ale také v malém prosazování zásluhovosti a omezeném prostoru pro kariérní</w:t>
      </w:r>
      <w:r w:rsidR="00BD355D">
        <w:rPr>
          <w:rFonts w:cs="Arial"/>
        </w:rPr>
        <w:t xml:space="preserve"> růst talentovaných jednotlivců</w:t>
      </w:r>
      <w:r w:rsidRPr="00F62493">
        <w:rPr>
          <w:rFonts w:cs="Arial"/>
        </w:rPr>
        <w:t>, což zásadně podvazuje kvalitu výzkumné činnosti.</w:t>
      </w:r>
    </w:p>
    <w:p w14:paraId="3E2B1D77" w14:textId="77777777" w:rsidR="004D40A5" w:rsidRPr="00BA4F8E" w:rsidRDefault="004D40A5" w:rsidP="00543C1B">
      <w:pPr>
        <w:pStyle w:val="Odstavecseseznamem"/>
        <w:numPr>
          <w:ilvl w:val="0"/>
          <w:numId w:val="13"/>
        </w:numPr>
        <w:spacing w:after="200" w:line="360" w:lineRule="auto"/>
        <w:jc w:val="both"/>
        <w:rPr>
          <w:rFonts w:cs="Arial"/>
        </w:rPr>
      </w:pPr>
      <w:r w:rsidRPr="00BA4F8E">
        <w:rPr>
          <w:rFonts w:cs="Arial"/>
        </w:rPr>
        <w:t xml:space="preserve">Přetrvávají nedostatky v oblasti </w:t>
      </w:r>
      <w:r w:rsidRPr="00BA4F8E">
        <w:rPr>
          <w:rFonts w:cs="Arial"/>
          <w:i/>
        </w:rPr>
        <w:t>unikátních výzkumných infrastruktur</w:t>
      </w:r>
      <w:r w:rsidRPr="00BA4F8E">
        <w:rPr>
          <w:rFonts w:cs="Arial"/>
        </w:rPr>
        <w:t>. ČR v tomto směru učinila v posledních letech podstatný pokrok (např. definování Cestovní mapy ČR velkých infrastruktur pro výzkum, experimentální vývoj a inovace a zajištění dotačního titulu podporujícího jejich provoz</w:t>
      </w:r>
      <w:r w:rsidRPr="00BA4F8E">
        <w:rPr>
          <w:rStyle w:val="Znakapoznpodarou"/>
          <w:rFonts w:cs="Arial"/>
        </w:rPr>
        <w:footnoteReference w:id="32"/>
      </w:r>
      <w:r w:rsidRPr="00BA4F8E">
        <w:rPr>
          <w:rFonts w:cs="Arial"/>
        </w:rPr>
        <w:t>). Ačkoliv se důsledky těchto kroků dosud plně neprojevily, lze předpokládat, že v průběhu příštích let se začnou pozitivně projevovat na zvýšené atraktivitě českých výzkumných organizací. Úspěch této snahy je však závislý na mnoha dílčích faktorech.</w:t>
      </w:r>
    </w:p>
    <w:p w14:paraId="17164350" w14:textId="4B31D9AC" w:rsidR="004D40A5" w:rsidRDefault="004D40A5" w:rsidP="00326C4C">
      <w:pPr>
        <w:pStyle w:val="Odstavecseseznamem"/>
        <w:numPr>
          <w:ilvl w:val="0"/>
          <w:numId w:val="13"/>
        </w:numPr>
        <w:spacing w:after="200" w:line="360" w:lineRule="auto"/>
        <w:jc w:val="both"/>
        <w:rPr>
          <w:rFonts w:cs="Arial"/>
        </w:rPr>
      </w:pPr>
      <w:r w:rsidRPr="00BA4F8E">
        <w:rPr>
          <w:rFonts w:cs="Arial"/>
        </w:rPr>
        <w:t xml:space="preserve">V materiální oblasti přetrvávají i nadále nedostatky </w:t>
      </w:r>
      <w:r w:rsidRPr="00BA4F8E">
        <w:rPr>
          <w:rFonts w:cs="Arial"/>
          <w:i/>
        </w:rPr>
        <w:t>v oblasti mzdového ohodnocení výzkumných pracovníků</w:t>
      </w:r>
      <w:r w:rsidRPr="00BA4F8E">
        <w:rPr>
          <w:rFonts w:cs="Arial"/>
        </w:rPr>
        <w:t>, a to především u mladších výzkumníků (kde je výše mezd ve vysokoškolském a vládním sektoru významně vázána na délku praxe</w:t>
      </w:r>
      <w:r w:rsidRPr="00BA4F8E">
        <w:rPr>
          <w:rStyle w:val="Znakapoznpodarou"/>
          <w:rFonts w:cs="Arial"/>
        </w:rPr>
        <w:footnoteReference w:id="33"/>
      </w:r>
      <w:r w:rsidRPr="00BA4F8E">
        <w:rPr>
          <w:rFonts w:cs="Arial"/>
        </w:rPr>
        <w:t>) a u studentů doktorského studia</w:t>
      </w:r>
      <w:r w:rsidR="00326C4C" w:rsidRPr="00326C4C">
        <w:rPr>
          <w:rFonts w:cs="Arial"/>
        </w:rPr>
        <w:t>, což v důsledku – v kombinaci s málo atraktivními kariérními vyhlídkami a</w:t>
      </w:r>
      <w:r w:rsidR="00E369B8">
        <w:rPr>
          <w:rFonts w:cs="Arial"/>
        </w:rPr>
        <w:t> </w:t>
      </w:r>
      <w:r w:rsidR="00326C4C" w:rsidRPr="00326C4C">
        <w:rPr>
          <w:rFonts w:cs="Arial"/>
        </w:rPr>
        <w:t>nedostatečným uplatněním principu zásluhovosti - demotivuje talentované studenty od vědecké kariéry, resp. jim brání</w:t>
      </w:r>
      <w:r w:rsidR="00326C4C">
        <w:rPr>
          <w:rFonts w:cs="Arial"/>
        </w:rPr>
        <w:t xml:space="preserve"> se plně věnovat výzkumné práci</w:t>
      </w:r>
      <w:r w:rsidRPr="00BA4F8E">
        <w:rPr>
          <w:rFonts w:cs="Arial"/>
        </w:rPr>
        <w:t>. Nedostatky se však projevují také ve schopnosti udržet kvalifikovaný technický personál nezbytný pro bezchybný provoz.</w:t>
      </w:r>
    </w:p>
    <w:p w14:paraId="7C4DD63F" w14:textId="77777777" w:rsidR="00E57814" w:rsidRPr="00BA4F8E" w:rsidRDefault="00E57814" w:rsidP="00E57814">
      <w:pPr>
        <w:pStyle w:val="Odstavecseseznamem"/>
        <w:spacing w:after="200" w:line="360" w:lineRule="auto"/>
        <w:jc w:val="both"/>
        <w:rPr>
          <w:rFonts w:cs="Arial"/>
        </w:rP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76"/>
      </w:tblGrid>
      <w:tr w:rsidR="004D40A5" w:rsidRPr="00BA4F8E" w14:paraId="120FB92D" w14:textId="77777777" w:rsidTr="002E10BD">
        <w:trPr>
          <w:jc w:val="center"/>
        </w:trPr>
        <w:tc>
          <w:tcPr>
            <w:tcW w:w="9776" w:type="dxa"/>
          </w:tcPr>
          <w:p w14:paraId="4C2108D0" w14:textId="77777777" w:rsidR="004D40A5" w:rsidRPr="00BA4F8E" w:rsidRDefault="004D40A5" w:rsidP="004D40A5">
            <w:pPr>
              <w:spacing w:before="240" w:line="360" w:lineRule="auto"/>
              <w:jc w:val="both"/>
              <w:rPr>
                <w:rFonts w:cs="Arial"/>
                <w:b/>
              </w:rPr>
            </w:pPr>
            <w:r w:rsidRPr="00BA4F8E">
              <w:rPr>
                <w:rFonts w:cs="Arial"/>
                <w:b/>
              </w:rPr>
              <w:lastRenderedPageBreak/>
              <w:t>Specifické postavení hlavního města Prahy ve vzdělávacím a výzkumném systému ČR</w:t>
            </w:r>
          </w:p>
          <w:p w14:paraId="2A5BE89C" w14:textId="77777777" w:rsidR="004D40A5" w:rsidRPr="00BA4F8E" w:rsidRDefault="004D40A5" w:rsidP="004D40A5">
            <w:pPr>
              <w:spacing w:line="360" w:lineRule="auto"/>
              <w:jc w:val="both"/>
              <w:rPr>
                <w:rFonts w:cs="Arial"/>
              </w:rPr>
            </w:pPr>
            <w:r w:rsidRPr="00BA4F8E">
              <w:rPr>
                <w:rFonts w:cs="Arial"/>
              </w:rPr>
              <w:t>Praha byla významně dominujícím vzdělávacím a výzkumným centrem celé ČR s nadregionální důležitostí. Díky rozsáhlým investicím do výzkumu a vysokého školství v rámci strukturálních fondů v programových výzvách OP VaVpI a OP VK se podařilo dosáhnout větší regionální vyváženosti. Vysoké školy a výzkumné instituce v Brně, Olomouci a také Ostravě v kvalitě výzkumu a výuky Praze velmi úspěšně konkurují.</w:t>
            </w:r>
          </w:p>
          <w:p w14:paraId="22F7625E" w14:textId="3B53CA43" w:rsidR="004D40A5" w:rsidRPr="00BA4F8E" w:rsidRDefault="00254B22" w:rsidP="004D40A5">
            <w:pPr>
              <w:spacing w:line="360" w:lineRule="auto"/>
              <w:jc w:val="both"/>
              <w:rPr>
                <w:rFonts w:cs="Arial"/>
              </w:rPr>
            </w:pPr>
            <w:r w:rsidRPr="00254B22">
              <w:rPr>
                <w:rFonts w:cs="Arial"/>
              </w:rPr>
              <w:t>V programových výzvách navazujícího OP VVV, které již nesměřují</w:t>
            </w:r>
            <w:r w:rsidR="004D40A5" w:rsidRPr="00BA4F8E">
              <w:rPr>
                <w:rFonts w:cs="Arial"/>
              </w:rPr>
              <w:t xml:space="preserve"> do kategorie investic do budování nových infrastruktur, ale do vlastního kvalitního výzkumu a budování výzkumných týmů již není pražský region vyloučen. </w:t>
            </w:r>
          </w:p>
          <w:p w14:paraId="078584BF" w14:textId="77777777" w:rsidR="004D40A5" w:rsidRPr="00BA4F8E" w:rsidRDefault="004D40A5" w:rsidP="004D40A5">
            <w:pPr>
              <w:spacing w:before="120" w:after="0" w:line="360" w:lineRule="auto"/>
              <w:jc w:val="both"/>
              <w:rPr>
                <w:rFonts w:cs="Arial"/>
                <w:b/>
              </w:rPr>
            </w:pPr>
            <w:r w:rsidRPr="00BA4F8E">
              <w:rPr>
                <w:rFonts w:cs="Arial"/>
              </w:rPr>
              <w:t xml:space="preserve">Analýza pražských kapacit ukazuje </w:t>
            </w:r>
            <w:r w:rsidRPr="00BA4F8E">
              <w:rPr>
                <w:rFonts w:cs="Arial"/>
                <w:i/>
              </w:rPr>
              <w:t>potenciál pražských vysokých škol a výzkumných týmů dosáhnout výzkumné excelence v nadnárodním měřítku, což se již děje s podporou programu OP</w:t>
            </w:r>
            <w:r w:rsidR="002E10BD" w:rsidRPr="00BA4F8E">
              <w:rPr>
                <w:rFonts w:cs="Arial"/>
                <w:i/>
              </w:rPr>
              <w:t> </w:t>
            </w:r>
            <w:r w:rsidRPr="00BA4F8E">
              <w:rPr>
                <w:rFonts w:cs="Arial"/>
                <w:i/>
              </w:rPr>
              <w:t>VVV.</w:t>
            </w:r>
          </w:p>
          <w:p w14:paraId="284249A3" w14:textId="77777777" w:rsidR="004D40A5" w:rsidRPr="00BA4F8E" w:rsidRDefault="004D40A5" w:rsidP="004D40A5">
            <w:pPr>
              <w:spacing w:before="120" w:line="360" w:lineRule="auto"/>
              <w:jc w:val="both"/>
              <w:rPr>
                <w:rFonts w:eastAsia="Times New Roman" w:cs="Calibri"/>
                <w:b/>
                <w:lang w:eastAsia="cs-CZ"/>
              </w:rPr>
            </w:pPr>
            <w:r w:rsidRPr="00BA4F8E">
              <w:rPr>
                <w:rFonts w:cs="Arial"/>
                <w:b/>
                <w:i/>
              </w:rPr>
              <w:t>Pražské výzkumné kapacity, nyní stejně jako ve zbytku ČR, poskytují podstatnou část své odborné kapacity ve prospěch aplikační sféry v celostátním měřítku</w:t>
            </w:r>
            <w:r w:rsidRPr="00BA4F8E">
              <w:rPr>
                <w:rFonts w:cs="Arial"/>
              </w:rPr>
              <w:t xml:space="preserve"> - v mnoha případech se přitom jedná o výzkumná pracoviště </w:t>
            </w:r>
            <w:r w:rsidRPr="00BA4F8E">
              <w:rPr>
                <w:rFonts w:cs="Arial"/>
                <w:b/>
              </w:rPr>
              <w:t>unikátní</w:t>
            </w:r>
            <w:r w:rsidRPr="00BA4F8E">
              <w:rPr>
                <w:rFonts w:cs="Arial"/>
              </w:rPr>
              <w:t>, jejichž expertízu nelze v národním měřítku nahradit z jiných zdrojů.</w:t>
            </w:r>
          </w:p>
        </w:tc>
      </w:tr>
    </w:tbl>
    <w:p w14:paraId="003FA75A" w14:textId="77777777" w:rsidR="004D40A5" w:rsidRPr="00BA4F8E" w:rsidRDefault="004D40A5" w:rsidP="00F76481">
      <w:pPr>
        <w:spacing w:after="200" w:line="360" w:lineRule="auto"/>
        <w:jc w:val="both"/>
        <w:rPr>
          <w:rFonts w:cs="Arial"/>
        </w:rPr>
      </w:pPr>
    </w:p>
    <w:p w14:paraId="2503DD6C" w14:textId="6190C931" w:rsidR="005330F9" w:rsidRPr="005C2F38" w:rsidRDefault="005330F9" w:rsidP="005C2F38">
      <w:pPr>
        <w:pStyle w:val="Nadpis3"/>
      </w:pPr>
      <w:r w:rsidRPr="005C2F38">
        <w:t xml:space="preserve"> </w:t>
      </w:r>
      <w:bookmarkStart w:id="41" w:name="_Toc525716179"/>
      <w:r w:rsidR="00953B10" w:rsidRPr="005C2F38">
        <w:t>Problémový okruh 2: Rizika digitální agendy ve veřejném výzkumu</w:t>
      </w:r>
      <w:bookmarkEnd w:id="41"/>
    </w:p>
    <w:p w14:paraId="205234C8" w14:textId="6CB2CF60" w:rsidR="00953B10" w:rsidRPr="00BA4F8E" w:rsidRDefault="00953B10" w:rsidP="00E57814">
      <w:pPr>
        <w:spacing w:before="240" w:after="0" w:line="360" w:lineRule="auto"/>
        <w:ind w:firstLine="708"/>
        <w:jc w:val="both"/>
        <w:rPr>
          <w:rFonts w:cs="Arial"/>
        </w:rPr>
      </w:pPr>
      <w:r w:rsidRPr="00BA4F8E">
        <w:rPr>
          <w:rFonts w:cs="Arial"/>
        </w:rPr>
        <w:t xml:space="preserve">Zvláštní důležitost z hlediska kvality výzkumu mají </w:t>
      </w:r>
      <w:r w:rsidRPr="00BA4F8E">
        <w:rPr>
          <w:rFonts w:cs="Arial"/>
          <w:i/>
        </w:rPr>
        <w:t>ICT infrastruktury</w:t>
      </w:r>
      <w:r w:rsidRPr="00BA4F8E">
        <w:rPr>
          <w:rFonts w:cs="Arial"/>
        </w:rPr>
        <w:t>. Digitální infrastruktury jsou důležité pro výzkumnou činnost ze dvou hledisek: jednak z hlediska samotného zajištění dostatečných kapacit pro přenos dat, jejich ukládání, zpracování; jednak z hlediska digitálního obsahu a přístupu k informacím a</w:t>
      </w:r>
      <w:r w:rsidR="003E1CEF" w:rsidRPr="00BA4F8E">
        <w:rPr>
          <w:rFonts w:cs="Arial"/>
        </w:rPr>
        <w:t> </w:t>
      </w:r>
      <w:r w:rsidRPr="00BA4F8E">
        <w:rPr>
          <w:rFonts w:cs="Arial"/>
        </w:rPr>
        <w:t xml:space="preserve">dostupným poznatkům a vědeckým výsledků. Přístup k vědeckým informacím v digitální formě v podobě </w:t>
      </w:r>
      <w:r w:rsidRPr="00BA4F8E">
        <w:rPr>
          <w:rFonts w:cs="Arial"/>
          <w:i/>
        </w:rPr>
        <w:t xml:space="preserve">odborných databází a elektronických vědeckých periodik </w:t>
      </w:r>
      <w:r w:rsidRPr="00BA4F8E">
        <w:rPr>
          <w:rFonts w:cs="Arial"/>
        </w:rPr>
        <w:t>představuje klíčový předpoklad pro kvalitní výzkum. Bez něj není představitelné udržení kontaktu s mezinárodní vědeckou špičkou.</w:t>
      </w:r>
    </w:p>
    <w:p w14:paraId="0CBF9588" w14:textId="0F317BB7" w:rsidR="00953B10" w:rsidRPr="00BA4F8E" w:rsidRDefault="00953B10" w:rsidP="00E57814">
      <w:pPr>
        <w:spacing w:after="0" w:line="360" w:lineRule="auto"/>
        <w:ind w:firstLine="708"/>
        <w:jc w:val="both"/>
        <w:rPr>
          <w:rFonts w:cs="Arial"/>
        </w:rPr>
      </w:pPr>
      <w:r w:rsidRPr="00BA4F8E">
        <w:rPr>
          <w:rFonts w:cs="Arial"/>
        </w:rPr>
        <w:t>Základní prvek (komunikační část) e-infrastruktur spravovaných CESNETem</w:t>
      </w:r>
      <w:r w:rsidR="002E71F0">
        <w:rPr>
          <w:rStyle w:val="Znakapoznpodarou"/>
          <w:rFonts w:cs="Arial"/>
        </w:rPr>
        <w:footnoteReference w:id="34"/>
      </w:r>
      <w:r w:rsidRPr="00BA4F8E">
        <w:rPr>
          <w:rFonts w:cs="Arial"/>
        </w:rPr>
        <w:t xml:space="preserve"> je v ČR na špičkové světové úrovni, distribuovaná výpočetní a úložná infrastruktura (grid) je organizačně na velmi dobré mezinárodní úrovni, avšak s omezenou kapacitou (MŠMT, 2011). </w:t>
      </w:r>
    </w:p>
    <w:p w14:paraId="2CD830B7" w14:textId="77777777" w:rsidR="009517DA" w:rsidRPr="00BA4F8E" w:rsidRDefault="00953B10" w:rsidP="00E57814">
      <w:pPr>
        <w:spacing w:after="0" w:line="360" w:lineRule="auto"/>
        <w:ind w:firstLine="708"/>
        <w:jc w:val="both"/>
        <w:rPr>
          <w:rFonts w:cs="Arial"/>
        </w:rPr>
      </w:pPr>
      <w:r w:rsidRPr="00BA4F8E">
        <w:rPr>
          <w:rFonts w:cs="Arial"/>
        </w:rPr>
        <w:t xml:space="preserve">Oblast informačních technologií patří k výzkumným oblastem, které v rámci ČR dlouhodobě generují </w:t>
      </w:r>
      <w:r w:rsidRPr="00BA4F8E">
        <w:rPr>
          <w:rFonts w:cs="Arial"/>
          <w:i/>
        </w:rPr>
        <w:t>významnější počty komerčně aplikovatelných výsledků</w:t>
      </w:r>
      <w:r w:rsidRPr="00BA4F8E">
        <w:rPr>
          <w:rFonts w:cs="Arial"/>
        </w:rPr>
        <w:t xml:space="preserve">, včetně zakládání technologických firem a následných investic rizikového kapitálu. Díky přítomnosti několika významných českých IT firem </w:t>
      </w:r>
      <w:r w:rsidRPr="00BA4F8E">
        <w:rPr>
          <w:rFonts w:cs="Arial"/>
        </w:rPr>
        <w:lastRenderedPageBreak/>
        <w:t>s mezinárodním dosahem a rostoucímu počtu zahraničních firem, které v ČR dislokují své VaV kapacity,</w:t>
      </w:r>
      <w:r w:rsidR="009517DA" w:rsidRPr="00BA4F8E">
        <w:rPr>
          <w:rFonts w:cs="Arial"/>
        </w:rPr>
        <w:t xml:space="preserve"> zde existuje významná příležitost pro další posílení specializace a vytváření synergických vazeb mezi kvalitním výzkumným zázemím a podnikatelskými aktivitami. </w:t>
      </w:r>
    </w:p>
    <w:p w14:paraId="7CD199B2" w14:textId="77777777" w:rsidR="009517DA" w:rsidRPr="00BA4F8E" w:rsidRDefault="009517DA" w:rsidP="00E57814">
      <w:pPr>
        <w:spacing w:after="0" w:line="360" w:lineRule="auto"/>
        <w:ind w:firstLine="708"/>
        <w:jc w:val="both"/>
        <w:rPr>
          <w:rFonts w:cs="Arial"/>
        </w:rPr>
      </w:pPr>
      <w:r w:rsidRPr="00BA4F8E">
        <w:rPr>
          <w:rFonts w:cs="Arial"/>
        </w:rPr>
        <w:t>Nedostatečná prioritizace investic do e-infrastruktur pro potřeby výzkumu, jejich průběžného upgradu a také do rozvoje specializovaných lidských zdrojů nezbytných pro správu a provoz e-infrastruktur, může vést k zaostávání českého výzkumu a snižování efektivity veřejných investic.</w:t>
      </w:r>
    </w:p>
    <w:p w14:paraId="10022ADE" w14:textId="77777777" w:rsidR="003623FF" w:rsidRPr="00BA4F8E" w:rsidRDefault="003623FF" w:rsidP="009517DA">
      <w:pPr>
        <w:spacing w:line="360" w:lineRule="auto"/>
        <w:ind w:firstLine="708"/>
        <w:jc w:val="both"/>
        <w:rPr>
          <w:rFonts w:cs="Arial"/>
        </w:rPr>
      </w:pPr>
    </w:p>
    <w:p w14:paraId="3E333B06" w14:textId="58494A46" w:rsidR="00953B10" w:rsidRPr="005C2F38" w:rsidRDefault="003623FF" w:rsidP="00103F7E">
      <w:pPr>
        <w:pStyle w:val="Nadpis3"/>
      </w:pPr>
      <w:r w:rsidRPr="005C2F38">
        <w:t xml:space="preserve"> </w:t>
      </w:r>
      <w:bookmarkStart w:id="42" w:name="_Toc525716180"/>
      <w:r w:rsidRPr="005C2F38">
        <w:t xml:space="preserve">Problémový okruh 3: Nízká relevance </w:t>
      </w:r>
      <w:r w:rsidR="005C1662">
        <w:t xml:space="preserve">a málo rozvinutá </w:t>
      </w:r>
      <w:r w:rsidRPr="005C2F38">
        <w:t>spolupráce veřejného výzkumu s aplikační sférou</w:t>
      </w:r>
      <w:bookmarkEnd w:id="42"/>
    </w:p>
    <w:p w14:paraId="4E6C2DBF" w14:textId="446C084A" w:rsidR="003623FF" w:rsidRPr="00BA4F8E" w:rsidRDefault="003623FF" w:rsidP="002E6087">
      <w:pPr>
        <w:spacing w:before="240" w:after="0" w:line="360" w:lineRule="auto"/>
        <w:ind w:firstLine="708"/>
        <w:jc w:val="both"/>
        <w:rPr>
          <w:rFonts w:cs="Arial"/>
        </w:rPr>
      </w:pPr>
      <w:r w:rsidRPr="00BA4F8E">
        <w:rPr>
          <w:rFonts w:cs="Arial"/>
          <w:i/>
        </w:rPr>
        <w:t>Spolupráce mezi výzkumnými organizacemi a aplikační sférou je v ČR na limitované úrovni</w:t>
      </w:r>
      <w:r w:rsidRPr="00BA4F8E">
        <w:rPr>
          <w:rFonts w:cs="Arial"/>
        </w:rPr>
        <w:t>, vesměs se jedná o krátkodobé spolupráce omezeného rozsahu. Často zmiňovaným kritériem spolupráce výzkumných organizací je mezisektorální mobilita pracovní síly. Počty patentů českých firem zaostávají za vyspělými evropskými státy mnohem více, než počty patentů české veřejné výzkumné sféry. V uplynulých cca 10 letech došlo v ČR k </w:t>
      </w:r>
      <w:r w:rsidRPr="00BA4F8E">
        <w:rPr>
          <w:rFonts w:cs="Arial"/>
          <w:i/>
        </w:rPr>
        <w:t>dílčím zlepšením</w:t>
      </w:r>
      <w:r w:rsidRPr="00BA4F8E">
        <w:rPr>
          <w:rFonts w:cs="Arial"/>
        </w:rPr>
        <w:t xml:space="preserve"> v oblasti propojování akademického výzkumu a aplikační sféry, zejména v důsledku vzniku center transferu znalostí a</w:t>
      </w:r>
      <w:r w:rsidR="00661277">
        <w:rPr>
          <w:rFonts w:cs="Arial"/>
        </w:rPr>
        <w:t> </w:t>
      </w:r>
      <w:r w:rsidRPr="00BA4F8E">
        <w:rPr>
          <w:rFonts w:cs="Arial"/>
        </w:rPr>
        <w:t>technologií na universitách a</w:t>
      </w:r>
      <w:r w:rsidR="00B96ED8" w:rsidRPr="00BA4F8E">
        <w:rPr>
          <w:rFonts w:cs="Arial"/>
        </w:rPr>
        <w:t> </w:t>
      </w:r>
      <w:r w:rsidRPr="00BA4F8E">
        <w:rPr>
          <w:rFonts w:cs="Arial"/>
        </w:rPr>
        <w:t>výzkumných organizacích a také díky podpoře kolaborativního výzkumu s firemními partnery TA </w:t>
      </w:r>
      <w:r w:rsidR="00750F63" w:rsidRPr="00BA4F8E">
        <w:rPr>
          <w:rFonts w:cs="Arial"/>
        </w:rPr>
        <w:t xml:space="preserve">ČR </w:t>
      </w:r>
      <w:r w:rsidRPr="00BA4F8E">
        <w:rPr>
          <w:rFonts w:cs="Arial"/>
        </w:rPr>
        <w:t xml:space="preserve">a MPO. </w:t>
      </w:r>
      <w:r w:rsidR="004B262D" w:rsidRPr="00BA4F8E">
        <w:rPr>
          <w:rFonts w:cs="Arial"/>
        </w:rPr>
        <w:t>O</w:t>
      </w:r>
      <w:r w:rsidRPr="00BA4F8E">
        <w:rPr>
          <w:rFonts w:cs="Arial"/>
        </w:rPr>
        <w:t>tázce aplikační relevance výsledků VaV</w:t>
      </w:r>
      <w:r w:rsidR="004B262D" w:rsidRPr="00BA4F8E">
        <w:rPr>
          <w:rFonts w:cs="Arial"/>
        </w:rPr>
        <w:t xml:space="preserve"> se věnuje jeden</w:t>
      </w:r>
      <w:r w:rsidRPr="00BA4F8E">
        <w:rPr>
          <w:rFonts w:cs="Arial"/>
        </w:rPr>
        <w:t xml:space="preserve"> </w:t>
      </w:r>
      <w:r w:rsidR="004B262D" w:rsidRPr="00BA4F8E">
        <w:rPr>
          <w:rFonts w:cs="Arial"/>
        </w:rPr>
        <w:t>z</w:t>
      </w:r>
      <w:r w:rsidRPr="00BA4F8E">
        <w:rPr>
          <w:rFonts w:cs="Arial"/>
        </w:rPr>
        <w:t> modulů metodiky hodnocení M2017+. Ve většině výzkumných organizací byla, zejména díky podpoře ze strukturálních fondů EU</w:t>
      </w:r>
      <w:r w:rsidR="003009B4">
        <w:rPr>
          <w:rStyle w:val="Znakapoznpodarou"/>
          <w:rFonts w:cs="Arial"/>
        </w:rPr>
        <w:footnoteReference w:id="35"/>
      </w:r>
      <w:r w:rsidRPr="00BA4F8E">
        <w:rPr>
          <w:rFonts w:cs="Arial"/>
        </w:rPr>
        <w:t xml:space="preserve">, vytvořena alespoň </w:t>
      </w:r>
      <w:r w:rsidRPr="00BA4F8E">
        <w:rPr>
          <w:rFonts w:cs="Arial"/>
          <w:i/>
        </w:rPr>
        <w:t>základní infrastruktura na podporu spolupráce s uživateli výsledků</w:t>
      </w:r>
      <w:r w:rsidRPr="00BA4F8E">
        <w:rPr>
          <w:rFonts w:cs="Arial"/>
        </w:rPr>
        <w:t xml:space="preserve"> (centra transferu technologií apod.). Postupně dochází k zavádění interních postupů pro monitoring vznikajícího duševního vlastnictví a</w:t>
      </w:r>
      <w:r w:rsidR="000A0C84" w:rsidRPr="00BA4F8E">
        <w:rPr>
          <w:rFonts w:cs="Arial"/>
        </w:rPr>
        <w:t> </w:t>
      </w:r>
      <w:r w:rsidRPr="00BA4F8E">
        <w:rPr>
          <w:rFonts w:cs="Arial"/>
        </w:rPr>
        <w:t>metodik pro spolupráci s komerční sférou.</w:t>
      </w:r>
    </w:p>
    <w:p w14:paraId="2723C6B0" w14:textId="77777777" w:rsidR="003623FF" w:rsidRPr="00BA4F8E" w:rsidRDefault="003623FF" w:rsidP="002E6087">
      <w:pPr>
        <w:spacing w:after="0" w:line="360" w:lineRule="auto"/>
        <w:ind w:firstLine="708"/>
        <w:jc w:val="both"/>
        <w:rPr>
          <w:rFonts w:cs="Arial"/>
        </w:rPr>
      </w:pPr>
      <w:r w:rsidRPr="00BA4F8E">
        <w:rPr>
          <w:rFonts w:cs="Arial"/>
        </w:rPr>
        <w:t>Spolupráce mezi veřejným výzkumem a aplikační sférou je jednou z oblastí, kde se projevuje tržní selhání a kde většina vyspělých států uplatňuje přímé či nepřímé nástroje podpory interakce mezi oběma typy aktérů. V ČR existují v této oblasti jak nástroje přímé podpory (programy účelové veřejné podpory kolaborativního výzkumu TAČR, aj.) a nepřímé podpory – možnost daňového zvýhodnění nákladů na výzkum. Druhý nástroj je však funkční jen omezeně, díky příliš restriktivnímu přístupu kontrolních orgánů (finanční správy) je využíván převážně jen velkými firmami.</w:t>
      </w:r>
    </w:p>
    <w:p w14:paraId="228A20A9" w14:textId="77777777" w:rsidR="003623FF" w:rsidRPr="00BA4F8E" w:rsidRDefault="003623FF" w:rsidP="002E6087">
      <w:pPr>
        <w:spacing w:after="0" w:line="360" w:lineRule="auto"/>
        <w:ind w:firstLine="708"/>
        <w:jc w:val="both"/>
        <w:rPr>
          <w:rFonts w:cs="Arial"/>
        </w:rPr>
      </w:pPr>
      <w:r w:rsidRPr="00BA4F8E">
        <w:rPr>
          <w:rFonts w:cs="Arial"/>
        </w:rPr>
        <w:t xml:space="preserve">Neuspokojivou situaci ztěžuje vysoká míra </w:t>
      </w:r>
      <w:r w:rsidRPr="00BA4F8E">
        <w:rPr>
          <w:rFonts w:cs="Arial"/>
          <w:i/>
        </w:rPr>
        <w:t>závislosti českého firemního VaV na rozhodnutích zahraničních mateřských firem</w:t>
      </w:r>
      <w:r w:rsidRPr="00BA4F8E">
        <w:rPr>
          <w:rFonts w:cs="Arial"/>
        </w:rPr>
        <w:t xml:space="preserve">, které málokdy dávají svým dceřiným firmám v ČR dostatečnou autonomii v oblasti spolupráce s akademickou sférou v ČR, případně pouze za podmínek jednostranně zvýhodňujících nadnárodní firmy. Reálná zkušenost ze spolupráce s firmami se zahraničními vlastníky jsou dvojího typu. Buďto zahraniční vlastníci spolupráci aktivně brání, nebo naopak přinášejí do </w:t>
      </w:r>
      <w:r w:rsidRPr="00BA4F8E">
        <w:rPr>
          <w:rFonts w:cs="Arial"/>
        </w:rPr>
        <w:lastRenderedPageBreak/>
        <w:t>českého prostředí postupy „dobré praxe“, kdy provázanost s domácím výzkumným prostředím je pro firmy povinností.</w:t>
      </w:r>
    </w:p>
    <w:p w14:paraId="2813BB41" w14:textId="77777777" w:rsidR="003623FF" w:rsidRPr="00BA4F8E" w:rsidRDefault="003623FF" w:rsidP="002E6087">
      <w:pPr>
        <w:spacing w:after="0" w:line="360" w:lineRule="auto"/>
        <w:ind w:firstLine="708"/>
        <w:jc w:val="both"/>
        <w:rPr>
          <w:rFonts w:cs="Arial"/>
        </w:rPr>
      </w:pPr>
      <w:r w:rsidRPr="00BA4F8E">
        <w:rPr>
          <w:rFonts w:cs="Arial"/>
        </w:rPr>
        <w:t>Příčiny nízké relevance českého výzkumu spočívají jak v rámcových podmínkách, včetně struktury inovační poptávky v ČR, tak v oblastech vyžadující intervence na úrovni výzkumných organizací.</w:t>
      </w:r>
    </w:p>
    <w:p w14:paraId="18036782" w14:textId="77777777" w:rsidR="003623FF" w:rsidRPr="00BA4F8E" w:rsidRDefault="003623FF" w:rsidP="003623FF">
      <w:pPr>
        <w:spacing w:line="360" w:lineRule="auto"/>
        <w:jc w:val="both"/>
        <w:rPr>
          <w:rFonts w:cs="Arial"/>
        </w:rPr>
      </w:pPr>
      <w:r w:rsidRPr="00BA4F8E">
        <w:rPr>
          <w:rFonts w:cs="Arial"/>
        </w:rPr>
        <w:t>a) Regulační rámec</w:t>
      </w:r>
    </w:p>
    <w:p w14:paraId="55A6B739" w14:textId="2871AE78" w:rsidR="003623FF" w:rsidRPr="00BA4F8E" w:rsidRDefault="003623FF" w:rsidP="00543C1B">
      <w:pPr>
        <w:pStyle w:val="Odstavecseseznamem"/>
        <w:numPr>
          <w:ilvl w:val="0"/>
          <w:numId w:val="13"/>
        </w:numPr>
        <w:spacing w:line="360" w:lineRule="auto"/>
        <w:jc w:val="both"/>
        <w:rPr>
          <w:rFonts w:cs="Arial"/>
        </w:rPr>
      </w:pPr>
      <w:r w:rsidRPr="00BA4F8E">
        <w:rPr>
          <w:rFonts w:cs="Arial"/>
        </w:rPr>
        <w:t xml:space="preserve">Nyní již překonaná </w:t>
      </w:r>
      <w:r w:rsidRPr="00BA4F8E">
        <w:rPr>
          <w:rFonts w:cs="Arial"/>
          <w:i/>
        </w:rPr>
        <w:t>metodika hodnocení výzkumu</w:t>
      </w:r>
      <w:r w:rsidRPr="00BA4F8E">
        <w:rPr>
          <w:rFonts w:cs="Arial"/>
        </w:rPr>
        <w:t xml:space="preserve"> a alokace institucionálních prostředků v podstatě </w:t>
      </w:r>
      <w:r w:rsidR="00970EF7">
        <w:rPr>
          <w:rFonts w:cs="Arial"/>
          <w:i/>
        </w:rPr>
        <w:t>mohla odrazovat</w:t>
      </w:r>
      <w:r w:rsidRPr="00BA4F8E">
        <w:rPr>
          <w:rFonts w:cs="Arial"/>
          <w:i/>
        </w:rPr>
        <w:t xml:space="preserve"> výzkumníky ve veřejné sféře od soustavné spolupráce s aplikační sférou</w:t>
      </w:r>
      <w:r w:rsidRPr="00BA4F8E">
        <w:rPr>
          <w:rFonts w:cs="Arial"/>
        </w:rPr>
        <w:t xml:space="preserve">. </w:t>
      </w:r>
      <w:r w:rsidRPr="00BA4F8E">
        <w:rPr>
          <w:rFonts w:cs="Arial"/>
          <w:i/>
        </w:rPr>
        <w:t>S příchodem hodnocení podle metodiky M2017+ lze očekávat zlepšení na celostátní úrovni. Jeden z modulů M2017+ je zaměřen na socioekonomickou relevanci.</w:t>
      </w:r>
    </w:p>
    <w:p w14:paraId="77CFED1B" w14:textId="77777777" w:rsidR="003623FF" w:rsidRPr="00BA4F8E" w:rsidRDefault="003623FF" w:rsidP="00543C1B">
      <w:pPr>
        <w:pStyle w:val="Odstavecseseznamem"/>
        <w:numPr>
          <w:ilvl w:val="0"/>
          <w:numId w:val="13"/>
        </w:numPr>
        <w:spacing w:after="200" w:line="360" w:lineRule="auto"/>
        <w:jc w:val="both"/>
        <w:rPr>
          <w:rFonts w:cs="Arial"/>
        </w:rPr>
      </w:pPr>
      <w:r w:rsidRPr="00BA4F8E">
        <w:rPr>
          <w:rFonts w:cs="Arial"/>
          <w:i/>
        </w:rPr>
        <w:t>Slabá a málo sofistikovaná inovační poptávka,</w:t>
      </w:r>
      <w:r w:rsidRPr="00BA4F8E">
        <w:rPr>
          <w:rFonts w:cs="Arial"/>
        </w:rPr>
        <w:t xml:space="preserve"> resp. málo sofistikované inovační potřeby v podnikovém sektoru v ČR (viz analýza podnikového sektoru) jen v omezeném rozsahu generují odborně motivující výzvy pro výzkumné organizace.</w:t>
      </w:r>
      <w:r w:rsidRPr="00BA4F8E">
        <w:rPr>
          <w:rStyle w:val="Znakapoznpodarou"/>
          <w:rFonts w:cs="Arial"/>
        </w:rPr>
        <w:footnoteReference w:id="36"/>
      </w:r>
      <w:r w:rsidRPr="00BA4F8E">
        <w:rPr>
          <w:rFonts w:cs="Arial"/>
        </w:rPr>
        <w:t xml:space="preserve"> </w:t>
      </w:r>
    </w:p>
    <w:p w14:paraId="7EC8181F" w14:textId="77777777" w:rsidR="003623FF" w:rsidRPr="00BA4F8E" w:rsidRDefault="003623FF" w:rsidP="00543C1B">
      <w:pPr>
        <w:pStyle w:val="Odstavecseseznamem"/>
        <w:numPr>
          <w:ilvl w:val="0"/>
          <w:numId w:val="13"/>
        </w:numPr>
        <w:spacing w:after="200" w:line="360" w:lineRule="auto"/>
        <w:jc w:val="both"/>
        <w:rPr>
          <w:rFonts w:cs="Arial"/>
        </w:rPr>
      </w:pPr>
      <w:r w:rsidRPr="00BA4F8E">
        <w:rPr>
          <w:rFonts w:cs="Arial"/>
        </w:rPr>
        <w:t>Jedním z důvodů, proč se ve větší míře nerozvíjela spolupráce</w:t>
      </w:r>
      <w:r w:rsidR="00F76481" w:rsidRPr="00BA4F8E">
        <w:rPr>
          <w:rFonts w:cs="Arial"/>
        </w:rPr>
        <w:t>,</w:t>
      </w:r>
      <w:r w:rsidRPr="00BA4F8E">
        <w:rPr>
          <w:rFonts w:cs="Arial"/>
        </w:rPr>
        <w:t xml:space="preserve"> mohou být </w:t>
      </w:r>
      <w:r w:rsidRPr="00BA4F8E">
        <w:rPr>
          <w:rFonts w:cs="Arial"/>
          <w:i/>
        </w:rPr>
        <w:t>daňové důvody</w:t>
      </w:r>
      <w:r w:rsidRPr="00BA4F8E">
        <w:rPr>
          <w:rFonts w:cs="Arial"/>
        </w:rPr>
        <w:t>, díky hyperrestriktivnímu přístupu orgánů daňové správy.</w:t>
      </w:r>
    </w:p>
    <w:p w14:paraId="5D524C14" w14:textId="77777777" w:rsidR="003623FF" w:rsidRPr="00BA4F8E" w:rsidRDefault="003623FF" w:rsidP="003623FF">
      <w:pPr>
        <w:spacing w:line="360" w:lineRule="auto"/>
        <w:rPr>
          <w:rFonts w:cs="Arial"/>
        </w:rPr>
      </w:pPr>
      <w:r w:rsidRPr="00BA4F8E">
        <w:rPr>
          <w:rFonts w:cs="Arial"/>
        </w:rPr>
        <w:t>b) Výzkumné organizace</w:t>
      </w:r>
    </w:p>
    <w:p w14:paraId="393D8DFB" w14:textId="26FFC2D6" w:rsidR="003623FF" w:rsidRPr="00BA4F8E" w:rsidRDefault="003623FF" w:rsidP="00543C1B">
      <w:pPr>
        <w:pStyle w:val="Odstavecseseznamem"/>
        <w:numPr>
          <w:ilvl w:val="0"/>
          <w:numId w:val="13"/>
        </w:numPr>
        <w:spacing w:after="200" w:line="360" w:lineRule="auto"/>
        <w:jc w:val="both"/>
        <w:rPr>
          <w:rFonts w:cs="Arial"/>
        </w:rPr>
      </w:pPr>
      <w:r w:rsidRPr="00BA4F8E">
        <w:rPr>
          <w:rFonts w:cs="Arial"/>
        </w:rPr>
        <w:t xml:space="preserve">Na úrovni řízení samotných výzkumných organizací existují </w:t>
      </w:r>
      <w:r w:rsidRPr="00BA4F8E">
        <w:rPr>
          <w:rFonts w:cs="Arial"/>
          <w:i/>
        </w:rPr>
        <w:t>nedostatky</w:t>
      </w:r>
      <w:r w:rsidR="00F76481" w:rsidRPr="00BA4F8E">
        <w:rPr>
          <w:rFonts w:cs="Arial"/>
          <w:i/>
        </w:rPr>
        <w:t xml:space="preserve">, </w:t>
      </w:r>
      <w:r w:rsidRPr="00BA4F8E">
        <w:rPr>
          <w:rFonts w:cs="Arial"/>
        </w:rPr>
        <w:t>co se týká specifických dovedností pro </w:t>
      </w:r>
      <w:r w:rsidRPr="00BA4F8E">
        <w:rPr>
          <w:rFonts w:cs="Arial"/>
          <w:i/>
        </w:rPr>
        <w:t>řízení vztahů s aplikační sférou</w:t>
      </w:r>
      <w:r w:rsidRPr="00BA4F8E">
        <w:rPr>
          <w:rFonts w:cs="Arial"/>
        </w:rPr>
        <w:t>.</w:t>
      </w:r>
      <w:r w:rsidRPr="00BA4F8E">
        <w:rPr>
          <w:rStyle w:val="Znakapoznpodarou"/>
          <w:rFonts w:cs="Arial"/>
        </w:rPr>
        <w:footnoteReference w:id="37"/>
      </w:r>
      <w:r w:rsidRPr="00BA4F8E">
        <w:rPr>
          <w:rFonts w:cs="Arial"/>
        </w:rPr>
        <w:t xml:space="preserve"> Tyto postupy se postupně zavádějí, motivací jsou jednak řešené projekty kolaborativního výzkumu s podporou TAČR, ap.</w:t>
      </w:r>
      <w:r w:rsidR="00F76481" w:rsidRPr="00BA4F8E">
        <w:rPr>
          <w:rFonts w:cs="Arial"/>
        </w:rPr>
        <w:t>,</w:t>
      </w:r>
      <w:r w:rsidRPr="00BA4F8E">
        <w:rPr>
          <w:rFonts w:cs="Arial"/>
        </w:rPr>
        <w:t xml:space="preserve"> a také již etablovaná centra transferu znalostí a technologií na pracovištích</w:t>
      </w:r>
      <w:r w:rsidR="00105677">
        <w:rPr>
          <w:rFonts w:cs="Arial"/>
        </w:rPr>
        <w:t>, jejichž vznik a rozvoj byl podpořen z výzev OP VaVpI a OP VVV</w:t>
      </w:r>
      <w:r w:rsidRPr="00BA4F8E">
        <w:rPr>
          <w:rFonts w:cs="Arial"/>
        </w:rPr>
        <w:t>. Postupně rostoucí zájem o</w:t>
      </w:r>
      <w:r w:rsidR="0092153E" w:rsidRPr="00BA4F8E">
        <w:rPr>
          <w:rFonts w:cs="Arial"/>
        </w:rPr>
        <w:t> </w:t>
      </w:r>
      <w:r w:rsidRPr="00BA4F8E">
        <w:rPr>
          <w:rFonts w:cs="Arial"/>
        </w:rPr>
        <w:t>spolupráci z firemní sféry v posledních letech</w:t>
      </w:r>
      <w:r w:rsidR="00FD5B9F">
        <w:rPr>
          <w:rFonts w:cs="Arial"/>
        </w:rPr>
        <w:t>,</w:t>
      </w:r>
      <w:r w:rsidRPr="00BA4F8E">
        <w:rPr>
          <w:rFonts w:cs="Arial"/>
        </w:rPr>
        <w:t xml:space="preserve"> související se současnou průmyslovou konjunkturou již má naději na pozitivní reakci a lépe připravené akademické prostředí.</w:t>
      </w:r>
    </w:p>
    <w:p w14:paraId="097CB38C" w14:textId="06E38A4B" w:rsidR="003623FF" w:rsidRPr="00BA4F8E" w:rsidRDefault="003623FF" w:rsidP="00543C1B">
      <w:pPr>
        <w:pStyle w:val="Odstavecseseznamem"/>
        <w:numPr>
          <w:ilvl w:val="0"/>
          <w:numId w:val="13"/>
        </w:numPr>
        <w:spacing w:after="200" w:line="360" w:lineRule="auto"/>
        <w:jc w:val="both"/>
        <w:rPr>
          <w:rFonts w:cs="Arial"/>
        </w:rPr>
      </w:pPr>
      <w:r w:rsidRPr="00BA4F8E">
        <w:rPr>
          <w:rFonts w:cs="Arial"/>
        </w:rPr>
        <w:t xml:space="preserve">Nastavení </w:t>
      </w:r>
      <w:r w:rsidRPr="00BA4F8E">
        <w:rPr>
          <w:rFonts w:cs="Arial"/>
          <w:i/>
        </w:rPr>
        <w:t>podmínek a procesů</w:t>
      </w:r>
      <w:r w:rsidRPr="00BA4F8E">
        <w:rPr>
          <w:rFonts w:cs="Arial"/>
        </w:rPr>
        <w:t xml:space="preserve"> v oblasti smluvního výzkumu, zakládání spin-off firem, hodnocení a</w:t>
      </w:r>
      <w:r w:rsidR="00E52CF8" w:rsidRPr="00BA4F8E">
        <w:rPr>
          <w:rFonts w:cs="Arial"/>
        </w:rPr>
        <w:t> </w:t>
      </w:r>
      <w:r w:rsidRPr="00BA4F8E">
        <w:rPr>
          <w:rFonts w:cs="Arial"/>
        </w:rPr>
        <w:t xml:space="preserve">odměňování za tento typ výsledků je často v rámci VO spojeno s nemalým rizikem. </w:t>
      </w:r>
    </w:p>
    <w:p w14:paraId="1000C1C7" w14:textId="6E5F9A8C" w:rsidR="003623FF" w:rsidRPr="00BA4F8E" w:rsidRDefault="003623FF" w:rsidP="00543C1B">
      <w:pPr>
        <w:pStyle w:val="Odstavecseseznamem"/>
        <w:numPr>
          <w:ilvl w:val="0"/>
          <w:numId w:val="13"/>
        </w:numPr>
        <w:spacing w:after="200" w:line="360" w:lineRule="auto"/>
        <w:jc w:val="both"/>
        <w:rPr>
          <w:rFonts w:cs="Arial"/>
        </w:rPr>
      </w:pPr>
      <w:r w:rsidRPr="00BA4F8E">
        <w:rPr>
          <w:rFonts w:cs="Arial"/>
        </w:rPr>
        <w:t>Postupné budování kapacit transferu znalostí a technologií na pracovištích výzkumných organizací a</w:t>
      </w:r>
      <w:r w:rsidR="00E52CF8" w:rsidRPr="00BA4F8E">
        <w:rPr>
          <w:rFonts w:cs="Arial"/>
        </w:rPr>
        <w:t> </w:t>
      </w:r>
      <w:r w:rsidRPr="00BA4F8E">
        <w:rPr>
          <w:rFonts w:cs="Arial"/>
        </w:rPr>
        <w:t xml:space="preserve">zavádění procesů identifikace duševního vlastnictví s aplikačním potenciálem v současné době probíhá. </w:t>
      </w:r>
      <w:r w:rsidRPr="00BA4F8E">
        <w:rPr>
          <w:rFonts w:cs="Arial"/>
          <w:i/>
        </w:rPr>
        <w:t>Kvalifikované kapacity pro rozvoj dosažených výsledků VaV</w:t>
      </w:r>
      <w:r w:rsidRPr="00BA4F8E">
        <w:rPr>
          <w:rFonts w:cs="Arial"/>
        </w:rPr>
        <w:t xml:space="preserve"> a</w:t>
      </w:r>
      <w:r w:rsidR="00F76481" w:rsidRPr="00BA4F8E">
        <w:rPr>
          <w:rFonts w:cs="Arial"/>
        </w:rPr>
        <w:t> </w:t>
      </w:r>
      <w:r w:rsidRPr="00BA4F8E">
        <w:rPr>
          <w:rFonts w:cs="Arial"/>
        </w:rPr>
        <w:t xml:space="preserve">vyhledání vhodných partnerů pro komercializaci, dojednání obsahu a podmínek společných </w:t>
      </w:r>
      <w:r w:rsidRPr="00BA4F8E">
        <w:rPr>
          <w:rFonts w:cs="Arial"/>
        </w:rPr>
        <w:lastRenderedPageBreak/>
        <w:t>projektů aplikovaného VaV je však nesnadné, dosažení úrovně běžné v rozvinutých zemích ještě potrvá</w:t>
      </w:r>
    </w:p>
    <w:p w14:paraId="0816A073" w14:textId="77777777" w:rsidR="003623FF" w:rsidRPr="00BA4F8E" w:rsidRDefault="003623FF" w:rsidP="00543C1B">
      <w:pPr>
        <w:pStyle w:val="Odstavecseseznamem"/>
        <w:numPr>
          <w:ilvl w:val="0"/>
          <w:numId w:val="13"/>
        </w:numPr>
        <w:spacing w:after="200" w:line="360" w:lineRule="auto"/>
        <w:jc w:val="both"/>
        <w:rPr>
          <w:rFonts w:cs="Arial"/>
        </w:rPr>
      </w:pPr>
      <w:r w:rsidRPr="00BA4F8E">
        <w:rPr>
          <w:rFonts w:cs="Arial"/>
          <w:i/>
        </w:rPr>
        <w:t>Povědomí o základech podnikání</w:t>
      </w:r>
      <w:r w:rsidRPr="00BA4F8E">
        <w:rPr>
          <w:rFonts w:cs="Arial"/>
        </w:rPr>
        <w:t xml:space="preserve"> </w:t>
      </w:r>
      <w:r w:rsidRPr="00BA4F8E">
        <w:rPr>
          <w:rFonts w:cs="Arial"/>
          <w:i/>
        </w:rPr>
        <w:t xml:space="preserve">a vzdělávání v této oblasti </w:t>
      </w:r>
      <w:r w:rsidRPr="00BA4F8E">
        <w:rPr>
          <w:rFonts w:cs="Arial"/>
        </w:rPr>
        <w:t>je u studentů vysokých škol a</w:t>
      </w:r>
      <w:r w:rsidR="00F76481" w:rsidRPr="00BA4F8E">
        <w:rPr>
          <w:rFonts w:cs="Arial"/>
        </w:rPr>
        <w:t> </w:t>
      </w:r>
      <w:r w:rsidRPr="00BA4F8E">
        <w:rPr>
          <w:rFonts w:cs="Arial"/>
        </w:rPr>
        <w:t xml:space="preserve">výzkumných pracovníků </w:t>
      </w:r>
      <w:r w:rsidRPr="00BA4F8E">
        <w:rPr>
          <w:rFonts w:cs="Arial"/>
          <w:i/>
        </w:rPr>
        <w:t>nedostatečné</w:t>
      </w:r>
      <w:r w:rsidRPr="00BA4F8E">
        <w:rPr>
          <w:rFonts w:cs="Arial"/>
        </w:rPr>
        <w:t xml:space="preserve"> </w:t>
      </w:r>
      <w:r w:rsidRPr="00BA4F8E">
        <w:rPr>
          <w:rFonts w:cs="Arial"/>
          <w:i/>
        </w:rPr>
        <w:t>a nesystematické</w:t>
      </w:r>
      <w:r w:rsidRPr="00BA4F8E">
        <w:rPr>
          <w:rFonts w:cs="Arial"/>
        </w:rPr>
        <w:t>.</w:t>
      </w:r>
    </w:p>
    <w:p w14:paraId="6716153F" w14:textId="77777777" w:rsidR="003623FF" w:rsidRPr="00BA4F8E" w:rsidRDefault="003623FF" w:rsidP="00543C1B">
      <w:pPr>
        <w:pStyle w:val="Odstavecseseznamem"/>
        <w:numPr>
          <w:ilvl w:val="0"/>
          <w:numId w:val="13"/>
        </w:numPr>
        <w:spacing w:after="200" w:line="360" w:lineRule="auto"/>
        <w:jc w:val="both"/>
        <w:rPr>
          <w:rFonts w:cs="Arial"/>
        </w:rPr>
      </w:pPr>
      <w:r w:rsidRPr="00BA4F8E">
        <w:rPr>
          <w:rFonts w:cs="Arial"/>
          <w:i/>
        </w:rPr>
        <w:t>Mobilita výzkumných pracovníků směrem do firemní sféry je omezená</w:t>
      </w:r>
      <w:r w:rsidRPr="00BA4F8E">
        <w:rPr>
          <w:rFonts w:cs="Arial"/>
        </w:rPr>
        <w:t>. Mobilita výzkumných pracovníků z firemní sféry do výzkumných organi</w:t>
      </w:r>
      <w:r w:rsidR="00F76481" w:rsidRPr="00BA4F8E">
        <w:rPr>
          <w:rFonts w:cs="Arial"/>
        </w:rPr>
        <w:t>zací je zcela ojedinělým jevem.</w:t>
      </w:r>
    </w:p>
    <w:p w14:paraId="5539F7F0" w14:textId="77777777" w:rsidR="003623FF" w:rsidRDefault="003623FF" w:rsidP="003623FF">
      <w:pPr>
        <w:spacing w:line="360" w:lineRule="auto"/>
        <w:ind w:firstLine="709"/>
        <w:jc w:val="both"/>
        <w:rPr>
          <w:rFonts w:cs="Arial"/>
        </w:rPr>
      </w:pPr>
      <w:r w:rsidRPr="00BA4F8E">
        <w:rPr>
          <w:rFonts w:cs="Arial"/>
        </w:rPr>
        <w:t>Skutečná strategická spolupráce výzkumných organizací a firem není něco, co je snadno měřitelné prostřednictvím patentů, nebo licencí. V řadě oborů hrají patenty jen marginální roli. Skutečná role výzkumných organizací ve spolupráci s firmami je v dlouhodobě budované důvěře a</w:t>
      </w:r>
      <w:r w:rsidR="00F76481" w:rsidRPr="00BA4F8E">
        <w:rPr>
          <w:rFonts w:cs="Arial"/>
        </w:rPr>
        <w:t> </w:t>
      </w:r>
      <w:r w:rsidRPr="00BA4F8E">
        <w:rPr>
          <w:rFonts w:cs="Arial"/>
        </w:rPr>
        <w:t>výzkumu se vzdálenějším dopadem.</w:t>
      </w:r>
    </w:p>
    <w:p w14:paraId="2FEE7274" w14:textId="77777777" w:rsidR="00B00205" w:rsidRPr="00BA4F8E" w:rsidRDefault="00B00205" w:rsidP="003623FF">
      <w:pPr>
        <w:spacing w:line="360" w:lineRule="auto"/>
        <w:ind w:firstLine="709"/>
        <w:jc w:val="both"/>
        <w:rPr>
          <w:rFonts w:cs="Arial"/>
        </w:rPr>
      </w:pPr>
    </w:p>
    <w:p w14:paraId="3BF26017" w14:textId="4D6221A7" w:rsidR="003623FF" w:rsidRPr="005C2F38" w:rsidRDefault="003F5D0F" w:rsidP="00103F7E">
      <w:pPr>
        <w:pStyle w:val="Nadpis3"/>
      </w:pPr>
      <w:bookmarkStart w:id="43" w:name="_Toc525716181"/>
      <w:r w:rsidRPr="005C2F38">
        <w:t>Problémový okruh 4: Nedostatečná mezinárodní otevřenost výzkumného prostředí v ČR</w:t>
      </w:r>
      <w:bookmarkEnd w:id="43"/>
    </w:p>
    <w:p w14:paraId="5C5D3748" w14:textId="2CE6E061" w:rsidR="003F5D0F" w:rsidRPr="00BA4F8E" w:rsidRDefault="003F5D0F" w:rsidP="002E6087">
      <w:pPr>
        <w:spacing w:before="240" w:after="0" w:line="360" w:lineRule="auto"/>
        <w:ind w:firstLine="708"/>
        <w:jc w:val="both"/>
        <w:rPr>
          <w:rFonts w:cs="Arial"/>
        </w:rPr>
      </w:pPr>
      <w:r w:rsidRPr="00BA4F8E">
        <w:rPr>
          <w:rFonts w:cs="Arial"/>
        </w:rPr>
        <w:t xml:space="preserve">V 90. letech 20 století došlo k radikální redukci veřejných prostředků na výzkum, která zapůsobila odchod části výzkumných pracovníků do zahraničí, nebo soukromé sféry. </w:t>
      </w:r>
      <w:r w:rsidR="00204766">
        <w:rPr>
          <w:rFonts w:cs="Arial"/>
        </w:rPr>
        <w:t>Zdá se, že d</w:t>
      </w:r>
      <w:r w:rsidRPr="00BA4F8E">
        <w:rPr>
          <w:rFonts w:cs="Arial"/>
        </w:rPr>
        <w:t xml:space="preserve">ědictví této éry spolu s reformou výzkumu z roku 2008 (a souvisejícím zavedení metodiky hodnocení výsledků podle kvantitativních ukazatelů) </w:t>
      </w:r>
      <w:r w:rsidR="00204766">
        <w:rPr>
          <w:rFonts w:cs="Arial"/>
        </w:rPr>
        <w:t>mohly podlomit</w:t>
      </w:r>
      <w:r w:rsidRPr="00BA4F8E">
        <w:rPr>
          <w:rFonts w:cs="Arial"/>
        </w:rPr>
        <w:t xml:space="preserve"> důvěru </w:t>
      </w:r>
      <w:r w:rsidR="00204766">
        <w:rPr>
          <w:rFonts w:cs="Arial"/>
        </w:rPr>
        <w:t xml:space="preserve">části </w:t>
      </w:r>
      <w:r w:rsidRPr="00BA4F8E">
        <w:rPr>
          <w:rFonts w:cs="Arial"/>
        </w:rPr>
        <w:t>vědecké obce ve vládní reprezentaci a</w:t>
      </w:r>
      <w:r w:rsidR="00F76481" w:rsidRPr="00BA4F8E">
        <w:rPr>
          <w:rFonts w:cs="Arial"/>
        </w:rPr>
        <w:t> </w:t>
      </w:r>
      <w:r w:rsidRPr="00BA4F8E">
        <w:rPr>
          <w:rFonts w:cs="Arial"/>
        </w:rPr>
        <w:t>důvěru v pozitivní vnímání</w:t>
      </w:r>
      <w:r w:rsidR="00204766">
        <w:rPr>
          <w:rFonts w:cs="Arial"/>
        </w:rPr>
        <w:t xml:space="preserve"> role vědy ve společnosti v ČR.</w:t>
      </w:r>
    </w:p>
    <w:p w14:paraId="7F1EB8B1" w14:textId="536C2946" w:rsidR="003F5D0F" w:rsidRPr="00BA4F8E" w:rsidRDefault="003F5D0F" w:rsidP="002E6087">
      <w:pPr>
        <w:spacing w:after="0" w:line="360" w:lineRule="auto"/>
        <w:ind w:firstLine="708"/>
        <w:jc w:val="both"/>
        <w:rPr>
          <w:rFonts w:cs="Arial"/>
        </w:rPr>
      </w:pPr>
      <w:r w:rsidRPr="00BA4F8E">
        <w:rPr>
          <w:rFonts w:cs="Arial"/>
          <w:i/>
        </w:rPr>
        <w:t>Internacionalizace české vědy je na dobré úrovni,</w:t>
      </w:r>
      <w:r w:rsidRPr="00BA4F8E">
        <w:rPr>
          <w:rFonts w:cs="Arial"/>
        </w:rPr>
        <w:t xml:space="preserve"> je to možné ukázat na statistikách publikací vytvořených ve spoluautorství českých a zahraničních vědců, jak je možné ověřit v databázích WOS</w:t>
      </w:r>
      <w:r w:rsidR="003924F8">
        <w:rPr>
          <w:rFonts w:cs="Arial"/>
        </w:rPr>
        <w:t> </w:t>
      </w:r>
      <w:r w:rsidRPr="00BA4F8E">
        <w:rPr>
          <w:rFonts w:cs="Arial"/>
        </w:rPr>
        <w:t>a</w:t>
      </w:r>
      <w:r w:rsidR="00DB5E8C" w:rsidRPr="00BA4F8E">
        <w:rPr>
          <w:rFonts w:cs="Arial"/>
        </w:rPr>
        <w:t> </w:t>
      </w:r>
      <w:r w:rsidRPr="00BA4F8E">
        <w:rPr>
          <w:rFonts w:cs="Arial"/>
        </w:rPr>
        <w:t xml:space="preserve">SCOPUS. </w:t>
      </w:r>
      <w:r w:rsidR="00E27B58">
        <w:rPr>
          <w:rFonts w:cs="Arial"/>
        </w:rPr>
        <w:t>Příznivější</w:t>
      </w:r>
      <w:r w:rsidRPr="00BA4F8E">
        <w:rPr>
          <w:rFonts w:cs="Arial"/>
        </w:rPr>
        <w:t xml:space="preserve"> míra zapojení českých vědců do mezinárodní spolupráce již dlouhodobě existuje v oborech, které se provozují na velkých infrastrukturách (např. CERN, apod.)</w:t>
      </w:r>
      <w:r w:rsidR="00E27B58">
        <w:rPr>
          <w:rFonts w:cs="Arial"/>
        </w:rPr>
        <w:t>.</w:t>
      </w:r>
      <w:r w:rsidRPr="00BA4F8E">
        <w:rPr>
          <w:rFonts w:cs="Arial"/>
        </w:rPr>
        <w:t xml:space="preserve"> Pokud jde o</w:t>
      </w:r>
      <w:r w:rsidR="00F76481" w:rsidRPr="00BA4F8E">
        <w:rPr>
          <w:rFonts w:cs="Arial"/>
        </w:rPr>
        <w:t> </w:t>
      </w:r>
      <w:r w:rsidRPr="00BA4F8E">
        <w:rPr>
          <w:rFonts w:cs="Arial"/>
        </w:rPr>
        <w:t>internacionalizaci měřenou počty zahraničních vědců v ČR, je zde jednoznačně limitujícím faktorem úroveň mezd na hladině zlomku průměru v bohatých evropských zemí. Mobilita českých vědců směrem do zahraničí existuje, zahraniční zkušenost má velká většina českých mladých vědců.</w:t>
      </w:r>
    </w:p>
    <w:p w14:paraId="58A061F3" w14:textId="77777777" w:rsidR="003F5D0F" w:rsidRPr="00BA4F8E" w:rsidRDefault="003F5D0F" w:rsidP="002E6087">
      <w:pPr>
        <w:spacing w:after="0" w:line="360" w:lineRule="auto"/>
        <w:ind w:firstLine="708"/>
        <w:jc w:val="both"/>
        <w:rPr>
          <w:rFonts w:cs="Arial"/>
        </w:rPr>
      </w:pPr>
      <w:r w:rsidRPr="00BA4F8E">
        <w:rPr>
          <w:rFonts w:cs="Arial"/>
        </w:rPr>
        <w:t>Co se týče účasti českých vědeckých týmů v evropských projektových konsorciích a větších projektech mezinárodní spolupráce, je situace oborově specifická. Hlavní bariérou je zde fakt, že projektová konsorcia (západo)evropských výzkumných týmů představují uzavřené prostředí, kam je obtížné proniknout bez podpory aktivní vědní politiky na celonárodní úrovni, zaměřené na evropské struktury.</w:t>
      </w:r>
    </w:p>
    <w:p w14:paraId="710D4877" w14:textId="77777777" w:rsidR="00425FDA" w:rsidRDefault="003F5D0F" w:rsidP="00DA6894">
      <w:pPr>
        <w:spacing w:after="0" w:line="360" w:lineRule="auto"/>
        <w:ind w:firstLine="709"/>
        <w:jc w:val="both"/>
        <w:rPr>
          <w:rFonts w:cs="Arial"/>
        </w:rPr>
      </w:pPr>
      <w:r w:rsidRPr="00BA4F8E">
        <w:rPr>
          <w:rFonts w:cs="Arial"/>
        </w:rPr>
        <w:t>Prostor ke zlepšení lze vidět v účasti ve velkých projektových konsorciích a mobilitě zahraničních vědců směrem do ČR.</w:t>
      </w:r>
    </w:p>
    <w:p w14:paraId="504E169F" w14:textId="77777777" w:rsidR="00425FDA" w:rsidRDefault="00425FDA">
      <w:pPr>
        <w:spacing w:after="200" w:line="276" w:lineRule="auto"/>
        <w:rPr>
          <w:rFonts w:cs="Arial"/>
        </w:rPr>
      </w:pPr>
      <w:r>
        <w:rPr>
          <w:rFonts w:cs="Arial"/>
        </w:rPr>
        <w:br w:type="page"/>
      </w:r>
    </w:p>
    <w:p w14:paraId="296CE400" w14:textId="77777777" w:rsidR="003F5D0F" w:rsidRPr="00BA4F8E" w:rsidRDefault="003F5D0F" w:rsidP="00543C1B">
      <w:pPr>
        <w:pStyle w:val="Odstavecseseznamem"/>
        <w:numPr>
          <w:ilvl w:val="0"/>
          <w:numId w:val="14"/>
        </w:numPr>
        <w:spacing w:after="200" w:line="360" w:lineRule="auto"/>
        <w:jc w:val="both"/>
        <w:rPr>
          <w:rFonts w:cs="Arial"/>
        </w:rPr>
      </w:pPr>
      <w:r w:rsidRPr="00BA4F8E">
        <w:rPr>
          <w:rFonts w:cs="Arial"/>
        </w:rPr>
        <w:lastRenderedPageBreak/>
        <w:t>Regulační rámec</w:t>
      </w:r>
    </w:p>
    <w:p w14:paraId="5173AF56" w14:textId="4B4CB452" w:rsidR="003F5D0F" w:rsidRPr="00BA4F8E" w:rsidRDefault="003F5D0F" w:rsidP="00543C1B">
      <w:pPr>
        <w:pStyle w:val="Odstavecseseznamem"/>
        <w:numPr>
          <w:ilvl w:val="0"/>
          <w:numId w:val="15"/>
        </w:numPr>
        <w:spacing w:after="200" w:line="360" w:lineRule="auto"/>
        <w:jc w:val="both"/>
        <w:rPr>
          <w:rFonts w:cs="Arial"/>
        </w:rPr>
      </w:pPr>
      <w:r w:rsidRPr="00BA4F8E">
        <w:rPr>
          <w:rFonts w:cs="Arial"/>
        </w:rPr>
        <w:t>Je nutné dosáhnout zastoupení českých vědců v přípravných výborech velkých programových výzev</w:t>
      </w:r>
      <w:r w:rsidR="00E27B58">
        <w:rPr>
          <w:rFonts w:cs="Arial"/>
        </w:rPr>
        <w:t xml:space="preserve"> (programy typu Horizon 2020)</w:t>
      </w:r>
      <w:r w:rsidRPr="00BA4F8E">
        <w:rPr>
          <w:rFonts w:cs="Arial"/>
        </w:rPr>
        <w:t xml:space="preserve">, které se často již připravují na míru konstituujícím se konsorciím. Bez systémové podpory na nejvyšší úrovni toho nelze dosáhnout. </w:t>
      </w:r>
    </w:p>
    <w:p w14:paraId="5E1A6030" w14:textId="77777777" w:rsidR="003F5D0F" w:rsidRPr="00BA4F8E" w:rsidRDefault="003F5D0F" w:rsidP="00543C1B">
      <w:pPr>
        <w:pStyle w:val="Odstavecseseznamem"/>
        <w:numPr>
          <w:ilvl w:val="0"/>
          <w:numId w:val="15"/>
        </w:numPr>
        <w:spacing w:after="200" w:line="360" w:lineRule="auto"/>
        <w:jc w:val="both"/>
        <w:rPr>
          <w:rFonts w:cs="Arial"/>
        </w:rPr>
      </w:pPr>
      <w:r w:rsidRPr="00BA4F8E">
        <w:rPr>
          <w:rFonts w:cs="Arial"/>
        </w:rPr>
        <w:t xml:space="preserve">V oblasti regulace na národní úrovni brání větší otevřenosti a mobilitě velmi </w:t>
      </w:r>
      <w:r w:rsidRPr="00BA4F8E">
        <w:rPr>
          <w:rFonts w:cs="Arial"/>
          <w:i/>
        </w:rPr>
        <w:t>formální požadavky uznávání akademických hodností ze zahraničí</w:t>
      </w:r>
      <w:r w:rsidRPr="00BA4F8E">
        <w:rPr>
          <w:rFonts w:cs="Arial"/>
        </w:rPr>
        <w:t xml:space="preserve">, složité </w:t>
      </w:r>
      <w:r w:rsidRPr="00BA4F8E">
        <w:rPr>
          <w:rFonts w:cs="Arial"/>
          <w:i/>
        </w:rPr>
        <w:t>procedury schvalování kariérního postupu</w:t>
      </w:r>
      <w:r w:rsidRPr="00BA4F8E">
        <w:rPr>
          <w:rFonts w:cs="Arial"/>
        </w:rPr>
        <w:t>,</w:t>
      </w:r>
      <w:r w:rsidRPr="00BA4F8E">
        <w:rPr>
          <w:rFonts w:cs="Arial"/>
          <w:i/>
        </w:rPr>
        <w:t xml:space="preserve"> </w:t>
      </w:r>
      <w:r w:rsidRPr="00BA4F8E">
        <w:rPr>
          <w:rFonts w:cs="Arial"/>
        </w:rPr>
        <w:t xml:space="preserve">a  také požadavek na zajištění výuky v češtině. </w:t>
      </w:r>
    </w:p>
    <w:p w14:paraId="34E90B7F" w14:textId="77777777" w:rsidR="003F5D0F" w:rsidRPr="00BA4F8E" w:rsidRDefault="003F5D0F" w:rsidP="00543C1B">
      <w:pPr>
        <w:pStyle w:val="Odstavecseseznamem"/>
        <w:numPr>
          <w:ilvl w:val="0"/>
          <w:numId w:val="15"/>
        </w:numPr>
        <w:spacing w:after="200" w:line="360" w:lineRule="auto"/>
        <w:jc w:val="both"/>
        <w:rPr>
          <w:rFonts w:cs="Arial"/>
        </w:rPr>
      </w:pPr>
      <w:r w:rsidRPr="00BA4F8E">
        <w:rPr>
          <w:rFonts w:cs="Arial"/>
        </w:rPr>
        <w:t xml:space="preserve">Významnou bariéru představují </w:t>
      </w:r>
      <w:r w:rsidRPr="00BA4F8E">
        <w:rPr>
          <w:rFonts w:cs="Arial"/>
          <w:i/>
        </w:rPr>
        <w:t>imigrační bariéry</w:t>
      </w:r>
      <w:r w:rsidRPr="00BA4F8E">
        <w:rPr>
          <w:rFonts w:cs="Arial"/>
        </w:rPr>
        <w:t xml:space="preserve">. </w:t>
      </w:r>
    </w:p>
    <w:p w14:paraId="6B6ADCDA" w14:textId="77777777" w:rsidR="003F5D0F" w:rsidRPr="00BA4F8E" w:rsidRDefault="003F5D0F" w:rsidP="00543C1B">
      <w:pPr>
        <w:pStyle w:val="Odstavecseseznamem"/>
        <w:numPr>
          <w:ilvl w:val="0"/>
          <w:numId w:val="15"/>
        </w:numPr>
        <w:spacing w:after="200" w:line="360" w:lineRule="auto"/>
        <w:jc w:val="both"/>
        <w:rPr>
          <w:rFonts w:cs="Arial"/>
        </w:rPr>
      </w:pPr>
      <w:r w:rsidRPr="00BA4F8E">
        <w:rPr>
          <w:rFonts w:cs="Arial"/>
        </w:rPr>
        <w:t xml:space="preserve">Zcela </w:t>
      </w:r>
      <w:r w:rsidRPr="00BA4F8E">
        <w:rPr>
          <w:rFonts w:cs="Arial"/>
          <w:i/>
        </w:rPr>
        <w:t>chybí nástroje</w:t>
      </w:r>
      <w:r w:rsidRPr="00BA4F8E">
        <w:rPr>
          <w:rFonts w:cs="Arial"/>
        </w:rPr>
        <w:t xml:space="preserve"> systematicky </w:t>
      </w:r>
      <w:r w:rsidRPr="00BA4F8E">
        <w:rPr>
          <w:rFonts w:cs="Arial"/>
          <w:i/>
        </w:rPr>
        <w:t>podporující cirkulaci mozků</w:t>
      </w:r>
      <w:r w:rsidRPr="00BA4F8E">
        <w:rPr>
          <w:rFonts w:cs="Arial"/>
        </w:rPr>
        <w:t>, jako jsou možnosti dočasného tvůrčího volna ve výzkumné kariéře, sabbatical</w:t>
      </w:r>
      <w:r w:rsidRPr="00BA4F8E">
        <w:rPr>
          <w:rStyle w:val="Znakapoznpodarou"/>
          <w:rFonts w:cs="Arial"/>
        </w:rPr>
        <w:footnoteReference w:id="38"/>
      </w:r>
      <w:r w:rsidRPr="00BA4F8E">
        <w:rPr>
          <w:rFonts w:cs="Arial"/>
        </w:rPr>
        <w:t>.</w:t>
      </w:r>
    </w:p>
    <w:p w14:paraId="7DA78F9A" w14:textId="77777777" w:rsidR="00F76481" w:rsidRPr="00BA4F8E" w:rsidRDefault="00F76481" w:rsidP="00F76481">
      <w:pPr>
        <w:pStyle w:val="Odstavecseseznamem"/>
        <w:spacing w:after="200" w:line="360" w:lineRule="auto"/>
        <w:jc w:val="both"/>
        <w:rPr>
          <w:rFonts w:cs="Arial"/>
        </w:rPr>
      </w:pPr>
    </w:p>
    <w:p w14:paraId="203D0341" w14:textId="77777777" w:rsidR="003F5D0F" w:rsidRDefault="003F5D0F" w:rsidP="00543C1B">
      <w:pPr>
        <w:pStyle w:val="Odstavecseseznamem"/>
        <w:numPr>
          <w:ilvl w:val="0"/>
          <w:numId w:val="14"/>
        </w:numPr>
        <w:spacing w:line="360" w:lineRule="auto"/>
        <w:jc w:val="both"/>
        <w:rPr>
          <w:rFonts w:eastAsia="Times New Roman" w:cs="Arial"/>
        </w:rPr>
      </w:pPr>
      <w:r w:rsidRPr="00BA4F8E">
        <w:rPr>
          <w:rFonts w:eastAsia="Times New Roman" w:cs="Arial"/>
        </w:rPr>
        <w:t>Výzkumné organizace</w:t>
      </w:r>
    </w:p>
    <w:p w14:paraId="0B65D6D7" w14:textId="4CE9FCEE" w:rsidR="00F62979" w:rsidRPr="00F62979" w:rsidRDefault="00F62979" w:rsidP="00F62979">
      <w:pPr>
        <w:pStyle w:val="Odstavecseseznamem"/>
        <w:numPr>
          <w:ilvl w:val="0"/>
          <w:numId w:val="234"/>
        </w:numPr>
        <w:spacing w:line="360" w:lineRule="auto"/>
        <w:jc w:val="both"/>
        <w:rPr>
          <w:rFonts w:eastAsia="Times New Roman" w:cs="Arial"/>
        </w:rPr>
      </w:pPr>
      <w:r w:rsidRPr="00F62979">
        <w:rPr>
          <w:rFonts w:eastAsia="Times New Roman" w:cs="Arial"/>
        </w:rPr>
        <w:t>Na úrovni výzkumných organizací většinou chybí str</w:t>
      </w:r>
      <w:r>
        <w:rPr>
          <w:rFonts w:eastAsia="Times New Roman" w:cs="Arial"/>
        </w:rPr>
        <w:t xml:space="preserve">ategie mezinárodní spolupráce, </w:t>
      </w:r>
      <w:r w:rsidRPr="00F62979">
        <w:rPr>
          <w:rFonts w:eastAsia="Times New Roman" w:cs="Arial"/>
        </w:rPr>
        <w:t>nebo má pouze formální charakter.</w:t>
      </w:r>
      <w:r>
        <w:rPr>
          <w:rFonts w:eastAsia="Times New Roman" w:cs="Arial"/>
        </w:rPr>
        <w:t xml:space="preserve"> </w:t>
      </w:r>
      <w:r w:rsidRPr="00D50C1F">
        <w:t>Jen zřídka mají takové strategie povahu explicitně definovaných strategických partnerství, tj. definování konkrétních strategických partnerů a jasný obsah výzkumné spolupráce s nimi.</w:t>
      </w:r>
    </w:p>
    <w:p w14:paraId="5FB29546" w14:textId="0D86C396" w:rsidR="003F5D0F" w:rsidRPr="00BA4F8E" w:rsidRDefault="003F5D0F" w:rsidP="00543C1B">
      <w:pPr>
        <w:pStyle w:val="Odstavecseseznamem"/>
        <w:numPr>
          <w:ilvl w:val="0"/>
          <w:numId w:val="16"/>
        </w:numPr>
        <w:spacing w:after="200" w:line="360" w:lineRule="auto"/>
        <w:jc w:val="both"/>
        <w:rPr>
          <w:rFonts w:cs="Arial"/>
        </w:rPr>
      </w:pPr>
      <w:r w:rsidRPr="00BA4F8E">
        <w:rPr>
          <w:rFonts w:cs="Arial"/>
        </w:rPr>
        <w:t>Schází dostatek financí na hrazení cest určených k navazování spolupráce a</w:t>
      </w:r>
      <w:r w:rsidR="00C3766E" w:rsidRPr="00BA4F8E">
        <w:rPr>
          <w:rFonts w:cs="Arial"/>
        </w:rPr>
        <w:t> </w:t>
      </w:r>
      <w:r w:rsidRPr="00BA4F8E">
        <w:rPr>
          <w:rFonts w:cs="Arial"/>
        </w:rPr>
        <w:t>j</w:t>
      </w:r>
      <w:r w:rsidR="00204766">
        <w:rPr>
          <w:rFonts w:cs="Arial"/>
        </w:rPr>
        <w:t>ednání o</w:t>
      </w:r>
      <w:r w:rsidR="00D6137C">
        <w:rPr>
          <w:rFonts w:cs="Arial"/>
        </w:rPr>
        <w:t> </w:t>
      </w:r>
      <w:r w:rsidR="00204766">
        <w:rPr>
          <w:rFonts w:cs="Arial"/>
        </w:rPr>
        <w:t>společných projektech.</w:t>
      </w:r>
    </w:p>
    <w:p w14:paraId="61159544" w14:textId="405A16AF" w:rsidR="003F5D0F" w:rsidRPr="00BA4F8E" w:rsidRDefault="003F5D0F" w:rsidP="00543C1B">
      <w:pPr>
        <w:pStyle w:val="Odstavecseseznamem"/>
        <w:numPr>
          <w:ilvl w:val="0"/>
          <w:numId w:val="16"/>
        </w:numPr>
        <w:spacing w:after="200" w:line="360" w:lineRule="auto"/>
        <w:jc w:val="both"/>
        <w:rPr>
          <w:rFonts w:cs="Arial"/>
        </w:rPr>
      </w:pPr>
      <w:r w:rsidRPr="00BA4F8E">
        <w:rPr>
          <w:rFonts w:cs="Arial"/>
        </w:rPr>
        <w:t xml:space="preserve">Ve většině výzkumných organizací v ČR </w:t>
      </w:r>
      <w:r w:rsidRPr="00BA4F8E">
        <w:rPr>
          <w:rFonts w:cs="Arial"/>
          <w:i/>
        </w:rPr>
        <w:t>chybí kvalifikované služby usnadňující integraci zahraničních výzkumníků i studentů</w:t>
      </w:r>
      <w:r w:rsidR="00F62979">
        <w:rPr>
          <w:rFonts w:cs="Arial"/>
        </w:rPr>
        <w:t xml:space="preserve"> (tzv. měkké služby)</w:t>
      </w:r>
      <w:r w:rsidR="00F62979" w:rsidRPr="00D50C1F">
        <w:t>, většina podpůrných a interních procesů je zajišťována pouze v češtině a odpovědní pracovníci nejsou připraveni na práci v angličtině (typicky např. personální agenda)</w:t>
      </w:r>
    </w:p>
    <w:p w14:paraId="1A8B3B30" w14:textId="7A64E196" w:rsidR="00B6238B" w:rsidRPr="00B6238B" w:rsidRDefault="00B6238B" w:rsidP="00726F0D">
      <w:pPr>
        <w:spacing w:after="0" w:line="360" w:lineRule="auto"/>
        <w:ind w:firstLine="709"/>
        <w:jc w:val="both"/>
        <w:rPr>
          <w:rFonts w:cs="Arial"/>
        </w:rPr>
      </w:pPr>
      <w:r w:rsidRPr="00B6238B">
        <w:rPr>
          <w:rFonts w:cs="Arial"/>
        </w:rPr>
        <w:t>Absence nadresortní strategie pro internacionalizaci VaVaI spolu s personální poddimenzovaností složek státní správy odpovědných za tuto oblast vede k malému zapojení do celoevropské výzkumné spolupráce a do budoucna může ohrozit čerpání prostředků z programu Horizont 2020, jakož i oslabit potenciální synergie mezi projekty H2020 a prostředky kohezní politiky v</w:t>
      </w:r>
      <w:r w:rsidR="00654F60">
        <w:rPr>
          <w:rFonts w:cs="Arial"/>
        </w:rPr>
        <w:t> </w:t>
      </w:r>
      <w:r w:rsidRPr="00B6238B">
        <w:rPr>
          <w:rFonts w:cs="Arial"/>
        </w:rPr>
        <w:t xml:space="preserve">období 2014–2020. </w:t>
      </w:r>
    </w:p>
    <w:p w14:paraId="6A6A66F1" w14:textId="0018D51D" w:rsidR="00B6238B" w:rsidRPr="00B6238B" w:rsidRDefault="00B6238B" w:rsidP="00726F0D">
      <w:pPr>
        <w:spacing w:after="0" w:line="360" w:lineRule="auto"/>
        <w:ind w:firstLine="709"/>
        <w:jc w:val="both"/>
        <w:rPr>
          <w:rFonts w:cs="Arial"/>
        </w:rPr>
      </w:pPr>
      <w:r w:rsidRPr="00B6238B">
        <w:rPr>
          <w:rFonts w:cs="Arial"/>
        </w:rPr>
        <w:t xml:space="preserve">Vysoká kvalita výzkumu není představitelná bez cirkulace mozků a systematického vytváření podmínek pro vstřebávání nových podnětů z odlišného prostředí. Jedním z důsledků nízké otevřenosti českých výzkumných organizací je jejich nízká atraktivita pro výzkumníky s odlišnou zkušeností (resp. malá schopnost takové pracovníky dlouhodobě udržet) a s ní se pojící negativní dopady na celkovou úroveň kvality výzkumu. České výzkumné prostředí není z mezinárodního hlediska příliš atraktivní již </w:t>
      </w:r>
      <w:r w:rsidRPr="00B6238B">
        <w:rPr>
          <w:rFonts w:cs="Arial"/>
        </w:rPr>
        <w:lastRenderedPageBreak/>
        <w:t xml:space="preserve">svou jazykovou specificitou a – v porovnání se státy s nejvyspělejšími výzkumnými systémy – je i málo atraktivní mzdovým ohodnocením. Neschopnost zajistit větší otevřenost a průchodnost kariérního systému českého výzkumu má důsledky pro nízkou schopnost přilákat a udržet kritický počet výzkumníků se zkušenostmi z jiného prostředí. </w:t>
      </w:r>
    </w:p>
    <w:p w14:paraId="0EFC28D6" w14:textId="53B47879" w:rsidR="00B6238B" w:rsidRPr="00B6238B" w:rsidRDefault="00B6238B" w:rsidP="00726F0D">
      <w:pPr>
        <w:spacing w:after="0" w:line="360" w:lineRule="auto"/>
        <w:ind w:firstLine="709"/>
        <w:jc w:val="both"/>
        <w:rPr>
          <w:rFonts w:cs="Arial"/>
        </w:rPr>
      </w:pPr>
      <w:r w:rsidRPr="00B6238B">
        <w:rPr>
          <w:rFonts w:cs="Arial"/>
        </w:rPr>
        <w:t>Nízkou „genetickou diversitu“ českých výzkumných organizací podporuje jejich konzervativní personální praxe. V důsledku pak může vést jednak k odlivu talentovaných mladých výzkumníků, kteří nezískají pro svůj rozvoj vhodné podmínky, jednak může vést i k postupné re-emigraci pracovníků ze zahraničí, a to i v případech výzkumníků, kteří již byli do ČR přilákáni v uplynulých letech. Pokud nebudou v českém výzkumném prostředí postupně odbourávány bariéry příchodu výzkumných pracovníků ze zahraničí a pro vědeckou mobilitu vůbec, výběr talentů pro výzkumné kariéry zůstane i do budoucna omezený na Českou republiku (event. ještě rozšířeně o Slovensko). Přetrvávající uzavřenost by pak znamenala faktickou rezignaci na dosahování špičkové mezinárodní kvality výzkumu.</w:t>
      </w:r>
    </w:p>
    <w:p w14:paraId="7AB741D3" w14:textId="3C92481D" w:rsidR="00B6238B" w:rsidRPr="00B6238B" w:rsidRDefault="00B6238B" w:rsidP="00726F0D">
      <w:pPr>
        <w:spacing w:after="0" w:line="360" w:lineRule="auto"/>
        <w:ind w:firstLine="709"/>
        <w:jc w:val="both"/>
        <w:rPr>
          <w:rFonts w:cs="Arial"/>
        </w:rPr>
      </w:pPr>
      <w:r w:rsidRPr="00B6238B">
        <w:rPr>
          <w:rFonts w:cs="Arial"/>
        </w:rPr>
        <w:t>Mezinárodní otevřenost a mobilita výzkumníků má jednoznačně pozitivní dopad na míru zapojení do mezinárodní výzkumné spolupráce. V tomto ohledu má ČR dlouhodobě neuspokojivé výsledky.  Pokud nebudou nastaveny dostatečně robustní mechanismy pro podporu cirkulace mozků z</w:t>
      </w:r>
      <w:r w:rsidR="00AA7D68">
        <w:rPr>
          <w:rFonts w:cs="Arial"/>
        </w:rPr>
        <w:t> </w:t>
      </w:r>
      <w:r w:rsidRPr="00B6238B">
        <w:rPr>
          <w:rFonts w:cs="Arial"/>
        </w:rPr>
        <w:t>i do ČR a pro ukotvení již přítomných zahraničních vědců, nedojde velmi pravděpodobně ani k</w:t>
      </w:r>
      <w:r w:rsidR="00AA7D68">
        <w:rPr>
          <w:rFonts w:cs="Arial"/>
        </w:rPr>
        <w:t> </w:t>
      </w:r>
      <w:r w:rsidRPr="00B6238B">
        <w:rPr>
          <w:rFonts w:cs="Arial"/>
        </w:rPr>
        <w:t>zásadnímu zvýšení aktivity českých výzkumných týmů v mezinárodní výzkumné spolupráci, včetně budoucí účasti českých výzkumných týmů v Horizontu 2020.</w:t>
      </w:r>
    </w:p>
    <w:p w14:paraId="636542AC" w14:textId="2932B8EF" w:rsidR="00B6238B" w:rsidRPr="00B6238B" w:rsidRDefault="00B6238B" w:rsidP="00726F0D">
      <w:pPr>
        <w:spacing w:after="0" w:line="360" w:lineRule="auto"/>
        <w:ind w:firstLine="709"/>
        <w:jc w:val="both"/>
        <w:rPr>
          <w:rFonts w:cs="Arial"/>
        </w:rPr>
      </w:pPr>
      <w:r w:rsidRPr="00B6238B">
        <w:rPr>
          <w:rFonts w:cs="Arial"/>
        </w:rPr>
        <w:t>Malá otevřenost českého výzkumného prostředí a nízký počet výzkumníků se zkušeností z</w:t>
      </w:r>
      <w:r w:rsidR="00AA7D68">
        <w:rPr>
          <w:rFonts w:cs="Arial"/>
        </w:rPr>
        <w:t> </w:t>
      </w:r>
      <w:r w:rsidRPr="00B6238B">
        <w:rPr>
          <w:rFonts w:cs="Arial"/>
        </w:rPr>
        <w:t>odlišného výzkumného prostředí se projevuje také v malé otevřenosti dobré praxi v tvorbě a</w:t>
      </w:r>
      <w:r w:rsidR="00AA7D68">
        <w:rPr>
          <w:rFonts w:cs="Arial"/>
        </w:rPr>
        <w:t> </w:t>
      </w:r>
      <w:r w:rsidRPr="00B6238B">
        <w:rPr>
          <w:rFonts w:cs="Arial"/>
        </w:rPr>
        <w:t xml:space="preserve">implementaci výzkumné politiky v ČR. Dobrá zahraniční praxe se prosazuje jen pomalu a často přes odpor etablovaných aktérů. Platí to pro národní, systémovou úroveň, i pro úroveň jednotlivých institucí a týmů. Hodnocení projektů mezinárodními panely ze zahraničí, či obsazování volných pozic transparentními mezinárodními výběrovými řízeními, jsou v ČR dosud ojedinělou praxí. I to je důsledek malého počtu zahraničních výzkumníků v ČR, resp. výzkumníků se zahraniční zkušeností. </w:t>
      </w:r>
    </w:p>
    <w:p w14:paraId="3267FFBD" w14:textId="65FDCC25" w:rsidR="008A28E1" w:rsidRPr="00BA4F8E" w:rsidRDefault="00B6238B" w:rsidP="00726F0D">
      <w:pPr>
        <w:spacing w:after="0" w:line="360" w:lineRule="auto"/>
        <w:ind w:firstLine="709"/>
        <w:jc w:val="both"/>
        <w:rPr>
          <w:rFonts w:cs="Arial"/>
        </w:rPr>
      </w:pPr>
      <w:r w:rsidRPr="00B6238B">
        <w:rPr>
          <w:rFonts w:cs="Arial"/>
        </w:rPr>
        <w:t>Z hlediska inteligentní specializace je potřeba řešit regulatorní bariéry, které brání větší otevřenosti a internacionalizaci. Současně je nezbytné vytvářet horizontální intervenční nástroje, které plošně zvýší otevřenost a kvalitu českého výzkumu. V oborech, kde existuje prokazatelná mezinárodní kvalita výzkumu s vazbami na aplikační potenciál ČR, je pak vhodné realizovat i vertikální opatření (např. programy podpory příchodu zahraničních vědců, podpora strategických partnerství českých výzkumných pracovišť s předními zahraničními partnery, apod.).</w:t>
      </w:r>
    </w:p>
    <w:p w14:paraId="5ACABB6B" w14:textId="2E9260A0" w:rsidR="003F5D0F" w:rsidRPr="005C2F38" w:rsidRDefault="00853043" w:rsidP="00103F7E">
      <w:pPr>
        <w:pStyle w:val="Nadpis3"/>
      </w:pPr>
      <w:bookmarkStart w:id="44" w:name="_Toc525716182"/>
      <w:r w:rsidRPr="005C2F38">
        <w:lastRenderedPageBreak/>
        <w:t>Problémový okruh 5: Nedostatky v řízení a správě (governance) v oblasti politiky VaVaI</w:t>
      </w:r>
      <w:bookmarkEnd w:id="44"/>
    </w:p>
    <w:p w14:paraId="2E84D5D5" w14:textId="270A9759" w:rsidR="00853043" w:rsidRPr="00BA4F8E" w:rsidRDefault="00853043" w:rsidP="00F0791A">
      <w:pPr>
        <w:spacing w:before="240" w:after="0" w:line="360" w:lineRule="auto"/>
        <w:ind w:firstLine="708"/>
        <w:jc w:val="both"/>
        <w:rPr>
          <w:rFonts w:cs="Arial"/>
        </w:rPr>
      </w:pPr>
      <w:r w:rsidRPr="00BA4F8E">
        <w:rPr>
          <w:rFonts w:cs="Arial"/>
        </w:rPr>
        <w:t xml:space="preserve">Podle zjištění Mezinárodního auditu výzkumu a vývoje v ČR je možné za nejzákladnější problém českého systému VaVaI považovat </w:t>
      </w:r>
      <w:r w:rsidR="00204766">
        <w:rPr>
          <w:rFonts w:cs="Arial"/>
        </w:rPr>
        <w:t xml:space="preserve">možnou </w:t>
      </w:r>
      <w:r w:rsidRPr="00BA4F8E">
        <w:rPr>
          <w:rFonts w:cs="Arial"/>
        </w:rPr>
        <w:t xml:space="preserve">nedůvěru vědecké komunity v systém. </w:t>
      </w:r>
      <w:r w:rsidRPr="00BA4F8E">
        <w:rPr>
          <w:rFonts w:cs="Arial"/>
          <w:i/>
        </w:rPr>
        <w:t>Nedůvěra</w:t>
      </w:r>
      <w:r w:rsidRPr="00BA4F8E">
        <w:rPr>
          <w:rFonts w:cs="Arial"/>
        </w:rPr>
        <w:t xml:space="preserve"> částečně souvisí s politickou nestabilitou od roku 2006, v jejímž důsledku došlo k postupné politizaci problematiky výzkumu a</w:t>
      </w:r>
      <w:r w:rsidR="00087157" w:rsidRPr="00BA4F8E">
        <w:rPr>
          <w:rFonts w:cs="Arial"/>
        </w:rPr>
        <w:t> </w:t>
      </w:r>
      <w:r w:rsidRPr="00BA4F8E">
        <w:rPr>
          <w:rFonts w:cs="Arial"/>
        </w:rPr>
        <w:t>vývoje, přičemž výzkum nebyl nikdy jasně a zřetelně v dlouhodobém horizontu deklarován jako nezpochybnitelná vládní priorita.</w:t>
      </w:r>
    </w:p>
    <w:p w14:paraId="390C1DAD" w14:textId="5368F423" w:rsidR="00853043" w:rsidRPr="00BA4F8E" w:rsidRDefault="00853043" w:rsidP="00F0791A">
      <w:pPr>
        <w:spacing w:after="0" w:line="360" w:lineRule="auto"/>
        <w:ind w:firstLine="708"/>
        <w:jc w:val="both"/>
        <w:rPr>
          <w:rFonts w:cs="Arial"/>
        </w:rPr>
      </w:pPr>
      <w:r w:rsidRPr="00BA4F8E">
        <w:rPr>
          <w:rFonts w:cs="Arial"/>
        </w:rPr>
        <w:t xml:space="preserve">Jedním z projevů nedůvěry je také </w:t>
      </w:r>
      <w:r w:rsidRPr="00BA4F8E">
        <w:rPr>
          <w:rFonts w:cs="Arial"/>
          <w:i/>
        </w:rPr>
        <w:t>absence konsensu ohledně dalšího strategického směrování politiky výzkumu a vývoje v ČR</w:t>
      </w:r>
      <w:r w:rsidRPr="00BA4F8E">
        <w:rPr>
          <w:rFonts w:cs="Arial"/>
        </w:rPr>
        <w:t xml:space="preserve">. Průvodním jevem je nedostatek dlouhodobého pojetí politiky VaVaI, nejistota ohledně jejího dalšího směrování, a to včetně nejistoty financování. </w:t>
      </w:r>
      <w:r w:rsidR="00204766">
        <w:rPr>
          <w:rFonts w:cs="Arial"/>
        </w:rPr>
        <w:t xml:space="preserve">Shoda nepanuje </w:t>
      </w:r>
      <w:r w:rsidR="006C4B53">
        <w:rPr>
          <w:rFonts w:cs="Arial"/>
        </w:rPr>
        <w:t xml:space="preserve">nad koncepčním efektem účelového </w:t>
      </w:r>
      <w:r w:rsidRPr="00BA4F8E">
        <w:rPr>
          <w:rFonts w:cs="Arial"/>
        </w:rPr>
        <w:t>financování</w:t>
      </w:r>
      <w:r w:rsidR="00204766">
        <w:rPr>
          <w:rFonts w:cs="Arial"/>
        </w:rPr>
        <w:t>.</w:t>
      </w:r>
      <w:r w:rsidRPr="00BA4F8E">
        <w:rPr>
          <w:rFonts w:cs="Arial"/>
        </w:rPr>
        <w:t xml:space="preserve"> Mimo to se projevuje také fragmentace odpovědnosti za sektor VaVaI mezi MŠMT, Úřad vlády a MPO.</w:t>
      </w:r>
      <w:r w:rsidRPr="00BA4F8E">
        <w:rPr>
          <w:rFonts w:cs="Arial"/>
          <w:i/>
        </w:rPr>
        <w:t xml:space="preserve"> Systém řízení politiky VaV (governance)</w:t>
      </w:r>
      <w:r w:rsidRPr="00BA4F8E">
        <w:rPr>
          <w:rFonts w:cs="Arial"/>
        </w:rPr>
        <w:t xml:space="preserve"> vykazuje podstatné nedostatky, především nedostatečné uplatnění principu subsidiarity.</w:t>
      </w:r>
      <w:r w:rsidRPr="00BA4F8E">
        <w:rPr>
          <w:rStyle w:val="Znakapoznpodarou"/>
          <w:rFonts w:cs="Arial"/>
        </w:rPr>
        <w:footnoteReference w:id="39"/>
      </w:r>
      <w:r w:rsidRPr="00BA4F8E">
        <w:rPr>
          <w:rFonts w:cs="Arial"/>
        </w:rPr>
        <w:t xml:space="preserve"> Vedlejším efektem nedostatečnéh</w:t>
      </w:r>
      <w:r w:rsidR="006C4B53">
        <w:rPr>
          <w:rFonts w:cs="Arial"/>
        </w:rPr>
        <w:t xml:space="preserve">o výkonu veřejné správy může být místy </w:t>
      </w:r>
      <w:r w:rsidRPr="00BA4F8E">
        <w:rPr>
          <w:rFonts w:cs="Arial"/>
          <w:i/>
        </w:rPr>
        <w:t>nevhodné metodické nastavení programů podpory výzkumu</w:t>
      </w:r>
      <w:r w:rsidRPr="00BA4F8E">
        <w:rPr>
          <w:rFonts w:cs="Arial"/>
        </w:rPr>
        <w:t xml:space="preserve">, které způsobuje zvyšování </w:t>
      </w:r>
      <w:r w:rsidRPr="00BA4F8E">
        <w:rPr>
          <w:rFonts w:cs="Arial"/>
          <w:i/>
        </w:rPr>
        <w:t>administrativní zátěže</w:t>
      </w:r>
      <w:r w:rsidRPr="00BA4F8E">
        <w:rPr>
          <w:rFonts w:cs="Arial"/>
        </w:rPr>
        <w:t xml:space="preserve"> výzkumných pracovníků.</w:t>
      </w:r>
      <w:r w:rsidRPr="00BA4F8E">
        <w:rPr>
          <w:rStyle w:val="Znakapoznpodarou"/>
          <w:rFonts w:cs="Arial"/>
        </w:rPr>
        <w:t xml:space="preserve"> </w:t>
      </w:r>
      <w:r w:rsidRPr="00BA4F8E">
        <w:rPr>
          <w:rStyle w:val="Znakapoznpodarou"/>
          <w:rFonts w:cs="Arial"/>
        </w:rPr>
        <w:footnoteReference w:id="40"/>
      </w:r>
    </w:p>
    <w:p w14:paraId="20DB52C3" w14:textId="485D6861" w:rsidR="00853043" w:rsidRPr="00BA4F8E" w:rsidRDefault="00853043" w:rsidP="00F0791A">
      <w:pPr>
        <w:spacing w:after="0" w:line="360" w:lineRule="auto"/>
        <w:ind w:firstLine="708"/>
        <w:jc w:val="both"/>
        <w:rPr>
          <w:rFonts w:cs="Arial"/>
        </w:rPr>
      </w:pPr>
      <w:r w:rsidRPr="00BA4F8E">
        <w:rPr>
          <w:rFonts w:cs="Arial"/>
        </w:rPr>
        <w:t xml:space="preserve">Bez jasně definované strategie logicky </w:t>
      </w:r>
      <w:r w:rsidRPr="00BA4F8E">
        <w:rPr>
          <w:rFonts w:cs="Arial"/>
          <w:i/>
        </w:rPr>
        <w:t>chybí i výzkumná orientace v podobě tematických programů výzkumu</w:t>
      </w:r>
      <w:r w:rsidRPr="00BA4F8E">
        <w:rPr>
          <w:rFonts w:cs="Arial"/>
        </w:rPr>
        <w:t>, bez nichž nevznikají podmínky pro realizaci problémově zaměřeného, dlouhodobého a</w:t>
      </w:r>
      <w:r w:rsidR="00626B81" w:rsidRPr="00BA4F8E">
        <w:rPr>
          <w:rFonts w:cs="Arial"/>
        </w:rPr>
        <w:t> </w:t>
      </w:r>
      <w:r w:rsidRPr="00BA4F8E">
        <w:rPr>
          <w:rFonts w:cs="Arial"/>
        </w:rPr>
        <w:t>ambiciózního výzkumu, který by mohl dosáhnout skutečného průlomu v dané oblasti zkoumání. Takovéto strategie by měly existovat i na úrovni institucí, příkladem může být Strategie Akademie věd AV21. Na celostátní úrovni ale nesmí být strategická orientace na vybrané směry na překážku nezávislého výzkumu.</w:t>
      </w:r>
    </w:p>
    <w:p w14:paraId="1902BF4F" w14:textId="0C4770B1" w:rsidR="00AA703C" w:rsidRPr="00BA4F8E" w:rsidRDefault="00853043" w:rsidP="00F0791A">
      <w:pPr>
        <w:spacing w:after="0" w:line="360" w:lineRule="auto"/>
        <w:ind w:firstLine="708"/>
        <w:jc w:val="both"/>
        <w:rPr>
          <w:rFonts w:cs="Arial"/>
        </w:rPr>
      </w:pPr>
      <w:r w:rsidRPr="00BA4F8E">
        <w:rPr>
          <w:rFonts w:cs="Arial"/>
        </w:rPr>
        <w:t xml:space="preserve">Příčiny neefektivní správy a řízení českého výzkumu spočívají jak v rámcových, regulačních podmínkách, tak v podmínkách uvnitř orgánů státní správy odpovědných za oblasti politiky VaV. Pro stávající pracovníky státní správy </w:t>
      </w:r>
      <w:r w:rsidRPr="00BA4F8E">
        <w:rPr>
          <w:rFonts w:cs="Arial"/>
          <w:i/>
        </w:rPr>
        <w:t>neexistují nástroje pro systematické zvyšování kvalifikace</w:t>
      </w:r>
      <w:r w:rsidRPr="00BA4F8E">
        <w:rPr>
          <w:rFonts w:cs="Arial"/>
        </w:rPr>
        <w:t>, možnost osvojení zahraničních zkušeností a dobrých praxí (např. v oblasti hodnocení projektů, hodnocení přínosů programů VaVaI, institucionálního financování, hodnocení opatření pro zvýšení spolupráce s aplikační sférou apod.)</w:t>
      </w:r>
      <w:r w:rsidR="003009B4">
        <w:rPr>
          <w:rFonts w:cs="Arial"/>
        </w:rPr>
        <w:t xml:space="preserve"> v takové míře, jež by byla potřeba</w:t>
      </w:r>
      <w:r w:rsidRPr="00BA4F8E">
        <w:rPr>
          <w:rFonts w:cs="Arial"/>
        </w:rPr>
        <w:t xml:space="preserve">. Bez shody nad výzkumnou strategií pak logicky v ČR </w:t>
      </w:r>
      <w:r w:rsidRPr="00BA4F8E">
        <w:rPr>
          <w:rFonts w:cs="Arial"/>
          <w:i/>
        </w:rPr>
        <w:t>chybí nástroje pro zacílení výzkumného úsilí na dlouhodobé problémy společnosti a</w:t>
      </w:r>
      <w:r w:rsidR="00637BC4">
        <w:rPr>
          <w:rFonts w:cs="Arial"/>
          <w:i/>
        </w:rPr>
        <w:t> </w:t>
      </w:r>
      <w:r w:rsidRPr="00BA4F8E">
        <w:rPr>
          <w:rFonts w:cs="Arial"/>
          <w:i/>
        </w:rPr>
        <w:t>ekonomiky</w:t>
      </w:r>
      <w:r w:rsidRPr="00BA4F8E">
        <w:rPr>
          <w:rFonts w:cs="Arial"/>
        </w:rPr>
        <w:t>, které by zkoncentrovaly úsilí a</w:t>
      </w:r>
      <w:r w:rsidR="005F6567" w:rsidRPr="00BA4F8E">
        <w:rPr>
          <w:rFonts w:cs="Arial"/>
        </w:rPr>
        <w:t> </w:t>
      </w:r>
      <w:r w:rsidRPr="00BA4F8E">
        <w:rPr>
          <w:rFonts w:cs="Arial"/>
        </w:rPr>
        <w:t xml:space="preserve">zafungovaly jako pákový efekt pro dodatečné investice ze strany soukromé sféry. Faktická </w:t>
      </w:r>
      <w:r w:rsidRPr="00BA4F8E">
        <w:rPr>
          <w:rFonts w:cs="Arial"/>
          <w:i/>
        </w:rPr>
        <w:t>absence tematicky zaměřených výzkumných programů</w:t>
      </w:r>
      <w:r w:rsidRPr="00BA4F8E">
        <w:rPr>
          <w:rFonts w:cs="Arial"/>
        </w:rPr>
        <w:t xml:space="preserve"> přitom odlišuje ČR od většiny srovnatelných zemí.</w:t>
      </w:r>
      <w:r w:rsidRPr="00BA4F8E">
        <w:rPr>
          <w:rStyle w:val="Znakapoznpodarou"/>
          <w:rFonts w:cs="Arial"/>
        </w:rPr>
        <w:footnoteReference w:id="41"/>
      </w:r>
      <w:r w:rsidRPr="00BA4F8E">
        <w:rPr>
          <w:rFonts w:cs="Arial"/>
        </w:rPr>
        <w:t xml:space="preserve"> </w:t>
      </w:r>
    </w:p>
    <w:p w14:paraId="4600225A" w14:textId="130B42E5" w:rsidR="00D16EF6" w:rsidRPr="005C2F38" w:rsidRDefault="00D16EF6" w:rsidP="005C2F38">
      <w:pPr>
        <w:pStyle w:val="Nadpis2"/>
      </w:pPr>
      <w:bookmarkStart w:id="45" w:name="_Toc525716183"/>
      <w:r w:rsidRPr="005C2F38">
        <w:lastRenderedPageBreak/>
        <w:t>Lidské zdroje</w:t>
      </w:r>
      <w:bookmarkEnd w:id="45"/>
    </w:p>
    <w:p w14:paraId="0E32AB84" w14:textId="34F8E19C" w:rsidR="00D16EF6" w:rsidRPr="005C2F38" w:rsidRDefault="00D16EF6" w:rsidP="005C2F38">
      <w:pPr>
        <w:pStyle w:val="Nadpis3"/>
      </w:pPr>
      <w:bookmarkStart w:id="46" w:name="_Toc525716184"/>
      <w:r w:rsidRPr="005C2F38">
        <w:t>Úvod</w:t>
      </w:r>
      <w:bookmarkEnd w:id="46"/>
    </w:p>
    <w:p w14:paraId="48EAB21B" w14:textId="77777777" w:rsidR="00D16EF6" w:rsidRPr="00BA4F8E" w:rsidRDefault="00D16EF6" w:rsidP="00AE4BCD">
      <w:pPr>
        <w:spacing w:before="240" w:after="0" w:line="360" w:lineRule="auto"/>
        <w:ind w:firstLine="709"/>
        <w:jc w:val="both"/>
        <w:rPr>
          <w:rFonts w:cs="Arial"/>
        </w:rPr>
      </w:pPr>
      <w:r w:rsidRPr="00BA4F8E">
        <w:rPr>
          <w:rFonts w:cs="Arial"/>
        </w:rPr>
        <w:t>Kvalita lidských zdrojů představuje v současné znalostně orientované ekonomice klíčovou determinantu mezinárodní konkurenceschopnosti země (OECD, 2013), která se odvíjí od schopnosti vývoje inovativních řešení a obtížně napodobitelných výrobků a služeb. Ty pak umožňují dosáhnout konkurenceschopnosti typu „high road“. V tomto závodu je proto velmi důležité zaměřit se na 3 vzájemně propojené úrovně záměrné tvorby a rozvoje výzkumného a inovativního potenciálu lidí.</w:t>
      </w:r>
    </w:p>
    <w:p w14:paraId="6EBF96C3" w14:textId="7210B3EE" w:rsidR="00D16EF6" w:rsidRPr="00BA4F8E" w:rsidRDefault="00D16EF6" w:rsidP="00AE4BCD">
      <w:pPr>
        <w:spacing w:after="0" w:line="360" w:lineRule="auto"/>
        <w:ind w:firstLine="709"/>
        <w:jc w:val="both"/>
        <w:rPr>
          <w:rFonts w:cs="Arial"/>
        </w:rPr>
      </w:pPr>
      <w:r w:rsidRPr="00BA4F8E">
        <w:rPr>
          <w:rFonts w:cs="Arial"/>
        </w:rPr>
        <w:t>První úroveň lze vnímat jako všeobecnou míru vybavenosti reálně aplikovatelnými znalostmi a</w:t>
      </w:r>
      <w:r w:rsidR="00B20886" w:rsidRPr="00BA4F8E">
        <w:rPr>
          <w:rFonts w:cs="Arial"/>
        </w:rPr>
        <w:t> </w:t>
      </w:r>
      <w:r w:rsidRPr="00BA4F8E">
        <w:rPr>
          <w:rFonts w:cs="Arial"/>
        </w:rPr>
        <w:t>dovednostmi. To je důvodem, proč se v posledních desetiletích věnuje velká pozornost systémům počátečního i dalšího vzdělávání, neboť právě rozdíly v jejich výkonu ve výsledku determinují rozdíly v ekonomickém postavení zemí. Druhá úroveň se zabývá otázkou, které osoby a jak mají být připravovány na kariéru výzkumných a vývojových pracovníků, neboť vést k této kariéře celou populaci by nebylo účelné a</w:t>
      </w:r>
      <w:r w:rsidR="00B20886" w:rsidRPr="00BA4F8E">
        <w:rPr>
          <w:rFonts w:cs="Arial"/>
        </w:rPr>
        <w:t> </w:t>
      </w:r>
      <w:r w:rsidRPr="00BA4F8E">
        <w:rPr>
          <w:rFonts w:cs="Arial"/>
        </w:rPr>
        <w:t>efektivní. Cestou je využití systému identifikace a rozvoje talentů. Poslední úrovní rozvoje výzkumného, vývojového a inovativního potenciálu spočívá v práci se samotnými výzkumnými pracovníky. Způsob jejich přijímání, jejich hodnocení, rozvoj apod., jsou velmi důležité pro správné využití jejich potenciálu a dosažení maximální produktivity.</w:t>
      </w:r>
    </w:p>
    <w:p w14:paraId="4707B8B1" w14:textId="77777777" w:rsidR="00D16EF6" w:rsidRPr="00BA4F8E" w:rsidRDefault="00D16EF6" w:rsidP="00D16EF6">
      <w:pPr>
        <w:spacing w:line="360" w:lineRule="auto"/>
        <w:ind w:firstLine="709"/>
        <w:jc w:val="both"/>
        <w:rPr>
          <w:rFonts w:cs="Arial"/>
        </w:rPr>
      </w:pPr>
      <w:r w:rsidRPr="00BA4F8E">
        <w:rPr>
          <w:rFonts w:cs="Arial"/>
        </w:rPr>
        <w:t xml:space="preserve">Základním strategickým dokumentem pro oblast vzdělávání je Strategie vzdělávací politiky České republiky do roku 2020, nikoliv RIS3 strategie. </w:t>
      </w:r>
    </w:p>
    <w:p w14:paraId="0E452FE7" w14:textId="77777777" w:rsidR="00AA703C" w:rsidRPr="00BA4F8E" w:rsidRDefault="00AA703C" w:rsidP="00D16EF6">
      <w:pPr>
        <w:spacing w:line="360" w:lineRule="auto"/>
        <w:ind w:firstLine="709"/>
        <w:jc w:val="both"/>
        <w:rPr>
          <w:rFonts w:cs="Arial"/>
        </w:rPr>
      </w:pPr>
    </w:p>
    <w:p w14:paraId="0F4B5CFB" w14:textId="525AF47A" w:rsidR="00D16EF6" w:rsidRPr="000B422A" w:rsidRDefault="00D16EF6" w:rsidP="000B422A">
      <w:pPr>
        <w:pStyle w:val="Nadpis3"/>
      </w:pPr>
      <w:bookmarkStart w:id="47" w:name="_Toc525716185"/>
      <w:r w:rsidRPr="000B422A">
        <w:t>Problémový okruh 1: Průměrná kvalita výstupů vzdělávacího systému</w:t>
      </w:r>
      <w:bookmarkEnd w:id="47"/>
    </w:p>
    <w:p w14:paraId="593AB52A" w14:textId="31831495" w:rsidR="00D16EF6" w:rsidRPr="00BA4F8E" w:rsidRDefault="00D16EF6" w:rsidP="00AE4BCD">
      <w:pPr>
        <w:spacing w:before="240" w:after="0" w:line="360" w:lineRule="auto"/>
        <w:ind w:firstLine="708"/>
        <w:jc w:val="both"/>
        <w:rPr>
          <w:rFonts w:cs="Arial"/>
        </w:rPr>
      </w:pPr>
      <w:r w:rsidRPr="00BA4F8E">
        <w:rPr>
          <w:rFonts w:cs="Arial"/>
        </w:rPr>
        <w:t>Mezinárodní srovnání vybraných obecných dovedností PIAAC ukázalo, že numerická gramotnost českých obyvatel ve věku 16-65 let je na nadprůměrné úrovni 24 zemí OECD, zatímco čtenářská gramotnost a schopnost řešit problémy v technologicky náročném prostředí jsou na úrovni průměrné (OECD, 2013). Pokud však chce česká ekonomika svůj další růst spojit zejména s technologicky a znalostně náročnými aktivitami, lze tento stav vnímat pouze jako dobrou výchozí úroveň pro urychlený růst kvality vzdělání z pohledu mezinárodního srovnání. Výsledky mezinárodního srovnání PISA, které měří čtenářskou, matematickou a přírodovědnou gramotnost u</w:t>
      </w:r>
      <w:r w:rsidR="00AA703C" w:rsidRPr="00BA4F8E">
        <w:rPr>
          <w:rFonts w:cs="Arial"/>
        </w:rPr>
        <w:t> </w:t>
      </w:r>
      <w:r w:rsidRPr="00BA4F8E">
        <w:rPr>
          <w:rFonts w:cs="Arial"/>
        </w:rPr>
        <w:t>žáků ve věku 15</w:t>
      </w:r>
      <w:r w:rsidR="00435C24" w:rsidRPr="00BA4F8E">
        <w:rPr>
          <w:rFonts w:cs="Arial"/>
        </w:rPr>
        <w:t> </w:t>
      </w:r>
      <w:r w:rsidRPr="00BA4F8E">
        <w:rPr>
          <w:rFonts w:cs="Arial"/>
        </w:rPr>
        <w:t>let v 65 zemích, však nedokládají zvyšující se kvalitu vzdělávání.</w:t>
      </w:r>
    </w:p>
    <w:p w14:paraId="3C44FE00" w14:textId="56BBC19E" w:rsidR="00D16EF6" w:rsidRPr="00BA4F8E" w:rsidRDefault="00D16EF6" w:rsidP="00AE4BCD">
      <w:pPr>
        <w:spacing w:after="0" w:line="360" w:lineRule="auto"/>
        <w:ind w:firstLine="708"/>
        <w:jc w:val="both"/>
        <w:rPr>
          <w:rFonts w:cs="Arial"/>
        </w:rPr>
      </w:pPr>
      <w:r w:rsidRPr="00BA4F8E">
        <w:rPr>
          <w:rFonts w:cs="Arial"/>
        </w:rPr>
        <w:t>Z dalších obecných kompetencí lze uvést znalost cizího jazyka a ICT, jejichž význam do budoucna značně poroste. Celkově lze říci, že se znalostmi a dovednostmi potřebnými k práci je spokojeno 80 % českých zaměstnavatelů, v západních zemích se však tento podíl pohybuje mezi 91</w:t>
      </w:r>
      <w:r w:rsidR="007B45B1" w:rsidRPr="00BA4F8E">
        <w:rPr>
          <w:rFonts w:cs="Arial"/>
        </w:rPr>
        <w:t> </w:t>
      </w:r>
      <w:r w:rsidRPr="00BA4F8E">
        <w:rPr>
          <w:rFonts w:cs="Arial"/>
        </w:rPr>
        <w:t>a</w:t>
      </w:r>
      <w:r w:rsidR="00435C24" w:rsidRPr="00BA4F8E">
        <w:rPr>
          <w:rFonts w:cs="Arial"/>
        </w:rPr>
        <w:t> </w:t>
      </w:r>
      <w:r w:rsidRPr="00BA4F8E">
        <w:rPr>
          <w:rFonts w:cs="Arial"/>
        </w:rPr>
        <w:t>99 % (Kopicová, 2013).</w:t>
      </w:r>
    </w:p>
    <w:p w14:paraId="3DD11580" w14:textId="77777777" w:rsidR="00D16EF6" w:rsidRPr="00BA4F8E" w:rsidRDefault="00D16EF6" w:rsidP="00AE4BCD">
      <w:pPr>
        <w:spacing w:after="0" w:line="360" w:lineRule="auto"/>
        <w:ind w:firstLine="709"/>
        <w:jc w:val="both"/>
        <w:rPr>
          <w:rFonts w:cs="Arial"/>
        </w:rPr>
      </w:pPr>
      <w:r w:rsidRPr="00BA4F8E">
        <w:rPr>
          <w:rFonts w:cs="Arial"/>
        </w:rPr>
        <w:lastRenderedPageBreak/>
        <w:t>Význam měkkých dovedností jedince (komunikace, spolupráce, flexibilita apod.) pro kvalitní pracovní výkon je zaměstnavateli vnímán přibližně stejně jako význam odborných dovedností. Jejich rozvoj v rámci systému počátečního vzdělávání je napříč Evropou vnímán jako nedostatečný. Průzkum z konce roku 2013 mezi českými zaměstnavateli odhalil, že zaměstnaní absolventi vysokých škol disponují přibližně 69–83 % potřebné úrovně 15 měkkých kompetencí definovaných Národní soustavou povolání (jedná se o předběžné výsledky průzkumu poskytnuté autory Balcar a</w:t>
      </w:r>
      <w:r w:rsidR="00FC7A43" w:rsidRPr="00BA4F8E">
        <w:rPr>
          <w:rFonts w:cs="Arial"/>
        </w:rPr>
        <w:t> </w:t>
      </w:r>
      <w:r w:rsidRPr="00BA4F8E">
        <w:rPr>
          <w:rFonts w:cs="Arial"/>
        </w:rPr>
        <w:t>Šimek; Kopicová, 2013).</w:t>
      </w:r>
    </w:p>
    <w:p w14:paraId="19329EA1" w14:textId="77777777" w:rsidR="00D16EF6" w:rsidRPr="00BA4F8E" w:rsidRDefault="00D16EF6" w:rsidP="00AE4BCD">
      <w:pPr>
        <w:spacing w:after="0" w:line="360" w:lineRule="auto"/>
        <w:ind w:firstLine="709"/>
        <w:jc w:val="both"/>
        <w:rPr>
          <w:rFonts w:cs="Arial"/>
        </w:rPr>
      </w:pPr>
      <w:r w:rsidRPr="00BA4F8E">
        <w:rPr>
          <w:rFonts w:cs="Arial"/>
        </w:rPr>
        <w:t>Ukazuje se, že participace české populace na dalším vzdělávání, bez ohledu na jeho formu, dosahuje průměrných hodnot ve srovnání s ostatními zeměmi. Hlubší analýzy obsahu dalšího</w:t>
      </w:r>
      <w:r w:rsidR="00FC7A43" w:rsidRPr="00BA4F8E">
        <w:rPr>
          <w:rFonts w:cs="Arial"/>
        </w:rPr>
        <w:t xml:space="preserve"> </w:t>
      </w:r>
      <w:r w:rsidRPr="00BA4F8E">
        <w:rPr>
          <w:rFonts w:cs="Arial"/>
        </w:rPr>
        <w:t xml:space="preserve">vzdělávání v jednotlivých zemích však ukázaly na skutečnost, že toto vzdělávání není vždy zaměřeno na oblasti, které pro daného jedince představují omezení jeho uplatnitelnosti na trhu práce (OECD, 2013; Eurostat database). </w:t>
      </w:r>
    </w:p>
    <w:p w14:paraId="45FC32C5" w14:textId="6DD96DA6" w:rsidR="00D16EF6" w:rsidRPr="00BA4F8E" w:rsidRDefault="00D16EF6" w:rsidP="00540B24">
      <w:pPr>
        <w:spacing w:after="0" w:line="360" w:lineRule="auto"/>
        <w:ind w:firstLine="709"/>
        <w:jc w:val="both"/>
        <w:rPr>
          <w:rFonts w:cs="Arial"/>
        </w:rPr>
      </w:pPr>
      <w:r w:rsidRPr="00BA4F8E">
        <w:rPr>
          <w:rFonts w:cs="Arial"/>
        </w:rPr>
        <w:t>Na vysoké školy pedagogického zaměření se hlásí uchazeči, kteří v testech obecných studijních předpokladů společnosti SCIO dosahují výsledků na úrovni nižšího průměru. Pedagogické studijní programy se zaměřují zejména na zvládnutí učiva. Pedagogům na všech úrovních vzdělávání, stejně jako jejich žákům a</w:t>
      </w:r>
      <w:r w:rsidR="0096722A" w:rsidRPr="00BA4F8E">
        <w:rPr>
          <w:rFonts w:cs="Arial"/>
        </w:rPr>
        <w:t> </w:t>
      </w:r>
      <w:r w:rsidRPr="00BA4F8E">
        <w:rPr>
          <w:rFonts w:cs="Arial"/>
        </w:rPr>
        <w:t>studentům, chybí kontakt s „praxí“ (NVF, 2011). Kurikulární reforma až doposud nepřinesla očekávané výsledky, i když zahájila proces nezbytné proměny vzdělávacího systému. Rámcové vzdělávací programy (RVP) sice definují znalosti a dovednosti, které si má každý žák osvojit, avšak bez adekvátního profesního vedení a dalších doprovodných kroků a nástrojů podporujících učitele vedou často pouze k formální implementaci bez potřebného zkvalitnění výuky (viz např. VZ ČŠI 2009/2010).</w:t>
      </w:r>
      <w:r w:rsidRPr="00BA4F8E">
        <w:rPr>
          <w:rFonts w:cs="Arial"/>
          <w:b/>
        </w:rPr>
        <w:t xml:space="preserve"> </w:t>
      </w:r>
      <w:r w:rsidRPr="00BA4F8E">
        <w:rPr>
          <w:rFonts w:cs="Arial"/>
        </w:rPr>
        <w:t>Česká republika je jednou z mála zemí v Evropě, kde nefunguje systematické a</w:t>
      </w:r>
      <w:r w:rsidR="00845702" w:rsidRPr="00BA4F8E">
        <w:rPr>
          <w:rFonts w:cs="Arial"/>
        </w:rPr>
        <w:t> </w:t>
      </w:r>
      <w:r w:rsidRPr="00BA4F8E">
        <w:rPr>
          <w:rFonts w:cs="Arial"/>
        </w:rPr>
        <w:t>celonárodní hodnocení kvality výuky. Ačkoli je rozvoj měkkých dovedností žáků zakotven v rámcovém vzdělávacím programu, pedagogové nemají k dispozici systematickou metodickou pomoc k naplnění tohoto cíle. Závažným problémem jsou postoje žáků ke škole, které patří mezi nejhorší v rámci srovnávaných zemí (McKinsey &amp; Company, 2010).</w:t>
      </w:r>
    </w:p>
    <w:p w14:paraId="773496D1" w14:textId="36DE7BB5" w:rsidR="00D16EF6" w:rsidRDefault="00D16EF6" w:rsidP="00540B24">
      <w:pPr>
        <w:spacing w:after="0" w:line="360" w:lineRule="auto"/>
        <w:ind w:firstLine="709"/>
        <w:jc w:val="both"/>
        <w:rPr>
          <w:rFonts w:cs="Arial"/>
        </w:rPr>
      </w:pPr>
      <w:r w:rsidRPr="00BA4F8E">
        <w:rPr>
          <w:rFonts w:cs="Arial"/>
        </w:rPr>
        <w:t>Současná úroveň výstupů systému vzdělávání nevytváří vhodné předpoklady pro dosažení nadprůměrných výsledků ve výzkumu, vývoji a inovacích. Lze očekávat, že na špičkové úrovni ve vědě, výzkumu a vývoji se bude i nadále nacházet pouze několik málo jedinců (relativně nezávislých na systému vzdělávání), kteří budou mít na vývoj jejich oboru významný dopad, avšak jejich vliv na image české vědy a</w:t>
      </w:r>
      <w:r w:rsidR="0096722A" w:rsidRPr="00BA4F8E">
        <w:rPr>
          <w:rFonts w:cs="Arial"/>
        </w:rPr>
        <w:t> </w:t>
      </w:r>
      <w:r w:rsidRPr="00BA4F8E">
        <w:rPr>
          <w:rFonts w:cs="Arial"/>
        </w:rPr>
        <w:t>výzkumu bude zanedbatelný. Existuje zde nebezpečí vytvoření situace, v níž se budou jednotlivé příčiny současného stavu dále posilovat: klesající výsledky vzdělávání – nižší prestiž učitelského povolání – méně kvalitních zájemců o studium pedagogiky – klesající kvalita výuky (a na ni navazující zhoršující se postoje žáků ke škole) - klesající výsledky vzdělávání.</w:t>
      </w:r>
    </w:p>
    <w:p w14:paraId="5D40334F" w14:textId="77777777" w:rsidR="00540B24" w:rsidRPr="00BA4F8E" w:rsidRDefault="00540B24" w:rsidP="00540B24">
      <w:pPr>
        <w:spacing w:after="0" w:line="360" w:lineRule="auto"/>
        <w:ind w:firstLine="709"/>
        <w:jc w:val="both"/>
        <w:rPr>
          <w:rFonts w:cs="Arial"/>
        </w:rPr>
      </w:pPr>
    </w:p>
    <w:p w14:paraId="5F5A4208" w14:textId="77C06EC7" w:rsidR="00D16EF6" w:rsidRPr="000B422A" w:rsidRDefault="00BB1BC9" w:rsidP="000B422A">
      <w:pPr>
        <w:pStyle w:val="Nadpis3"/>
      </w:pPr>
      <w:bookmarkStart w:id="48" w:name="_Toc525716186"/>
      <w:r w:rsidRPr="000B422A">
        <w:lastRenderedPageBreak/>
        <w:t>Problémový okruh 2: Nefunkční systém identifikace talentů a práce s nimi</w:t>
      </w:r>
      <w:bookmarkEnd w:id="48"/>
    </w:p>
    <w:p w14:paraId="24A41ECD" w14:textId="7F532E74" w:rsidR="00BB1BC9" w:rsidRPr="00BA4F8E" w:rsidRDefault="00BB1BC9" w:rsidP="00540B24">
      <w:pPr>
        <w:spacing w:before="240" w:after="0" w:line="360" w:lineRule="auto"/>
        <w:ind w:firstLine="708"/>
        <w:jc w:val="both"/>
        <w:rPr>
          <w:rFonts w:cs="Arial"/>
        </w:rPr>
      </w:pPr>
      <w:r w:rsidRPr="00BA4F8E">
        <w:rPr>
          <w:rFonts w:cs="Arial"/>
        </w:rPr>
        <w:t>Český vzdělávací systém se zaměřuje na identifikaci osob s dobrými studijními výsledky a</w:t>
      </w:r>
      <w:r w:rsidR="009B4CC0" w:rsidRPr="00BA4F8E">
        <w:rPr>
          <w:rFonts w:cs="Arial"/>
        </w:rPr>
        <w:t> </w:t>
      </w:r>
      <w:r w:rsidRPr="00BA4F8E">
        <w:rPr>
          <w:rFonts w:cs="Arial"/>
        </w:rPr>
        <w:t xml:space="preserve">jejich další rozvoj zejména prostřednictvím vhodné volby vzdělávací dráhy. Přístup základních škol k rozvoji těchto žáků není jednotný. Některé školy zdůrazňují potřebu urychleného rozvoje talentovaných dětí, jiné pak zdůrazňují zejména integraci a rozvoj znevýhodněných dětí. Často je tak jedna skupina žáků rozvíjena </w:t>
      </w:r>
      <w:r w:rsidR="00A219CB">
        <w:rPr>
          <w:rFonts w:cs="Arial"/>
        </w:rPr>
        <w:t>na úkor rozvoje těch ostatních.</w:t>
      </w:r>
    </w:p>
    <w:p w14:paraId="473E558B" w14:textId="24C84818" w:rsidR="00BB1BC9" w:rsidRPr="00BA4F8E" w:rsidRDefault="00BB1BC9" w:rsidP="00540B24">
      <w:pPr>
        <w:spacing w:after="0" w:line="360" w:lineRule="auto"/>
        <w:ind w:firstLine="708"/>
        <w:jc w:val="both"/>
        <w:rPr>
          <w:rFonts w:cs="Arial"/>
        </w:rPr>
      </w:pPr>
      <w:r w:rsidRPr="00BA4F8E">
        <w:rPr>
          <w:rFonts w:cs="Arial"/>
        </w:rPr>
        <w:t>Rozvoj dětí s většími studijními předpoklady je často zajišťován jejich směřováním (ze stran rodičů a</w:t>
      </w:r>
      <w:r w:rsidR="006F3178" w:rsidRPr="00BA4F8E">
        <w:rPr>
          <w:rFonts w:cs="Arial"/>
        </w:rPr>
        <w:t> </w:t>
      </w:r>
      <w:r w:rsidRPr="00BA4F8E">
        <w:rPr>
          <w:rFonts w:cs="Arial"/>
        </w:rPr>
        <w:t>zaměstnanců škol) na gymnázia, která je připraví na univerzitní studia. Gymnázia však zatím obecně neplní funkci škol pro mimořádně nadané žáky. Tento závěr je zcela v souladu se skutečností, že český systém počátečního vzdělávání nedefinuje žádný typ školy, který by měl tuto funkci zastávat.</w:t>
      </w:r>
    </w:p>
    <w:p w14:paraId="3D64A2BE" w14:textId="51CD328B" w:rsidR="00906BE8" w:rsidRPr="00BA4F8E" w:rsidRDefault="00BB1BC9" w:rsidP="00540B24">
      <w:pPr>
        <w:spacing w:after="0" w:line="360" w:lineRule="auto"/>
        <w:ind w:firstLine="576"/>
        <w:jc w:val="both"/>
        <w:rPr>
          <w:rFonts w:cs="Arial"/>
        </w:rPr>
      </w:pPr>
      <w:r w:rsidRPr="00BA4F8E">
        <w:rPr>
          <w:rFonts w:cs="Arial"/>
        </w:rPr>
        <w:t>Dále lze také zmínit, že omezená znalost vlastních preferencí a možností, stejně jako podstaty jednotlivých studijních oborů, často vede ke špatné volbě studijního oboru. Tato skutečnost, spolu s menší popularitou technicky a přírodovědně orientovaných oborů</w:t>
      </w:r>
      <w:r w:rsidRPr="00BA4F8E">
        <w:rPr>
          <w:rStyle w:val="Znakapoznpodarou"/>
          <w:rFonts w:cs="Arial"/>
        </w:rPr>
        <w:footnoteReference w:id="42"/>
      </w:r>
      <w:r w:rsidRPr="00BA4F8E">
        <w:rPr>
          <w:rFonts w:cs="Arial"/>
        </w:rPr>
        <w:t>, jež jsou žáky často vnímány jako náročnější, vede k výraznému nedostatku osob hledajících uplatnění v technických oborech, což se</w:t>
      </w:r>
      <w:r w:rsidR="00906BE8" w:rsidRPr="00BA4F8E">
        <w:rPr>
          <w:rFonts w:cs="Arial"/>
        </w:rPr>
        <w:t xml:space="preserve"> projevuje jak v</w:t>
      </w:r>
      <w:r w:rsidR="006F3178" w:rsidRPr="00BA4F8E">
        <w:rPr>
          <w:rFonts w:cs="Arial"/>
        </w:rPr>
        <w:t> </w:t>
      </w:r>
      <w:r w:rsidR="00906BE8" w:rsidRPr="00BA4F8E">
        <w:rPr>
          <w:rFonts w:cs="Arial"/>
        </w:rPr>
        <w:t xml:space="preserve">terciárním vzdělávání, tak i na trhu práce. Snižování kvality studentů lze však nalézt i na vysokých školách (Leisyte et al., 2011; NVF, 2011), které i přes výše uvedené skutečnosti rozšiřovaly, v souladu s boloňským procesem, své kapacity. </w:t>
      </w:r>
    </w:p>
    <w:p w14:paraId="58C4266B" w14:textId="77777777" w:rsidR="00906BE8" w:rsidRPr="00BA4F8E" w:rsidRDefault="00906BE8" w:rsidP="00540B24">
      <w:pPr>
        <w:spacing w:after="0" w:line="360" w:lineRule="auto"/>
        <w:ind w:firstLine="708"/>
        <w:jc w:val="both"/>
        <w:rPr>
          <w:rFonts w:cs="Arial"/>
        </w:rPr>
      </w:pPr>
      <w:r w:rsidRPr="00BA4F8E">
        <w:rPr>
          <w:rFonts w:cs="Arial"/>
        </w:rPr>
        <w:t xml:space="preserve">Z pohledu výzkumu a vývoje jsou nejzajímavější skupinou studenti doktorských studijních oborů, neboť představují nejdůležitější zdroj nových výzkumných pracovníků. Mnoho univerzit má však značné problémy se získáním dostatečného počtu kvalifikovaných kandidátů, což řeší zejména rekrutováním 90–95 % doktorandů z řad vlastních absolventů magisterských studijních programů. Míra úspěšného dokončení doktorských studií se pohybuje na úrovni 25–45 %, přičemž nejčastější příčinou předčasného ukončení studia je nízká úroveň doktorských stipendií a zahájení pracovní kariéry mimo univerzitu. Studenti doktorského studijního programu se na celkovém počtu studentů v roce 2011 podíleli 6,5 %. Tato hodnota staví Českou republiku v rámci zemí EU na přední místa (Rada pro výzkum, vývoj a inovace, 2013). Vezmeme-li však v úvahu nízkou míru úspěšnosti dokončení této úrovně vzdělání, počet absolventů doktorských studií je mírně pod průměrem zemí OECD (OECD, 2013b). Zatímco podíl studentů technických a přírodních věd dosahuje v případě bakalářských a magisterských studijních programů 26 %, studenti doktorských studijních programů se těmito vědami zabývají ve 48 % případů. To znamená, že téměř polovina všech studentů doktorských studijních programů se věnuje technickým nebo přírodním vědám, což je nejvyšší podíl technicky orientovaných doktorandů v EU (Rada pro výzkum, vývoj a inovace, 2013) a velmi vysoký podíl mezi zeměmi OECD (OECD, 2013b). </w:t>
      </w:r>
    </w:p>
    <w:p w14:paraId="1B365CCD" w14:textId="46572D10" w:rsidR="00906BE8" w:rsidRPr="000B422A" w:rsidRDefault="00906BE8" w:rsidP="000B422A">
      <w:pPr>
        <w:pStyle w:val="Nadpis3"/>
      </w:pPr>
      <w:bookmarkStart w:id="49" w:name="_Toc525716187"/>
      <w:r w:rsidRPr="000B422A">
        <w:lastRenderedPageBreak/>
        <w:t>Problémový okruh 3: Nedostatek kvalitních lidských zdrojů pro výzkum a</w:t>
      </w:r>
      <w:r w:rsidR="00C67C8C" w:rsidRPr="000B422A">
        <w:t> </w:t>
      </w:r>
      <w:r w:rsidRPr="000B422A">
        <w:t>vývoj</w:t>
      </w:r>
      <w:bookmarkEnd w:id="49"/>
    </w:p>
    <w:p w14:paraId="0F92D28F" w14:textId="2CC8CC09" w:rsidR="00906BE8" w:rsidRPr="00BA4F8E" w:rsidRDefault="00906BE8" w:rsidP="00540B24">
      <w:pPr>
        <w:spacing w:before="240" w:after="0" w:line="360" w:lineRule="auto"/>
        <w:ind w:firstLine="708"/>
        <w:jc w:val="both"/>
        <w:rPr>
          <w:rFonts w:cs="Arial"/>
        </w:rPr>
      </w:pPr>
      <w:r w:rsidRPr="00BA4F8E">
        <w:rPr>
          <w:rFonts w:cs="Arial"/>
        </w:rPr>
        <w:t>Z mezinárodního srovnání vyplývá, že Česká republika disponuje průměrným počtem zaměstnanců ve výzkumu a vývoji mezi zeměmi OECD (OECD, 2013b), přičemž tento počet je nadprůměrný ve vládním sektoru (stejně jako v ostatních postkomunistických zemích), podprůměrný ve vysokoškolském sektoru a</w:t>
      </w:r>
      <w:r w:rsidR="00B8713D" w:rsidRPr="00BA4F8E">
        <w:rPr>
          <w:rFonts w:cs="Arial"/>
        </w:rPr>
        <w:t> </w:t>
      </w:r>
      <w:r w:rsidRPr="00BA4F8E">
        <w:rPr>
          <w:rFonts w:cs="Arial"/>
        </w:rPr>
        <w:t>průměrný v průmyslovém sektoru (Rada pro výzkum, vývoj a inovace, 2013). Výzkumní pracovníci představují 55 % všech zaměstnanců ve výzkumu a vývoji, druhou nejpočetnější skupinou jsou pak techničtí pracovníci, kteří se na zaměstnanosti v tomto sektoru podílejí 31 %. Cizinci jsou v českém výzkumu a vývoji poměrně ojedinělým jevem, neboť z 82,3 tisíc fyzických osob zaměstnaných v tomto sektoru nemá české občanství pouze 3,5 tisíce, z tohoto počtu je pak 1,5</w:t>
      </w:r>
      <w:r w:rsidR="00845702" w:rsidRPr="00BA4F8E">
        <w:rPr>
          <w:rFonts w:cs="Arial"/>
        </w:rPr>
        <w:t> </w:t>
      </w:r>
      <w:r w:rsidRPr="00BA4F8E">
        <w:rPr>
          <w:rFonts w:cs="Arial"/>
        </w:rPr>
        <w:t>tisíce Slováků (Rada pro výzkum, vývoj a inovace, 2013).</w:t>
      </w:r>
    </w:p>
    <w:p w14:paraId="0EA46044" w14:textId="16ACB3BC" w:rsidR="00906BE8" w:rsidRPr="00BA4F8E" w:rsidRDefault="00906BE8" w:rsidP="00540B24">
      <w:pPr>
        <w:spacing w:after="0" w:line="360" w:lineRule="auto"/>
        <w:ind w:firstLine="708"/>
        <w:jc w:val="both"/>
        <w:rPr>
          <w:rFonts w:cs="Arial"/>
        </w:rPr>
      </w:pPr>
      <w:r w:rsidRPr="00BA4F8E">
        <w:rPr>
          <w:rFonts w:cs="Arial"/>
        </w:rPr>
        <w:t>Česká republika disponuje přibližně 10 zaměstnanci ve výzkumu a vývoji (FTE) na 1</w:t>
      </w:r>
      <w:r w:rsidR="00511552">
        <w:rPr>
          <w:rFonts w:cs="Arial"/>
        </w:rPr>
        <w:t> </w:t>
      </w:r>
      <w:r w:rsidRPr="00BA4F8E">
        <w:rPr>
          <w:rFonts w:cs="Arial"/>
        </w:rPr>
        <w:t>000</w:t>
      </w:r>
      <w:r w:rsidR="00511552">
        <w:rPr>
          <w:rFonts w:cs="Arial"/>
        </w:rPr>
        <w:t> </w:t>
      </w:r>
      <w:r w:rsidRPr="00BA4F8E">
        <w:rPr>
          <w:rFonts w:cs="Arial"/>
        </w:rPr>
        <w:t>zaměstnaných osob, což jí staví pod evropský průměr, který činí cca 11 zaměstnanců. V některých zemích (Finsko, Dánsko) tento podíl však dosahuje dvojnásobných hodnot. V případě výzkumných pracovníků je situace podobná. Česká republika disponuje 6 takovými pracovníky (FTE) na 1 000 zaměstnaných osob, zatímco evropský průměr činí 7 pracovníků. V Norsku, Japonsku, Švédsku, Koreji, Dánsku a Finsku je však tento poměr téměř trojnásobný (Rada pro výzkum, vývoj a inovace, 2013).</w:t>
      </w:r>
    </w:p>
    <w:p w14:paraId="530DB98A" w14:textId="40234B4A" w:rsidR="00906BE8" w:rsidRPr="00BA4F8E" w:rsidRDefault="00906BE8" w:rsidP="00C16D81">
      <w:pPr>
        <w:spacing w:after="0" w:line="360" w:lineRule="auto"/>
        <w:ind w:firstLine="709"/>
        <w:jc w:val="both"/>
        <w:rPr>
          <w:rFonts w:cs="Arial"/>
        </w:rPr>
      </w:pPr>
      <w:r w:rsidRPr="00BA4F8E">
        <w:rPr>
          <w:rFonts w:cs="Arial"/>
        </w:rPr>
        <w:t>Nejdůležitějším zdrojem nových zaměstnanců ve vysokoškolském výzkumu jsou vlastní absolventi doktorského studia. To naznačuje, že tento segment pracovního trhu je orientován dovnitř a vyskytuje se zde i jisté územní omezení, a to i navzdory skutečnosti, že výběr nových zaměstnanců je plně v rukou jednotlivých výzkumných pracovišť. Z tohoto pohledu je vhodné zabývat se otázkou, zda mzdové, pracovní, technické a</w:t>
      </w:r>
      <w:r w:rsidR="00B8713D" w:rsidRPr="00BA4F8E">
        <w:rPr>
          <w:rFonts w:cs="Arial"/>
        </w:rPr>
        <w:t> </w:t>
      </w:r>
      <w:r w:rsidRPr="00BA4F8E">
        <w:rPr>
          <w:rFonts w:cs="Arial"/>
        </w:rPr>
        <w:t>jiné podmínky akademických pracovišť nepředstavují faktory, které uchazeče o zaměstnání z jiných zdrojů odrazují. Jako významné faktory znesnadňující mezinárodní mobilitu byly identifikovány obavy o ztrátu zaměstnání při jeho dlouhodobějším přerušení a zajištění výuky na domácí univerzitě. Nedostatečný rozvoj měkkých a podnikatelských dovedností bude neustále brzdit uplatnění absolventů doktorských studií v podnikovém výzkumu, stejně tak jako spolupráci výzkumných organizací a podnikové sféry. Tato situace negativně ovlivňuje využití potenciálu všech uvedených stran.</w:t>
      </w:r>
    </w:p>
    <w:p w14:paraId="5093BCBF" w14:textId="133E9A00" w:rsidR="00906BE8" w:rsidRPr="00BA4F8E" w:rsidRDefault="00906BE8" w:rsidP="00C16D81">
      <w:pPr>
        <w:spacing w:after="0" w:line="360" w:lineRule="auto"/>
        <w:ind w:firstLine="709"/>
        <w:jc w:val="both"/>
        <w:rPr>
          <w:rFonts w:cs="Arial"/>
        </w:rPr>
      </w:pPr>
      <w:r w:rsidRPr="00BA4F8E">
        <w:rPr>
          <w:rFonts w:cs="Arial"/>
        </w:rPr>
        <w:t xml:space="preserve">V oblasti </w:t>
      </w:r>
      <w:r w:rsidRPr="00BA4F8E">
        <w:rPr>
          <w:rFonts w:cs="Arial"/>
          <w:i/>
        </w:rPr>
        <w:t>genderové diskriminace</w:t>
      </w:r>
      <w:r w:rsidR="001B3B6D">
        <w:rPr>
          <w:rFonts w:cs="Arial"/>
        </w:rPr>
        <w:t xml:space="preserve"> </w:t>
      </w:r>
      <w:r w:rsidRPr="00BA4F8E">
        <w:rPr>
          <w:rFonts w:cs="Arial"/>
        </w:rPr>
        <w:t xml:space="preserve">existuje na národní úrovni </w:t>
      </w:r>
      <w:r w:rsidR="001B3B6D">
        <w:rPr>
          <w:rFonts w:cs="Arial"/>
        </w:rPr>
        <w:t>stále méně</w:t>
      </w:r>
      <w:r w:rsidRPr="00BA4F8E">
        <w:rPr>
          <w:rFonts w:cs="Arial"/>
        </w:rPr>
        <w:t xml:space="preserve"> program</w:t>
      </w:r>
      <w:r w:rsidR="001B3B6D">
        <w:rPr>
          <w:rFonts w:cs="Arial"/>
        </w:rPr>
        <w:t>ů</w:t>
      </w:r>
      <w:r w:rsidRPr="00BA4F8E">
        <w:rPr>
          <w:rFonts w:cs="Arial"/>
        </w:rPr>
        <w:t xml:space="preserve"> podpory genderové rovnosti v oblasti výzkumu,</w:t>
      </w:r>
      <w:r w:rsidR="001B3B6D">
        <w:rPr>
          <w:rFonts w:cs="Arial"/>
        </w:rPr>
        <w:t xml:space="preserve"> než je žádoucí</w:t>
      </w:r>
      <w:r w:rsidR="001B3B6D">
        <w:rPr>
          <w:rStyle w:val="Znakapoznpodarou"/>
          <w:rFonts w:cs="Arial"/>
        </w:rPr>
        <w:footnoteReference w:id="43"/>
      </w:r>
      <w:r w:rsidR="001B3B6D">
        <w:rPr>
          <w:rFonts w:cs="Arial"/>
        </w:rPr>
        <w:t xml:space="preserve"> a</w:t>
      </w:r>
      <w:r w:rsidRPr="00BA4F8E">
        <w:rPr>
          <w:rFonts w:cs="Arial"/>
        </w:rPr>
        <w:t xml:space="preserve"> neexistují efektivní nástroje, které by usnadňovaly sladění rodinných a pracovních povinností mladých výzkumníků (žen i mužů).</w:t>
      </w:r>
    </w:p>
    <w:p w14:paraId="4EBCCE84" w14:textId="77777777" w:rsidR="00782616" w:rsidRPr="00BA4F8E" w:rsidRDefault="00782616" w:rsidP="00906BE8">
      <w:pPr>
        <w:spacing w:line="360" w:lineRule="auto"/>
        <w:ind w:firstLine="576"/>
        <w:jc w:val="both"/>
        <w:rPr>
          <w:rFonts w:cs="Arial"/>
        </w:rPr>
      </w:pPr>
    </w:p>
    <w:p w14:paraId="3C4B83B5" w14:textId="5F2BE57B" w:rsidR="00906BE8" w:rsidRPr="000B422A" w:rsidRDefault="00815F3B" w:rsidP="000B422A">
      <w:pPr>
        <w:pStyle w:val="Nadpis3"/>
      </w:pPr>
      <w:bookmarkStart w:id="50" w:name="_Toc525716188"/>
      <w:r w:rsidRPr="000B422A">
        <w:lastRenderedPageBreak/>
        <w:t xml:space="preserve">Problémový okruh 4: Nedostatečná podpora digitální agendy </w:t>
      </w:r>
      <w:r w:rsidR="008F641A" w:rsidRPr="000B422A">
        <w:t>v lidských zdrojích</w:t>
      </w:r>
      <w:bookmarkEnd w:id="50"/>
    </w:p>
    <w:p w14:paraId="380883DB" w14:textId="77777777" w:rsidR="00815F3B" w:rsidRPr="00BA4F8E" w:rsidRDefault="00815F3B" w:rsidP="00540B24">
      <w:pPr>
        <w:spacing w:before="240" w:after="0" w:line="360" w:lineRule="auto"/>
        <w:ind w:firstLine="708"/>
        <w:jc w:val="both"/>
        <w:rPr>
          <w:rFonts w:cs="Arial"/>
        </w:rPr>
      </w:pPr>
      <w:r w:rsidRPr="00BA4F8E">
        <w:rPr>
          <w:rFonts w:cs="Arial"/>
        </w:rPr>
        <w:t>Zásadní je rozvoj horizontálních kompetencí v oblasti výpočetní techniky na všech stupních vzdělávacího systému</w:t>
      </w:r>
      <w:r w:rsidRPr="00BA4F8E">
        <w:rPr>
          <w:rStyle w:val="Znakapoznpodarou"/>
          <w:rFonts w:cs="Arial"/>
        </w:rPr>
        <w:footnoteReference w:id="44"/>
      </w:r>
      <w:r w:rsidRPr="00BA4F8E">
        <w:rPr>
          <w:rFonts w:cs="Arial"/>
        </w:rPr>
        <w:t xml:space="preserve">, včetně dalšího vzdělávání a vzdělání nejstarší části populace. Pouze digitálně gramotná společnost bude schopná konkurovat v nastupující informační a digitální ekonomice. Česká republika patří dále mezi země zastávající svobodu internetu, což v praxi znamená jeho minimální regulaci. To klade na jeho uživatele zvýšené nároky, neboť kromě základní digitální gramotnosti musí disponovat schopnostmi kritického zhodnocení obsahu a samoregulace v jeho používání. </w:t>
      </w:r>
    </w:p>
    <w:p w14:paraId="39B73EE0" w14:textId="77777777" w:rsidR="00815F3B" w:rsidRPr="00BA4F8E" w:rsidRDefault="00815F3B" w:rsidP="00540B24">
      <w:pPr>
        <w:spacing w:after="0" w:line="360" w:lineRule="auto"/>
        <w:ind w:firstLine="708"/>
        <w:jc w:val="both"/>
        <w:rPr>
          <w:rFonts w:cs="Arial"/>
        </w:rPr>
      </w:pPr>
      <w:r w:rsidRPr="00BA4F8E">
        <w:rPr>
          <w:rFonts w:cs="Arial"/>
        </w:rPr>
        <w:t>V této souvislosti není klíčovou otázkou pouze míra pokrytí internetem, ale také míra jeho reálného využívání. Z tohoto pohledu se lze zaměřit na jeho využití k nákupům a ke komunikaci s úřady. Podíl populace, která používá internet ke komunikaci s úřady či dokonce využívá internet k vyřizování formulářů, patří mezi nejmenší v EU. Uvedený stav je však způsoben také tím, že dostupnost služeb pro občany online je sedmá nejhorší v celé Evropské unii.</w:t>
      </w:r>
    </w:p>
    <w:p w14:paraId="45F3FACE" w14:textId="77777777" w:rsidR="00815F3B" w:rsidRPr="00BA4F8E" w:rsidRDefault="00815F3B" w:rsidP="00815F3B">
      <w:pPr>
        <w:spacing w:line="360" w:lineRule="auto"/>
        <w:ind w:firstLine="708"/>
        <w:jc w:val="both"/>
        <w:rPr>
          <w:rFonts w:cs="Arial"/>
        </w:rPr>
      </w:pPr>
    </w:p>
    <w:p w14:paraId="3BE98C19" w14:textId="6C37A20F" w:rsidR="00815F3B" w:rsidRPr="000B422A" w:rsidRDefault="00815F3B" w:rsidP="000B422A">
      <w:pPr>
        <w:pStyle w:val="Nadpis2"/>
      </w:pPr>
      <w:bookmarkStart w:id="51" w:name="_Toc525716189"/>
      <w:r w:rsidRPr="000B422A">
        <w:t>Sociální inovace</w:t>
      </w:r>
      <w:bookmarkEnd w:id="51"/>
      <w:r w:rsidRPr="000B422A">
        <w:t xml:space="preserve"> </w:t>
      </w:r>
    </w:p>
    <w:p w14:paraId="09B07E11" w14:textId="18B6FB5C" w:rsidR="00815F3B" w:rsidRPr="000B422A" w:rsidRDefault="006B6C9B" w:rsidP="000B422A">
      <w:pPr>
        <w:pStyle w:val="Nadpis3"/>
      </w:pPr>
      <w:bookmarkStart w:id="52" w:name="_Toc525716190"/>
      <w:r w:rsidRPr="000B422A">
        <w:t>Úvod</w:t>
      </w:r>
      <w:bookmarkEnd w:id="52"/>
    </w:p>
    <w:p w14:paraId="52E103A1" w14:textId="025076B7" w:rsidR="006B6C9B" w:rsidRPr="00BA4F8E" w:rsidRDefault="006B6C9B" w:rsidP="00540B24">
      <w:pPr>
        <w:spacing w:before="240" w:after="0" w:line="360" w:lineRule="auto"/>
        <w:ind w:firstLine="708"/>
        <w:jc w:val="both"/>
        <w:rPr>
          <w:rFonts w:cs="Arial"/>
        </w:rPr>
      </w:pPr>
      <w:r w:rsidRPr="00BA4F8E">
        <w:rPr>
          <w:rFonts w:cs="Arial"/>
        </w:rPr>
        <w:t>Mezi nejdůležitější faktory mající vliv na potřebu sociálních inovací patří sílící globální konkurenční soutěž, změna postavení Evropy v této soutěži (včetně vlivu stárnutí její populace), vliv klimatických změn apod. Sociální inovace mohou pomoci jako „společenská laboratoř“, v níž se tvoří a</w:t>
      </w:r>
      <w:r w:rsidR="0070365E" w:rsidRPr="00BA4F8E">
        <w:rPr>
          <w:rFonts w:cs="Arial"/>
        </w:rPr>
        <w:t> </w:t>
      </w:r>
      <w:r w:rsidRPr="00BA4F8E">
        <w:rPr>
          <w:rFonts w:cs="Arial"/>
        </w:rPr>
        <w:t>testují nová řešení pro tyto společenské výzvy. Evropská unie a její členské státy takovéto prostředí velmi potřebují (European Commission, 2012; Guide to Social Innovation). Sociální inovace strategického významu jsou podmíněny rozvinutou kulturu partnerské spolupráce.</w:t>
      </w:r>
    </w:p>
    <w:p w14:paraId="1D550CD6" w14:textId="56181484" w:rsidR="00672CEE" w:rsidRPr="00BA4F8E" w:rsidRDefault="006B6C9B" w:rsidP="00540B24">
      <w:pPr>
        <w:spacing w:after="0" w:line="360" w:lineRule="auto"/>
        <w:ind w:firstLine="708"/>
        <w:jc w:val="both"/>
        <w:rPr>
          <w:rFonts w:cs="Arial"/>
        </w:rPr>
      </w:pPr>
      <w:r w:rsidRPr="00BA4F8E">
        <w:rPr>
          <w:rFonts w:cs="Arial"/>
        </w:rPr>
        <w:t>Pro Evropskou unii je typická koexistence i interakce několika vládních úrovní – národní (členské státy), supranacionální (EU) a subnárodní (regionální a lokální autority), kdy právě tato koexistence a</w:t>
      </w:r>
      <w:r w:rsidR="008A7466" w:rsidRPr="00BA4F8E">
        <w:rPr>
          <w:rFonts w:cs="Arial"/>
        </w:rPr>
        <w:t> </w:t>
      </w:r>
      <w:r w:rsidRPr="00BA4F8E">
        <w:rPr>
          <w:rFonts w:cs="Arial"/>
        </w:rPr>
        <w:t>interakce je esencí toho, co je nazýváno víceúrovňovou správou (multilevel governance – MLG). Nejde přitom jen o prostou transformaci cílů přijatých na evropské nebo národní úrovni do aktivit na regionální nebo místní úrovni, ale rovněž o slaďování cílů na regionální a místní úrovni s evropskými strategiemi. Zároveň MLG posiluje odpovědnosti subnárodních autorit v národním kontextu a podporuje jejich účast na realizaci politik Společenství (Bílá kniha Výboru regionů o</w:t>
      </w:r>
      <w:r w:rsidR="00A90F63" w:rsidRPr="00BA4F8E">
        <w:rPr>
          <w:rFonts w:cs="Arial"/>
        </w:rPr>
        <w:t> </w:t>
      </w:r>
      <w:r w:rsidRPr="00BA4F8E">
        <w:rPr>
          <w:rFonts w:cs="Arial"/>
        </w:rPr>
        <w:t>víceúrovňové správě věcí veřejných 2009/C 211/01).</w:t>
      </w:r>
    </w:p>
    <w:p w14:paraId="62DA1CF2" w14:textId="77777777" w:rsidR="00672CEE" w:rsidRPr="00BA4F8E" w:rsidRDefault="00672CEE" w:rsidP="00540B24">
      <w:pPr>
        <w:spacing w:before="120" w:after="0" w:line="360" w:lineRule="auto"/>
        <w:ind w:firstLine="708"/>
        <w:jc w:val="both"/>
        <w:rPr>
          <w:rFonts w:cs="Arial"/>
        </w:rPr>
      </w:pPr>
      <w:r w:rsidRPr="00BA4F8E">
        <w:rPr>
          <w:rFonts w:cs="Arial"/>
        </w:rPr>
        <w:t xml:space="preserve">Ve státní, podnikatelské i občanské sféře zemí OECD se zvyšuje kooperace a zakládají se partnerství, která mají podněcovat ekonomický rozvoj, zaměstnanost a sociální inkluzi. Dobře fungující </w:t>
      </w:r>
      <w:r w:rsidRPr="00BA4F8E">
        <w:rPr>
          <w:rFonts w:cs="Arial"/>
        </w:rPr>
        <w:lastRenderedPageBreak/>
        <w:t xml:space="preserve">partnerství jsou efektivním nástrojem pro komplexní řešení složitých společenských úkolů a často pracují s vysokým inovačním potenciálem. Tato partnerství státy často podporují, někdy též pomáhají zakládat. </w:t>
      </w:r>
    </w:p>
    <w:p w14:paraId="64955A63" w14:textId="77777777" w:rsidR="00C05AD7" w:rsidRPr="00BA4F8E" w:rsidRDefault="00C05AD7" w:rsidP="00672CEE">
      <w:pPr>
        <w:spacing w:before="120" w:line="360" w:lineRule="auto"/>
        <w:ind w:firstLine="708"/>
        <w:jc w:val="both"/>
        <w:rPr>
          <w:rFonts w:cs="Arial"/>
        </w:rPr>
      </w:pPr>
    </w:p>
    <w:p w14:paraId="50B96613" w14:textId="033D64D7" w:rsidR="006B6C9B" w:rsidRPr="000B422A" w:rsidRDefault="006B6C9B" w:rsidP="000B422A">
      <w:pPr>
        <w:pStyle w:val="Nadpis3"/>
      </w:pPr>
      <w:r w:rsidRPr="000B422A">
        <w:t xml:space="preserve"> </w:t>
      </w:r>
      <w:bookmarkStart w:id="53" w:name="_Toc525716191"/>
      <w:r w:rsidR="00DF17CB" w:rsidRPr="000B422A">
        <w:t>Problémový okruh 1: Nedostatečné využívání partnerské spolupráce a kreativity klíčových aktérů při řešení komplexních společenských výzev</w:t>
      </w:r>
      <w:bookmarkEnd w:id="53"/>
    </w:p>
    <w:p w14:paraId="738DC622" w14:textId="77777777" w:rsidR="00C56251" w:rsidRPr="00BA4F8E" w:rsidRDefault="00C56251" w:rsidP="001C3D84">
      <w:pPr>
        <w:spacing w:before="240" w:after="0" w:line="360" w:lineRule="auto"/>
        <w:ind w:firstLine="708"/>
        <w:jc w:val="both"/>
        <w:rPr>
          <w:rFonts w:cs="Arial"/>
        </w:rPr>
      </w:pPr>
      <w:r w:rsidRPr="00BA4F8E">
        <w:rPr>
          <w:rFonts w:cs="Arial"/>
        </w:rPr>
        <w:t>V České republice je nedostatečně rozvinutá kultura mezisektorové a víceúrovňové veřejné správy (multi-sectoral and multi-level governance). Nejasná či nevýrazná je díle poptávka veřejného sektoru vůči odborné veřejnosti a občanské společnosti po nových řešeních komplexních společenských výzev.</w:t>
      </w:r>
    </w:p>
    <w:p w14:paraId="20F70163" w14:textId="33C47065" w:rsidR="00C56251" w:rsidRPr="00BA4F8E" w:rsidRDefault="00C56251" w:rsidP="001C3D84">
      <w:pPr>
        <w:spacing w:after="0" w:line="360" w:lineRule="auto"/>
        <w:ind w:firstLine="708"/>
        <w:jc w:val="both"/>
        <w:rPr>
          <w:rFonts w:cs="Arial"/>
        </w:rPr>
      </w:pPr>
      <w:r w:rsidRPr="00BA4F8E">
        <w:rPr>
          <w:rFonts w:cs="Arial"/>
        </w:rPr>
        <w:t>Rozdělení „hracího pole společenských potřeb“ mezi jednotlivé klíčové aktéry na centrální, krajské i</w:t>
      </w:r>
      <w:r w:rsidR="00112286" w:rsidRPr="00BA4F8E">
        <w:rPr>
          <w:rFonts w:cs="Arial"/>
        </w:rPr>
        <w:t> </w:t>
      </w:r>
      <w:r w:rsidRPr="00BA4F8E">
        <w:rPr>
          <w:rFonts w:cs="Arial"/>
        </w:rPr>
        <w:t xml:space="preserve">místní úrovni sice na jedné straně zvyšuje přehlednost (kdo za co odpovídá), na druhé straně však posiluje „resortismus“ a omezuje partnerskou spolupráci tam, kde je potřebná pro integrovaná řešení komplexních společenských problémů. </w:t>
      </w:r>
    </w:p>
    <w:p w14:paraId="089CBDA8" w14:textId="4A8D52A8" w:rsidR="00E32FA2" w:rsidRPr="00BA4F8E" w:rsidRDefault="00C56251" w:rsidP="001C3D84">
      <w:pPr>
        <w:spacing w:after="0" w:line="360" w:lineRule="auto"/>
        <w:ind w:firstLine="708"/>
        <w:jc w:val="both"/>
        <w:rPr>
          <w:rFonts w:cs="Arial"/>
        </w:rPr>
      </w:pPr>
      <w:r w:rsidRPr="00BA4F8E">
        <w:rPr>
          <w:rFonts w:cs="Arial"/>
        </w:rPr>
        <w:t>Úroveň povědomí o sociálních inovacích a jejich přínosech je nízká, stejně jako míra finančních prostředků, které jsou poskytovány na strategickou podporu sociálních inovací (MPSV</w:t>
      </w:r>
      <w:r w:rsidR="00C05AD7" w:rsidRPr="00BA4F8E">
        <w:rPr>
          <w:rFonts w:cs="Arial"/>
        </w:rPr>
        <w:t> </w:t>
      </w:r>
      <w:r w:rsidRPr="00BA4F8E">
        <w:rPr>
          <w:rFonts w:cs="Arial"/>
        </w:rPr>
        <w:t>ČR, 2014; Operační program Zaměstnanost). Převažuje také nízká míra zapojení již úspěšně ověřených prototypů řešení společenských a strategických problémů do relevantních politik na národní úrovni (up-scaling a</w:t>
      </w:r>
      <w:r w:rsidR="00CE34E3" w:rsidRPr="00BA4F8E">
        <w:rPr>
          <w:rFonts w:cs="Arial"/>
        </w:rPr>
        <w:t> </w:t>
      </w:r>
      <w:r w:rsidRPr="00BA4F8E">
        <w:rPr>
          <w:rFonts w:cs="Arial"/>
        </w:rPr>
        <w:t>mainstreaming).</w:t>
      </w:r>
    </w:p>
    <w:p w14:paraId="4B2E892D" w14:textId="77777777" w:rsidR="000B3FBC" w:rsidRPr="00BA4F8E" w:rsidRDefault="000B3FBC" w:rsidP="00C27541">
      <w:pPr>
        <w:spacing w:line="360" w:lineRule="auto"/>
        <w:ind w:firstLine="708"/>
        <w:jc w:val="both"/>
        <w:rPr>
          <w:rFonts w:cs="Arial"/>
        </w:rPr>
      </w:pPr>
    </w:p>
    <w:p w14:paraId="0024822B" w14:textId="60FE6DAA" w:rsidR="00C27541" w:rsidRPr="000B422A" w:rsidRDefault="00C27541" w:rsidP="000B422A">
      <w:pPr>
        <w:pStyle w:val="Nadpis2"/>
      </w:pPr>
      <w:bookmarkStart w:id="54" w:name="_Toc525716192"/>
      <w:r w:rsidRPr="000B422A">
        <w:t>SWOT analýzy</w:t>
      </w:r>
      <w:bookmarkEnd w:id="54"/>
    </w:p>
    <w:tbl>
      <w:tblPr>
        <w:tblW w:w="1020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90"/>
        <w:gridCol w:w="5116"/>
      </w:tblGrid>
      <w:tr w:rsidR="00394F62" w14:paraId="7C4AA0B5" w14:textId="77777777" w:rsidTr="00394F62">
        <w:trPr>
          <w:trHeight w:val="419"/>
          <w:tblHeader/>
        </w:trPr>
        <w:tc>
          <w:tcPr>
            <w:tcW w:w="5090" w:type="dxa"/>
            <w:shd w:val="clear" w:color="auto" w:fill="004B8D"/>
            <w:vAlign w:val="center"/>
          </w:tcPr>
          <w:p w14:paraId="1BFF94F8" w14:textId="77777777" w:rsidR="00394F62" w:rsidRDefault="00394F62" w:rsidP="00466226">
            <w:pPr>
              <w:spacing w:after="0" w:line="240" w:lineRule="auto"/>
              <w:rPr>
                <w:rFonts w:cs="Arial"/>
                <w:b/>
              </w:rPr>
            </w:pPr>
            <w:r>
              <w:rPr>
                <w:rFonts w:cs="Arial"/>
                <w:b/>
              </w:rPr>
              <w:t>Silné stránky</w:t>
            </w:r>
          </w:p>
        </w:tc>
        <w:tc>
          <w:tcPr>
            <w:tcW w:w="5116" w:type="dxa"/>
            <w:shd w:val="clear" w:color="auto" w:fill="004B8D"/>
            <w:vAlign w:val="center"/>
          </w:tcPr>
          <w:p w14:paraId="3702AA43" w14:textId="77777777" w:rsidR="00394F62" w:rsidRDefault="00394F62" w:rsidP="00466226">
            <w:pPr>
              <w:spacing w:after="0" w:line="240" w:lineRule="auto"/>
              <w:rPr>
                <w:rFonts w:cs="Arial"/>
                <w:b/>
              </w:rPr>
            </w:pPr>
            <w:r>
              <w:rPr>
                <w:rFonts w:cs="Arial"/>
                <w:b/>
              </w:rPr>
              <w:t>Slabé stránky</w:t>
            </w:r>
          </w:p>
        </w:tc>
      </w:tr>
      <w:tr w:rsidR="00394F62" w14:paraId="795ECB0B" w14:textId="77777777" w:rsidTr="00394F62">
        <w:trPr>
          <w:trHeight w:val="340"/>
        </w:trPr>
        <w:tc>
          <w:tcPr>
            <w:tcW w:w="10206" w:type="dxa"/>
            <w:gridSpan w:val="2"/>
            <w:shd w:val="clear" w:color="auto" w:fill="B9E0F7"/>
            <w:vAlign w:val="center"/>
          </w:tcPr>
          <w:p w14:paraId="56042DD3" w14:textId="77777777" w:rsidR="00394F62" w:rsidRPr="002F0F0C" w:rsidRDefault="00394F62" w:rsidP="00394F62">
            <w:pPr>
              <w:spacing w:after="0" w:line="240" w:lineRule="auto"/>
              <w:jc w:val="center"/>
              <w:rPr>
                <w:b/>
              </w:rPr>
            </w:pPr>
            <w:r w:rsidRPr="002F0F0C">
              <w:rPr>
                <w:b/>
              </w:rPr>
              <w:t>Podnikání a inovace</w:t>
            </w:r>
          </w:p>
        </w:tc>
      </w:tr>
      <w:tr w:rsidR="00394F62" w14:paraId="4D2A0813" w14:textId="77777777" w:rsidTr="00394F62">
        <w:tc>
          <w:tcPr>
            <w:tcW w:w="5090" w:type="dxa"/>
          </w:tcPr>
          <w:p w14:paraId="44A06B91" w14:textId="77777777" w:rsidR="00394F62" w:rsidRPr="003C21AF" w:rsidRDefault="00394F62" w:rsidP="00394F62">
            <w:pPr>
              <w:pStyle w:val="Odstavecseseznamem"/>
              <w:numPr>
                <w:ilvl w:val="0"/>
                <w:numId w:val="17"/>
              </w:numPr>
              <w:spacing w:after="0" w:line="240" w:lineRule="auto"/>
              <w:jc w:val="both"/>
              <w:rPr>
                <w:b/>
              </w:rPr>
            </w:pPr>
            <w:r>
              <w:t>Průmyslová a technická tradice spojená s technickou kreativitou podporující technické inkrementální inovace</w:t>
            </w:r>
          </w:p>
          <w:p w14:paraId="594B7C35" w14:textId="77777777" w:rsidR="00394F62" w:rsidRPr="005A1A1B" w:rsidRDefault="00394F62" w:rsidP="00394F62">
            <w:pPr>
              <w:pStyle w:val="Odstavecseseznamem"/>
              <w:numPr>
                <w:ilvl w:val="0"/>
                <w:numId w:val="17"/>
              </w:numPr>
              <w:spacing w:after="0" w:line="240" w:lineRule="auto"/>
              <w:jc w:val="both"/>
              <w:rPr>
                <w:b/>
              </w:rPr>
            </w:pPr>
            <w:r>
              <w:t>Oborově široký sektor flexibilních (zakázkově orientovaných) dodavatelů s rozvinutými kompetencemi v oblasti výroby a technického vývoje</w:t>
            </w:r>
          </w:p>
          <w:p w14:paraId="3FE8D1A0" w14:textId="77777777" w:rsidR="00394F62" w:rsidRPr="00EC7045" w:rsidRDefault="00394F62" w:rsidP="00394F62">
            <w:pPr>
              <w:pStyle w:val="Odstavecseseznamem"/>
              <w:numPr>
                <w:ilvl w:val="0"/>
                <w:numId w:val="17"/>
              </w:numPr>
              <w:spacing w:after="0" w:line="240" w:lineRule="auto"/>
              <w:jc w:val="both"/>
              <w:rPr>
                <w:b/>
              </w:rPr>
            </w:pPr>
            <w:r>
              <w:t>Pozice v geografickém středu Evropy – z Prahy lze v rámci jednodenní cesty kamiónu obsloužit přes 200 mil. zákazníků s vysokou koupěschopností</w:t>
            </w:r>
          </w:p>
          <w:p w14:paraId="32F9BAD3" w14:textId="77777777" w:rsidR="00394F62" w:rsidRPr="00394F62" w:rsidRDefault="00394F62" w:rsidP="00394F62">
            <w:pPr>
              <w:pStyle w:val="Odstavecseseznamem"/>
              <w:numPr>
                <w:ilvl w:val="0"/>
                <w:numId w:val="17"/>
              </w:numPr>
              <w:spacing w:after="0" w:line="240" w:lineRule="auto"/>
              <w:jc w:val="both"/>
              <w:rPr>
                <w:b/>
              </w:rPr>
            </w:pPr>
            <w:r>
              <w:t>Poměr ceny a kvality technicky kvalifikovaných odborníků, zejm. ve strojírenství (vč. automobilového a leteckého průmyslu), elektrotechnice a IT</w:t>
            </w:r>
          </w:p>
          <w:p w14:paraId="61BEAED4" w14:textId="77777777" w:rsidR="00394F62" w:rsidRPr="00B47BF5" w:rsidRDefault="00394F62" w:rsidP="00394F62">
            <w:pPr>
              <w:pStyle w:val="Odstavecseseznamem"/>
              <w:numPr>
                <w:ilvl w:val="0"/>
                <w:numId w:val="17"/>
              </w:numPr>
              <w:spacing w:after="0" w:line="240" w:lineRule="auto"/>
              <w:jc w:val="both"/>
              <w:rPr>
                <w:b/>
              </w:rPr>
            </w:pPr>
          </w:p>
        </w:tc>
        <w:tc>
          <w:tcPr>
            <w:tcW w:w="5116" w:type="dxa"/>
          </w:tcPr>
          <w:p w14:paraId="6B45F4B2" w14:textId="77777777" w:rsidR="00394F62" w:rsidRPr="002F0F0C" w:rsidRDefault="00394F62" w:rsidP="00394F62">
            <w:pPr>
              <w:pStyle w:val="Odstavecseseznamem"/>
              <w:numPr>
                <w:ilvl w:val="0"/>
                <w:numId w:val="18"/>
              </w:numPr>
              <w:spacing w:after="0" w:line="240" w:lineRule="auto"/>
              <w:jc w:val="both"/>
            </w:pPr>
            <w:r>
              <w:t xml:space="preserve">Složitý a nestabilní regulační rámec pro podnikání (složitost, časté a obtížně předvídatelné změny, administrativní náročnost, ochrana investorů ad.) </w:t>
            </w:r>
          </w:p>
          <w:p w14:paraId="75C95044" w14:textId="77777777" w:rsidR="00394F62" w:rsidRPr="002F0F0C" w:rsidRDefault="00394F62" w:rsidP="00394F62">
            <w:pPr>
              <w:pStyle w:val="Odstavecseseznamem"/>
              <w:numPr>
                <w:ilvl w:val="0"/>
                <w:numId w:val="18"/>
              </w:numPr>
              <w:spacing w:after="0" w:line="240" w:lineRule="auto"/>
              <w:jc w:val="both"/>
            </w:pPr>
            <w:r>
              <w:t>Nízká inovační poptávka v oblasti vyšších řádů inovací. Minimum endogenních firem schopno posunovat technologickou hranici ve svém oboru.</w:t>
            </w:r>
          </w:p>
          <w:p w14:paraId="4719276E" w14:textId="77777777" w:rsidR="00394F62" w:rsidRPr="002F0F0C" w:rsidRDefault="00394F62" w:rsidP="00394F62">
            <w:pPr>
              <w:pStyle w:val="Odstavecseseznamem"/>
              <w:numPr>
                <w:ilvl w:val="0"/>
                <w:numId w:val="18"/>
              </w:numPr>
              <w:spacing w:after="0" w:line="240" w:lineRule="auto"/>
              <w:jc w:val="both"/>
            </w:pPr>
            <w:r>
              <w:t>Vysoká závislost hospodářského vývoje na aktivitách zahraničních firem (závislost na podnikatelských strategiích a rozhodování cizích firem)</w:t>
            </w:r>
          </w:p>
          <w:p w14:paraId="2B0A8200" w14:textId="77777777" w:rsidR="00394F62" w:rsidRPr="00B47BF5" w:rsidRDefault="00394F62" w:rsidP="00394F62">
            <w:pPr>
              <w:pStyle w:val="Odstavecseseznamem"/>
              <w:numPr>
                <w:ilvl w:val="0"/>
                <w:numId w:val="18"/>
              </w:numPr>
              <w:spacing w:after="0" w:line="240" w:lineRule="auto"/>
              <w:jc w:val="both"/>
              <w:rPr>
                <w:b/>
              </w:rPr>
            </w:pPr>
            <w:r>
              <w:t xml:space="preserve">Nedostatečně rozvinutá podnikatelská kultura a netechnické kompetence firem (strategické řízení, marketing, inovační management ad.) </w:t>
            </w:r>
          </w:p>
        </w:tc>
      </w:tr>
      <w:tr w:rsidR="00394F62" w14:paraId="5BBDEAD9" w14:textId="77777777" w:rsidTr="00394F62">
        <w:trPr>
          <w:trHeight w:val="340"/>
        </w:trPr>
        <w:tc>
          <w:tcPr>
            <w:tcW w:w="10206" w:type="dxa"/>
            <w:gridSpan w:val="2"/>
            <w:shd w:val="clear" w:color="auto" w:fill="B9E0F7"/>
            <w:vAlign w:val="center"/>
          </w:tcPr>
          <w:p w14:paraId="6084A514" w14:textId="77777777" w:rsidR="00394F62" w:rsidRDefault="00394F62" w:rsidP="00394F62">
            <w:pPr>
              <w:spacing w:after="0" w:line="240" w:lineRule="auto"/>
              <w:jc w:val="center"/>
            </w:pPr>
            <w:r>
              <w:rPr>
                <w:b/>
              </w:rPr>
              <w:lastRenderedPageBreak/>
              <w:t>Výzkum a vývoj</w:t>
            </w:r>
          </w:p>
        </w:tc>
      </w:tr>
      <w:tr w:rsidR="00394F62" w14:paraId="4A7D79BC" w14:textId="77777777" w:rsidTr="00394F62">
        <w:tc>
          <w:tcPr>
            <w:tcW w:w="5090" w:type="dxa"/>
          </w:tcPr>
          <w:p w14:paraId="1FE766F8" w14:textId="77777777" w:rsidR="00394F62" w:rsidRDefault="00394F62" w:rsidP="00394F62">
            <w:pPr>
              <w:pStyle w:val="Odstavecseseznamem"/>
              <w:numPr>
                <w:ilvl w:val="0"/>
                <w:numId w:val="19"/>
              </w:numPr>
              <w:spacing w:after="0" w:line="240" w:lineRule="auto"/>
              <w:ind w:left="284" w:hanging="284"/>
              <w:jc w:val="both"/>
            </w:pPr>
            <w:r>
              <w:t>Rostoucí trend veřejných výdajů na VaV (navzdory hospodářské krizi)</w:t>
            </w:r>
          </w:p>
          <w:p w14:paraId="0B65ED4C" w14:textId="77777777" w:rsidR="00394F62" w:rsidRDefault="00394F62" w:rsidP="00394F62">
            <w:pPr>
              <w:pStyle w:val="Odstavecseseznamem"/>
              <w:numPr>
                <w:ilvl w:val="0"/>
                <w:numId w:val="19"/>
              </w:numPr>
              <w:spacing w:after="0" w:line="240" w:lineRule="auto"/>
              <w:ind w:left="284" w:hanging="284"/>
              <w:jc w:val="both"/>
            </w:pPr>
            <w:r>
              <w:t>Významně zkoncentrované investice a zlepšení ve vybavenosti přístroji a stavu výzkumných infrastruktur</w:t>
            </w:r>
            <w:r w:rsidRPr="00793E27">
              <w:t xml:space="preserve"> </w:t>
            </w:r>
            <w:r>
              <w:t>díky podpoře ze SF EU (VaV centra z OP VaVpI)</w:t>
            </w:r>
          </w:p>
          <w:p w14:paraId="604D2EBC" w14:textId="77777777" w:rsidR="00394F62" w:rsidRDefault="00394F62" w:rsidP="00394F62">
            <w:pPr>
              <w:pStyle w:val="Odstavecseseznamem"/>
              <w:numPr>
                <w:ilvl w:val="0"/>
                <w:numId w:val="19"/>
              </w:numPr>
              <w:spacing w:after="0" w:line="240" w:lineRule="auto"/>
              <w:ind w:left="284" w:hanging="284"/>
              <w:jc w:val="both"/>
            </w:pPr>
            <w:r>
              <w:t>Začlenění několika infrastrukturních projektů z ČR do projektů panevropské sítě ESFRI, včetně ELI Beamlines (jediný projekt ESFRI se sídlem v ČR)</w:t>
            </w:r>
          </w:p>
          <w:p w14:paraId="0C06CFFF" w14:textId="77777777" w:rsidR="00394F62" w:rsidRDefault="00394F62" w:rsidP="00394F62">
            <w:pPr>
              <w:pStyle w:val="Odstavecseseznamem"/>
              <w:numPr>
                <w:ilvl w:val="0"/>
                <w:numId w:val="19"/>
              </w:numPr>
              <w:spacing w:after="0" w:line="240" w:lineRule="auto"/>
              <w:ind w:left="284"/>
              <w:jc w:val="both"/>
            </w:pPr>
            <w:r w:rsidRPr="00FE34E4">
              <w:t xml:space="preserve">Existence koncepce podpory velkých infrastruktur a </w:t>
            </w:r>
            <w:r w:rsidRPr="005C50C1">
              <w:rPr>
                <w:rFonts w:cstheme="minorHAnsi"/>
              </w:rPr>
              <w:t>Cestovní mapy ČR velkých infrastruktur pro výzkum, experimentální vývoj a inovace</w:t>
            </w:r>
          </w:p>
          <w:p w14:paraId="7C661A1D" w14:textId="77777777" w:rsidR="00394F62" w:rsidRDefault="00394F62" w:rsidP="00394F62">
            <w:pPr>
              <w:pStyle w:val="Odstavecseseznamem"/>
              <w:numPr>
                <w:ilvl w:val="0"/>
                <w:numId w:val="19"/>
              </w:numPr>
              <w:spacing w:after="0" w:line="240" w:lineRule="auto"/>
              <w:ind w:left="284" w:hanging="284"/>
              <w:jc w:val="both"/>
            </w:pPr>
            <w:r w:rsidRPr="00960A60">
              <w:rPr>
                <w:iCs/>
              </w:rPr>
              <w:t xml:space="preserve">Mírně se zvyšující </w:t>
            </w:r>
            <w:r w:rsidRPr="0086662B">
              <w:rPr>
                <w:iCs/>
                <w:color w:val="000000"/>
              </w:rPr>
              <w:t>poptávka po výzkumné spolupráci na straně podnikového sektoru</w:t>
            </w:r>
            <w:r w:rsidRPr="0086662B">
              <w:t xml:space="preserve"> (v důsledku rostoucích firemních výdajů na VaV – zájem o absolventy i projektovou spolupráci)</w:t>
            </w:r>
          </w:p>
          <w:p w14:paraId="7404B861" w14:textId="77777777" w:rsidR="00394F62" w:rsidRDefault="00394F62" w:rsidP="00394F62">
            <w:pPr>
              <w:pStyle w:val="Odstavecseseznamem"/>
              <w:numPr>
                <w:ilvl w:val="0"/>
                <w:numId w:val="19"/>
              </w:numPr>
              <w:spacing w:after="0" w:line="240" w:lineRule="auto"/>
              <w:ind w:left="284" w:hanging="284"/>
              <w:jc w:val="both"/>
            </w:pPr>
            <w:r>
              <w:t>Existence mezinárodně kvalitních výzkumných týmů v několika oborech s bezprostředním aplikačním potenciálem (přístroje a přístrojová technika, jaderná fyzika a technologie, strojírenství a letectví, počítačové vědy, matematika, vybrané podobory chemie, elektro inženýrství a telekomunikací, klinické medicíny a biomedicínských věd).</w:t>
            </w:r>
          </w:p>
          <w:p w14:paraId="7422462A" w14:textId="77777777" w:rsidR="00394F62" w:rsidRDefault="00394F62" w:rsidP="00394F62">
            <w:pPr>
              <w:pStyle w:val="Odstavecseseznamem"/>
              <w:numPr>
                <w:ilvl w:val="0"/>
                <w:numId w:val="19"/>
              </w:numPr>
              <w:spacing w:after="0" w:line="240" w:lineRule="auto"/>
              <w:ind w:left="284" w:hanging="284"/>
              <w:jc w:val="both"/>
            </w:pPr>
            <w:r>
              <w:t xml:space="preserve">Existence rozsáhlé diaspory, </w:t>
            </w:r>
            <w:r w:rsidRPr="0086662B">
              <w:t>sítě alumni českých výzkumných organizací</w:t>
            </w:r>
          </w:p>
          <w:p w14:paraId="61EAACDF" w14:textId="77777777" w:rsidR="00394F62" w:rsidRPr="00B47BF5" w:rsidRDefault="00394F62" w:rsidP="00394F62">
            <w:pPr>
              <w:pStyle w:val="Odstavecseseznamem"/>
              <w:numPr>
                <w:ilvl w:val="0"/>
                <w:numId w:val="19"/>
              </w:numPr>
              <w:spacing w:after="0" w:line="240" w:lineRule="auto"/>
              <w:ind w:left="284" w:hanging="284"/>
              <w:jc w:val="both"/>
              <w:rPr>
                <w:b/>
              </w:rPr>
            </w:pPr>
            <w:r>
              <w:t>Kvalitní akademická ICT infrastruktura v kombinaci s kvalitním vědeckým zázemím pro její správu a rozvoj</w:t>
            </w:r>
          </w:p>
        </w:tc>
        <w:tc>
          <w:tcPr>
            <w:tcW w:w="5116" w:type="dxa"/>
          </w:tcPr>
          <w:p w14:paraId="02F6CB58" w14:textId="77777777" w:rsidR="00394F62" w:rsidRDefault="00394F62" w:rsidP="00394F62">
            <w:pPr>
              <w:pStyle w:val="Odstavecseseznamem"/>
              <w:numPr>
                <w:ilvl w:val="0"/>
                <w:numId w:val="19"/>
              </w:numPr>
              <w:spacing w:after="0" w:line="240" w:lineRule="auto"/>
              <w:ind w:left="356"/>
              <w:jc w:val="both"/>
            </w:pPr>
            <w:r w:rsidRPr="0086662B">
              <w:t>Nevhodná governance systému řízení politiky VaV (nevyjasněné odpovědnosti a rolí: strategická/poradní vs. exeku</w:t>
            </w:r>
            <w:r>
              <w:t>t</w:t>
            </w:r>
            <w:r w:rsidRPr="0086662B">
              <w:t>ivní/implementační)</w:t>
            </w:r>
          </w:p>
          <w:p w14:paraId="50E3AAC3" w14:textId="77777777" w:rsidR="00394F62" w:rsidRDefault="00394F62" w:rsidP="00394F62">
            <w:pPr>
              <w:pStyle w:val="Odstavecseseznamem"/>
              <w:numPr>
                <w:ilvl w:val="0"/>
                <w:numId w:val="19"/>
              </w:numPr>
              <w:spacing w:after="0" w:line="240" w:lineRule="auto"/>
              <w:ind w:left="356"/>
              <w:jc w:val="both"/>
            </w:pPr>
            <w:r>
              <w:t>Administrativní zátěž</w:t>
            </w:r>
          </w:p>
          <w:p w14:paraId="491AD2BC" w14:textId="77777777" w:rsidR="00394F62" w:rsidRDefault="00394F62" w:rsidP="00394F62">
            <w:pPr>
              <w:pStyle w:val="Odstavecseseznamem"/>
              <w:numPr>
                <w:ilvl w:val="0"/>
                <w:numId w:val="19"/>
              </w:numPr>
              <w:spacing w:after="0" w:line="240" w:lineRule="auto"/>
              <w:ind w:left="356"/>
              <w:jc w:val="both"/>
            </w:pPr>
            <w:r>
              <w:t>Nedostatky ve strategickém řízení a absence výzkumné strategie VO, nedostatky v manažerských a strategických kompetencích vedoucích pracovníků VO</w:t>
            </w:r>
          </w:p>
          <w:p w14:paraId="25134340" w14:textId="77777777" w:rsidR="00394F62" w:rsidRDefault="00394F62" w:rsidP="00394F62">
            <w:pPr>
              <w:pStyle w:val="Odstavecseseznamem"/>
              <w:numPr>
                <w:ilvl w:val="0"/>
                <w:numId w:val="19"/>
              </w:numPr>
              <w:spacing w:after="0" w:line="240" w:lineRule="auto"/>
              <w:ind w:left="356"/>
              <w:jc w:val="both"/>
            </w:pPr>
            <w:r>
              <w:t>Nízké zapojení žen do řízení VO</w:t>
            </w:r>
          </w:p>
          <w:p w14:paraId="6F07B6A1" w14:textId="77777777" w:rsidR="00394F62" w:rsidRDefault="00394F62" w:rsidP="00394F62">
            <w:pPr>
              <w:pStyle w:val="Odstavecseseznamem"/>
              <w:numPr>
                <w:ilvl w:val="0"/>
                <w:numId w:val="19"/>
              </w:numPr>
              <w:spacing w:after="0" w:line="240" w:lineRule="auto"/>
              <w:ind w:left="356"/>
              <w:jc w:val="both"/>
            </w:pPr>
            <w:r>
              <w:t xml:space="preserve">Nedostatky ve výkonu stání správy v oblasti VaVaI, v hodnocení kvality a </w:t>
            </w:r>
            <w:r w:rsidRPr="0086662B">
              <w:t>nedostatečná prioritizace kvalitního výzkumu</w:t>
            </w:r>
          </w:p>
          <w:p w14:paraId="15F62A2A" w14:textId="77777777" w:rsidR="00394F62" w:rsidRPr="00960A60" w:rsidRDefault="00394F62" w:rsidP="00394F62">
            <w:pPr>
              <w:pStyle w:val="Odstavecseseznamem"/>
              <w:numPr>
                <w:ilvl w:val="0"/>
                <w:numId w:val="19"/>
              </w:numPr>
              <w:spacing w:after="0" w:line="240" w:lineRule="auto"/>
              <w:ind w:left="356"/>
              <w:jc w:val="both"/>
            </w:pPr>
            <w:r w:rsidRPr="00960A60">
              <w:t>Příliš malý podíl institucionálního financování, přílišná závislost výzkumu na grantech – obtížné plánování výzkumu, finanční nejistota a nestabilita VO</w:t>
            </w:r>
          </w:p>
          <w:p w14:paraId="1FBC417C" w14:textId="77777777" w:rsidR="00394F62" w:rsidRDefault="00394F62" w:rsidP="00394F62">
            <w:pPr>
              <w:pStyle w:val="Odstavecseseznamem"/>
              <w:numPr>
                <w:ilvl w:val="0"/>
                <w:numId w:val="19"/>
              </w:numPr>
              <w:spacing w:after="0" w:line="240" w:lineRule="auto"/>
              <w:ind w:left="356"/>
              <w:jc w:val="both"/>
            </w:pPr>
            <w:r>
              <w:t>Nízká atraktivita výzkumné kariéry pro talenty z ČR i zahraničí</w:t>
            </w:r>
          </w:p>
          <w:p w14:paraId="1428FCAE" w14:textId="77777777" w:rsidR="00394F62" w:rsidRDefault="00394F62" w:rsidP="00394F62">
            <w:pPr>
              <w:pStyle w:val="Odstavecseseznamem"/>
              <w:numPr>
                <w:ilvl w:val="0"/>
                <w:numId w:val="19"/>
              </w:numPr>
              <w:spacing w:after="0" w:line="240" w:lineRule="auto"/>
              <w:ind w:left="356"/>
              <w:jc w:val="both"/>
            </w:pPr>
            <w:r>
              <w:t>Uzavřenost prostředí, in-breeding, konzervativní kultura ve VO</w:t>
            </w:r>
          </w:p>
          <w:p w14:paraId="03724F65" w14:textId="77777777" w:rsidR="00394F62" w:rsidRPr="00960A60" w:rsidRDefault="00394F62" w:rsidP="00394F62">
            <w:pPr>
              <w:pStyle w:val="Odstavecseseznamem"/>
              <w:numPr>
                <w:ilvl w:val="0"/>
                <w:numId w:val="19"/>
              </w:numPr>
              <w:spacing w:after="0" w:line="240" w:lineRule="auto"/>
              <w:ind w:left="356"/>
              <w:jc w:val="both"/>
            </w:pPr>
            <w:r w:rsidRPr="00960A60">
              <w:t>Zaostávání (v kvalitě a modernizaci) výzkumné infrastruktury v Praze, přestože Praha koncentruje nejvíce kapacit VaV</w:t>
            </w:r>
          </w:p>
          <w:p w14:paraId="535C814C" w14:textId="77777777" w:rsidR="00394F62" w:rsidRPr="00960A60" w:rsidRDefault="00394F62" w:rsidP="00394F62">
            <w:pPr>
              <w:pStyle w:val="Odstavecseseznamem"/>
              <w:numPr>
                <w:ilvl w:val="0"/>
                <w:numId w:val="19"/>
              </w:numPr>
              <w:spacing w:after="0" w:line="240" w:lineRule="auto"/>
              <w:ind w:left="356"/>
              <w:jc w:val="both"/>
            </w:pPr>
            <w:r w:rsidRPr="00960A60">
              <w:t xml:space="preserve">Dvojkolejnost financování VaV (zejména infrastruktury) mezi kraji a Prahou, způsobené převažujícím využíváním ESIF pro tento účel, jehož možnosti využití neodpovídají rozložení výzkumných a vývojových kapacit v ČR. </w:t>
            </w:r>
          </w:p>
          <w:p w14:paraId="1ED935E0" w14:textId="77777777" w:rsidR="00394F62" w:rsidRDefault="00394F62" w:rsidP="00394F62">
            <w:pPr>
              <w:pStyle w:val="Odstavecseseznamem"/>
              <w:numPr>
                <w:ilvl w:val="0"/>
                <w:numId w:val="19"/>
              </w:numPr>
              <w:spacing w:after="0" w:line="240" w:lineRule="auto"/>
              <w:ind w:left="356"/>
              <w:jc w:val="both"/>
            </w:pPr>
            <w:r>
              <w:t>Nízká interakce VO s firemní sférou</w:t>
            </w:r>
          </w:p>
          <w:p w14:paraId="0DF4901F" w14:textId="77777777" w:rsidR="00394F62" w:rsidRDefault="00394F62" w:rsidP="00394F62">
            <w:pPr>
              <w:pStyle w:val="Odstavecseseznamem"/>
              <w:numPr>
                <w:ilvl w:val="0"/>
                <w:numId w:val="19"/>
              </w:numPr>
              <w:spacing w:after="0" w:line="240" w:lineRule="auto"/>
              <w:ind w:left="356"/>
              <w:jc w:val="both"/>
            </w:pPr>
            <w:r w:rsidRPr="0086662B">
              <w:t>Obecně nedostatečná připravenost VO na spolupráci s praxí na všech úrovních (instituce, specializovaná podpůrná pracoviště/CTT, výzkumné týmy, jednotliví výzkumníci)</w:t>
            </w:r>
          </w:p>
          <w:p w14:paraId="7A499C25" w14:textId="77777777" w:rsidR="00394F62" w:rsidRDefault="00394F62" w:rsidP="00394F62">
            <w:pPr>
              <w:pStyle w:val="Odstavecseseznamem"/>
              <w:numPr>
                <w:ilvl w:val="0"/>
                <w:numId w:val="19"/>
              </w:numPr>
              <w:spacing w:after="0" w:line="240" w:lineRule="auto"/>
              <w:ind w:left="356"/>
              <w:jc w:val="both"/>
            </w:pPr>
            <w:r w:rsidRPr="00B93D0B">
              <w:t>Nízká poptávka po výsledcích veřejného výzkumu ze strany domácích i zahraničních firem</w:t>
            </w:r>
          </w:p>
          <w:p w14:paraId="74F8420E" w14:textId="77777777" w:rsidR="00394F62" w:rsidRDefault="00394F62" w:rsidP="00394F62">
            <w:pPr>
              <w:pStyle w:val="Odstavecseseznamem"/>
              <w:numPr>
                <w:ilvl w:val="0"/>
                <w:numId w:val="19"/>
              </w:numPr>
              <w:spacing w:after="0" w:line="240" w:lineRule="auto"/>
              <w:ind w:left="356"/>
              <w:jc w:val="both"/>
            </w:pPr>
            <w:r>
              <w:t xml:space="preserve">Nízká relevance a orientovanost výzkumu; </w:t>
            </w:r>
            <w:r w:rsidRPr="0086662B">
              <w:t>malé praktické naplňování výzkumných priorit</w:t>
            </w:r>
            <w:r>
              <w:t>,</w:t>
            </w:r>
            <w:r w:rsidRPr="0086662B">
              <w:t xml:space="preserve"> absence dlouhodobých </w:t>
            </w:r>
            <w:r>
              <w:t xml:space="preserve">strategických a </w:t>
            </w:r>
            <w:r w:rsidRPr="0086662B">
              <w:t>problémově orientovaných programů VaV</w:t>
            </w:r>
          </w:p>
          <w:p w14:paraId="730B14C9" w14:textId="77777777" w:rsidR="00394F62" w:rsidRDefault="00394F62" w:rsidP="00394F62">
            <w:pPr>
              <w:pStyle w:val="Odstavecseseznamem"/>
              <w:numPr>
                <w:ilvl w:val="0"/>
                <w:numId w:val="19"/>
              </w:numPr>
              <w:spacing w:after="0" w:line="240" w:lineRule="auto"/>
              <w:ind w:left="356"/>
              <w:jc w:val="both"/>
            </w:pPr>
            <w:r>
              <w:t xml:space="preserve">Nízká publicita a povědomí o kvalitních výsledcích VaV v ČR i zahraničí </w:t>
            </w:r>
          </w:p>
          <w:p w14:paraId="0B294D0C" w14:textId="77777777" w:rsidR="00394F62" w:rsidRPr="00B850F1" w:rsidRDefault="00394F62" w:rsidP="00466226">
            <w:pPr>
              <w:spacing w:after="0" w:line="240" w:lineRule="auto"/>
              <w:ind w:left="-4"/>
            </w:pPr>
          </w:p>
        </w:tc>
      </w:tr>
      <w:tr w:rsidR="00394F62" w14:paraId="75856195" w14:textId="77777777" w:rsidTr="00394F62">
        <w:trPr>
          <w:trHeight w:val="340"/>
        </w:trPr>
        <w:tc>
          <w:tcPr>
            <w:tcW w:w="10206" w:type="dxa"/>
            <w:gridSpan w:val="2"/>
            <w:shd w:val="clear" w:color="auto" w:fill="B9E0F7"/>
            <w:vAlign w:val="center"/>
          </w:tcPr>
          <w:p w14:paraId="4AB3F9DD" w14:textId="77777777" w:rsidR="00394F62" w:rsidRDefault="00394F62" w:rsidP="00394F62">
            <w:pPr>
              <w:spacing w:after="0" w:line="240" w:lineRule="auto"/>
              <w:jc w:val="center"/>
              <w:rPr>
                <w:rFonts w:cs="Arial"/>
                <w:b/>
              </w:rPr>
            </w:pPr>
            <w:r>
              <w:rPr>
                <w:b/>
              </w:rPr>
              <w:t>Lidské zdroje</w:t>
            </w:r>
          </w:p>
        </w:tc>
      </w:tr>
      <w:tr w:rsidR="00394F62" w14:paraId="0DBA9DF3" w14:textId="77777777" w:rsidTr="00394F62">
        <w:tc>
          <w:tcPr>
            <w:tcW w:w="5090" w:type="dxa"/>
          </w:tcPr>
          <w:p w14:paraId="18FD8A37" w14:textId="77777777" w:rsidR="00394F62" w:rsidRPr="00497905" w:rsidRDefault="00394F62" w:rsidP="00394F62">
            <w:pPr>
              <w:pStyle w:val="Odstavecseseznamem"/>
              <w:numPr>
                <w:ilvl w:val="0"/>
                <w:numId w:val="19"/>
              </w:numPr>
              <w:spacing w:after="0" w:line="240" w:lineRule="auto"/>
              <w:ind w:left="284" w:hanging="284"/>
              <w:jc w:val="both"/>
            </w:pPr>
            <w:r w:rsidRPr="00497905">
              <w:t>Nadprůměrná úroveň numerické gramotnosti a průměrná úroveň čtenářské gramotnosti a schopnosti řešit problémy v technologicky náročném prostředí u dospělé populace (dobrá výchozí pozice pro další rozvoj)</w:t>
            </w:r>
          </w:p>
          <w:p w14:paraId="51AC27D6" w14:textId="77777777" w:rsidR="00394F62" w:rsidRPr="00497905" w:rsidRDefault="00394F62" w:rsidP="00394F62">
            <w:pPr>
              <w:pStyle w:val="Odstavecseseznamem"/>
              <w:numPr>
                <w:ilvl w:val="0"/>
                <w:numId w:val="19"/>
              </w:numPr>
              <w:spacing w:after="0" w:line="240" w:lineRule="auto"/>
              <w:ind w:left="284" w:hanging="284"/>
              <w:jc w:val="both"/>
            </w:pPr>
            <w:r w:rsidRPr="00497905">
              <w:lastRenderedPageBreak/>
              <w:t xml:space="preserve">Vysoký zájem studentů doktorských studií o technické a přírodní vědy </w:t>
            </w:r>
          </w:p>
          <w:p w14:paraId="54811E00" w14:textId="77777777" w:rsidR="00394F62" w:rsidRPr="00497905" w:rsidRDefault="00394F62" w:rsidP="00394F62">
            <w:pPr>
              <w:pStyle w:val="Odstavecseseznamem"/>
              <w:numPr>
                <w:ilvl w:val="0"/>
                <w:numId w:val="19"/>
              </w:numPr>
              <w:spacing w:after="0" w:line="240" w:lineRule="auto"/>
              <w:ind w:left="284" w:hanging="284"/>
              <w:jc w:val="both"/>
            </w:pPr>
            <w:r w:rsidRPr="00497905">
              <w:t>Vysoký zájem absolventů doktorských studií pracovat ve výzkumu a vývoji</w:t>
            </w:r>
          </w:p>
          <w:p w14:paraId="7868B6FF" w14:textId="77777777" w:rsidR="00394F62" w:rsidRPr="00B47BF5" w:rsidRDefault="00394F62" w:rsidP="00394F62">
            <w:pPr>
              <w:pStyle w:val="Odstavecseseznamem"/>
              <w:numPr>
                <w:ilvl w:val="0"/>
                <w:numId w:val="19"/>
              </w:numPr>
              <w:spacing w:after="0" w:line="240" w:lineRule="auto"/>
              <w:ind w:left="284" w:hanging="284"/>
              <w:jc w:val="both"/>
              <w:rPr>
                <w:b/>
              </w:rPr>
            </w:pPr>
            <w:r w:rsidRPr="00497905">
              <w:t>ICT dovednosti absolventů škol jsou zaměstnavateli vnímány jako dostačující</w:t>
            </w:r>
          </w:p>
        </w:tc>
        <w:tc>
          <w:tcPr>
            <w:tcW w:w="5116" w:type="dxa"/>
          </w:tcPr>
          <w:p w14:paraId="64413C09" w14:textId="77777777" w:rsidR="00394F62" w:rsidRPr="00497905" w:rsidRDefault="00394F62" w:rsidP="00394F62">
            <w:pPr>
              <w:pStyle w:val="Odstavecseseznamem"/>
              <w:numPr>
                <w:ilvl w:val="0"/>
                <w:numId w:val="19"/>
              </w:numPr>
              <w:spacing w:after="0" w:line="240" w:lineRule="auto"/>
              <w:ind w:left="356"/>
              <w:jc w:val="both"/>
            </w:pPr>
            <w:r w:rsidRPr="008A2448">
              <w:lastRenderedPageBreak/>
              <w:t>Absence definovaných výsledků vzdělávání</w:t>
            </w:r>
          </w:p>
          <w:p w14:paraId="35A91896" w14:textId="77777777" w:rsidR="00394F62" w:rsidRPr="00497905" w:rsidRDefault="00394F62" w:rsidP="00394F62">
            <w:pPr>
              <w:pStyle w:val="Odstavecseseznamem"/>
              <w:numPr>
                <w:ilvl w:val="0"/>
                <w:numId w:val="19"/>
              </w:numPr>
              <w:spacing w:after="0" w:line="240" w:lineRule="auto"/>
              <w:ind w:left="356"/>
              <w:jc w:val="both"/>
            </w:pPr>
            <w:r w:rsidRPr="00497905">
              <w:t>Chybějící systém celonárodního hodnocení kvality výuky</w:t>
            </w:r>
          </w:p>
          <w:p w14:paraId="3320FAE0" w14:textId="77777777" w:rsidR="00394F62" w:rsidRPr="00497905" w:rsidRDefault="00394F62" w:rsidP="00394F62">
            <w:pPr>
              <w:pStyle w:val="Odstavecseseznamem"/>
              <w:numPr>
                <w:ilvl w:val="0"/>
                <w:numId w:val="19"/>
              </w:numPr>
              <w:spacing w:after="0" w:line="240" w:lineRule="auto"/>
              <w:ind w:left="356"/>
              <w:jc w:val="both"/>
            </w:pPr>
            <w:r w:rsidRPr="00497905">
              <w:t>Výrazné rozdíly ve výsledcích vzdělávání mezi jednotlivými kraji a školami</w:t>
            </w:r>
          </w:p>
          <w:p w14:paraId="134528B0" w14:textId="77777777" w:rsidR="00394F62" w:rsidRPr="00497905" w:rsidRDefault="00394F62" w:rsidP="00394F62">
            <w:pPr>
              <w:pStyle w:val="Odstavecseseznamem"/>
              <w:numPr>
                <w:ilvl w:val="0"/>
                <w:numId w:val="19"/>
              </w:numPr>
              <w:spacing w:after="0" w:line="240" w:lineRule="auto"/>
              <w:ind w:left="356"/>
              <w:jc w:val="both"/>
            </w:pPr>
            <w:r w:rsidRPr="0040701C">
              <w:lastRenderedPageBreak/>
              <w:t>Nezlepšující se</w:t>
            </w:r>
            <w:r w:rsidRPr="00497905">
              <w:t xml:space="preserve"> úroveň čtenářské, numerické a přírodovědné gramotnosti mezi žáky ve věku 15 let</w:t>
            </w:r>
          </w:p>
          <w:p w14:paraId="5F369C16" w14:textId="77777777" w:rsidR="00394F62" w:rsidRPr="00497905" w:rsidRDefault="00394F62" w:rsidP="00394F62">
            <w:pPr>
              <w:pStyle w:val="Odstavecseseznamem"/>
              <w:numPr>
                <w:ilvl w:val="0"/>
                <w:numId w:val="19"/>
              </w:numPr>
              <w:spacing w:after="0" w:line="240" w:lineRule="auto"/>
              <w:ind w:left="356"/>
              <w:jc w:val="both"/>
            </w:pPr>
            <w:r w:rsidRPr="00497905">
              <w:t>Nedostatečný rozvoj měkkých kompetencí na školách</w:t>
            </w:r>
          </w:p>
          <w:p w14:paraId="4D0EE204" w14:textId="77777777" w:rsidR="00394F62" w:rsidRPr="00497905" w:rsidRDefault="00394F62" w:rsidP="00394F62">
            <w:pPr>
              <w:pStyle w:val="Odstavecseseznamem"/>
              <w:numPr>
                <w:ilvl w:val="0"/>
                <w:numId w:val="19"/>
              </w:numPr>
              <w:spacing w:after="0" w:line="240" w:lineRule="auto"/>
              <w:ind w:left="356"/>
              <w:jc w:val="both"/>
            </w:pPr>
            <w:r w:rsidRPr="00497905">
              <w:t>Nedostatečná úroveň cizích jazyků, zejména u absolventů technických a přírodovědných oborů</w:t>
            </w:r>
          </w:p>
          <w:p w14:paraId="4F018E1E" w14:textId="77777777" w:rsidR="00394F62" w:rsidRPr="00497905" w:rsidRDefault="00394F62" w:rsidP="00394F62">
            <w:pPr>
              <w:pStyle w:val="Odstavecseseznamem"/>
              <w:numPr>
                <w:ilvl w:val="0"/>
                <w:numId w:val="19"/>
              </w:numPr>
              <w:spacing w:after="0" w:line="240" w:lineRule="auto"/>
              <w:ind w:left="356"/>
              <w:jc w:val="both"/>
            </w:pPr>
            <w:r w:rsidRPr="00497905">
              <w:t>Nepříznivý vztah českých žáků a studentů ke škole</w:t>
            </w:r>
          </w:p>
          <w:p w14:paraId="09B5E680" w14:textId="77777777" w:rsidR="00394F62" w:rsidRPr="00497905" w:rsidRDefault="00394F62" w:rsidP="00394F62">
            <w:pPr>
              <w:pStyle w:val="Odstavecseseznamem"/>
              <w:numPr>
                <w:ilvl w:val="0"/>
                <w:numId w:val="19"/>
              </w:numPr>
              <w:spacing w:after="0" w:line="240" w:lineRule="auto"/>
              <w:ind w:left="356"/>
              <w:jc w:val="both"/>
            </w:pPr>
            <w:r w:rsidRPr="00497905">
              <w:t xml:space="preserve">Nízký zájem nadprůměrných studentů o studium na pedagogických fakultách a následně výkonu povolání učitele </w:t>
            </w:r>
          </w:p>
          <w:p w14:paraId="2258688F" w14:textId="77777777" w:rsidR="00394F62" w:rsidRPr="00497905" w:rsidRDefault="00394F62" w:rsidP="00394F62">
            <w:pPr>
              <w:pStyle w:val="Odstavecseseznamem"/>
              <w:numPr>
                <w:ilvl w:val="0"/>
                <w:numId w:val="19"/>
              </w:numPr>
              <w:spacing w:after="0" w:line="240" w:lineRule="auto"/>
              <w:ind w:left="356"/>
              <w:jc w:val="both"/>
            </w:pPr>
            <w:r w:rsidRPr="00497905">
              <w:t>Malé zaměření pedagogických studijních oborů na praxi</w:t>
            </w:r>
          </w:p>
          <w:p w14:paraId="34B0084C" w14:textId="77777777" w:rsidR="00394F62" w:rsidRPr="00497905" w:rsidRDefault="00394F62" w:rsidP="00394F62">
            <w:pPr>
              <w:pStyle w:val="Odstavecseseznamem"/>
              <w:numPr>
                <w:ilvl w:val="0"/>
                <w:numId w:val="19"/>
              </w:numPr>
              <w:spacing w:after="0" w:line="240" w:lineRule="auto"/>
              <w:ind w:left="356"/>
              <w:jc w:val="both"/>
            </w:pPr>
            <w:r w:rsidRPr="00497905">
              <w:t>Neexistence povinnosti vyučujících na vysokých školách rozvíjet své pedagogické dovednosti</w:t>
            </w:r>
          </w:p>
          <w:p w14:paraId="603B16FC" w14:textId="77777777" w:rsidR="00394F62" w:rsidRPr="00497905" w:rsidRDefault="00394F62" w:rsidP="00394F62">
            <w:pPr>
              <w:pStyle w:val="Odstavecseseznamem"/>
              <w:numPr>
                <w:ilvl w:val="0"/>
                <w:numId w:val="19"/>
              </w:numPr>
              <w:spacing w:after="0" w:line="240" w:lineRule="auto"/>
              <w:ind w:left="356"/>
              <w:jc w:val="both"/>
            </w:pPr>
            <w:r w:rsidRPr="00497905">
              <w:t xml:space="preserve">Chybějící nebo nedostatečný kontakt pedagogů a studentů s praxí </w:t>
            </w:r>
          </w:p>
          <w:p w14:paraId="55EDB768" w14:textId="77777777" w:rsidR="00394F62" w:rsidRPr="00497905" w:rsidRDefault="00394F62" w:rsidP="00394F62">
            <w:pPr>
              <w:pStyle w:val="Odstavecseseznamem"/>
              <w:numPr>
                <w:ilvl w:val="0"/>
                <w:numId w:val="19"/>
              </w:numPr>
              <w:spacing w:after="0" w:line="240" w:lineRule="auto"/>
              <w:ind w:left="356"/>
              <w:jc w:val="both"/>
            </w:pPr>
            <w:r w:rsidRPr="00497905">
              <w:t>Chybějící systém identifikace talentů a práce s nimi</w:t>
            </w:r>
          </w:p>
          <w:p w14:paraId="1BA20645" w14:textId="77777777" w:rsidR="00394F62" w:rsidRPr="00497905" w:rsidRDefault="00394F62" w:rsidP="00394F62">
            <w:pPr>
              <w:pStyle w:val="Odstavecseseznamem"/>
              <w:numPr>
                <w:ilvl w:val="0"/>
                <w:numId w:val="19"/>
              </w:numPr>
              <w:spacing w:after="0" w:line="240" w:lineRule="auto"/>
              <w:ind w:left="356"/>
              <w:jc w:val="both"/>
            </w:pPr>
            <w:r w:rsidRPr="00497905">
              <w:t xml:space="preserve">Nedostatečná pomoc žákům a studentům s identifikací jejich profesních preferencí a následným výběrem vhodné vzdělávací dráhy </w:t>
            </w:r>
          </w:p>
          <w:p w14:paraId="31D757B7" w14:textId="77777777" w:rsidR="00394F62" w:rsidRPr="00D750BD" w:rsidRDefault="00394F62" w:rsidP="00394F62">
            <w:pPr>
              <w:pStyle w:val="Odstavecseseznamem"/>
              <w:numPr>
                <w:ilvl w:val="0"/>
                <w:numId w:val="19"/>
              </w:numPr>
              <w:spacing w:after="0" w:line="240" w:lineRule="auto"/>
              <w:ind w:left="356"/>
              <w:jc w:val="both"/>
            </w:pPr>
            <w:r w:rsidRPr="00D750BD">
              <w:t>Nedostatek kvalitně připravených absolventů technických a některých přírodovědných oborů na všech úrovních vzdělávacího systému</w:t>
            </w:r>
          </w:p>
          <w:p w14:paraId="2D4CC85F" w14:textId="77777777" w:rsidR="00394F62" w:rsidRPr="00497905" w:rsidRDefault="00394F62" w:rsidP="00394F62">
            <w:pPr>
              <w:pStyle w:val="Odstavecseseznamem"/>
              <w:numPr>
                <w:ilvl w:val="0"/>
                <w:numId w:val="19"/>
              </w:numPr>
              <w:spacing w:after="0" w:line="240" w:lineRule="auto"/>
              <w:ind w:left="356"/>
              <w:jc w:val="both"/>
            </w:pPr>
            <w:r w:rsidRPr="00497905">
              <w:t>Nízká míra úspěšného dokončení doktorských studií, která i přes nadprůměrný počet studentů této úrovně vzdělávání vede k podprůměrnému počtu jeho absolventů</w:t>
            </w:r>
          </w:p>
          <w:p w14:paraId="75AFA386" w14:textId="77777777" w:rsidR="00394F62" w:rsidRPr="00497905" w:rsidRDefault="00394F62" w:rsidP="00394F62">
            <w:pPr>
              <w:pStyle w:val="Odstavecseseznamem"/>
              <w:numPr>
                <w:ilvl w:val="0"/>
                <w:numId w:val="19"/>
              </w:numPr>
              <w:spacing w:after="0" w:line="240" w:lineRule="auto"/>
              <w:ind w:left="356"/>
              <w:jc w:val="both"/>
            </w:pPr>
            <w:r w:rsidRPr="00497905">
              <w:t xml:space="preserve">Vysoký nárůst </w:t>
            </w:r>
            <w:r>
              <w:t xml:space="preserve">počtu </w:t>
            </w:r>
            <w:r w:rsidRPr="00497905">
              <w:t>studentů vysokých škol bez odpovídajícího nárůstu počtu jejich zaměstnanců</w:t>
            </w:r>
          </w:p>
          <w:p w14:paraId="6E2142AA" w14:textId="77777777" w:rsidR="00394F62" w:rsidRDefault="00394F62" w:rsidP="00394F62">
            <w:pPr>
              <w:pStyle w:val="Odstavecseseznamem"/>
              <w:numPr>
                <w:ilvl w:val="0"/>
                <w:numId w:val="19"/>
              </w:numPr>
              <w:spacing w:after="0" w:line="240" w:lineRule="auto"/>
              <w:ind w:left="356"/>
              <w:jc w:val="both"/>
            </w:pPr>
            <w:r w:rsidRPr="00497905">
              <w:t>Oproti vyspělým zemím podprůměrný počet výzkumných pracovníků i počet zaměstnanců ve výzkumu a vývoji</w:t>
            </w:r>
          </w:p>
          <w:p w14:paraId="0D075EAF" w14:textId="77777777" w:rsidR="00394F62" w:rsidRPr="00497905" w:rsidRDefault="00394F62" w:rsidP="00394F62">
            <w:pPr>
              <w:pStyle w:val="Odstavecseseznamem"/>
              <w:numPr>
                <w:ilvl w:val="0"/>
                <w:numId w:val="19"/>
              </w:numPr>
              <w:spacing w:after="0" w:line="240" w:lineRule="auto"/>
              <w:ind w:left="356"/>
              <w:jc w:val="both"/>
            </w:pPr>
            <w:r>
              <w:t>Nízké zastoupení žen ve výzkumu a nedostatečná pozornost věnovaná tomuto problému z úrovně VO i státní správy</w:t>
            </w:r>
          </w:p>
          <w:p w14:paraId="6EC81AD7" w14:textId="77777777" w:rsidR="00394F62" w:rsidRPr="00B850F1" w:rsidRDefault="00394F62" w:rsidP="00394F62">
            <w:pPr>
              <w:pStyle w:val="Odstavecseseznamem"/>
              <w:numPr>
                <w:ilvl w:val="0"/>
                <w:numId w:val="19"/>
              </w:numPr>
              <w:spacing w:after="0" w:line="240" w:lineRule="auto"/>
              <w:ind w:left="356"/>
              <w:jc w:val="both"/>
            </w:pPr>
            <w:r w:rsidRPr="00497905">
              <w:t>Řízení lidských zdrojů na jednotlivých výzkumných ústavech a vysokých školách neodpovídá současným potřebám a trendům (častý nábor zaměstnanců ze sektorově a regionálně omezené skupiny lidí, nedostatečná mezinárodní a regionální mobilita, nízké zapojení výzkumných pracovníků ze zahraničí)</w:t>
            </w:r>
          </w:p>
        </w:tc>
      </w:tr>
      <w:tr w:rsidR="00394F62" w14:paraId="75B517AE" w14:textId="77777777" w:rsidTr="00394F62">
        <w:tc>
          <w:tcPr>
            <w:tcW w:w="10206" w:type="dxa"/>
            <w:gridSpan w:val="2"/>
            <w:shd w:val="clear" w:color="auto" w:fill="B9E0F7"/>
          </w:tcPr>
          <w:p w14:paraId="4B4A1FDC" w14:textId="77777777" w:rsidR="00394F62" w:rsidRPr="00334532" w:rsidRDefault="00394F62" w:rsidP="00394F62">
            <w:pPr>
              <w:spacing w:after="0" w:line="240" w:lineRule="auto"/>
              <w:ind w:left="-4"/>
              <w:jc w:val="center"/>
              <w:rPr>
                <w:b/>
              </w:rPr>
            </w:pPr>
            <w:r>
              <w:rPr>
                <w:b/>
              </w:rPr>
              <w:lastRenderedPageBreak/>
              <w:t>Sociální inovace</w:t>
            </w:r>
          </w:p>
        </w:tc>
      </w:tr>
      <w:tr w:rsidR="00394F62" w14:paraId="3F799CAF" w14:textId="77777777" w:rsidTr="00394F62">
        <w:tc>
          <w:tcPr>
            <w:tcW w:w="5090" w:type="dxa"/>
          </w:tcPr>
          <w:p w14:paraId="3F5A6978" w14:textId="77777777" w:rsidR="00394F62" w:rsidRPr="00497905" w:rsidRDefault="00394F62" w:rsidP="00394F62">
            <w:pPr>
              <w:pStyle w:val="Odstavecseseznamem"/>
              <w:numPr>
                <w:ilvl w:val="0"/>
                <w:numId w:val="19"/>
              </w:numPr>
              <w:spacing w:after="0" w:line="240" w:lineRule="auto"/>
              <w:ind w:left="284" w:hanging="284"/>
              <w:jc w:val="both"/>
            </w:pPr>
            <w:r>
              <w:t>Dynamický rozvoj sociálních inovací mimo veřejný sektor</w:t>
            </w:r>
          </w:p>
        </w:tc>
        <w:tc>
          <w:tcPr>
            <w:tcW w:w="5116" w:type="dxa"/>
          </w:tcPr>
          <w:p w14:paraId="0A8CF2CB" w14:textId="77777777" w:rsidR="00394F62" w:rsidRDefault="00394F62" w:rsidP="00394F62">
            <w:pPr>
              <w:pStyle w:val="Odstavecseseznamem"/>
              <w:numPr>
                <w:ilvl w:val="0"/>
                <w:numId w:val="19"/>
              </w:numPr>
              <w:spacing w:after="0" w:line="240" w:lineRule="auto"/>
              <w:ind w:left="356"/>
              <w:jc w:val="both"/>
            </w:pPr>
            <w:r>
              <w:t>Absence zřetelné poptávky veřejného sektoru po inovativních řešeních společenských problémů</w:t>
            </w:r>
          </w:p>
          <w:p w14:paraId="5C4B1330" w14:textId="77777777" w:rsidR="00394F62" w:rsidRDefault="00394F62" w:rsidP="00394F62">
            <w:pPr>
              <w:pStyle w:val="Odstavecseseznamem"/>
              <w:numPr>
                <w:ilvl w:val="0"/>
                <w:numId w:val="19"/>
              </w:numPr>
              <w:spacing w:after="0" w:line="240" w:lineRule="auto"/>
              <w:ind w:left="356"/>
              <w:jc w:val="both"/>
            </w:pPr>
            <w:r w:rsidRPr="00601A67">
              <w:t xml:space="preserve">Pomalá reakce veřejného sektoru na </w:t>
            </w:r>
            <w:r>
              <w:t>možnosti</w:t>
            </w:r>
            <w:r w:rsidRPr="00601A67">
              <w:t xml:space="preserve"> řešení společenských problémů ze strany aktérů odborné ve</w:t>
            </w:r>
            <w:r>
              <w:t>řejnosti a občanské společnosti</w:t>
            </w:r>
          </w:p>
          <w:p w14:paraId="472BF02E" w14:textId="77777777" w:rsidR="00394F62" w:rsidRDefault="00394F62" w:rsidP="00394F62">
            <w:pPr>
              <w:pStyle w:val="Odstavecseseznamem"/>
              <w:numPr>
                <w:ilvl w:val="0"/>
                <w:numId w:val="19"/>
              </w:numPr>
              <w:spacing w:after="0" w:line="240" w:lineRule="auto"/>
              <w:ind w:left="356"/>
              <w:jc w:val="both"/>
            </w:pPr>
            <w:r>
              <w:lastRenderedPageBreak/>
              <w:t xml:space="preserve">Omezený prostor pro partnerskou spolupráci mezi relevantními aktéry potřebný pro </w:t>
            </w:r>
            <w:r w:rsidRPr="008474C2">
              <w:t>integrovaná řešení komplexních společenských problémů</w:t>
            </w:r>
          </w:p>
          <w:p w14:paraId="7BA9E315" w14:textId="77777777" w:rsidR="00394F62" w:rsidRDefault="00394F62" w:rsidP="00394F62">
            <w:pPr>
              <w:pStyle w:val="Odstavecseseznamem"/>
              <w:numPr>
                <w:ilvl w:val="0"/>
                <w:numId w:val="19"/>
              </w:numPr>
              <w:spacing w:after="0" w:line="240" w:lineRule="auto"/>
              <w:ind w:left="356"/>
              <w:jc w:val="both"/>
            </w:pPr>
            <w:r>
              <w:t>Nedostatečná míra finančních prostředků na strategickou podporu sociálních inovací</w:t>
            </w:r>
          </w:p>
        </w:tc>
      </w:tr>
      <w:tr w:rsidR="00394F62" w:rsidRPr="002F0F0C" w14:paraId="447AFD34" w14:textId="77777777" w:rsidTr="00394F62">
        <w:trPr>
          <w:trHeight w:val="340"/>
        </w:trPr>
        <w:tc>
          <w:tcPr>
            <w:tcW w:w="10206" w:type="dxa"/>
            <w:gridSpan w:val="2"/>
            <w:shd w:val="clear" w:color="auto" w:fill="B9E0F7"/>
            <w:vAlign w:val="center"/>
          </w:tcPr>
          <w:p w14:paraId="377CA963" w14:textId="77777777" w:rsidR="00394F62" w:rsidRPr="002F0F0C" w:rsidRDefault="00394F62" w:rsidP="00394F62">
            <w:pPr>
              <w:spacing w:after="0" w:line="240" w:lineRule="auto"/>
              <w:jc w:val="center"/>
              <w:rPr>
                <w:b/>
              </w:rPr>
            </w:pPr>
            <w:r>
              <w:rPr>
                <w:b/>
              </w:rPr>
              <w:lastRenderedPageBreak/>
              <w:t>Digitální agenda</w:t>
            </w:r>
          </w:p>
        </w:tc>
      </w:tr>
      <w:tr w:rsidR="00394F62" w:rsidRPr="00B44E2C" w14:paraId="7FE80879" w14:textId="77777777" w:rsidTr="00394F62">
        <w:tc>
          <w:tcPr>
            <w:tcW w:w="5090" w:type="dxa"/>
          </w:tcPr>
          <w:p w14:paraId="3D507D3F" w14:textId="77777777" w:rsidR="00394F62" w:rsidRPr="00C67052" w:rsidRDefault="00394F62" w:rsidP="00394F62">
            <w:pPr>
              <w:pStyle w:val="Odstavecseseznamem"/>
              <w:numPr>
                <w:ilvl w:val="0"/>
                <w:numId w:val="17"/>
              </w:numPr>
              <w:spacing w:after="0" w:line="240" w:lineRule="auto"/>
              <w:jc w:val="both"/>
            </w:pPr>
            <w:r w:rsidRPr="00C67052">
              <w:t xml:space="preserve">Klesající cena/náklady na </w:t>
            </w:r>
            <w:r>
              <w:t>internetové připojení a koncové zařízení zvyšuje poptávku uživatelů po využívání digitálních služeb</w:t>
            </w:r>
          </w:p>
          <w:p w14:paraId="53E1AD0E" w14:textId="77777777" w:rsidR="00394F62" w:rsidRDefault="00394F62" w:rsidP="00394F62">
            <w:pPr>
              <w:pStyle w:val="Odstavecseseznamem"/>
              <w:numPr>
                <w:ilvl w:val="0"/>
                <w:numId w:val="17"/>
              </w:numPr>
              <w:spacing w:after="0" w:line="240" w:lineRule="auto"/>
              <w:jc w:val="both"/>
            </w:pPr>
            <w:r>
              <w:t>Úsilí poskytovatelů internetového připojení o rychlý rozvoj vysokorychlostních sítí nové generace (tzv. LTE/4G)</w:t>
            </w:r>
          </w:p>
          <w:p w14:paraId="13B8E3C1" w14:textId="77777777" w:rsidR="00394F62" w:rsidRDefault="00394F62" w:rsidP="00394F62">
            <w:pPr>
              <w:pStyle w:val="Odstavecseseznamem"/>
              <w:numPr>
                <w:ilvl w:val="0"/>
                <w:numId w:val="17"/>
              </w:numPr>
              <w:spacing w:after="0" w:line="240" w:lineRule="auto"/>
              <w:jc w:val="both"/>
            </w:pPr>
            <w:r>
              <w:t>Dobrá úroveň výzkumu souvisejícího s oblastí e-infrastruktury a ICT vedoucí i ke komerčně úspěšným výsledkům a synergickým vazbám mezi výzkumným zázemím a podnikatelskými aktivitami.</w:t>
            </w:r>
          </w:p>
          <w:p w14:paraId="37062BA5" w14:textId="77777777" w:rsidR="00394F62" w:rsidRDefault="00394F62" w:rsidP="00394F62">
            <w:pPr>
              <w:pStyle w:val="Odstavecseseznamem"/>
              <w:numPr>
                <w:ilvl w:val="0"/>
                <w:numId w:val="17"/>
              </w:numPr>
              <w:spacing w:after="0" w:line="240" w:lineRule="auto"/>
              <w:jc w:val="both"/>
            </w:pPr>
            <w:r>
              <w:t>Vysoká míra využívání služeb eGovernmentu firmami.</w:t>
            </w:r>
          </w:p>
          <w:p w14:paraId="02C52C31" w14:textId="77777777" w:rsidR="00394F62" w:rsidRPr="00C67052" w:rsidRDefault="00394F62" w:rsidP="00394F62">
            <w:pPr>
              <w:pStyle w:val="Odstavecseseznamem"/>
              <w:numPr>
                <w:ilvl w:val="0"/>
                <w:numId w:val="17"/>
              </w:numPr>
              <w:spacing w:after="0" w:line="240" w:lineRule="auto"/>
              <w:jc w:val="both"/>
            </w:pPr>
            <w:r>
              <w:t>Zavádění moderních digitálních technologií do výuky na školách.</w:t>
            </w:r>
          </w:p>
        </w:tc>
        <w:tc>
          <w:tcPr>
            <w:tcW w:w="5116" w:type="dxa"/>
          </w:tcPr>
          <w:p w14:paraId="613CFFB5" w14:textId="77777777" w:rsidR="00394F62" w:rsidRPr="001707EE" w:rsidRDefault="00394F62" w:rsidP="00394F62">
            <w:pPr>
              <w:pStyle w:val="Odstavecseseznamem"/>
              <w:numPr>
                <w:ilvl w:val="0"/>
                <w:numId w:val="18"/>
              </w:numPr>
              <w:spacing w:after="0" w:line="240" w:lineRule="auto"/>
              <w:jc w:val="both"/>
            </w:pPr>
            <w:r>
              <w:t>Dosud nedostatečně rozvinutá</w:t>
            </w:r>
            <w:r w:rsidRPr="001707EE">
              <w:t xml:space="preserve"> </w:t>
            </w:r>
            <w:r>
              <w:t xml:space="preserve">fyzická </w:t>
            </w:r>
            <w:r w:rsidRPr="001707EE">
              <w:t xml:space="preserve">infrastruktura pro </w:t>
            </w:r>
            <w:r>
              <w:t>šíření vysokorychlostního internetového připojení (zejména mimo metropolitní oblasti)</w:t>
            </w:r>
          </w:p>
          <w:p w14:paraId="7C2AAD87" w14:textId="77777777" w:rsidR="00394F62" w:rsidRDefault="00394F62" w:rsidP="00394F62">
            <w:pPr>
              <w:pStyle w:val="Odstavecseseznamem"/>
              <w:numPr>
                <w:ilvl w:val="0"/>
                <w:numId w:val="18"/>
              </w:numPr>
              <w:spacing w:after="0" w:line="240" w:lineRule="auto"/>
              <w:jc w:val="both"/>
            </w:pPr>
            <w:r w:rsidRPr="00B44E2C">
              <w:t>Nízká míra využívání</w:t>
            </w:r>
            <w:r>
              <w:t xml:space="preserve"> digitálních technologií pro komunikaci mezi obchodními partnery</w:t>
            </w:r>
          </w:p>
          <w:p w14:paraId="0C4FFEAB" w14:textId="77777777" w:rsidR="00394F62" w:rsidRDefault="00394F62" w:rsidP="00394F62">
            <w:pPr>
              <w:pStyle w:val="Odstavecseseznamem"/>
              <w:numPr>
                <w:ilvl w:val="0"/>
                <w:numId w:val="18"/>
              </w:numPr>
              <w:spacing w:after="0" w:line="240" w:lineRule="auto"/>
              <w:jc w:val="both"/>
            </w:pPr>
            <w:r>
              <w:t>Nedostatečný přístup k</w:t>
            </w:r>
            <w:r w:rsidRPr="003C0193">
              <w:t xml:space="preserve"> vědeckým informacím v digitální formě v podobě odborných databází a elektronických vědeckých periodik</w:t>
            </w:r>
          </w:p>
          <w:p w14:paraId="73E9ABE0" w14:textId="77777777" w:rsidR="00394F62" w:rsidRDefault="00394F62" w:rsidP="00394F62">
            <w:pPr>
              <w:pStyle w:val="Odstavecseseznamem"/>
              <w:numPr>
                <w:ilvl w:val="0"/>
                <w:numId w:val="18"/>
              </w:numPr>
              <w:spacing w:after="0" w:line="240" w:lineRule="auto"/>
              <w:jc w:val="both"/>
            </w:pPr>
            <w:r>
              <w:t xml:space="preserve">Nízká míra využívání internetu obyvateli ke komunikaci s veřejnou správou související i se špatnou dostupností těchto služeb pro občany v elektronické podobě a jejich malé uživatelské přívětivosti.  </w:t>
            </w:r>
          </w:p>
          <w:p w14:paraId="6673B4B2" w14:textId="77777777" w:rsidR="00394F62" w:rsidRPr="00B44E2C" w:rsidRDefault="00394F62" w:rsidP="00394F62">
            <w:pPr>
              <w:pStyle w:val="Odstavecseseznamem"/>
              <w:numPr>
                <w:ilvl w:val="0"/>
                <w:numId w:val="18"/>
              </w:numPr>
              <w:spacing w:after="0" w:line="240" w:lineRule="auto"/>
              <w:jc w:val="both"/>
            </w:pPr>
            <w:r>
              <w:t>Nedostatečná a pomalu postupující elektronizace veřejné správy a nízká míra využívání těchto služeb uvnitř jednotlivých úřadů a v interní komunikaci.</w:t>
            </w:r>
          </w:p>
        </w:tc>
      </w:tr>
    </w:tbl>
    <w:p w14:paraId="13A25E93" w14:textId="77777777" w:rsidR="00C03D1E" w:rsidRPr="00BA4F8E" w:rsidRDefault="00C03D1E" w:rsidP="00C03D1E"/>
    <w:p w14:paraId="21EA435D" w14:textId="77777777" w:rsidR="0021450C" w:rsidRPr="00BA4F8E" w:rsidRDefault="0021450C" w:rsidP="00C27541">
      <w:pPr>
        <w:spacing w:after="120" w:line="276" w:lineRule="auto"/>
        <w:jc w:val="both"/>
        <w:rPr>
          <w:rFonts w:eastAsia="Calibri" w:cs="Arial"/>
          <w:b/>
        </w:rPr>
      </w:pPr>
    </w:p>
    <w:p w14:paraId="33B9C568" w14:textId="77777777" w:rsidR="00C27541" w:rsidRPr="00BA4F8E" w:rsidRDefault="00C27541" w:rsidP="00533540">
      <w:pPr>
        <w:spacing w:after="120" w:line="276" w:lineRule="auto"/>
        <w:jc w:val="center"/>
        <w:rPr>
          <w:rFonts w:eastAsia="Calibri" w:cs="Arial"/>
          <w:b/>
        </w:rPr>
      </w:pPr>
      <w:r w:rsidRPr="00BA4F8E">
        <w:rPr>
          <w:rFonts w:eastAsia="Calibri" w:cs="Arial"/>
          <w:b/>
        </w:rPr>
        <w:t>Vnější analýza – faktory ovlivňující ČR a její Národní inovační systém</w:t>
      </w:r>
    </w:p>
    <w:tbl>
      <w:tblPr>
        <w:tblW w:w="1020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8"/>
        <w:gridCol w:w="5118"/>
      </w:tblGrid>
      <w:tr w:rsidR="00394F62" w14:paraId="5EE2B66D" w14:textId="77777777" w:rsidTr="00394F62">
        <w:trPr>
          <w:trHeight w:val="420"/>
          <w:tblHeader/>
        </w:trPr>
        <w:tc>
          <w:tcPr>
            <w:tcW w:w="5088" w:type="dxa"/>
            <w:shd w:val="clear" w:color="auto" w:fill="004B8D"/>
            <w:vAlign w:val="center"/>
          </w:tcPr>
          <w:p w14:paraId="5C6D305A" w14:textId="77777777" w:rsidR="00394F62" w:rsidRDefault="00394F62" w:rsidP="00466226">
            <w:pPr>
              <w:spacing w:after="0" w:line="240" w:lineRule="auto"/>
              <w:rPr>
                <w:rFonts w:cs="Arial"/>
                <w:b/>
              </w:rPr>
            </w:pPr>
            <w:r>
              <w:rPr>
                <w:rFonts w:cs="Arial"/>
                <w:b/>
              </w:rPr>
              <w:t>Příležitosti</w:t>
            </w:r>
          </w:p>
        </w:tc>
        <w:tc>
          <w:tcPr>
            <w:tcW w:w="5118" w:type="dxa"/>
            <w:shd w:val="clear" w:color="auto" w:fill="004B8D"/>
            <w:vAlign w:val="center"/>
          </w:tcPr>
          <w:p w14:paraId="63E4E2EE" w14:textId="77777777" w:rsidR="00394F62" w:rsidRDefault="00394F62" w:rsidP="00466226">
            <w:pPr>
              <w:spacing w:after="0" w:line="240" w:lineRule="auto"/>
              <w:rPr>
                <w:rFonts w:cs="Arial"/>
                <w:b/>
              </w:rPr>
            </w:pPr>
            <w:r>
              <w:rPr>
                <w:rFonts w:cs="Arial"/>
                <w:b/>
              </w:rPr>
              <w:t>Hrozby</w:t>
            </w:r>
          </w:p>
        </w:tc>
      </w:tr>
      <w:tr w:rsidR="00394F62" w:rsidRPr="002F0F0C" w14:paraId="75A5E11F" w14:textId="77777777" w:rsidTr="00394F62">
        <w:trPr>
          <w:trHeight w:val="340"/>
        </w:trPr>
        <w:tc>
          <w:tcPr>
            <w:tcW w:w="10206" w:type="dxa"/>
            <w:gridSpan w:val="2"/>
            <w:shd w:val="clear" w:color="auto" w:fill="B9E0F7"/>
            <w:vAlign w:val="center"/>
          </w:tcPr>
          <w:p w14:paraId="3A7D5801" w14:textId="77777777" w:rsidR="00394F62" w:rsidRPr="002F0F0C" w:rsidRDefault="00394F62" w:rsidP="00394F62">
            <w:pPr>
              <w:spacing w:after="0" w:line="240" w:lineRule="auto"/>
              <w:jc w:val="center"/>
              <w:rPr>
                <w:b/>
              </w:rPr>
            </w:pPr>
            <w:r w:rsidRPr="000A2059">
              <w:rPr>
                <w:b/>
              </w:rPr>
              <w:t>Politicko-legislativní</w:t>
            </w:r>
          </w:p>
        </w:tc>
      </w:tr>
      <w:tr w:rsidR="00394F62" w:rsidRPr="00B47BF5" w14:paraId="16810661" w14:textId="77777777" w:rsidTr="00394F62">
        <w:tc>
          <w:tcPr>
            <w:tcW w:w="5088" w:type="dxa"/>
          </w:tcPr>
          <w:p w14:paraId="77BA5C64" w14:textId="77777777" w:rsidR="00394F62" w:rsidRPr="000A2059" w:rsidRDefault="00394F62" w:rsidP="00394F62">
            <w:pPr>
              <w:pStyle w:val="Odstavecseseznamem"/>
              <w:numPr>
                <w:ilvl w:val="0"/>
                <w:numId w:val="17"/>
              </w:numPr>
              <w:spacing w:after="0" w:line="240" w:lineRule="auto"/>
              <w:jc w:val="both"/>
            </w:pPr>
            <w:r w:rsidRPr="000A2059">
              <w:t>Přijetí služebního zákona, pokud povede ke zvýšení odbornosti veřejné zprávy</w:t>
            </w:r>
          </w:p>
          <w:p w14:paraId="43776B87" w14:textId="77777777" w:rsidR="00394F62" w:rsidRPr="000A2059" w:rsidRDefault="00394F62" w:rsidP="00394F62">
            <w:pPr>
              <w:pStyle w:val="Odstavecseseznamem"/>
              <w:numPr>
                <w:ilvl w:val="0"/>
                <w:numId w:val="17"/>
              </w:numPr>
              <w:spacing w:after="0" w:line="240" w:lineRule="auto"/>
              <w:jc w:val="both"/>
            </w:pPr>
            <w:r>
              <w:t>Využití nového daňového zvýhodnění pro firmy při pořizování výsledků VaV od výzkumných organizací</w:t>
            </w:r>
          </w:p>
          <w:p w14:paraId="5764F5FB" w14:textId="77777777" w:rsidR="00394F62" w:rsidRPr="000A2059" w:rsidRDefault="00394F62" w:rsidP="00394F62">
            <w:pPr>
              <w:pStyle w:val="Odstavecseseznamem"/>
              <w:numPr>
                <w:ilvl w:val="0"/>
                <w:numId w:val="17"/>
              </w:numPr>
              <w:spacing w:after="0" w:line="240" w:lineRule="auto"/>
              <w:jc w:val="both"/>
            </w:pPr>
            <w:r w:rsidRPr="000A2059">
              <w:t xml:space="preserve">Nový občanský zákoník </w:t>
            </w:r>
          </w:p>
          <w:p w14:paraId="573D7327" w14:textId="77777777" w:rsidR="00394F62" w:rsidRPr="00A8584C" w:rsidRDefault="00394F62" w:rsidP="00394F62">
            <w:pPr>
              <w:pStyle w:val="Odstavecseseznamem"/>
              <w:numPr>
                <w:ilvl w:val="0"/>
                <w:numId w:val="17"/>
              </w:numPr>
              <w:spacing w:after="0" w:line="240" w:lineRule="auto"/>
              <w:jc w:val="both"/>
              <w:rPr>
                <w:b/>
              </w:rPr>
            </w:pPr>
            <w:r w:rsidRPr="000A2059">
              <w:t>Změny podporující pružnější trh práce, vyšší flexibilitu zaměstnávání, vč. flexibilních úvazků</w:t>
            </w:r>
          </w:p>
          <w:p w14:paraId="6B777841" w14:textId="77777777" w:rsidR="00394F62" w:rsidRPr="00B47BF5" w:rsidRDefault="00394F62" w:rsidP="00394F62">
            <w:pPr>
              <w:pStyle w:val="Odstavecseseznamem"/>
              <w:numPr>
                <w:ilvl w:val="0"/>
                <w:numId w:val="17"/>
              </w:numPr>
              <w:spacing w:after="0" w:line="240" w:lineRule="auto"/>
              <w:jc w:val="both"/>
              <w:rPr>
                <w:b/>
              </w:rPr>
            </w:pPr>
            <w:r>
              <w:t>Změny v institucionálním financování VO upřednostňující komerčně uplatnitelné výsledky a kvalitu výsledků před kvantitou.</w:t>
            </w:r>
          </w:p>
        </w:tc>
        <w:tc>
          <w:tcPr>
            <w:tcW w:w="5118" w:type="dxa"/>
          </w:tcPr>
          <w:p w14:paraId="614D54B1" w14:textId="77777777" w:rsidR="00394F62" w:rsidRDefault="00394F62" w:rsidP="00394F62">
            <w:pPr>
              <w:pStyle w:val="Odstavecseseznamem"/>
              <w:numPr>
                <w:ilvl w:val="0"/>
                <w:numId w:val="18"/>
              </w:numPr>
              <w:spacing w:after="0" w:line="240" w:lineRule="auto"/>
              <w:jc w:val="both"/>
            </w:pPr>
            <w:r>
              <w:t>Nestabilita politické scény snižující důvěryhodnost ČR pro zahraniční partnery, investory a domácí firmy</w:t>
            </w:r>
          </w:p>
          <w:p w14:paraId="6EB6E689" w14:textId="77777777" w:rsidR="00394F62" w:rsidRDefault="00394F62" w:rsidP="00394F62">
            <w:pPr>
              <w:pStyle w:val="Odstavecseseznamem"/>
              <w:numPr>
                <w:ilvl w:val="0"/>
                <w:numId w:val="18"/>
              </w:numPr>
              <w:spacing w:after="0" w:line="240" w:lineRule="auto"/>
              <w:jc w:val="both"/>
            </w:pPr>
            <w:r>
              <w:t xml:space="preserve">Korupce a vliv zájmových skupin na rozhodování veřejné správy </w:t>
            </w:r>
          </w:p>
          <w:p w14:paraId="79B7069C" w14:textId="77777777" w:rsidR="00394F62" w:rsidRDefault="00394F62" w:rsidP="00394F62">
            <w:pPr>
              <w:pStyle w:val="Odstavecseseznamem"/>
              <w:numPr>
                <w:ilvl w:val="0"/>
                <w:numId w:val="18"/>
              </w:numPr>
              <w:spacing w:after="0" w:line="240" w:lineRule="auto"/>
              <w:jc w:val="both"/>
            </w:pPr>
            <w:r>
              <w:t xml:space="preserve">Změny daňového systému zhoršující podmínky pro podnikový sektor a podnikání v ČR </w:t>
            </w:r>
          </w:p>
          <w:p w14:paraId="7D857DC9" w14:textId="77777777" w:rsidR="00394F62" w:rsidRDefault="00394F62" w:rsidP="00394F62">
            <w:pPr>
              <w:pStyle w:val="Odstavecseseznamem"/>
              <w:numPr>
                <w:ilvl w:val="0"/>
                <w:numId w:val="18"/>
              </w:numPr>
              <w:spacing w:after="0" w:line="240" w:lineRule="auto"/>
              <w:jc w:val="both"/>
            </w:pPr>
            <w:r>
              <w:t>Četnost a nepředvídatelnost regulatorních změn pro podnikatele i pro výzkumné organizace</w:t>
            </w:r>
          </w:p>
          <w:p w14:paraId="0537969D" w14:textId="77777777" w:rsidR="00394F62" w:rsidRDefault="00394F62" w:rsidP="00394F62">
            <w:pPr>
              <w:pStyle w:val="Odstavecseseznamem"/>
              <w:numPr>
                <w:ilvl w:val="0"/>
                <w:numId w:val="18"/>
              </w:numPr>
              <w:spacing w:after="0" w:line="240" w:lineRule="auto"/>
              <w:jc w:val="both"/>
            </w:pPr>
            <w:r>
              <w:t>Složitost systému administrace strukturálních fondů EU, vysoké transakční náklady</w:t>
            </w:r>
          </w:p>
          <w:p w14:paraId="4099ABA0" w14:textId="77777777" w:rsidR="00394F62" w:rsidRDefault="00394F62" w:rsidP="00394F62">
            <w:pPr>
              <w:pStyle w:val="Odstavecseseznamem"/>
              <w:numPr>
                <w:ilvl w:val="0"/>
                <w:numId w:val="18"/>
              </w:numPr>
              <w:spacing w:after="0" w:line="240" w:lineRule="auto"/>
              <w:jc w:val="both"/>
            </w:pPr>
            <w:r>
              <w:t>Četné a nepředvídatelné změny v administraci strukturálních fondů EU - nejisté prostředí pro příjemce</w:t>
            </w:r>
          </w:p>
          <w:p w14:paraId="6259E181" w14:textId="77777777" w:rsidR="00394F62" w:rsidRDefault="00394F62" w:rsidP="00394F62">
            <w:pPr>
              <w:pStyle w:val="Odstavecseseznamem"/>
              <w:numPr>
                <w:ilvl w:val="0"/>
                <w:numId w:val="18"/>
              </w:numPr>
              <w:spacing w:after="0" w:line="240" w:lineRule="auto"/>
              <w:jc w:val="both"/>
            </w:pPr>
            <w:r>
              <w:t>Ztráta důvěry občanů v politické rozhodování/demokratické principy vládnutí</w:t>
            </w:r>
          </w:p>
          <w:p w14:paraId="2D2CFD89" w14:textId="77777777" w:rsidR="00394F62" w:rsidRDefault="00394F62" w:rsidP="00394F62">
            <w:pPr>
              <w:pStyle w:val="Odstavecseseznamem"/>
              <w:numPr>
                <w:ilvl w:val="0"/>
                <w:numId w:val="18"/>
              </w:numPr>
              <w:spacing w:after="0" w:line="240" w:lineRule="auto"/>
              <w:jc w:val="both"/>
            </w:pPr>
            <w:r>
              <w:t>Neefektivní a špatné vynucování práva v ČR, rostoucí nedůvěra v systém vynucování práva</w:t>
            </w:r>
          </w:p>
          <w:p w14:paraId="32074B49" w14:textId="77777777" w:rsidR="00394F62" w:rsidRDefault="00394F62" w:rsidP="00394F62">
            <w:pPr>
              <w:pStyle w:val="Odstavecseseznamem"/>
              <w:numPr>
                <w:ilvl w:val="0"/>
                <w:numId w:val="18"/>
              </w:numPr>
              <w:spacing w:after="0" w:line="240" w:lineRule="auto"/>
              <w:jc w:val="both"/>
            </w:pPr>
            <w:r>
              <w:lastRenderedPageBreak/>
              <w:t xml:space="preserve">Zavádění nepromyšlených reforem a změn v klíčových systémech - vzdělávání a vysoké školství, důchodový systém, … </w:t>
            </w:r>
          </w:p>
          <w:p w14:paraId="5CDFF32E" w14:textId="77777777" w:rsidR="00394F62" w:rsidRPr="00B47BF5" w:rsidRDefault="00394F62" w:rsidP="00394F62">
            <w:pPr>
              <w:pStyle w:val="Odstavecseseznamem"/>
              <w:numPr>
                <w:ilvl w:val="0"/>
                <w:numId w:val="18"/>
              </w:numPr>
              <w:spacing w:after="0" w:line="240" w:lineRule="auto"/>
              <w:jc w:val="both"/>
              <w:rPr>
                <w:b/>
              </w:rPr>
            </w:pPr>
            <w:r>
              <w:t>Byrokratický systém výrazně podvazující efektivitu institucí na všech úrovních vč. podniků (zahrnuje jak agendu související s jádrovou činností, tak aktivity spojené se zakládáním firem, apod.)</w:t>
            </w:r>
          </w:p>
        </w:tc>
      </w:tr>
      <w:tr w:rsidR="00394F62" w14:paraId="64748E60" w14:textId="77777777" w:rsidTr="00394F62">
        <w:trPr>
          <w:trHeight w:val="340"/>
        </w:trPr>
        <w:tc>
          <w:tcPr>
            <w:tcW w:w="10206" w:type="dxa"/>
            <w:gridSpan w:val="2"/>
            <w:shd w:val="clear" w:color="auto" w:fill="B9E0F7"/>
            <w:vAlign w:val="center"/>
          </w:tcPr>
          <w:p w14:paraId="6EDE6278" w14:textId="77777777" w:rsidR="00394F62" w:rsidRDefault="00394F62" w:rsidP="00394F62">
            <w:pPr>
              <w:spacing w:after="0" w:line="240" w:lineRule="auto"/>
              <w:jc w:val="center"/>
            </w:pPr>
            <w:r w:rsidRPr="000A2059">
              <w:rPr>
                <w:b/>
              </w:rPr>
              <w:lastRenderedPageBreak/>
              <w:t>Ekonomicko-finanční</w:t>
            </w:r>
          </w:p>
        </w:tc>
      </w:tr>
      <w:tr w:rsidR="00394F62" w:rsidRPr="00B850F1" w14:paraId="4C27BD6B" w14:textId="77777777" w:rsidTr="00394F62">
        <w:tc>
          <w:tcPr>
            <w:tcW w:w="5088" w:type="dxa"/>
          </w:tcPr>
          <w:p w14:paraId="6686F195" w14:textId="77777777" w:rsidR="00394F62" w:rsidRPr="000A2059" w:rsidRDefault="00394F62" w:rsidP="00394F62">
            <w:pPr>
              <w:pStyle w:val="Odstavecseseznamem"/>
              <w:numPr>
                <w:ilvl w:val="0"/>
                <w:numId w:val="17"/>
              </w:numPr>
              <w:spacing w:after="0" w:line="240" w:lineRule="auto"/>
              <w:jc w:val="both"/>
            </w:pPr>
            <w:r w:rsidRPr="000A2059">
              <w:t>Vstup do Eurozóny - snížení transakčních nákladů pro firmy, vyšší atraktivita ČR pro investory</w:t>
            </w:r>
          </w:p>
          <w:p w14:paraId="61EED2DE" w14:textId="77777777" w:rsidR="00394F62" w:rsidRPr="000A2059" w:rsidRDefault="00394F62" w:rsidP="00394F62">
            <w:pPr>
              <w:pStyle w:val="Odstavecseseznamem"/>
              <w:numPr>
                <w:ilvl w:val="0"/>
                <w:numId w:val="17"/>
              </w:numPr>
              <w:spacing w:after="0" w:line="240" w:lineRule="auto"/>
              <w:jc w:val="both"/>
            </w:pPr>
            <w:r w:rsidRPr="000A2059">
              <w:t>Zájem zahraničních firem investovat do aktivit s vyšší přidanou hodnotou v</w:t>
            </w:r>
            <w:r>
              <w:t> </w:t>
            </w:r>
            <w:r w:rsidRPr="000A2059">
              <w:t>zemích střední Evropy</w:t>
            </w:r>
          </w:p>
          <w:p w14:paraId="221C8483" w14:textId="77777777" w:rsidR="00394F62" w:rsidRPr="000A2059" w:rsidRDefault="00394F62" w:rsidP="00394F62">
            <w:pPr>
              <w:pStyle w:val="Odstavecseseznamem"/>
              <w:numPr>
                <w:ilvl w:val="0"/>
                <w:numId w:val="17"/>
              </w:numPr>
              <w:spacing w:after="0" w:line="240" w:lineRule="auto"/>
              <w:jc w:val="both"/>
            </w:pPr>
            <w:r w:rsidRPr="000A2059">
              <w:t>Open innovation: poptávka NNS po inovacích tvoří prostor pro kvalitní firmy s</w:t>
            </w:r>
            <w:r>
              <w:t> </w:t>
            </w:r>
            <w:r w:rsidRPr="000A2059">
              <w:t>kvalitními aktivitami</w:t>
            </w:r>
          </w:p>
          <w:p w14:paraId="3B1464B7" w14:textId="77777777" w:rsidR="00394F62" w:rsidRPr="000A2059" w:rsidRDefault="00394F62" w:rsidP="00394F62">
            <w:pPr>
              <w:pStyle w:val="Odstavecseseznamem"/>
              <w:numPr>
                <w:ilvl w:val="0"/>
                <w:numId w:val="17"/>
              </w:numPr>
              <w:spacing w:after="0" w:line="240" w:lineRule="auto"/>
              <w:jc w:val="both"/>
            </w:pPr>
            <w:r w:rsidRPr="000A2059">
              <w:t>Reintegrace hodnotového řetězce: kolokace výrobních závodů dodavatelů s vlastními výrobními závody</w:t>
            </w:r>
          </w:p>
          <w:p w14:paraId="18689321" w14:textId="77777777" w:rsidR="00394F62" w:rsidRPr="000A2059" w:rsidRDefault="00394F62" w:rsidP="00394F62">
            <w:pPr>
              <w:pStyle w:val="Odstavecseseznamem"/>
              <w:numPr>
                <w:ilvl w:val="0"/>
                <w:numId w:val="17"/>
              </w:numPr>
              <w:spacing w:after="0" w:line="240" w:lineRule="auto"/>
              <w:jc w:val="both"/>
            </w:pPr>
            <w:r w:rsidRPr="000A2059">
              <w:t>Koncentrace VaV aktivit NNS: získání dalších aktivit navazujících či obsluhujících výrobu, včetně VaV</w:t>
            </w:r>
            <w:r>
              <w:t xml:space="preserve"> a strategických obchodních služeb</w:t>
            </w:r>
            <w:r w:rsidRPr="000A2059">
              <w:t xml:space="preserve"> nebo jejich částí</w:t>
            </w:r>
          </w:p>
          <w:p w14:paraId="7EE119DF" w14:textId="77777777" w:rsidR="00394F62" w:rsidRPr="000A2059" w:rsidRDefault="00394F62" w:rsidP="00394F62">
            <w:pPr>
              <w:pStyle w:val="Odstavecseseznamem"/>
              <w:numPr>
                <w:ilvl w:val="0"/>
                <w:numId w:val="17"/>
              </w:numPr>
              <w:spacing w:after="0" w:line="240" w:lineRule="auto"/>
              <w:jc w:val="both"/>
            </w:pPr>
            <w:r w:rsidRPr="000A2059">
              <w:t>Re-industrializace - návrat výrobních aktivit do tradičních regionů, vč. Evropy</w:t>
            </w:r>
          </w:p>
          <w:p w14:paraId="1CAA8BC1" w14:textId="77777777" w:rsidR="00394F62" w:rsidRPr="000A2059" w:rsidRDefault="00394F62" w:rsidP="00394F62">
            <w:pPr>
              <w:pStyle w:val="Odstavecseseznamem"/>
              <w:numPr>
                <w:ilvl w:val="0"/>
                <w:numId w:val="17"/>
              </w:numPr>
              <w:spacing w:after="0" w:line="240" w:lineRule="auto"/>
              <w:jc w:val="both"/>
            </w:pPr>
            <w:r w:rsidRPr="000A2059">
              <w:t xml:space="preserve">Posun globální poptávky, růst poptávky na východních trzích, kde má </w:t>
            </w:r>
            <w:r>
              <w:t>ČR</w:t>
            </w:r>
            <w:r w:rsidRPr="000A2059">
              <w:t xml:space="preserve"> dobrý zvuk</w:t>
            </w:r>
          </w:p>
          <w:p w14:paraId="55C03BCF" w14:textId="77777777" w:rsidR="00394F62" w:rsidRPr="00176062" w:rsidRDefault="00394F62" w:rsidP="00394F62">
            <w:pPr>
              <w:pStyle w:val="Odstavecseseznamem"/>
              <w:numPr>
                <w:ilvl w:val="0"/>
                <w:numId w:val="17"/>
              </w:numPr>
              <w:spacing w:after="0" w:line="240" w:lineRule="auto"/>
              <w:jc w:val="both"/>
              <w:rPr>
                <w:b/>
              </w:rPr>
            </w:pPr>
            <w:r w:rsidRPr="000A2059">
              <w:t xml:space="preserve">Růst podnikatelských příležitostí </w:t>
            </w:r>
            <w:r>
              <w:t xml:space="preserve">na nových, rychle rostoucích trzích </w:t>
            </w:r>
            <w:r w:rsidRPr="000A2059">
              <w:t>v</w:t>
            </w:r>
            <w:r>
              <w:t xml:space="preserve"> Asii, Jižní Americe a </w:t>
            </w:r>
            <w:r w:rsidRPr="000A2059">
              <w:t>Africe</w:t>
            </w:r>
            <w:r>
              <w:t>.</w:t>
            </w:r>
          </w:p>
          <w:p w14:paraId="4AC36617" w14:textId="77777777" w:rsidR="00394F62" w:rsidRPr="00B47BF5" w:rsidRDefault="00394F62" w:rsidP="00394F62">
            <w:pPr>
              <w:pStyle w:val="Odstavecseseznamem"/>
              <w:numPr>
                <w:ilvl w:val="0"/>
                <w:numId w:val="17"/>
              </w:numPr>
              <w:spacing w:after="0" w:line="240" w:lineRule="auto"/>
              <w:jc w:val="both"/>
              <w:rPr>
                <w:b/>
              </w:rPr>
            </w:pPr>
            <w:r>
              <w:t>Rozložené znalostní sítě – využívání kompetencí českých VaV týmů ve specifických znalostních doménách pro potřeby globální inovační poptávky</w:t>
            </w:r>
          </w:p>
        </w:tc>
        <w:tc>
          <w:tcPr>
            <w:tcW w:w="5118" w:type="dxa"/>
          </w:tcPr>
          <w:p w14:paraId="45305DCB" w14:textId="77777777" w:rsidR="00394F62" w:rsidRPr="004858F6" w:rsidRDefault="00394F62" w:rsidP="00394F62">
            <w:pPr>
              <w:pStyle w:val="Odstavecseseznamem"/>
              <w:numPr>
                <w:ilvl w:val="0"/>
                <w:numId w:val="17"/>
              </w:numPr>
              <w:spacing w:after="0" w:line="240" w:lineRule="auto"/>
              <w:jc w:val="both"/>
              <w:rPr>
                <w:b/>
                <w:sz w:val="28"/>
                <w:szCs w:val="28"/>
              </w:rPr>
            </w:pPr>
            <w:r>
              <w:t>Vysoké tempo růstu zadlužení ČR a neřešení strukturálních příčin zadlužení</w:t>
            </w:r>
            <w:r>
              <w:rPr>
                <w:rStyle w:val="Znakapoznpodarou"/>
              </w:rPr>
              <w:footnoteReference w:id="45"/>
            </w:r>
          </w:p>
          <w:p w14:paraId="6B8AFBA0" w14:textId="77777777" w:rsidR="00394F62" w:rsidRPr="004858F6" w:rsidRDefault="00394F62" w:rsidP="00394F62">
            <w:pPr>
              <w:pStyle w:val="Odstavecseseznamem"/>
              <w:numPr>
                <w:ilvl w:val="0"/>
                <w:numId w:val="17"/>
              </w:numPr>
              <w:spacing w:after="0" w:line="240" w:lineRule="auto"/>
              <w:jc w:val="both"/>
              <w:rPr>
                <w:b/>
                <w:sz w:val="28"/>
                <w:szCs w:val="28"/>
              </w:rPr>
            </w:pPr>
            <w:r>
              <w:t>Rostoucí poptávka po surovinách a energetických zdrojích – růst cen, závislost ČR na dovozu</w:t>
            </w:r>
          </w:p>
          <w:p w14:paraId="4DE422E2" w14:textId="77777777" w:rsidR="00394F62" w:rsidRPr="00D274C9" w:rsidRDefault="00394F62" w:rsidP="00394F62">
            <w:pPr>
              <w:pStyle w:val="Odstavecseseznamem"/>
              <w:numPr>
                <w:ilvl w:val="0"/>
                <w:numId w:val="17"/>
              </w:numPr>
              <w:spacing w:after="0" w:line="240" w:lineRule="auto"/>
              <w:jc w:val="both"/>
              <w:rPr>
                <w:sz w:val="28"/>
                <w:szCs w:val="28"/>
              </w:rPr>
            </w:pPr>
            <w:r w:rsidRPr="00D274C9">
              <w:t>Koncentrace VaV aktivit NNS:</w:t>
            </w:r>
          </w:p>
          <w:p w14:paraId="441B1862" w14:textId="77777777" w:rsidR="00394F62" w:rsidRPr="00D274C9" w:rsidRDefault="00394F62" w:rsidP="00394F62">
            <w:pPr>
              <w:pStyle w:val="Odstavecseseznamem"/>
              <w:numPr>
                <w:ilvl w:val="1"/>
                <w:numId w:val="17"/>
              </w:numPr>
              <w:spacing w:after="0" w:line="240" w:lineRule="auto"/>
              <w:ind w:left="760"/>
              <w:jc w:val="both"/>
              <w:rPr>
                <w:sz w:val="28"/>
                <w:szCs w:val="28"/>
              </w:rPr>
            </w:pPr>
            <w:r w:rsidRPr="00D274C9">
              <w:t xml:space="preserve"> VaV aktivity NNS se budou koncentrovat mimo ČR</w:t>
            </w:r>
          </w:p>
          <w:p w14:paraId="5E835119" w14:textId="77777777" w:rsidR="00394F62" w:rsidRPr="00D274C9" w:rsidRDefault="00394F62" w:rsidP="00394F62">
            <w:pPr>
              <w:pStyle w:val="Odstavecseseznamem"/>
              <w:numPr>
                <w:ilvl w:val="1"/>
                <w:numId w:val="17"/>
              </w:numPr>
              <w:spacing w:after="0" w:line="240" w:lineRule="auto"/>
              <w:ind w:left="760"/>
              <w:jc w:val="both"/>
            </w:pPr>
            <w:r>
              <w:t>pokud v ČR zůstanou závody nenáročné na znalostně založenou produkci, bude hrozit jejich odchod do zemí s levnějšími vstupy nebo do blízkosti VaV aktivit NNS</w:t>
            </w:r>
          </w:p>
          <w:p w14:paraId="6ECB22B1" w14:textId="77777777" w:rsidR="00394F62" w:rsidRPr="004858F6" w:rsidRDefault="00394F62" w:rsidP="00394F62">
            <w:pPr>
              <w:pStyle w:val="Odstavecseseznamem"/>
              <w:numPr>
                <w:ilvl w:val="0"/>
                <w:numId w:val="17"/>
              </w:numPr>
              <w:spacing w:after="0" w:line="240" w:lineRule="auto"/>
              <w:jc w:val="both"/>
              <w:rPr>
                <w:b/>
                <w:sz w:val="28"/>
                <w:szCs w:val="28"/>
              </w:rPr>
            </w:pPr>
            <w:r>
              <w:t>Ztráta kompetencí v tradičních a specializovaných oborech</w:t>
            </w:r>
          </w:p>
          <w:p w14:paraId="01FECEC0" w14:textId="77777777" w:rsidR="00394F62" w:rsidRPr="007820E4" w:rsidRDefault="00394F62" w:rsidP="00394F62">
            <w:pPr>
              <w:pStyle w:val="Odstavecseseznamem"/>
              <w:numPr>
                <w:ilvl w:val="0"/>
                <w:numId w:val="17"/>
              </w:numPr>
              <w:spacing w:after="0" w:line="240" w:lineRule="auto"/>
              <w:jc w:val="both"/>
              <w:rPr>
                <w:b/>
                <w:sz w:val="28"/>
                <w:szCs w:val="28"/>
              </w:rPr>
            </w:pPr>
            <w:r>
              <w:t xml:space="preserve">Rostoucí konkurence východoasijských zemí v průmyslových odvětvích založených nejen na levné pracovní síle, ale i na znalostně a technologicky náročných aktivitách </w:t>
            </w:r>
          </w:p>
          <w:p w14:paraId="274E4556" w14:textId="77777777" w:rsidR="00394F62" w:rsidRPr="00D274C9" w:rsidRDefault="00394F62" w:rsidP="00394F62">
            <w:pPr>
              <w:pStyle w:val="Odstavecseseznamem"/>
              <w:numPr>
                <w:ilvl w:val="0"/>
                <w:numId w:val="17"/>
              </w:numPr>
              <w:spacing w:after="0" w:line="240" w:lineRule="auto"/>
              <w:jc w:val="both"/>
              <w:rPr>
                <w:b/>
                <w:sz w:val="28"/>
                <w:szCs w:val="28"/>
              </w:rPr>
            </w:pPr>
            <w:r>
              <w:t xml:space="preserve">Slabá inovační poptávka veřejného sektoru – stát a veřejná správa nepodporují </w:t>
            </w:r>
            <w:r w:rsidRPr="00D274C9">
              <w:t>inovativní řešení v oblasti své působnosti, nezadávají je potenciálním dodavatelům</w:t>
            </w:r>
          </w:p>
          <w:p w14:paraId="00C6C6D2" w14:textId="77777777" w:rsidR="00394F62" w:rsidRPr="00D274C9" w:rsidRDefault="00394F62" w:rsidP="00394F62">
            <w:pPr>
              <w:pStyle w:val="Odstavecseseznamem"/>
              <w:numPr>
                <w:ilvl w:val="0"/>
                <w:numId w:val="17"/>
              </w:numPr>
              <w:spacing w:after="0" w:line="240" w:lineRule="auto"/>
              <w:jc w:val="both"/>
              <w:rPr>
                <w:b/>
                <w:sz w:val="28"/>
                <w:szCs w:val="28"/>
              </w:rPr>
            </w:pPr>
            <w:r w:rsidRPr="00D274C9">
              <w:t>Silná ekonomická vazba na</w:t>
            </w:r>
            <w:r>
              <w:t xml:space="preserve"> evropskou</w:t>
            </w:r>
            <w:r w:rsidRPr="00D274C9">
              <w:t xml:space="preserve"> měnovou unii, v případě oslabení </w:t>
            </w:r>
            <w:r>
              <w:t>n</w:t>
            </w:r>
            <w:r w:rsidRPr="00D274C9">
              <w:t xml:space="preserve">ěmeckého exportu negativní dopady na ČR </w:t>
            </w:r>
          </w:p>
          <w:p w14:paraId="64C610D9" w14:textId="77777777" w:rsidR="00394F62" w:rsidRPr="00D274C9" w:rsidRDefault="00394F62" w:rsidP="00394F62">
            <w:pPr>
              <w:pStyle w:val="Odstavecseseznamem"/>
              <w:numPr>
                <w:ilvl w:val="0"/>
                <w:numId w:val="17"/>
              </w:numPr>
              <w:spacing w:after="0" w:line="240" w:lineRule="auto"/>
              <w:jc w:val="both"/>
              <w:rPr>
                <w:b/>
                <w:sz w:val="28"/>
                <w:szCs w:val="28"/>
              </w:rPr>
            </w:pPr>
            <w:r w:rsidRPr="00D274C9">
              <w:t>Zvyšování netarifních bariér mezinárodního obchodu</w:t>
            </w:r>
          </w:p>
          <w:p w14:paraId="1D813545" w14:textId="77777777" w:rsidR="00394F62" w:rsidRPr="00D274C9" w:rsidRDefault="00394F62" w:rsidP="00394F62">
            <w:pPr>
              <w:pStyle w:val="Odstavecseseznamem"/>
              <w:numPr>
                <w:ilvl w:val="0"/>
                <w:numId w:val="17"/>
              </w:numPr>
              <w:spacing w:after="0" w:line="240" w:lineRule="auto"/>
              <w:jc w:val="both"/>
              <w:rPr>
                <w:b/>
                <w:sz w:val="28"/>
                <w:szCs w:val="28"/>
              </w:rPr>
            </w:pPr>
            <w:r w:rsidRPr="00D274C9">
              <w:t>Evropská regulace:</w:t>
            </w:r>
          </w:p>
          <w:p w14:paraId="00E54E3E" w14:textId="77777777" w:rsidR="00394F62" w:rsidRPr="00B06C7A" w:rsidRDefault="00394F62" w:rsidP="00394F62">
            <w:pPr>
              <w:pStyle w:val="Odstavecseseznamem"/>
              <w:numPr>
                <w:ilvl w:val="1"/>
                <w:numId w:val="17"/>
              </w:numPr>
              <w:tabs>
                <w:tab w:val="left" w:pos="601"/>
              </w:tabs>
              <w:spacing w:after="0" w:line="240" w:lineRule="auto"/>
              <w:ind w:left="760"/>
              <w:jc w:val="both"/>
            </w:pPr>
            <w:r w:rsidRPr="00D274C9">
              <w:t>přebírání v</w:t>
            </w:r>
            <w:r>
              <w:t> přehnané míře – goldplating, dopady na výrobní firmy</w:t>
            </w:r>
          </w:p>
          <w:p w14:paraId="77F76082" w14:textId="77777777" w:rsidR="00394F62" w:rsidRDefault="00394F62" w:rsidP="00394F62">
            <w:pPr>
              <w:pStyle w:val="Odstavecseseznamem"/>
              <w:numPr>
                <w:ilvl w:val="0"/>
                <w:numId w:val="17"/>
              </w:numPr>
              <w:spacing w:after="0" w:line="240" w:lineRule="auto"/>
              <w:jc w:val="both"/>
            </w:pPr>
            <w:r>
              <w:t>H</w:t>
            </w:r>
            <w:r w:rsidRPr="00B06C7A">
              <w:t>orší schopnost firem předjímat změny</w:t>
            </w:r>
            <w:r>
              <w:t xml:space="preserve"> a nové trendy</w:t>
            </w:r>
            <w:r w:rsidRPr="00B06C7A">
              <w:t xml:space="preserve"> na globální úrovni</w:t>
            </w:r>
          </w:p>
          <w:p w14:paraId="683E6013" w14:textId="77777777" w:rsidR="00394F62" w:rsidRDefault="00394F62" w:rsidP="00466226">
            <w:pPr>
              <w:pStyle w:val="Odstavecseseznamem"/>
              <w:spacing w:after="0" w:line="240" w:lineRule="auto"/>
              <w:ind w:left="360"/>
              <w:jc w:val="both"/>
            </w:pPr>
          </w:p>
          <w:p w14:paraId="3BF8A03B" w14:textId="77777777" w:rsidR="00394F62" w:rsidRDefault="00394F62" w:rsidP="00466226">
            <w:pPr>
              <w:pStyle w:val="Odstavecseseznamem"/>
              <w:spacing w:after="0" w:line="240" w:lineRule="auto"/>
              <w:ind w:left="360"/>
              <w:jc w:val="both"/>
            </w:pPr>
          </w:p>
        </w:tc>
      </w:tr>
      <w:tr w:rsidR="00394F62" w14:paraId="60EEEDCF" w14:textId="77777777" w:rsidTr="00394F62">
        <w:trPr>
          <w:trHeight w:val="340"/>
        </w:trPr>
        <w:tc>
          <w:tcPr>
            <w:tcW w:w="10206" w:type="dxa"/>
            <w:gridSpan w:val="2"/>
            <w:shd w:val="clear" w:color="auto" w:fill="B9E0F7"/>
            <w:vAlign w:val="center"/>
          </w:tcPr>
          <w:p w14:paraId="2B9A7E60" w14:textId="77777777" w:rsidR="00394F62" w:rsidRDefault="00394F62" w:rsidP="00394F62">
            <w:pPr>
              <w:keepNext/>
              <w:spacing w:after="0" w:line="240" w:lineRule="auto"/>
              <w:jc w:val="center"/>
            </w:pPr>
            <w:r w:rsidRPr="000A2059">
              <w:rPr>
                <w:b/>
              </w:rPr>
              <w:lastRenderedPageBreak/>
              <w:t>Socio-demografické</w:t>
            </w:r>
          </w:p>
        </w:tc>
      </w:tr>
      <w:tr w:rsidR="00394F62" w:rsidRPr="00B850F1" w14:paraId="09594CFF" w14:textId="77777777" w:rsidTr="00394F62">
        <w:tc>
          <w:tcPr>
            <w:tcW w:w="5088" w:type="dxa"/>
          </w:tcPr>
          <w:p w14:paraId="4925FC3C" w14:textId="77777777" w:rsidR="00394F62" w:rsidRPr="006B3931" w:rsidRDefault="00394F62" w:rsidP="00394F62">
            <w:pPr>
              <w:pStyle w:val="Odstavecseseznamem"/>
              <w:numPr>
                <w:ilvl w:val="0"/>
                <w:numId w:val="21"/>
              </w:numPr>
              <w:spacing w:after="0" w:line="240" w:lineRule="auto"/>
              <w:ind w:left="318" w:hanging="318"/>
              <w:jc w:val="both"/>
              <w:rPr>
                <w:b/>
                <w:sz w:val="28"/>
                <w:szCs w:val="28"/>
              </w:rPr>
            </w:pPr>
            <w:r>
              <w:t xml:space="preserve">Zájem talentovaných lidí z ciziny o práci/kariéru v ČR: </w:t>
            </w:r>
          </w:p>
          <w:p w14:paraId="514A6210" w14:textId="77777777" w:rsidR="00394F62" w:rsidRPr="006B3931" w:rsidRDefault="00394F62" w:rsidP="00394F62">
            <w:pPr>
              <w:pStyle w:val="Odstavecseseznamem"/>
              <w:numPr>
                <w:ilvl w:val="1"/>
                <w:numId w:val="20"/>
              </w:numPr>
              <w:tabs>
                <w:tab w:val="left" w:pos="601"/>
              </w:tabs>
              <w:spacing w:after="0" w:line="240" w:lineRule="auto"/>
              <w:ind w:left="459" w:hanging="230"/>
              <w:jc w:val="both"/>
            </w:pPr>
            <w:r>
              <w:t xml:space="preserve">ze zemí na východ od ČR </w:t>
            </w:r>
          </w:p>
          <w:p w14:paraId="2DA0D89B" w14:textId="77777777" w:rsidR="00394F62" w:rsidRDefault="00394F62" w:rsidP="00394F62">
            <w:pPr>
              <w:pStyle w:val="Odstavecseseznamem"/>
              <w:numPr>
                <w:ilvl w:val="1"/>
                <w:numId w:val="20"/>
              </w:numPr>
              <w:tabs>
                <w:tab w:val="left" w:pos="601"/>
              </w:tabs>
              <w:spacing w:after="0" w:line="240" w:lineRule="auto"/>
              <w:ind w:left="459" w:hanging="230"/>
              <w:jc w:val="both"/>
            </w:pPr>
            <w:r>
              <w:t xml:space="preserve">ze zemí v jižní Evropě </w:t>
            </w:r>
          </w:p>
          <w:p w14:paraId="0EA26F27" w14:textId="77777777" w:rsidR="00394F62" w:rsidRPr="006B3931" w:rsidRDefault="00394F62" w:rsidP="00394F62">
            <w:pPr>
              <w:pStyle w:val="Odstavecseseznamem"/>
              <w:numPr>
                <w:ilvl w:val="1"/>
                <w:numId w:val="20"/>
              </w:numPr>
              <w:tabs>
                <w:tab w:val="left" w:pos="601"/>
              </w:tabs>
              <w:spacing w:after="0" w:line="240" w:lineRule="auto"/>
              <w:ind w:left="459" w:hanging="230"/>
              <w:jc w:val="both"/>
            </w:pPr>
            <w:r>
              <w:t>přesun zájmu i mimo Prahu (do větších měst, do menších měst za kariérou, bude-li existovat)</w:t>
            </w:r>
          </w:p>
          <w:p w14:paraId="088EF188" w14:textId="77777777" w:rsidR="00394F62" w:rsidRPr="006B3931" w:rsidRDefault="00394F62" w:rsidP="00466226">
            <w:pPr>
              <w:tabs>
                <w:tab w:val="left" w:pos="601"/>
              </w:tabs>
              <w:spacing w:after="0" w:line="240" w:lineRule="auto"/>
              <w:ind w:left="229"/>
            </w:pPr>
            <w:r>
              <w:t xml:space="preserve">Vše podmíněno rozvojem znalostně </w:t>
            </w:r>
            <w:r w:rsidRPr="00D274C9">
              <w:t>náročnějších aktivit, příležitostí pro mladé</w:t>
            </w:r>
          </w:p>
          <w:p w14:paraId="6ED49105" w14:textId="77777777" w:rsidR="00394F62" w:rsidRPr="00D274C9" w:rsidRDefault="00394F62" w:rsidP="00394F62">
            <w:pPr>
              <w:pStyle w:val="Odstavecseseznamem"/>
              <w:numPr>
                <w:ilvl w:val="0"/>
                <w:numId w:val="21"/>
              </w:numPr>
              <w:spacing w:after="0" w:line="240" w:lineRule="auto"/>
              <w:ind w:left="318" w:hanging="318"/>
              <w:jc w:val="both"/>
              <w:rPr>
                <w:b/>
                <w:sz w:val="28"/>
                <w:szCs w:val="28"/>
              </w:rPr>
            </w:pPr>
            <w:r w:rsidRPr="00D274C9">
              <w:t>Pozitivní dopady stárnutí populace – nové obchodní příležitosti (produkty a služby)</w:t>
            </w:r>
          </w:p>
          <w:p w14:paraId="6BCC69DF" w14:textId="77777777" w:rsidR="00394F62" w:rsidRPr="00D274C9" w:rsidRDefault="00394F62" w:rsidP="00394F62">
            <w:pPr>
              <w:pStyle w:val="Odstavecseseznamem"/>
              <w:numPr>
                <w:ilvl w:val="0"/>
                <w:numId w:val="21"/>
              </w:numPr>
              <w:spacing w:after="0" w:line="240" w:lineRule="auto"/>
              <w:ind w:left="318" w:hanging="318"/>
              <w:jc w:val="both"/>
              <w:rPr>
                <w:b/>
                <w:sz w:val="28"/>
                <w:szCs w:val="28"/>
              </w:rPr>
            </w:pPr>
            <w:r w:rsidRPr="00D274C9">
              <w:t>Kvalitativní změna „typického občana v důchodovém věku“ – aktivní jak ve společenském tak ekonomickém životě</w:t>
            </w:r>
          </w:p>
          <w:p w14:paraId="1C066FFF" w14:textId="77777777" w:rsidR="00394F62" w:rsidRPr="00B47BF5" w:rsidRDefault="00394F62" w:rsidP="00394F62">
            <w:pPr>
              <w:pStyle w:val="Odstavecseseznamem"/>
              <w:numPr>
                <w:ilvl w:val="0"/>
                <w:numId w:val="21"/>
              </w:numPr>
              <w:spacing w:after="0" w:line="240" w:lineRule="auto"/>
              <w:ind w:left="318" w:hanging="318"/>
              <w:jc w:val="both"/>
              <w:rPr>
                <w:b/>
              </w:rPr>
            </w:pPr>
            <w:r w:rsidRPr="00D274C9">
              <w:t>Růst počtu lidí toužících po seberealizaci za hranicí materiálního zajištění (důsledkem rozvoj podnikavosti a společenského přínosu realizovaných aktivit)</w:t>
            </w:r>
          </w:p>
        </w:tc>
        <w:tc>
          <w:tcPr>
            <w:tcW w:w="5118" w:type="dxa"/>
          </w:tcPr>
          <w:p w14:paraId="3E035756" w14:textId="77777777" w:rsidR="00394F62" w:rsidRDefault="00394F62" w:rsidP="00394F62">
            <w:pPr>
              <w:pStyle w:val="Odstavecseseznamem"/>
              <w:numPr>
                <w:ilvl w:val="0"/>
                <w:numId w:val="21"/>
              </w:numPr>
              <w:spacing w:after="0" w:line="240" w:lineRule="auto"/>
              <w:ind w:left="318" w:hanging="318"/>
              <w:jc w:val="both"/>
              <w:rPr>
                <w:b/>
                <w:sz w:val="28"/>
                <w:szCs w:val="28"/>
              </w:rPr>
            </w:pPr>
            <w:r>
              <w:t>Stárnutí populace a ztížená udržitelnost důchodových</w:t>
            </w:r>
            <w:r>
              <w:rPr>
                <w:rStyle w:val="Znakapoznpodarou"/>
              </w:rPr>
              <w:footnoteReference w:id="46"/>
            </w:r>
            <w:r>
              <w:t xml:space="preserve"> a zdravotních systémů pro státní rozpočet</w:t>
            </w:r>
          </w:p>
          <w:p w14:paraId="213A65F2" w14:textId="77777777" w:rsidR="00394F62" w:rsidRDefault="00394F62" w:rsidP="00394F62">
            <w:pPr>
              <w:pStyle w:val="Odstavecseseznamem"/>
              <w:numPr>
                <w:ilvl w:val="0"/>
                <w:numId w:val="21"/>
              </w:numPr>
              <w:spacing w:after="0" w:line="240" w:lineRule="auto"/>
              <w:ind w:left="318" w:hanging="318"/>
              <w:jc w:val="both"/>
            </w:pPr>
            <w:r w:rsidRPr="0048414A">
              <w:t>Velikost a věková struktura populace</w:t>
            </w:r>
            <w:r>
              <w:t xml:space="preserve"> - p</w:t>
            </w:r>
            <w:r w:rsidRPr="0048414A">
              <w:t>očet obyvatel ve věku 8</w:t>
            </w:r>
            <w:r>
              <w:t>–</w:t>
            </w:r>
            <w:r w:rsidRPr="0048414A">
              <w:t>18 je poloviční vůči počtu obyvatel ve věku 35</w:t>
            </w:r>
            <w:r>
              <w:t>–</w:t>
            </w:r>
            <w:r w:rsidRPr="0048414A">
              <w:t>45</w:t>
            </w:r>
            <w:r>
              <w:t xml:space="preserve">, to způsobuje: </w:t>
            </w:r>
          </w:p>
          <w:p w14:paraId="5865B760" w14:textId="77777777" w:rsidR="00394F62" w:rsidRDefault="00394F62" w:rsidP="00394F62">
            <w:pPr>
              <w:pStyle w:val="Odstavecseseznamem"/>
              <w:numPr>
                <w:ilvl w:val="1"/>
                <w:numId w:val="20"/>
              </w:numPr>
              <w:tabs>
                <w:tab w:val="left" w:pos="601"/>
              </w:tabs>
              <w:spacing w:after="0" w:line="240" w:lineRule="auto"/>
              <w:ind w:left="459" w:hanging="230"/>
              <w:jc w:val="both"/>
            </w:pPr>
            <w:r w:rsidRPr="0048414A">
              <w:t>skokov</w:t>
            </w:r>
            <w:r>
              <w:t>ou</w:t>
            </w:r>
            <w:r w:rsidRPr="0048414A">
              <w:t xml:space="preserve"> změn</w:t>
            </w:r>
            <w:r>
              <w:t>u</w:t>
            </w:r>
            <w:r w:rsidRPr="0048414A">
              <w:t xml:space="preserve"> životní</w:t>
            </w:r>
            <w:r>
              <w:t>ho stylu a hodnot, jiný vztah ke spotřebě i k práci</w:t>
            </w:r>
          </w:p>
          <w:p w14:paraId="5138BC22" w14:textId="77777777" w:rsidR="00394F62" w:rsidRDefault="00394F62" w:rsidP="00394F62">
            <w:pPr>
              <w:pStyle w:val="Odstavecseseznamem"/>
              <w:numPr>
                <w:ilvl w:val="1"/>
                <w:numId w:val="20"/>
              </w:numPr>
              <w:tabs>
                <w:tab w:val="left" w:pos="601"/>
              </w:tabs>
              <w:spacing w:after="0" w:line="240" w:lineRule="auto"/>
              <w:ind w:left="459" w:hanging="230"/>
              <w:jc w:val="both"/>
            </w:pPr>
            <w:r>
              <w:t>úbytek talentů, malé počty studentů VŠ – i méně studentů technických SŠ</w:t>
            </w:r>
          </w:p>
          <w:p w14:paraId="08965187" w14:textId="77777777" w:rsidR="00394F62" w:rsidRPr="0048414A" w:rsidRDefault="00394F62" w:rsidP="00394F62">
            <w:pPr>
              <w:pStyle w:val="Odstavecseseznamem"/>
              <w:numPr>
                <w:ilvl w:val="0"/>
                <w:numId w:val="21"/>
              </w:numPr>
              <w:spacing w:after="0" w:line="240" w:lineRule="auto"/>
              <w:ind w:left="318" w:hanging="318"/>
              <w:jc w:val="both"/>
            </w:pPr>
            <w:r>
              <w:t xml:space="preserve">Nadále klesající kvalita absolventů a rostoucí podíl humanitně orientovaných absolventů spolu s odchodem zkušených pracovníků do důchodu povede k nedostatku pracovní síly poptávané průmyslem (jak </w:t>
            </w:r>
            <w:r w:rsidRPr="00D274C9">
              <w:t>oborově, tak hloubkou znalostí)</w:t>
            </w:r>
          </w:p>
          <w:p w14:paraId="09C24E1C" w14:textId="77777777" w:rsidR="00394F62" w:rsidRPr="004858F6" w:rsidRDefault="00394F62" w:rsidP="00394F62">
            <w:pPr>
              <w:pStyle w:val="Odstavecseseznamem"/>
              <w:numPr>
                <w:ilvl w:val="0"/>
                <w:numId w:val="21"/>
              </w:numPr>
              <w:spacing w:after="0" w:line="240" w:lineRule="auto"/>
              <w:ind w:left="318" w:hanging="318"/>
              <w:jc w:val="both"/>
              <w:rPr>
                <w:b/>
                <w:sz w:val="28"/>
                <w:szCs w:val="28"/>
              </w:rPr>
            </w:pPr>
            <w:r>
              <w:t>Odliv talentovaných a vysoce kvalifikovaných pracovníku z ČR (brain drain)</w:t>
            </w:r>
            <w:r>
              <w:rPr>
                <w:rStyle w:val="Znakapoznpodarou"/>
              </w:rPr>
              <w:footnoteReference w:id="47"/>
            </w:r>
          </w:p>
          <w:p w14:paraId="7E3B4622" w14:textId="77777777" w:rsidR="00394F62" w:rsidRPr="00D274C9" w:rsidRDefault="00394F62" w:rsidP="00394F62">
            <w:pPr>
              <w:pStyle w:val="Odstavecseseznamem"/>
              <w:numPr>
                <w:ilvl w:val="0"/>
                <w:numId w:val="21"/>
              </w:numPr>
              <w:spacing w:after="0" w:line="240" w:lineRule="auto"/>
              <w:ind w:left="318" w:hanging="318"/>
              <w:jc w:val="both"/>
              <w:rPr>
                <w:sz w:val="28"/>
                <w:szCs w:val="28"/>
              </w:rPr>
            </w:pPr>
            <w:r>
              <w:t>Snižování potřeby lidské práce v důsledku růstu produktivity</w:t>
            </w:r>
          </w:p>
          <w:p w14:paraId="42FE8EDF" w14:textId="77777777" w:rsidR="00394F62" w:rsidRPr="00AD57C5" w:rsidRDefault="00394F62" w:rsidP="00394F62">
            <w:pPr>
              <w:pStyle w:val="Odstavecseseznamem"/>
              <w:numPr>
                <w:ilvl w:val="0"/>
                <w:numId w:val="21"/>
              </w:numPr>
              <w:spacing w:after="0" w:line="240" w:lineRule="auto"/>
              <w:ind w:left="318" w:hanging="318"/>
              <w:jc w:val="both"/>
              <w:rPr>
                <w:sz w:val="28"/>
                <w:szCs w:val="28"/>
              </w:rPr>
            </w:pPr>
            <w:r w:rsidRPr="00D274C9">
              <w:t>Sociální nestabilita společnosti v důsledku zvyšujících se rozdílů (zvýšeného vnímání rozdílů) mezi skupinami obyvatel – vnímání social divide, růst „sekundárního“ a šedého pracovního trhu</w:t>
            </w:r>
          </w:p>
          <w:p w14:paraId="3ABBD90E" w14:textId="77777777" w:rsidR="00394F62" w:rsidRPr="006B3931" w:rsidRDefault="00394F62" w:rsidP="00394F62">
            <w:pPr>
              <w:pStyle w:val="Odstavecseseznamem"/>
              <w:numPr>
                <w:ilvl w:val="0"/>
                <w:numId w:val="21"/>
              </w:numPr>
              <w:spacing w:after="0" w:line="240" w:lineRule="auto"/>
              <w:ind w:left="318" w:hanging="318"/>
              <w:jc w:val="both"/>
              <w:rPr>
                <w:sz w:val="28"/>
                <w:szCs w:val="28"/>
              </w:rPr>
            </w:pPr>
            <w:r>
              <w:t xml:space="preserve">Špatná image podnikatelů ve společnosti </w:t>
            </w:r>
          </w:p>
          <w:p w14:paraId="5382B1F8" w14:textId="77777777" w:rsidR="00394F62" w:rsidRPr="00D274C9" w:rsidRDefault="00394F62" w:rsidP="00394F62">
            <w:pPr>
              <w:pStyle w:val="Odstavecseseznamem"/>
              <w:numPr>
                <w:ilvl w:val="0"/>
                <w:numId w:val="21"/>
              </w:numPr>
              <w:spacing w:after="0" w:line="240" w:lineRule="auto"/>
              <w:ind w:left="318" w:hanging="318"/>
              <w:jc w:val="both"/>
              <w:rPr>
                <w:sz w:val="28"/>
                <w:szCs w:val="28"/>
              </w:rPr>
            </w:pPr>
            <w:r>
              <w:t>Malá atraktivita podnikatelské kariéry, vysoká citlivost na vnímání podnikatelského rizika</w:t>
            </w:r>
          </w:p>
          <w:p w14:paraId="57F266A9" w14:textId="77777777" w:rsidR="00394F62" w:rsidRDefault="00394F62" w:rsidP="00394F62">
            <w:pPr>
              <w:pStyle w:val="Odstavecseseznamem"/>
              <w:numPr>
                <w:ilvl w:val="0"/>
                <w:numId w:val="18"/>
              </w:numPr>
              <w:spacing w:after="0" w:line="240" w:lineRule="auto"/>
              <w:ind w:left="312" w:hanging="318"/>
              <w:jc w:val="both"/>
            </w:pPr>
            <w:r w:rsidRPr="00D274C9">
              <w:t xml:space="preserve">Zhoršující se podmínky pro znevýhodněné skupiny obyvatel (matky po mateřské dovolené) – jejich horší přístup na </w:t>
            </w:r>
            <w:r>
              <w:t xml:space="preserve">kvalifikačně náročné segmenty </w:t>
            </w:r>
            <w:r w:rsidRPr="00D274C9">
              <w:t>trh</w:t>
            </w:r>
            <w:r>
              <w:t>u</w:t>
            </w:r>
            <w:r w:rsidRPr="00D274C9">
              <w:t xml:space="preserve"> práce</w:t>
            </w:r>
            <w:r>
              <w:t xml:space="preserve">, </w:t>
            </w:r>
            <w:r w:rsidRPr="00D274C9">
              <w:t>ztráta potenciálních odborníků</w:t>
            </w:r>
          </w:p>
        </w:tc>
      </w:tr>
      <w:tr w:rsidR="00394F62" w:rsidRPr="00B850F1" w14:paraId="02936313" w14:textId="77777777" w:rsidTr="00394F62">
        <w:trPr>
          <w:trHeight w:val="340"/>
        </w:trPr>
        <w:tc>
          <w:tcPr>
            <w:tcW w:w="10206" w:type="dxa"/>
            <w:gridSpan w:val="2"/>
            <w:shd w:val="clear" w:color="auto" w:fill="B9E0F7"/>
            <w:vAlign w:val="center"/>
          </w:tcPr>
          <w:p w14:paraId="41EB7FD2" w14:textId="77777777" w:rsidR="00394F62" w:rsidRPr="00AD57C5" w:rsidRDefault="00394F62" w:rsidP="00394F62">
            <w:pPr>
              <w:spacing w:after="0" w:line="240" w:lineRule="auto"/>
              <w:jc w:val="center"/>
            </w:pPr>
            <w:r w:rsidRPr="000A2059">
              <w:rPr>
                <w:b/>
              </w:rPr>
              <w:t>Technologické</w:t>
            </w:r>
          </w:p>
        </w:tc>
      </w:tr>
      <w:tr w:rsidR="00394F62" w:rsidRPr="00B850F1" w14:paraId="686CFCD8" w14:textId="77777777" w:rsidTr="00394F62">
        <w:tc>
          <w:tcPr>
            <w:tcW w:w="5088" w:type="dxa"/>
          </w:tcPr>
          <w:p w14:paraId="6B4C83D3" w14:textId="77777777" w:rsidR="00394F62" w:rsidRPr="00B34AD4" w:rsidRDefault="00394F62" w:rsidP="00394F62">
            <w:pPr>
              <w:pStyle w:val="Odstavecseseznamem"/>
              <w:numPr>
                <w:ilvl w:val="0"/>
                <w:numId w:val="21"/>
              </w:numPr>
              <w:spacing w:after="0" w:line="240" w:lineRule="auto"/>
              <w:ind w:left="318" w:hanging="318"/>
              <w:jc w:val="both"/>
              <w:rPr>
                <w:b/>
                <w:sz w:val="28"/>
                <w:szCs w:val="28"/>
              </w:rPr>
            </w:pPr>
            <w:r w:rsidRPr="00B34AD4">
              <w:t xml:space="preserve">Pokračující </w:t>
            </w:r>
            <w:r>
              <w:t>digitalizace a automatizace a rozvoj pokročilých výrobních technologií a z toho vyplývající změna produkčních řetězců</w:t>
            </w:r>
          </w:p>
          <w:p w14:paraId="716A3122" w14:textId="77777777" w:rsidR="00394F62" w:rsidRPr="00B34AD4" w:rsidRDefault="00394F62" w:rsidP="00394F62">
            <w:pPr>
              <w:pStyle w:val="Odstavecseseznamem"/>
              <w:numPr>
                <w:ilvl w:val="0"/>
                <w:numId w:val="21"/>
              </w:numPr>
              <w:spacing w:after="0" w:line="240" w:lineRule="auto"/>
              <w:ind w:left="318" w:hanging="318"/>
              <w:jc w:val="both"/>
              <w:rPr>
                <w:b/>
                <w:sz w:val="28"/>
                <w:szCs w:val="28"/>
              </w:rPr>
            </w:pPr>
            <w:r w:rsidRPr="009A739C">
              <w:t>Změny v dopravních procesech jednotlivých druhů dopravy (např. autonomní dopravní prostředky ve veřejné hromadné a individuální osobní dopravě) a dopravních systémech (doprava ve velkoměstech) změní poptávku po řešeních ve výrobě dopravních prostředků</w:t>
            </w:r>
          </w:p>
          <w:p w14:paraId="11EBE376" w14:textId="77777777" w:rsidR="00394F62" w:rsidRPr="00B34AD4" w:rsidRDefault="00394F62" w:rsidP="00394F62">
            <w:pPr>
              <w:pStyle w:val="Odstavecseseznamem"/>
              <w:numPr>
                <w:ilvl w:val="0"/>
                <w:numId w:val="21"/>
              </w:numPr>
              <w:spacing w:after="0" w:line="240" w:lineRule="auto"/>
              <w:ind w:left="318" w:hanging="318"/>
              <w:jc w:val="both"/>
              <w:rPr>
                <w:b/>
                <w:sz w:val="28"/>
                <w:szCs w:val="28"/>
              </w:rPr>
            </w:pPr>
            <w:r>
              <w:t>Rostoucí tlak na využívání primárních zemědělských zdrojů.</w:t>
            </w:r>
            <w:r w:rsidRPr="00B34AD4">
              <w:t xml:space="preserve"> Zajištění dlouhodobého dostatku surovin pro potraviny a paliva</w:t>
            </w:r>
          </w:p>
          <w:p w14:paraId="2181CDF5" w14:textId="77777777" w:rsidR="00394F62" w:rsidRPr="00906418" w:rsidRDefault="00394F62" w:rsidP="00394F62">
            <w:pPr>
              <w:pStyle w:val="Odstavecseseznamem"/>
              <w:numPr>
                <w:ilvl w:val="0"/>
                <w:numId w:val="21"/>
              </w:numPr>
              <w:spacing w:after="0" w:line="240" w:lineRule="auto"/>
              <w:ind w:left="318" w:hanging="318"/>
              <w:jc w:val="both"/>
              <w:rPr>
                <w:b/>
                <w:sz w:val="28"/>
                <w:szCs w:val="28"/>
              </w:rPr>
            </w:pPr>
            <w:r w:rsidRPr="00B34AD4">
              <w:lastRenderedPageBreak/>
              <w:t>Decentralizace výroby energie.</w:t>
            </w:r>
            <w:r>
              <w:t xml:space="preserve"> Rostoucí význam OZE a jejich technologií</w:t>
            </w:r>
          </w:p>
          <w:p w14:paraId="0BC6EA4D" w14:textId="77777777" w:rsidR="00394F62" w:rsidRPr="0062474E" w:rsidRDefault="00394F62" w:rsidP="00394F62">
            <w:pPr>
              <w:pStyle w:val="Odstavecseseznamem"/>
              <w:numPr>
                <w:ilvl w:val="0"/>
                <w:numId w:val="21"/>
              </w:numPr>
              <w:spacing w:after="0" w:line="240" w:lineRule="auto"/>
              <w:ind w:left="318" w:hanging="318"/>
              <w:jc w:val="both"/>
              <w:rPr>
                <w:b/>
                <w:sz w:val="28"/>
                <w:szCs w:val="28"/>
              </w:rPr>
            </w:pPr>
            <w:r>
              <w:t xml:space="preserve">Nové IT technologie umožňující efektivnější organizaci a fungování ekonomiky a společnosti </w:t>
            </w:r>
          </w:p>
          <w:p w14:paraId="69174B96" w14:textId="77777777" w:rsidR="00394F62" w:rsidRPr="0057176B" w:rsidRDefault="00394F62" w:rsidP="00394F62">
            <w:pPr>
              <w:pStyle w:val="Odstavecseseznamem"/>
              <w:numPr>
                <w:ilvl w:val="1"/>
                <w:numId w:val="20"/>
              </w:numPr>
              <w:spacing w:after="0" w:line="240" w:lineRule="auto"/>
              <w:ind w:left="426" w:hanging="219"/>
              <w:jc w:val="both"/>
              <w:rPr>
                <w:b/>
                <w:sz w:val="28"/>
                <w:szCs w:val="28"/>
              </w:rPr>
            </w:pPr>
            <w:r w:rsidRPr="00906418">
              <w:t>Nové technologie na zpracování, uchová</w:t>
            </w:r>
            <w:r>
              <w:t>ní a přenos velkoobjemových dat</w:t>
            </w:r>
          </w:p>
          <w:p w14:paraId="3DBB9B80" w14:textId="77777777" w:rsidR="00394F62" w:rsidRPr="0057176B" w:rsidRDefault="00394F62" w:rsidP="00394F62">
            <w:pPr>
              <w:pStyle w:val="Odstavecseseznamem"/>
              <w:numPr>
                <w:ilvl w:val="1"/>
                <w:numId w:val="20"/>
              </w:numPr>
              <w:spacing w:after="0" w:line="240" w:lineRule="auto"/>
              <w:ind w:left="426" w:hanging="219"/>
              <w:jc w:val="both"/>
              <w:rPr>
                <w:sz w:val="28"/>
                <w:szCs w:val="28"/>
              </w:rPr>
            </w:pPr>
            <w:r w:rsidRPr="0057176B">
              <w:rPr>
                <w:szCs w:val="28"/>
              </w:rPr>
              <w:t>IT systémová řešení pro rozvoj tzv. "smart cities" infrastruktury</w:t>
            </w:r>
          </w:p>
          <w:p w14:paraId="61494774" w14:textId="77777777" w:rsidR="00394F62" w:rsidRPr="00906418" w:rsidRDefault="00394F62" w:rsidP="00394F62">
            <w:pPr>
              <w:pStyle w:val="Odstavecseseznamem"/>
              <w:numPr>
                <w:ilvl w:val="0"/>
                <w:numId w:val="21"/>
              </w:numPr>
              <w:spacing w:after="0" w:line="240" w:lineRule="auto"/>
              <w:ind w:left="318" w:hanging="318"/>
              <w:jc w:val="both"/>
              <w:rPr>
                <w:b/>
                <w:sz w:val="28"/>
                <w:szCs w:val="28"/>
              </w:rPr>
            </w:pPr>
            <w:r w:rsidRPr="00906418">
              <w:t>Nové přístupy v</w:t>
            </w:r>
            <w:r>
              <w:t>e zdravotnictví a</w:t>
            </w:r>
            <w:r w:rsidRPr="00906418">
              <w:t xml:space="preserve"> léčbě nemocí</w:t>
            </w:r>
            <w:r>
              <w:t>:</w:t>
            </w:r>
          </w:p>
          <w:p w14:paraId="534711B2" w14:textId="77777777" w:rsidR="00394F62" w:rsidRPr="005665B8" w:rsidRDefault="00394F62" w:rsidP="00394F62">
            <w:pPr>
              <w:pStyle w:val="Odstavecseseznamem"/>
              <w:numPr>
                <w:ilvl w:val="1"/>
                <w:numId w:val="20"/>
              </w:numPr>
              <w:spacing w:after="0" w:line="240" w:lineRule="auto"/>
              <w:ind w:left="431" w:hanging="221"/>
              <w:jc w:val="both"/>
              <w:rPr>
                <w:b/>
                <w:sz w:val="28"/>
                <w:szCs w:val="28"/>
              </w:rPr>
            </w:pPr>
            <w:r>
              <w:t>pro konkrétní potřeby pacienta upravená léčiva</w:t>
            </w:r>
          </w:p>
          <w:p w14:paraId="687EAA5C" w14:textId="77777777" w:rsidR="00394F62" w:rsidRDefault="00394F62" w:rsidP="00394F62">
            <w:pPr>
              <w:pStyle w:val="Odstavecseseznamem"/>
              <w:numPr>
                <w:ilvl w:val="1"/>
                <w:numId w:val="20"/>
              </w:numPr>
              <w:spacing w:after="0" w:line="240" w:lineRule="auto"/>
              <w:ind w:left="431" w:hanging="221"/>
              <w:jc w:val="both"/>
            </w:pPr>
            <w:r>
              <w:t>Včasnější a rychlejší diagnostika ve zdravotnictví (snižující náklady v celém systému)</w:t>
            </w:r>
          </w:p>
        </w:tc>
        <w:tc>
          <w:tcPr>
            <w:tcW w:w="5118" w:type="dxa"/>
          </w:tcPr>
          <w:p w14:paraId="5E5A7D50" w14:textId="77777777" w:rsidR="00394F62" w:rsidRDefault="00394F62" w:rsidP="00394F62">
            <w:pPr>
              <w:pStyle w:val="Odstavecseseznamem"/>
              <w:numPr>
                <w:ilvl w:val="0"/>
                <w:numId w:val="21"/>
              </w:numPr>
              <w:spacing w:after="0" w:line="240" w:lineRule="auto"/>
              <w:ind w:left="318" w:hanging="318"/>
              <w:jc w:val="both"/>
            </w:pPr>
            <w:r w:rsidRPr="00AD57C5">
              <w:lastRenderedPageBreak/>
              <w:t>Vysoké náklady na ochranu duševního vlastnictví v</w:t>
            </w:r>
            <w:r>
              <w:t> </w:t>
            </w:r>
            <w:r w:rsidRPr="00AD57C5">
              <w:t>Evropě</w:t>
            </w:r>
          </w:p>
          <w:p w14:paraId="5086437F" w14:textId="77777777" w:rsidR="00394F62" w:rsidRDefault="00394F62" w:rsidP="00394F62">
            <w:pPr>
              <w:pStyle w:val="Odstavecseseznamem"/>
              <w:numPr>
                <w:ilvl w:val="0"/>
                <w:numId w:val="21"/>
              </w:numPr>
              <w:spacing w:after="0" w:line="240" w:lineRule="auto"/>
              <w:ind w:left="318" w:hanging="318"/>
              <w:jc w:val="both"/>
            </w:pPr>
            <w:r w:rsidRPr="00B34AD4">
              <w:t xml:space="preserve">Nové technologie těžby zemního plynu </w:t>
            </w:r>
            <w:r>
              <w:t>a ropy (břidlicový plyn a ropa) – snížení cen energií, v důsledku přesun výroby do oblastí s levnou pracovní silou</w:t>
            </w:r>
          </w:p>
          <w:p w14:paraId="49D84C62" w14:textId="77777777" w:rsidR="00394F62" w:rsidRDefault="00394F62" w:rsidP="00394F62">
            <w:pPr>
              <w:pStyle w:val="Odstavecseseznamem"/>
              <w:numPr>
                <w:ilvl w:val="0"/>
                <w:numId w:val="21"/>
              </w:numPr>
              <w:spacing w:after="0" w:line="240" w:lineRule="auto"/>
              <w:ind w:left="318" w:hanging="318"/>
              <w:jc w:val="both"/>
            </w:pPr>
            <w:r>
              <w:t>Růst nákladů na energie v důsledku podpory OZE – odchod (energeticky náročných) výrob do zemí s nižšími náklady (nejen na energii), ztráta potenciálu inovační poptávky v některých oborech.</w:t>
            </w:r>
          </w:p>
          <w:p w14:paraId="09F71F00" w14:textId="77777777" w:rsidR="00394F62" w:rsidRDefault="00394F62" w:rsidP="00394F62">
            <w:pPr>
              <w:pStyle w:val="Odstavecseseznamem"/>
              <w:numPr>
                <w:ilvl w:val="0"/>
                <w:numId w:val="21"/>
              </w:numPr>
              <w:spacing w:after="0" w:line="240" w:lineRule="auto"/>
              <w:ind w:left="318" w:hanging="318"/>
              <w:jc w:val="both"/>
            </w:pPr>
            <w:r>
              <w:t>Digitalizace a automatizace výroby – nižší využívání nespecializované pracovní síly</w:t>
            </w:r>
          </w:p>
        </w:tc>
      </w:tr>
    </w:tbl>
    <w:p w14:paraId="0CA6B65C" w14:textId="499E3CD1" w:rsidR="002E5870" w:rsidRDefault="002E5870" w:rsidP="00BB1BC9">
      <w:pPr>
        <w:spacing w:line="360" w:lineRule="auto"/>
        <w:ind w:firstLineChars="709" w:firstLine="1560"/>
        <w:jc w:val="both"/>
        <w:rPr>
          <w:rFonts w:cs="Arial"/>
        </w:rPr>
      </w:pPr>
    </w:p>
    <w:p w14:paraId="568FF331" w14:textId="77777777" w:rsidR="002E5870" w:rsidRDefault="002E5870">
      <w:pPr>
        <w:spacing w:after="200" w:line="276" w:lineRule="auto"/>
        <w:rPr>
          <w:rFonts w:cs="Arial"/>
        </w:rPr>
      </w:pPr>
      <w:r>
        <w:rPr>
          <w:rFonts w:cs="Arial"/>
        </w:rPr>
        <w:br w:type="page"/>
      </w:r>
    </w:p>
    <w:p w14:paraId="72AEB259" w14:textId="4532D0EC" w:rsidR="006E3CC5" w:rsidRPr="006A19EB" w:rsidRDefault="006E3CC5" w:rsidP="006A19EB">
      <w:pPr>
        <w:pStyle w:val="Nadpis1"/>
      </w:pPr>
      <w:bookmarkStart w:id="55" w:name="_Ref521397310"/>
      <w:bookmarkStart w:id="56" w:name="_Ref521397314"/>
      <w:bookmarkStart w:id="57" w:name="_Ref521397325"/>
      <w:bookmarkStart w:id="58" w:name="_Ref521397330"/>
      <w:bookmarkStart w:id="59" w:name="_Toc525716193"/>
      <w:r w:rsidRPr="006A19EB">
        <w:lastRenderedPageBreak/>
        <w:t>Výzkumná a ekonomická specializace ČR</w:t>
      </w:r>
      <w:bookmarkEnd w:id="55"/>
      <w:bookmarkEnd w:id="56"/>
      <w:bookmarkEnd w:id="57"/>
      <w:bookmarkEnd w:id="58"/>
      <w:bookmarkEnd w:id="59"/>
    </w:p>
    <w:p w14:paraId="32FCF2C0" w14:textId="6D003D10" w:rsidR="006E3CC5" w:rsidRDefault="00DB1247" w:rsidP="006A19EB">
      <w:pPr>
        <w:pStyle w:val="Nadpis2"/>
      </w:pPr>
      <w:bookmarkStart w:id="60" w:name="_Toc525716194"/>
      <w:r>
        <w:t>P</w:t>
      </w:r>
      <w:r w:rsidR="006E3CC5" w:rsidRPr="006A19EB">
        <w:t>ojetí specializace</w:t>
      </w:r>
      <w:bookmarkEnd w:id="60"/>
    </w:p>
    <w:p w14:paraId="4E30537F" w14:textId="77777777" w:rsidR="003332BD" w:rsidRDefault="001C2AC9" w:rsidP="003332BD">
      <w:pPr>
        <w:spacing w:before="240" w:after="0" w:line="360" w:lineRule="auto"/>
        <w:ind w:firstLine="709"/>
        <w:jc w:val="both"/>
      </w:pPr>
      <w:r w:rsidRPr="001C2AC9">
        <w:t>Inteligentní specializaci je v kontextu ČR nutné chápat jako nástroj pro orientaci veřejných investic a vytváření vhodných rámcových podmínek s cílem posílit konkurenční výhodu v globální ekonomice. Smyslem inteligentní specializace je pak vytvoření unikátní kombinace kapacit, znalostí a</w:t>
      </w:r>
      <w:r w:rsidR="007149F6">
        <w:t> </w:t>
      </w:r>
      <w:r w:rsidRPr="001C2AC9">
        <w:t xml:space="preserve">dovedností založené na existujícím hospodářském, společenském a znalostním potenciálu země. Zásadní je posilování tzv. </w:t>
      </w:r>
      <w:r w:rsidRPr="001C2AC9">
        <w:rPr>
          <w:i/>
        </w:rPr>
        <w:t>kritické masy</w:t>
      </w:r>
      <w:r w:rsidRPr="001C2AC9">
        <w:t xml:space="preserve"> a také diverzifikace v rámci specializace, tj. </w:t>
      </w:r>
      <w:r>
        <w:t xml:space="preserve">zapojení </w:t>
      </w:r>
      <w:r w:rsidRPr="001C2AC9">
        <w:t>existujících aktiv a znalostí v nových aplikačních oblastech.</w:t>
      </w:r>
    </w:p>
    <w:p w14:paraId="1D8C162D" w14:textId="2EFFFF89" w:rsidR="001C2AC9" w:rsidRPr="001C2AC9" w:rsidRDefault="001C2AC9" w:rsidP="003332BD">
      <w:pPr>
        <w:spacing w:after="0" w:line="360" w:lineRule="auto"/>
        <w:ind w:firstLine="709"/>
        <w:jc w:val="both"/>
      </w:pPr>
      <w:r w:rsidRPr="001C2AC9">
        <w:t xml:space="preserve">Ačkoliv inteligentní specializace zahrnuje jak investice do oblasti veřejného výzkumu, tak investice do oblasti firemních inovací, zásadní pro její úspěch je zapojení aktérů se znalostí </w:t>
      </w:r>
      <w:r w:rsidRPr="001C2AC9">
        <w:rPr>
          <w:b/>
        </w:rPr>
        <w:t xml:space="preserve">možného tržního uplatnění </w:t>
      </w:r>
      <w:r w:rsidRPr="001C2AC9">
        <w:t>nových znalostí a inovací, schopných identifikovat nové příležitosti pro inovační aktivity v soukromé i veřejné sféře.  Bez splnění této podmínky není možné očekávat realizaci inovací ve smyslu produktů a služeb, které přinesou užitek pro zákazníky, resp. pro společnost (v případě veřejné spotřeby), a v důsledku ani posílení konkurenceschopnosti.</w:t>
      </w:r>
    </w:p>
    <w:p w14:paraId="223B82A2" w14:textId="527E6CD3" w:rsidR="001C2AC9" w:rsidRPr="001C2AC9" w:rsidRDefault="001C2AC9" w:rsidP="003332BD">
      <w:pPr>
        <w:spacing w:after="0" w:line="360" w:lineRule="auto"/>
        <w:ind w:firstLine="709"/>
        <w:jc w:val="both"/>
      </w:pPr>
      <w:r w:rsidRPr="001C2AC9">
        <w:t xml:space="preserve">V tomto kontextu je také nutné nahlížet logiku výběru, pro kterou je rozhodující </w:t>
      </w:r>
      <w:r w:rsidRPr="001C2AC9">
        <w:rPr>
          <w:b/>
        </w:rPr>
        <w:t>ekonomická specializace</w:t>
      </w:r>
      <w:r w:rsidRPr="001C2AC9">
        <w:t>, jež odráží stávající (resp. dosavadní) konkurenční výhodu. Konkurenční výhoda může být založena na nákladové výhodnosti, geografické poloze (což v případě české ekonomiky představuje dosud převažující zdroje konkurenční výhody), nebo na expertíze, znalostech a inovační schopnosti v</w:t>
      </w:r>
      <w:r w:rsidR="007149F6">
        <w:t> </w:t>
      </w:r>
      <w:r w:rsidRPr="001C2AC9">
        <w:t>určitém segmentu ekonomické aktivity.</w:t>
      </w:r>
    </w:p>
    <w:p w14:paraId="600F42DD" w14:textId="77777777" w:rsidR="001C2AC9" w:rsidRPr="001C2AC9" w:rsidRDefault="001C2AC9" w:rsidP="00421679">
      <w:pPr>
        <w:spacing w:after="0" w:line="360" w:lineRule="auto"/>
        <w:ind w:firstLine="709"/>
        <w:jc w:val="both"/>
      </w:pPr>
      <w:r w:rsidRPr="001C2AC9">
        <w:t xml:space="preserve">Stávající </w:t>
      </w:r>
      <w:r w:rsidRPr="001C2AC9">
        <w:rPr>
          <w:b/>
        </w:rPr>
        <w:t>výzkumnou specializaci</w:t>
      </w:r>
      <w:r w:rsidRPr="001C2AC9">
        <w:t>, na druhé straně, je třeba nahlížet jako zdroj impulsů pro aplikace, která se mohou stát důležitým zdrojem konkurenční výhody. To však pouze za předpokladu, že zdroje znalostí budou náležitě propojeny s ekonomickými aktivitami v soukromé, veřejné i neziskové sféře.</w:t>
      </w:r>
    </w:p>
    <w:p w14:paraId="7FA68827" w14:textId="77777777" w:rsidR="00D93A14" w:rsidRDefault="00D93A14" w:rsidP="00D93A14">
      <w:pPr>
        <w:spacing w:after="0" w:line="360" w:lineRule="auto"/>
        <w:ind w:firstLine="709"/>
        <w:jc w:val="both"/>
      </w:pPr>
      <w:r>
        <w:t>Z hlediska definování oblastí inteligentní specializace je důležité rozlišovat dva klíčové vlivy, které jsou určující pro identifikaci potenciálních nových aplikačních příležitostí. Na jedné straně jsou to společenské výzvy, na straně druhé pak znalostní domény, představující často nezamýšlené důsledky dosavadního hospodářského a společenského vývoje, s nimiž se jako společnost musíme vyrovnat.</w:t>
      </w:r>
    </w:p>
    <w:p w14:paraId="32C24937" w14:textId="29843048" w:rsidR="00D93A14" w:rsidRDefault="00D93A14" w:rsidP="00D93A14">
      <w:pPr>
        <w:spacing w:after="0" w:line="360" w:lineRule="auto"/>
        <w:ind w:firstLine="709"/>
        <w:jc w:val="both"/>
      </w:pPr>
      <w:r>
        <w:t xml:space="preserve">Společenské výzvy představují z hlediska inteligentní specializace vnější stimuly, které mohou mít povahu společenských a ekonomických potřeb a hrozeb, ale současně vytvářejí příležitosti pro inovativní řešení, včetně technologických a sociálních inovací. Lze je tedy považovat za poptávkové stimuly, pro něž dosud neexistuje uspokojivá nabídka řešení. Pro potřeby inteligentní specializace v ČR jsou společenské výzvy definovány, ve vazbě na trendy a cíle identifikované v rámci Národních priorit orientovaného výzkumu, experimentálního vývoje a inovací, takto: </w:t>
      </w:r>
    </w:p>
    <w:p w14:paraId="627F7EFF" w14:textId="77777777" w:rsidR="00D93A14" w:rsidRDefault="00D93A14" w:rsidP="00D93A14">
      <w:pPr>
        <w:spacing w:after="0" w:line="360" w:lineRule="auto"/>
        <w:ind w:firstLine="709"/>
        <w:jc w:val="both"/>
      </w:pPr>
      <w:r>
        <w:t>•</w:t>
      </w:r>
      <w:r>
        <w:tab/>
        <w:t xml:space="preserve">Konkurenceschopná ekonomika založená na znalostech </w:t>
      </w:r>
    </w:p>
    <w:p w14:paraId="5037E96F" w14:textId="77777777" w:rsidR="00D93A14" w:rsidRDefault="00D93A14" w:rsidP="00D93A14">
      <w:pPr>
        <w:spacing w:after="0" w:line="360" w:lineRule="auto"/>
        <w:ind w:firstLine="709"/>
        <w:jc w:val="both"/>
      </w:pPr>
      <w:r>
        <w:lastRenderedPageBreak/>
        <w:t>•</w:t>
      </w:r>
      <w:r>
        <w:tab/>
        <w:t xml:space="preserve">Udržitelnost energetiky a materiálových zdrojů </w:t>
      </w:r>
    </w:p>
    <w:p w14:paraId="0C031747" w14:textId="77777777" w:rsidR="00D93A14" w:rsidRDefault="00D93A14" w:rsidP="00D93A14">
      <w:pPr>
        <w:spacing w:after="0" w:line="360" w:lineRule="auto"/>
        <w:ind w:firstLine="709"/>
        <w:jc w:val="both"/>
      </w:pPr>
      <w:r>
        <w:t>•</w:t>
      </w:r>
      <w:r>
        <w:tab/>
        <w:t xml:space="preserve">Prostředí pro kvalitní život </w:t>
      </w:r>
    </w:p>
    <w:p w14:paraId="6DA0AB00" w14:textId="77777777" w:rsidR="00D93A14" w:rsidRDefault="00D93A14" w:rsidP="00D93A14">
      <w:pPr>
        <w:spacing w:after="0" w:line="360" w:lineRule="auto"/>
        <w:ind w:firstLine="709"/>
        <w:jc w:val="both"/>
      </w:pPr>
      <w:r>
        <w:t>•</w:t>
      </w:r>
      <w:r>
        <w:tab/>
        <w:t xml:space="preserve">Sociální a kulturní výzvy </w:t>
      </w:r>
    </w:p>
    <w:p w14:paraId="47CCFF48" w14:textId="77777777" w:rsidR="00D93A14" w:rsidRDefault="00D93A14" w:rsidP="00D93A14">
      <w:pPr>
        <w:spacing w:after="0" w:line="360" w:lineRule="auto"/>
        <w:ind w:firstLine="709"/>
        <w:jc w:val="both"/>
      </w:pPr>
      <w:r>
        <w:t>•</w:t>
      </w:r>
      <w:r>
        <w:tab/>
        <w:t xml:space="preserve">Zdravá populace </w:t>
      </w:r>
    </w:p>
    <w:p w14:paraId="1E6A56BC" w14:textId="77777777" w:rsidR="00D93A14" w:rsidRDefault="00D93A14" w:rsidP="00D93A14">
      <w:pPr>
        <w:spacing w:after="0" w:line="360" w:lineRule="auto"/>
        <w:ind w:firstLine="709"/>
        <w:jc w:val="both"/>
      </w:pPr>
      <w:r>
        <w:t>•</w:t>
      </w:r>
      <w:r>
        <w:tab/>
        <w:t xml:space="preserve">Bezpečná společnost </w:t>
      </w:r>
    </w:p>
    <w:p w14:paraId="708E1B26" w14:textId="77777777" w:rsidR="00D93A14" w:rsidRDefault="00D93A14" w:rsidP="00D93A14">
      <w:pPr>
        <w:spacing w:after="0" w:line="360" w:lineRule="auto"/>
        <w:ind w:firstLine="709"/>
        <w:jc w:val="both"/>
      </w:pPr>
      <w:r>
        <w:t xml:space="preserve">Znalostní domény představují soubor poznatků a technologických schopností generické, průřezové povahy s širokým spektrem možných aplikací v řadě oblastí soukromé i veřejné spotřeby. Znalostní domény jsou pro potřeby inteligentní specializace v podmínkách ČR definovány v souladu s definicí tzv. Key Enabling Technologies  takto: </w:t>
      </w:r>
    </w:p>
    <w:p w14:paraId="16B46B21" w14:textId="77777777" w:rsidR="00D93A14" w:rsidRDefault="00D93A14" w:rsidP="00D93A14">
      <w:pPr>
        <w:spacing w:after="0" w:line="360" w:lineRule="auto"/>
        <w:ind w:firstLine="709"/>
        <w:jc w:val="both"/>
      </w:pPr>
      <w:r>
        <w:t>•</w:t>
      </w:r>
      <w:r>
        <w:tab/>
        <w:t xml:space="preserve">pokročilé materiály, </w:t>
      </w:r>
    </w:p>
    <w:p w14:paraId="227EA13D" w14:textId="77777777" w:rsidR="00D93A14" w:rsidRDefault="00D93A14" w:rsidP="00D93A14">
      <w:pPr>
        <w:spacing w:after="0" w:line="360" w:lineRule="auto"/>
        <w:ind w:firstLine="709"/>
        <w:jc w:val="both"/>
      </w:pPr>
      <w:r>
        <w:t>•</w:t>
      </w:r>
      <w:r>
        <w:tab/>
        <w:t xml:space="preserve">nanotechnologie, </w:t>
      </w:r>
    </w:p>
    <w:p w14:paraId="6EFC693D" w14:textId="77777777" w:rsidR="00D93A14" w:rsidRDefault="00D93A14" w:rsidP="00D93A14">
      <w:pPr>
        <w:spacing w:after="0" w:line="360" w:lineRule="auto"/>
        <w:ind w:firstLine="709"/>
        <w:jc w:val="both"/>
      </w:pPr>
      <w:r>
        <w:t>•</w:t>
      </w:r>
      <w:r>
        <w:tab/>
        <w:t xml:space="preserve">mikro a nanoelektronika, </w:t>
      </w:r>
    </w:p>
    <w:p w14:paraId="645E3F52" w14:textId="77777777" w:rsidR="00D93A14" w:rsidRDefault="00D93A14" w:rsidP="00D93A14">
      <w:pPr>
        <w:spacing w:after="0" w:line="360" w:lineRule="auto"/>
        <w:ind w:firstLine="709"/>
        <w:jc w:val="both"/>
      </w:pPr>
      <w:r>
        <w:t>•</w:t>
      </w:r>
      <w:r>
        <w:tab/>
        <w:t>fotonika,</w:t>
      </w:r>
    </w:p>
    <w:p w14:paraId="0EB017DD" w14:textId="77777777" w:rsidR="00D93A14" w:rsidRDefault="00D93A14" w:rsidP="00D93A14">
      <w:pPr>
        <w:spacing w:after="0" w:line="360" w:lineRule="auto"/>
        <w:ind w:firstLine="709"/>
        <w:jc w:val="both"/>
      </w:pPr>
      <w:r>
        <w:t>•</w:t>
      </w:r>
      <w:r>
        <w:tab/>
        <w:t xml:space="preserve">pokročilé výrobní technologie, </w:t>
      </w:r>
    </w:p>
    <w:p w14:paraId="7D50C122" w14:textId="77777777" w:rsidR="00D93A14" w:rsidRDefault="00D93A14" w:rsidP="00D93A14">
      <w:pPr>
        <w:spacing w:after="0" w:line="360" w:lineRule="auto"/>
        <w:ind w:firstLine="709"/>
        <w:jc w:val="both"/>
      </w:pPr>
      <w:r>
        <w:t>•</w:t>
      </w:r>
      <w:r>
        <w:tab/>
        <w:t xml:space="preserve">průmyslové biotechnologie.  </w:t>
      </w:r>
    </w:p>
    <w:p w14:paraId="4484F319" w14:textId="1E0E3362" w:rsidR="001C2AC9" w:rsidRPr="001C2AC9" w:rsidRDefault="001C2AC9" w:rsidP="00D93A14">
      <w:pPr>
        <w:spacing w:after="0" w:line="360" w:lineRule="auto"/>
        <w:ind w:firstLine="709"/>
        <w:jc w:val="both"/>
      </w:pPr>
      <w:r w:rsidRPr="001C2AC9">
        <w:t>V případě znalostních domén i společenských výzev hraje veřejný sektor a veřejné investice do výzkumu a inovací dvojí nezastupitelnou roli. Plní funkci investora, který má zajistit existenci odpovídající úrovně fundamentálních znalostí a expertíz, které jsou důležité z hlediska dlouhodobé konkurenceschopnosti ekonomiky a efektivní veřejné správy, a to včetně zajištění odpovídajících mechanismů pro provázání nabídky znalostí s poptávkou uživatelů. Na straně druhé má být veřejný sektor partnerem, který definuje – ve spolupráci s firemní sférou – klíčové společenské výzvy, na něž je nutné prioritně reagovat a úměrně tomu směrovat veřejné prostředky. Tomu může napomáhat podporou rozvoje nových aplikací nebo snahou přímo zajistit nové aplikace a řešení v oborech, kde funguje veřejný sektor v roli významného klienta (např. v oblasti veřejných a</w:t>
      </w:r>
      <w:r w:rsidRPr="001C2AC9">
        <w:rPr>
          <w:i/>
        </w:rPr>
        <w:t xml:space="preserve"> poloveřejných </w:t>
      </w:r>
      <w:r w:rsidRPr="001C2AC9">
        <w:t xml:space="preserve">statků jako je zdravotní péče, ochrana životního prostředí, bezpečnost, vzdělávání, potravinová soběstačnost ad.). </w:t>
      </w:r>
    </w:p>
    <w:p w14:paraId="3B6EE59E" w14:textId="0C0EBB28" w:rsidR="001C2AC9" w:rsidRPr="001C2AC9" w:rsidRDefault="001C2AC9" w:rsidP="00A027BA">
      <w:pPr>
        <w:spacing w:after="0" w:line="360" w:lineRule="auto"/>
        <w:jc w:val="both"/>
      </w:pPr>
      <w:r w:rsidRPr="001C2AC9">
        <w:t xml:space="preserve">Soukromý sektor má nezastupitelnou roli v </w:t>
      </w:r>
      <w:r w:rsidRPr="001C2AC9">
        <w:rPr>
          <w:i/>
        </w:rPr>
        <w:t>identifikaci aplikačních odvětví</w:t>
      </w:r>
      <w:r>
        <w:t xml:space="preserve"> (formou EDP) směřujících k </w:t>
      </w:r>
      <w:r w:rsidRPr="001C2AC9">
        <w:t>inovacím, novým produktům a službám s uplatněním v konkrétních tržních nikách.  Může se přitom jednat jak o využití nových poznatků jednotlivých znalostních domén, tak o řešení založená na již dostupných technologiích, ale poskytovaná novým způsobem, nebo na řešeních povahy netechnické inovace, která však také mohou mít zásadní přínosy pro konkurenceschopnost ekonomiky, zejména v</w:t>
      </w:r>
      <w:r w:rsidR="00A027BA">
        <w:t> </w:t>
      </w:r>
      <w:r w:rsidRPr="001C2AC9">
        <w:t>oblasti služeb.</w:t>
      </w:r>
    </w:p>
    <w:p w14:paraId="393F1532" w14:textId="63E61614" w:rsidR="001C2AC9" w:rsidRDefault="001C2AC9" w:rsidP="003332BD">
      <w:pPr>
        <w:spacing w:after="0" w:line="360" w:lineRule="auto"/>
        <w:ind w:firstLine="709"/>
        <w:jc w:val="both"/>
      </w:pPr>
      <w:r w:rsidRPr="001C2AC9">
        <w:t xml:space="preserve">Inteligentní specializace musí na jedné straně zajistit v odpovídajícím rozsahu investice do znalostních domén nezbytných pro udržení a posílení existující konkurenční výhody, současně ale také vytvářet podmínky pro rozvoj nových aplikačních oblastí a příležitostí, včetně těch, které budou reagovat na identifikované společenské výzvy. Inteligentní specializace má za úkol definovat </w:t>
      </w:r>
      <w:r w:rsidRPr="001C2AC9">
        <w:lastRenderedPageBreak/>
        <w:t>v</w:t>
      </w:r>
      <w:r w:rsidR="00A027BA">
        <w:t> </w:t>
      </w:r>
      <w:r w:rsidRPr="001C2AC9">
        <w:t>prioritních oborech ekonomické specializace nástroje, které zajistí těsnější propojení mezi firmami a</w:t>
      </w:r>
      <w:r w:rsidR="00A027BA">
        <w:t> </w:t>
      </w:r>
      <w:r w:rsidRPr="001C2AC9">
        <w:t>výzkumnými organizacemi coby nositeli expertízy v jednotlivých znalostních doménách.</w:t>
      </w:r>
    </w:p>
    <w:p w14:paraId="12549EED" w14:textId="77777777" w:rsidR="00AF018C" w:rsidRPr="001C2AC9" w:rsidRDefault="00AF018C" w:rsidP="00A027BA">
      <w:pPr>
        <w:spacing w:after="0" w:line="360" w:lineRule="auto"/>
        <w:ind w:firstLine="576"/>
        <w:jc w:val="both"/>
      </w:pPr>
    </w:p>
    <w:p w14:paraId="2CF97150" w14:textId="66FFD96E" w:rsidR="006E3CC5" w:rsidRPr="006A19EB" w:rsidRDefault="006E3CC5" w:rsidP="006A19EB">
      <w:pPr>
        <w:pStyle w:val="Nadpis2"/>
      </w:pPr>
      <w:bookmarkStart w:id="61" w:name="_Ref523144948"/>
      <w:bookmarkStart w:id="62" w:name="_Ref523144955"/>
      <w:bookmarkStart w:id="63" w:name="_Toc525716195"/>
      <w:r w:rsidRPr="006A19EB">
        <w:t>Specializace ČR</w:t>
      </w:r>
      <w:bookmarkEnd w:id="61"/>
      <w:bookmarkEnd w:id="62"/>
      <w:bookmarkEnd w:id="63"/>
    </w:p>
    <w:p w14:paraId="787CE16D" w14:textId="62958236" w:rsidR="006E3CC5" w:rsidRPr="006A19EB" w:rsidRDefault="006E3CC5" w:rsidP="006A19EB">
      <w:pPr>
        <w:pStyle w:val="Nadpis3"/>
      </w:pPr>
      <w:bookmarkStart w:id="64" w:name="_Toc525716196"/>
      <w:r w:rsidRPr="006A19EB">
        <w:t>Ekonomická specializace</w:t>
      </w:r>
      <w:bookmarkEnd w:id="64"/>
    </w:p>
    <w:p w14:paraId="27709C15" w14:textId="30602676" w:rsidR="000570B9" w:rsidRPr="00BA4F8E" w:rsidRDefault="000570B9" w:rsidP="000570B9">
      <w:pPr>
        <w:spacing w:before="240" w:line="360" w:lineRule="auto"/>
        <w:ind w:firstLine="708"/>
        <w:jc w:val="both"/>
        <w:rPr>
          <w:rFonts w:cs="Arial"/>
        </w:rPr>
      </w:pPr>
      <w:r w:rsidRPr="00BA4F8E">
        <w:rPr>
          <w:rFonts w:cs="Arial"/>
        </w:rPr>
        <w:t xml:space="preserve">ČR je velmi malá otevřená ekonomika, která je založena na exportu, což dokládá vývoj salda zahraničního obchodu (viz </w:t>
      </w:r>
      <w:r w:rsidR="00752227" w:rsidRPr="001408D0">
        <w:rPr>
          <w:rFonts w:cs="Arial"/>
        </w:rPr>
        <w:fldChar w:fldCharType="begin"/>
      </w:r>
      <w:r w:rsidR="00752227" w:rsidRPr="001408D0">
        <w:rPr>
          <w:rFonts w:cs="Arial"/>
        </w:rPr>
        <w:instrText xml:space="preserve"> REF _Ref521398120 \h  \* MERGEFORMAT </w:instrText>
      </w:r>
      <w:r w:rsidR="00752227" w:rsidRPr="001408D0">
        <w:rPr>
          <w:rFonts w:cs="Arial"/>
        </w:rPr>
      </w:r>
      <w:r w:rsidR="00752227" w:rsidRPr="001408D0">
        <w:rPr>
          <w:rFonts w:cs="Arial"/>
        </w:rPr>
        <w:fldChar w:fldCharType="separate"/>
      </w:r>
      <w:r w:rsidR="00DE40D4" w:rsidRPr="00DE40D4">
        <w:t xml:space="preserve">Graf </w:t>
      </w:r>
      <w:r w:rsidR="00DE40D4" w:rsidRPr="00DE40D4">
        <w:rPr>
          <w:noProof/>
        </w:rPr>
        <w:t>12</w:t>
      </w:r>
      <w:r w:rsidR="00752227" w:rsidRPr="001408D0">
        <w:rPr>
          <w:rFonts w:cs="Arial"/>
        </w:rPr>
        <w:fldChar w:fldCharType="end"/>
      </w:r>
      <w:r w:rsidRPr="00BA4F8E">
        <w:rPr>
          <w:rFonts w:cs="Arial"/>
        </w:rPr>
        <w:t>), kdy od roku 2004 sledujeme kladné saldo ZO.</w:t>
      </w:r>
    </w:p>
    <w:p w14:paraId="641D08F2" w14:textId="2273DF72" w:rsidR="000570B9" w:rsidRPr="00BA4F8E" w:rsidRDefault="00923775" w:rsidP="000570B9">
      <w:pPr>
        <w:jc w:val="center"/>
        <w:rPr>
          <w:rFonts w:cs="Arial"/>
          <w:b/>
        </w:rPr>
      </w:pPr>
      <w:bookmarkStart w:id="65" w:name="_Ref521398120"/>
      <w:bookmarkStart w:id="66" w:name="_Toc525716314"/>
      <w:r w:rsidRPr="00BA4F8E">
        <w:rPr>
          <w:rFonts w:cs="Arial"/>
          <w:noProof/>
          <w:lang w:eastAsia="cs-CZ"/>
        </w:rPr>
        <w:drawing>
          <wp:anchor distT="0" distB="0" distL="114300" distR="114300" simplePos="0" relativeHeight="251698176" behindDoc="0" locked="0" layoutInCell="1" allowOverlap="1" wp14:anchorId="032F049E" wp14:editId="2308D866">
            <wp:simplePos x="0" y="0"/>
            <wp:positionH relativeFrom="margin">
              <wp:align>right</wp:align>
            </wp:positionH>
            <wp:positionV relativeFrom="paragraph">
              <wp:posOffset>413843</wp:posOffset>
            </wp:positionV>
            <wp:extent cx="5629523" cy="1693628"/>
            <wp:effectExtent l="0" t="0" r="9525" b="1905"/>
            <wp:wrapSquare wrapText="bothSides"/>
            <wp:docPr id="50" name="Graf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anchor>
        </w:drawing>
      </w:r>
      <w:r w:rsidR="000570B9" w:rsidRPr="00BA4F8E">
        <w:rPr>
          <w:b/>
        </w:rPr>
        <w:t xml:space="preserve">Graf </w:t>
      </w:r>
      <w:r w:rsidR="000570B9" w:rsidRPr="00BA4F8E">
        <w:rPr>
          <w:b/>
        </w:rPr>
        <w:fldChar w:fldCharType="begin"/>
      </w:r>
      <w:r w:rsidR="000570B9" w:rsidRPr="00BA4F8E">
        <w:rPr>
          <w:b/>
        </w:rPr>
        <w:instrText xml:space="preserve"> SEQ Graf \* ARABIC </w:instrText>
      </w:r>
      <w:r w:rsidR="000570B9" w:rsidRPr="00BA4F8E">
        <w:rPr>
          <w:b/>
        </w:rPr>
        <w:fldChar w:fldCharType="separate"/>
      </w:r>
      <w:r w:rsidR="00DE40D4">
        <w:rPr>
          <w:b/>
          <w:noProof/>
        </w:rPr>
        <w:t>12</w:t>
      </w:r>
      <w:r w:rsidR="000570B9" w:rsidRPr="00BA4F8E">
        <w:rPr>
          <w:b/>
        </w:rPr>
        <w:fldChar w:fldCharType="end"/>
      </w:r>
      <w:bookmarkEnd w:id="65"/>
      <w:r w:rsidR="000570B9" w:rsidRPr="00BA4F8E">
        <w:t xml:space="preserve"> - </w:t>
      </w:r>
      <w:r w:rsidR="000570B9" w:rsidRPr="00BA4F8E">
        <w:rPr>
          <w:rFonts w:cs="Arial"/>
          <w:b/>
        </w:rPr>
        <w:t>Vývoj zahraničního obchodu ČR v letech 2003 – 2016</w:t>
      </w:r>
      <w:bookmarkEnd w:id="66"/>
    </w:p>
    <w:p w14:paraId="2C89BDD8" w14:textId="18685492" w:rsidR="000570B9" w:rsidRPr="00CD72A9" w:rsidRDefault="00CD72A9" w:rsidP="00CD72A9">
      <w:pPr>
        <w:jc w:val="both"/>
        <w:rPr>
          <w:rFonts w:cs="Arial"/>
          <w:i/>
          <w:sz w:val="18"/>
          <w:szCs w:val="18"/>
        </w:rPr>
      </w:pPr>
      <w:r>
        <w:rPr>
          <w:rFonts w:cs="Arial"/>
          <w:i/>
          <w:sz w:val="18"/>
          <w:szCs w:val="18"/>
        </w:rPr>
        <w:t xml:space="preserve">    </w:t>
      </w:r>
      <w:r w:rsidR="000570B9" w:rsidRPr="00CD72A9">
        <w:rPr>
          <w:rFonts w:cs="Arial"/>
          <w:i/>
          <w:sz w:val="18"/>
          <w:szCs w:val="18"/>
        </w:rPr>
        <w:t>Zdroj: ČSÚ (národní účty, HDP výdajovou metodou)</w:t>
      </w:r>
      <w:r w:rsidR="00700E66" w:rsidRPr="00CD72A9">
        <w:rPr>
          <w:rFonts w:cs="Arial"/>
          <w:i/>
          <w:sz w:val="18"/>
          <w:szCs w:val="18"/>
        </w:rPr>
        <w:t>, vlastní zpracování</w:t>
      </w:r>
    </w:p>
    <w:p w14:paraId="3B44C2BD" w14:textId="77777777" w:rsidR="000570B9" w:rsidRPr="00BA4F8E" w:rsidRDefault="000570B9" w:rsidP="000570B9">
      <w:pPr>
        <w:jc w:val="both"/>
        <w:rPr>
          <w:rFonts w:cs="Arial"/>
        </w:rPr>
      </w:pPr>
    </w:p>
    <w:p w14:paraId="57EF9A23" w14:textId="77777777" w:rsidR="000570B9" w:rsidRPr="00BA4F8E" w:rsidRDefault="000570B9" w:rsidP="006634B6">
      <w:pPr>
        <w:spacing w:after="0" w:line="360" w:lineRule="auto"/>
        <w:ind w:firstLine="708"/>
        <w:jc w:val="both"/>
        <w:rPr>
          <w:rFonts w:cs="Arial"/>
        </w:rPr>
      </w:pPr>
      <w:r w:rsidRPr="00BA4F8E">
        <w:rPr>
          <w:rFonts w:cs="Arial"/>
        </w:rPr>
        <w:t>V roce 2017 dosáhl export 4 208 mld. Kč, což odpovídá 83,4 % hodnoty HDP</w:t>
      </w:r>
      <w:r w:rsidRPr="00BA4F8E">
        <w:rPr>
          <w:rStyle w:val="Znakapoznpodarou"/>
          <w:rFonts w:cs="Arial"/>
        </w:rPr>
        <w:footnoteReference w:id="48"/>
      </w:r>
      <w:r w:rsidRPr="00BA4F8E">
        <w:rPr>
          <w:rFonts w:cs="Arial"/>
        </w:rPr>
        <w:t xml:space="preserve">. Analýza exportu je proto výchozím krokem pro identifikaci domén inteligentní specializace. Analýzou exportu identifikujeme hlavní obory, v nichž je ekonomika ČR mezinárodně konkurenceschopná. Uvnitř těchto oborů dále identifikujeme hlavní produktové skupiny, v nichž je ČR mezinárodně významnou ekonomikou. </w:t>
      </w:r>
    </w:p>
    <w:p w14:paraId="1DF90383" w14:textId="2E27CA59" w:rsidR="000570B9" w:rsidRDefault="000570B9" w:rsidP="006634B6">
      <w:pPr>
        <w:spacing w:after="0" w:line="360" w:lineRule="auto"/>
        <w:ind w:firstLine="708"/>
        <w:jc w:val="both"/>
        <w:rPr>
          <w:rFonts w:cs="Arial"/>
        </w:rPr>
      </w:pPr>
      <w:r w:rsidRPr="00BA4F8E">
        <w:rPr>
          <w:rFonts w:cs="Arial"/>
        </w:rPr>
        <w:t>Prvním krokem analýzy exportu je identifikace produktových tříd SITC 2</w:t>
      </w:r>
      <w:r w:rsidRPr="00BA4F8E">
        <w:rPr>
          <w:rStyle w:val="Znakapoznpodarou"/>
          <w:rFonts w:cs="Arial"/>
        </w:rPr>
        <w:footnoteReference w:id="49"/>
      </w:r>
      <w:r w:rsidRPr="00BA4F8E">
        <w:rPr>
          <w:rFonts w:cs="Arial"/>
        </w:rPr>
        <w:t xml:space="preserve"> s nejvyšším podílem na exportu ČR. Pro eliminaci vlivu dílčích meziročních výkyvů je podíl na exportu počítán jako průměrný podíl v letech 2014–2016. Podíl na exportu je indikátorem významnosti jednotlivých produktových tříd pro ekonomiku ČR. Druhým krokem je výpočet tzv. zjevné komparativní výhody (revealed comparative advantage) pro produktové třídy SITC 2. Také v tomto případě je dosaženo eliminace meziročních výkyvů prostřednictvím průměru za roky 2014–2016. Pro měření komparativní výhody byl použit </w:t>
      </w:r>
      <w:r w:rsidRPr="00BA4F8E">
        <w:rPr>
          <w:rFonts w:cs="Arial"/>
        </w:rPr>
        <w:lastRenderedPageBreak/>
        <w:t>Balassův index</w:t>
      </w:r>
      <w:r w:rsidRPr="00BA4F8E">
        <w:rPr>
          <w:rStyle w:val="Znakapoznpodarou"/>
          <w:rFonts w:cs="Arial"/>
        </w:rPr>
        <w:footnoteReference w:id="50"/>
      </w:r>
      <w:r w:rsidRPr="00BA4F8E">
        <w:rPr>
          <w:rFonts w:cs="Arial"/>
        </w:rPr>
        <w:t xml:space="preserve"> (BI) na jehož základu je možné určit specializaci vývozu určitého výrobku dané země. Výsledek prvních dvou kroků zobrazu</w:t>
      </w:r>
      <w:r w:rsidRPr="00217D5C">
        <w:rPr>
          <w:rFonts w:cs="Arial"/>
        </w:rPr>
        <w:t>je</w:t>
      </w:r>
      <w:r w:rsidRPr="00A07887">
        <w:rPr>
          <w:rFonts w:cs="Arial"/>
        </w:rPr>
        <w:t xml:space="preserve"> </w:t>
      </w:r>
      <w:r w:rsidR="00DA7FC5" w:rsidRPr="001F1DD6">
        <w:rPr>
          <w:rFonts w:cs="Arial"/>
          <w:highlight w:val="yellow"/>
        </w:rPr>
        <w:fldChar w:fldCharType="begin"/>
      </w:r>
      <w:r w:rsidR="00DA7FC5" w:rsidRPr="001F1DD6">
        <w:rPr>
          <w:rFonts w:cs="Arial"/>
        </w:rPr>
        <w:instrText xml:space="preserve"> REF _Ref521398325 \h </w:instrText>
      </w:r>
      <w:r w:rsidR="00DA7FC5" w:rsidRPr="001F1DD6">
        <w:rPr>
          <w:rFonts w:cs="Arial"/>
          <w:highlight w:val="yellow"/>
        </w:rPr>
      </w:r>
      <w:r w:rsidR="00DA7FC5" w:rsidRPr="001F1DD6">
        <w:rPr>
          <w:rFonts w:cs="Arial"/>
          <w:highlight w:val="yellow"/>
        </w:rPr>
        <w:fldChar w:fldCharType="separate"/>
      </w:r>
      <w:r w:rsidR="00DE40D4">
        <w:t xml:space="preserve">Graf </w:t>
      </w:r>
      <w:r w:rsidR="00DE40D4">
        <w:rPr>
          <w:noProof/>
        </w:rPr>
        <w:t>13</w:t>
      </w:r>
      <w:r w:rsidR="00DA7FC5" w:rsidRPr="001F1DD6">
        <w:rPr>
          <w:rFonts w:cs="Arial"/>
          <w:highlight w:val="yellow"/>
        </w:rPr>
        <w:fldChar w:fldCharType="end"/>
      </w:r>
      <w:r w:rsidRPr="001F1DD6">
        <w:rPr>
          <w:rFonts w:cs="Arial"/>
        </w:rPr>
        <w:t>.</w:t>
      </w:r>
    </w:p>
    <w:p w14:paraId="6BABFCED" w14:textId="77777777" w:rsidR="00700729" w:rsidRPr="00BA4F8E" w:rsidRDefault="00700729" w:rsidP="006634B6">
      <w:pPr>
        <w:spacing w:after="0" w:line="360" w:lineRule="auto"/>
        <w:ind w:firstLine="708"/>
        <w:jc w:val="both"/>
        <w:rPr>
          <w:rFonts w:cs="Arial"/>
        </w:rPr>
      </w:pPr>
    </w:p>
    <w:p w14:paraId="6D4FB401" w14:textId="7EEE797C" w:rsidR="000570B9" w:rsidRPr="00BA4F8E" w:rsidRDefault="00DA7FC5" w:rsidP="00580DE3">
      <w:pPr>
        <w:pStyle w:val="Titulek"/>
      </w:pPr>
      <w:bookmarkStart w:id="67" w:name="_Ref521398325"/>
      <w:bookmarkStart w:id="68" w:name="_Toc525716315"/>
      <w:r>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13</w:t>
      </w:r>
      <w:r w:rsidR="00EE7C52">
        <w:rPr>
          <w:noProof/>
        </w:rPr>
        <w:fldChar w:fldCharType="end"/>
      </w:r>
      <w:bookmarkEnd w:id="67"/>
      <w:r w:rsidR="00B2479C" w:rsidRPr="00BA4F8E">
        <w:t xml:space="preserve"> – Exportní specializace ČR na úrovni tříd SITC2</w:t>
      </w:r>
      <w:bookmarkEnd w:id="68"/>
    </w:p>
    <w:p w14:paraId="25B96F72" w14:textId="346B790E" w:rsidR="000570B9" w:rsidRPr="00BA4F8E" w:rsidRDefault="00B2479C" w:rsidP="000570B9">
      <w:pPr>
        <w:spacing w:before="240" w:line="360" w:lineRule="auto"/>
        <w:ind w:firstLine="708"/>
        <w:jc w:val="both"/>
        <w:rPr>
          <w:rFonts w:cs="Arial"/>
        </w:rPr>
      </w:pPr>
      <w:r w:rsidRPr="00BA4F8E">
        <w:rPr>
          <w:noProof/>
          <w:lang w:eastAsia="cs-CZ"/>
        </w:rPr>
        <w:drawing>
          <wp:anchor distT="0" distB="0" distL="114300" distR="114300" simplePos="0" relativeHeight="251683840" behindDoc="0" locked="0" layoutInCell="1" allowOverlap="1" wp14:anchorId="1A0FEE39" wp14:editId="5A4698DB">
            <wp:simplePos x="0" y="0"/>
            <wp:positionH relativeFrom="column">
              <wp:posOffset>0</wp:posOffset>
            </wp:positionH>
            <wp:positionV relativeFrom="paragraph">
              <wp:posOffset>0</wp:posOffset>
            </wp:positionV>
            <wp:extent cx="6154420" cy="3005593"/>
            <wp:effectExtent l="0" t="0" r="17780" b="4445"/>
            <wp:wrapNone/>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p>
    <w:p w14:paraId="2B868C3E" w14:textId="77777777" w:rsidR="00B2479C" w:rsidRPr="00BA4F8E" w:rsidRDefault="00B2479C" w:rsidP="000570B9">
      <w:pPr>
        <w:spacing w:before="240" w:line="360" w:lineRule="auto"/>
        <w:ind w:firstLine="708"/>
        <w:jc w:val="both"/>
        <w:rPr>
          <w:rFonts w:cs="Arial"/>
        </w:rPr>
      </w:pPr>
    </w:p>
    <w:p w14:paraId="63BEE8C2" w14:textId="77777777" w:rsidR="00B2479C" w:rsidRPr="00BA4F8E" w:rsidRDefault="00B2479C" w:rsidP="000570B9">
      <w:pPr>
        <w:spacing w:before="240" w:line="360" w:lineRule="auto"/>
        <w:ind w:firstLine="708"/>
        <w:jc w:val="both"/>
        <w:rPr>
          <w:rFonts w:cs="Arial"/>
        </w:rPr>
      </w:pPr>
    </w:p>
    <w:p w14:paraId="2DF44A32" w14:textId="77777777" w:rsidR="00B2479C" w:rsidRPr="00BA4F8E" w:rsidRDefault="00B2479C" w:rsidP="000570B9">
      <w:pPr>
        <w:spacing w:before="240" w:line="360" w:lineRule="auto"/>
        <w:ind w:firstLine="708"/>
        <w:jc w:val="both"/>
        <w:rPr>
          <w:rFonts w:cs="Arial"/>
        </w:rPr>
      </w:pPr>
    </w:p>
    <w:p w14:paraId="0FCF3356" w14:textId="77777777" w:rsidR="00B2479C" w:rsidRPr="00BA4F8E" w:rsidRDefault="00B2479C" w:rsidP="000570B9">
      <w:pPr>
        <w:spacing w:before="240" w:line="360" w:lineRule="auto"/>
        <w:ind w:firstLine="708"/>
        <w:jc w:val="both"/>
        <w:rPr>
          <w:rFonts w:cs="Arial"/>
        </w:rPr>
      </w:pPr>
    </w:p>
    <w:p w14:paraId="1AF1358C" w14:textId="77777777" w:rsidR="00B2479C" w:rsidRPr="00BA4F8E" w:rsidRDefault="00B2479C" w:rsidP="000570B9">
      <w:pPr>
        <w:spacing w:before="240" w:line="360" w:lineRule="auto"/>
        <w:ind w:firstLine="708"/>
        <w:jc w:val="both"/>
        <w:rPr>
          <w:rFonts w:cs="Arial"/>
        </w:rPr>
      </w:pPr>
    </w:p>
    <w:p w14:paraId="32A00464" w14:textId="77777777" w:rsidR="00B2479C" w:rsidRPr="00BA4F8E" w:rsidRDefault="00B2479C" w:rsidP="000570B9">
      <w:pPr>
        <w:spacing w:before="240" w:line="360" w:lineRule="auto"/>
        <w:ind w:firstLine="708"/>
        <w:jc w:val="both"/>
        <w:rPr>
          <w:rFonts w:cs="Arial"/>
        </w:rPr>
      </w:pPr>
    </w:p>
    <w:p w14:paraId="691324B8" w14:textId="77777777" w:rsidR="00B2479C" w:rsidRPr="00BA4F8E" w:rsidRDefault="00B2479C" w:rsidP="00B2479C">
      <w:pPr>
        <w:pStyle w:val="Zdrojdat"/>
        <w:rPr>
          <w:rFonts w:asciiTheme="minorHAnsi" w:hAnsiTheme="minorHAnsi"/>
          <w:i/>
          <w:sz w:val="22"/>
          <w:szCs w:val="22"/>
          <w:lang w:eastAsia="cs-CZ"/>
        </w:rPr>
      </w:pPr>
    </w:p>
    <w:p w14:paraId="6162FA2D" w14:textId="319762C8" w:rsidR="00B2479C" w:rsidRPr="00421679" w:rsidRDefault="00B2479C" w:rsidP="00B2479C">
      <w:pPr>
        <w:pStyle w:val="Zdrojdat"/>
        <w:rPr>
          <w:rFonts w:asciiTheme="minorHAnsi" w:hAnsiTheme="minorHAnsi"/>
          <w:i/>
          <w:sz w:val="18"/>
          <w:szCs w:val="18"/>
        </w:rPr>
      </w:pPr>
      <w:r w:rsidRPr="00421679">
        <w:rPr>
          <w:rFonts w:asciiTheme="minorHAnsi" w:hAnsiTheme="minorHAnsi"/>
          <w:i/>
          <w:sz w:val="18"/>
          <w:szCs w:val="18"/>
          <w:lang w:eastAsia="cs-CZ"/>
        </w:rPr>
        <w:t>Zdroj:</w:t>
      </w:r>
      <w:r w:rsidRPr="00421679">
        <w:rPr>
          <w:rFonts w:asciiTheme="minorHAnsi" w:hAnsiTheme="minorHAnsi"/>
          <w:i/>
          <w:sz w:val="18"/>
          <w:szCs w:val="18"/>
        </w:rPr>
        <w:t xml:space="preserve"> vlastní výpočty na základě dat UNCTAD a ČSÚ (databáze zahraničního obchodu)</w:t>
      </w:r>
    </w:p>
    <w:p w14:paraId="2D246A6A" w14:textId="77777777" w:rsidR="00B2479C" w:rsidRPr="00421679" w:rsidRDefault="00B2479C" w:rsidP="00B2479C">
      <w:pPr>
        <w:pStyle w:val="Zdrojdat"/>
        <w:rPr>
          <w:rFonts w:asciiTheme="minorHAnsi" w:hAnsiTheme="minorHAnsi"/>
          <w:i/>
          <w:sz w:val="18"/>
          <w:szCs w:val="18"/>
        </w:rPr>
      </w:pPr>
      <w:r w:rsidRPr="00421679">
        <w:rPr>
          <w:rFonts w:asciiTheme="minorHAnsi" w:hAnsiTheme="minorHAnsi"/>
          <w:i/>
          <w:sz w:val="18"/>
          <w:szCs w:val="18"/>
        </w:rPr>
        <w:t>Pozn.: Pro přehlednost jsou uvedeny pouze vybrané třídy SITC2.</w:t>
      </w:r>
    </w:p>
    <w:p w14:paraId="1E749A3C" w14:textId="77777777" w:rsidR="00B2479C" w:rsidRPr="00BA4F8E" w:rsidRDefault="00B2479C" w:rsidP="00B2479C">
      <w:pPr>
        <w:pStyle w:val="Zdrojdat"/>
        <w:rPr>
          <w:rFonts w:asciiTheme="minorHAnsi" w:hAnsiTheme="minorHAnsi"/>
          <w:sz w:val="22"/>
          <w:szCs w:val="22"/>
        </w:rPr>
      </w:pPr>
    </w:p>
    <w:p w14:paraId="5603A8D0" w14:textId="4BCE3EFE" w:rsidR="00B2479C" w:rsidRDefault="00B2479C" w:rsidP="00B2479C">
      <w:pPr>
        <w:spacing w:before="240" w:after="200" w:line="360" w:lineRule="auto"/>
        <w:ind w:firstLine="708"/>
        <w:jc w:val="both"/>
        <w:rPr>
          <w:rFonts w:cs="Arial"/>
        </w:rPr>
      </w:pPr>
      <w:r w:rsidRPr="002B0101">
        <w:rPr>
          <w:rFonts w:cs="Arial"/>
          <w:highlight w:val="yellow"/>
        </w:rPr>
        <w:fldChar w:fldCharType="begin"/>
      </w:r>
      <w:r w:rsidRPr="002B0101">
        <w:rPr>
          <w:rFonts w:cs="Arial"/>
        </w:rPr>
        <w:instrText xml:space="preserve"> REF _Ref521398325 \h </w:instrText>
      </w:r>
      <w:r w:rsidR="00BA4F8E" w:rsidRPr="002B0101">
        <w:rPr>
          <w:rFonts w:cs="Arial"/>
          <w:highlight w:val="yellow"/>
        </w:rPr>
        <w:instrText xml:space="preserve"> \* MERGEFORMAT </w:instrText>
      </w:r>
      <w:r w:rsidRPr="002B0101">
        <w:rPr>
          <w:rFonts w:cs="Arial"/>
          <w:highlight w:val="yellow"/>
        </w:rPr>
      </w:r>
      <w:r w:rsidRPr="002B0101">
        <w:rPr>
          <w:rFonts w:cs="Arial"/>
          <w:highlight w:val="yellow"/>
        </w:rPr>
        <w:fldChar w:fldCharType="separate"/>
      </w:r>
      <w:r w:rsidR="00DE40D4">
        <w:t xml:space="preserve">Graf </w:t>
      </w:r>
      <w:r w:rsidR="00DE40D4">
        <w:rPr>
          <w:noProof/>
        </w:rPr>
        <w:t>13</w:t>
      </w:r>
      <w:r w:rsidRPr="002B0101">
        <w:rPr>
          <w:rFonts w:cs="Arial"/>
          <w:highlight w:val="yellow"/>
        </w:rPr>
        <w:fldChar w:fldCharType="end"/>
      </w:r>
      <w:r w:rsidRPr="002B0101">
        <w:rPr>
          <w:rFonts w:cs="Arial"/>
        </w:rPr>
        <w:t xml:space="preserve"> </w:t>
      </w:r>
      <w:r w:rsidRPr="00BA4F8E">
        <w:rPr>
          <w:rFonts w:cs="Arial"/>
        </w:rPr>
        <w:t>dokládá, že hlavními tahouny vývozu ČR jsou (i) automobilový průmysl – SITC 78, (ii) elektrotechnický a elektronický průmysl – SITC 75, 76 a 77 a (iii) strojírenský průmysl – SITC 71, 72 a 74. Významný podíl na exportu vykazují také položky spadající pod kovodělný (SITC 69) a hutnický (SITC 67) průmysl. Rozsah a exportní síla posledních dvou průmyslových odvětví ukazuje silné zázemí pro strojírenský, automobilový a elektrotechnick</w:t>
      </w:r>
      <w:r w:rsidRPr="00BA4F8E">
        <w:rPr>
          <w:rStyle w:val="Znakapoznpodarou"/>
          <w:rFonts w:cs="Arial"/>
        </w:rPr>
        <w:footnoteReference w:id="51"/>
      </w:r>
      <w:r w:rsidRPr="00BA4F8E">
        <w:rPr>
          <w:rFonts w:cs="Arial"/>
        </w:rPr>
        <w:t xml:space="preserve"> průmysl. Terénní průzkumy podnikové sféry ukázaly, že zejména automobilový průmysl - jakožto sofistikovaný odběratel - zvyšuje</w:t>
      </w:r>
      <w:r w:rsidRPr="00BA4F8E">
        <w:rPr>
          <w:rStyle w:val="Znakapoznpodarou"/>
          <w:rFonts w:cs="Arial"/>
        </w:rPr>
        <w:footnoteReference w:id="52"/>
      </w:r>
      <w:r w:rsidRPr="00BA4F8E">
        <w:rPr>
          <w:rFonts w:cs="Arial"/>
        </w:rPr>
        <w:t xml:space="preserve"> mezinárodní konkurenceschopnost těchto tradičních průmyslových odvětví, která mají vysoký podíl na </w:t>
      </w:r>
      <w:r w:rsidRPr="00BA4F8E">
        <w:rPr>
          <w:rFonts w:cs="Arial"/>
        </w:rPr>
        <w:lastRenderedPageBreak/>
        <w:t>zaměstnanosti. Dominantní automobilový, elektrotechnický a strojírenský průmysl tak do značné míry představují tahouny vnitřní restrukturalizace dalších tradičních průmyslových odvětví. Současně podporují export z provázaných oborů. Příkladem je SITC 62 „Výrobky z pryže j.n.“, což je z velké části dáno koncentrací výrobců pneumatik (nejen pro automobily). Specifickým případem je položka SITC 89 „různé výrobky jinde neuvedené“. Jedná se však o velmi pestrou strukturu obtížně zařaditelných produktů</w:t>
      </w:r>
      <w:r w:rsidRPr="00BA4F8E">
        <w:rPr>
          <w:rStyle w:val="Znakapoznpodarou"/>
          <w:rFonts w:cs="Arial"/>
        </w:rPr>
        <w:footnoteReference w:id="53"/>
      </w:r>
      <w:r w:rsidRPr="00BA4F8E">
        <w:rPr>
          <w:rFonts w:cs="Arial"/>
        </w:rPr>
        <w:t>, které nelze považovat za samostatný obor. Vysoký podíl této položky na exportu a BI mírně nad hodnotou 1 odpovídá značné šíři výrobní základny v ČR orientované na evropské trhy</w:t>
      </w:r>
      <w:r w:rsidRPr="00BA4F8E">
        <w:rPr>
          <w:rStyle w:val="Znakapoznpodarou"/>
          <w:rFonts w:cs="Arial"/>
        </w:rPr>
        <w:footnoteReference w:id="54"/>
      </w:r>
      <w:r w:rsidRPr="00BA4F8E">
        <w:rPr>
          <w:rFonts w:cs="Arial"/>
        </w:rPr>
        <w:t xml:space="preserve">. </w:t>
      </w:r>
    </w:p>
    <w:p w14:paraId="6B4497C5" w14:textId="77777777" w:rsidR="001566E0" w:rsidRPr="00BA4F8E" w:rsidRDefault="001566E0" w:rsidP="00B2479C">
      <w:pPr>
        <w:spacing w:before="240" w:after="200" w:line="360" w:lineRule="auto"/>
        <w:ind w:firstLine="708"/>
        <w:jc w:val="both"/>
        <w:rPr>
          <w:rFonts w:cs="Arial"/>
        </w:rPr>
      </w:pPr>
    </w:p>
    <w:p w14:paraId="7A4DBF25" w14:textId="711FD73F" w:rsidR="00B2479C" w:rsidRPr="00BA4F8E" w:rsidRDefault="006E145C" w:rsidP="00580DE3">
      <w:pPr>
        <w:pStyle w:val="Titulek"/>
      </w:pPr>
      <w:bookmarkStart w:id="69" w:name="_Ref521398488"/>
      <w:bookmarkStart w:id="70" w:name="_Toc524677663"/>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3</w:t>
      </w:r>
      <w:r w:rsidR="00EE7C52">
        <w:rPr>
          <w:noProof/>
        </w:rPr>
        <w:fldChar w:fldCharType="end"/>
      </w:r>
      <w:bookmarkEnd w:id="69"/>
      <w:r w:rsidRPr="00BA4F8E">
        <w:t xml:space="preserve"> – Třídy SITC 2 s nejvyšším podílem na exportu ČR</w:t>
      </w:r>
      <w:bookmarkEnd w:id="70"/>
    </w:p>
    <w:tbl>
      <w:tblPr>
        <w:tblStyle w:val="Mkatabulky2"/>
        <w:tblW w:w="5000" w:type="pct"/>
        <w:tblLook w:val="04A0" w:firstRow="1" w:lastRow="0" w:firstColumn="1" w:lastColumn="0" w:noHBand="0" w:noVBand="1"/>
      </w:tblPr>
      <w:tblGrid>
        <w:gridCol w:w="662"/>
        <w:gridCol w:w="3496"/>
        <w:gridCol w:w="1226"/>
        <w:gridCol w:w="1226"/>
        <w:gridCol w:w="1226"/>
        <w:gridCol w:w="1226"/>
      </w:tblGrid>
      <w:tr w:rsidR="006E145C" w:rsidRPr="00BA4F8E" w14:paraId="3D8C21D2" w14:textId="77777777" w:rsidTr="002B0101">
        <w:trPr>
          <w:trHeight w:val="302"/>
          <w:tblHeader/>
        </w:trPr>
        <w:tc>
          <w:tcPr>
            <w:tcW w:w="4150" w:type="dxa"/>
            <w:gridSpan w:val="2"/>
            <w:shd w:val="clear" w:color="auto" w:fill="004B8D"/>
            <w:hideMark/>
          </w:tcPr>
          <w:p w14:paraId="23BF2699" w14:textId="77777777" w:rsidR="006E145C" w:rsidRPr="00BA4F8E" w:rsidRDefault="006E145C" w:rsidP="00961E93">
            <w:pPr>
              <w:jc w:val="center"/>
              <w:rPr>
                <w:rFonts w:cs="Arial"/>
                <w:b/>
                <w:bCs/>
              </w:rPr>
            </w:pPr>
            <w:r w:rsidRPr="00BA4F8E">
              <w:rPr>
                <w:rFonts w:cs="Arial"/>
                <w:b/>
                <w:bCs/>
              </w:rPr>
              <w:t>Exportní položka - SITC 2</w:t>
            </w:r>
          </w:p>
        </w:tc>
        <w:tc>
          <w:tcPr>
            <w:tcW w:w="2446" w:type="dxa"/>
            <w:gridSpan w:val="2"/>
            <w:shd w:val="clear" w:color="auto" w:fill="004B8D"/>
            <w:hideMark/>
          </w:tcPr>
          <w:p w14:paraId="7738909F" w14:textId="77777777" w:rsidR="006E145C" w:rsidRPr="00BA4F8E" w:rsidRDefault="006E145C" w:rsidP="00961E93">
            <w:pPr>
              <w:jc w:val="center"/>
              <w:rPr>
                <w:rFonts w:cs="Arial"/>
                <w:b/>
                <w:bCs/>
              </w:rPr>
            </w:pPr>
            <w:r w:rsidRPr="00BA4F8E">
              <w:rPr>
                <w:rFonts w:cs="Arial"/>
                <w:b/>
                <w:bCs/>
              </w:rPr>
              <w:t>podíl na exportu ČR (%)</w:t>
            </w:r>
          </w:p>
        </w:tc>
        <w:tc>
          <w:tcPr>
            <w:tcW w:w="2446" w:type="dxa"/>
            <w:gridSpan w:val="2"/>
            <w:shd w:val="clear" w:color="auto" w:fill="004B8D"/>
            <w:hideMark/>
          </w:tcPr>
          <w:p w14:paraId="50112A2F" w14:textId="77777777" w:rsidR="006E145C" w:rsidRPr="00BA4F8E" w:rsidRDefault="006E145C" w:rsidP="00961E93">
            <w:pPr>
              <w:jc w:val="center"/>
              <w:rPr>
                <w:rFonts w:cs="Arial"/>
                <w:b/>
                <w:bCs/>
              </w:rPr>
            </w:pPr>
            <w:r w:rsidRPr="00BA4F8E">
              <w:rPr>
                <w:rFonts w:cs="Arial"/>
                <w:b/>
                <w:bCs/>
              </w:rPr>
              <w:t>Balassův index (BI) ČR</w:t>
            </w:r>
          </w:p>
        </w:tc>
      </w:tr>
      <w:tr w:rsidR="006E145C" w:rsidRPr="00BA4F8E" w14:paraId="2547A5D5" w14:textId="77777777" w:rsidTr="00FF1814">
        <w:trPr>
          <w:trHeight w:val="302"/>
        </w:trPr>
        <w:tc>
          <w:tcPr>
            <w:tcW w:w="662" w:type="dxa"/>
            <w:hideMark/>
          </w:tcPr>
          <w:p w14:paraId="43FA3979" w14:textId="77777777" w:rsidR="006E145C" w:rsidRPr="00BA4F8E" w:rsidRDefault="006E145C" w:rsidP="00961E93">
            <w:pPr>
              <w:jc w:val="center"/>
              <w:rPr>
                <w:rFonts w:cs="Arial"/>
                <w:b/>
                <w:bCs/>
              </w:rPr>
            </w:pPr>
            <w:r w:rsidRPr="00BA4F8E">
              <w:rPr>
                <w:rFonts w:cs="Arial"/>
                <w:b/>
                <w:bCs/>
              </w:rPr>
              <w:t>kód</w:t>
            </w:r>
          </w:p>
        </w:tc>
        <w:tc>
          <w:tcPr>
            <w:tcW w:w="3488" w:type="dxa"/>
            <w:hideMark/>
          </w:tcPr>
          <w:p w14:paraId="717BBC08" w14:textId="77777777" w:rsidR="006E145C" w:rsidRPr="00BA4F8E" w:rsidRDefault="006E145C" w:rsidP="00961E93">
            <w:pPr>
              <w:jc w:val="center"/>
              <w:rPr>
                <w:rFonts w:cs="Arial"/>
                <w:b/>
                <w:bCs/>
              </w:rPr>
            </w:pPr>
            <w:r w:rsidRPr="00BA4F8E">
              <w:rPr>
                <w:rFonts w:cs="Arial"/>
                <w:b/>
                <w:bCs/>
              </w:rPr>
              <w:t>Název</w:t>
            </w:r>
          </w:p>
        </w:tc>
        <w:tc>
          <w:tcPr>
            <w:tcW w:w="1223" w:type="dxa"/>
            <w:hideMark/>
          </w:tcPr>
          <w:p w14:paraId="32E98062" w14:textId="77777777" w:rsidR="006E145C" w:rsidRPr="00BA4F8E" w:rsidRDefault="006E145C" w:rsidP="00961E93">
            <w:pPr>
              <w:jc w:val="center"/>
              <w:rPr>
                <w:rFonts w:cs="Arial"/>
                <w:b/>
                <w:bCs/>
              </w:rPr>
            </w:pPr>
            <w:r w:rsidRPr="00BA4F8E">
              <w:rPr>
                <w:rFonts w:cs="Arial"/>
                <w:b/>
                <w:bCs/>
              </w:rPr>
              <w:t>2005-2007</w:t>
            </w:r>
          </w:p>
        </w:tc>
        <w:tc>
          <w:tcPr>
            <w:tcW w:w="1223" w:type="dxa"/>
            <w:hideMark/>
          </w:tcPr>
          <w:p w14:paraId="42EF04A5" w14:textId="77777777" w:rsidR="006E145C" w:rsidRPr="00BA4F8E" w:rsidRDefault="006E145C" w:rsidP="00961E93">
            <w:pPr>
              <w:jc w:val="center"/>
              <w:rPr>
                <w:rFonts w:cs="Arial"/>
                <w:b/>
                <w:bCs/>
              </w:rPr>
            </w:pPr>
            <w:r w:rsidRPr="00BA4F8E">
              <w:rPr>
                <w:rFonts w:cs="Arial"/>
                <w:b/>
                <w:bCs/>
              </w:rPr>
              <w:t>2014-2016</w:t>
            </w:r>
          </w:p>
        </w:tc>
        <w:tc>
          <w:tcPr>
            <w:tcW w:w="1223" w:type="dxa"/>
            <w:hideMark/>
          </w:tcPr>
          <w:p w14:paraId="66920DFF" w14:textId="77777777" w:rsidR="006E145C" w:rsidRPr="00BA4F8E" w:rsidRDefault="006E145C" w:rsidP="00961E93">
            <w:pPr>
              <w:jc w:val="center"/>
              <w:rPr>
                <w:rFonts w:cs="Arial"/>
                <w:b/>
                <w:bCs/>
              </w:rPr>
            </w:pPr>
            <w:r w:rsidRPr="00BA4F8E">
              <w:rPr>
                <w:rFonts w:cs="Arial"/>
                <w:b/>
                <w:bCs/>
              </w:rPr>
              <w:t>2005-2007</w:t>
            </w:r>
          </w:p>
        </w:tc>
        <w:tc>
          <w:tcPr>
            <w:tcW w:w="1223" w:type="dxa"/>
            <w:hideMark/>
          </w:tcPr>
          <w:p w14:paraId="0C2FEA99" w14:textId="77777777" w:rsidR="006E145C" w:rsidRPr="00BA4F8E" w:rsidRDefault="006E145C" w:rsidP="00961E93">
            <w:pPr>
              <w:jc w:val="center"/>
              <w:rPr>
                <w:rFonts w:cs="Arial"/>
                <w:b/>
                <w:bCs/>
              </w:rPr>
            </w:pPr>
            <w:r w:rsidRPr="00BA4F8E">
              <w:rPr>
                <w:rFonts w:cs="Arial"/>
                <w:b/>
                <w:bCs/>
              </w:rPr>
              <w:t>2014-2016</w:t>
            </w:r>
          </w:p>
        </w:tc>
      </w:tr>
      <w:tr w:rsidR="006E145C" w:rsidRPr="00BA4F8E" w14:paraId="4BE62CCA" w14:textId="77777777" w:rsidTr="00FF1814">
        <w:trPr>
          <w:trHeight w:val="302"/>
        </w:trPr>
        <w:tc>
          <w:tcPr>
            <w:tcW w:w="662" w:type="dxa"/>
            <w:noWrap/>
            <w:hideMark/>
          </w:tcPr>
          <w:p w14:paraId="48B1A356" w14:textId="77777777" w:rsidR="006E145C" w:rsidRPr="00BA4F8E" w:rsidRDefault="006E145C" w:rsidP="00961E93">
            <w:pPr>
              <w:rPr>
                <w:rFonts w:cs="Arial"/>
              </w:rPr>
            </w:pPr>
            <w:r w:rsidRPr="00BA4F8E">
              <w:rPr>
                <w:rFonts w:cs="Arial"/>
              </w:rPr>
              <w:t>78</w:t>
            </w:r>
          </w:p>
        </w:tc>
        <w:tc>
          <w:tcPr>
            <w:tcW w:w="3488" w:type="dxa"/>
            <w:noWrap/>
            <w:hideMark/>
          </w:tcPr>
          <w:p w14:paraId="61D3F49B" w14:textId="77777777" w:rsidR="006E145C" w:rsidRPr="00BA4F8E" w:rsidRDefault="006E145C" w:rsidP="00961E93">
            <w:pPr>
              <w:rPr>
                <w:rFonts w:cs="Arial"/>
              </w:rPr>
            </w:pPr>
            <w:r w:rsidRPr="00BA4F8E">
              <w:rPr>
                <w:rFonts w:cs="Arial"/>
              </w:rPr>
              <w:t>Silniční vozidla</w:t>
            </w:r>
          </w:p>
        </w:tc>
        <w:tc>
          <w:tcPr>
            <w:tcW w:w="1223" w:type="dxa"/>
            <w:noWrap/>
            <w:hideMark/>
          </w:tcPr>
          <w:p w14:paraId="1B5BBA66" w14:textId="77777777" w:rsidR="006E145C" w:rsidRPr="00BA4F8E" w:rsidRDefault="006E145C" w:rsidP="00961E93">
            <w:pPr>
              <w:jc w:val="center"/>
              <w:rPr>
                <w:rFonts w:cs="Arial"/>
              </w:rPr>
            </w:pPr>
            <w:r w:rsidRPr="00BA4F8E">
              <w:rPr>
                <w:rFonts w:cs="Arial"/>
              </w:rPr>
              <w:t>16.61</w:t>
            </w:r>
          </w:p>
        </w:tc>
        <w:tc>
          <w:tcPr>
            <w:tcW w:w="1223" w:type="dxa"/>
            <w:noWrap/>
            <w:hideMark/>
          </w:tcPr>
          <w:p w14:paraId="290A9799" w14:textId="77777777" w:rsidR="006E145C" w:rsidRPr="00BA4F8E" w:rsidRDefault="006E145C" w:rsidP="00961E93">
            <w:pPr>
              <w:jc w:val="center"/>
              <w:rPr>
                <w:rFonts w:cs="Arial"/>
              </w:rPr>
            </w:pPr>
            <w:r w:rsidRPr="00BA4F8E">
              <w:rPr>
                <w:rFonts w:cs="Arial"/>
              </w:rPr>
              <w:t>19.97</w:t>
            </w:r>
          </w:p>
        </w:tc>
        <w:tc>
          <w:tcPr>
            <w:tcW w:w="1223" w:type="dxa"/>
            <w:noWrap/>
            <w:hideMark/>
          </w:tcPr>
          <w:p w14:paraId="1666996F" w14:textId="77777777" w:rsidR="006E145C" w:rsidRPr="00BA4F8E" w:rsidRDefault="006E145C" w:rsidP="00961E93">
            <w:pPr>
              <w:jc w:val="center"/>
              <w:rPr>
                <w:rFonts w:cs="Arial"/>
              </w:rPr>
            </w:pPr>
            <w:r w:rsidRPr="00BA4F8E">
              <w:rPr>
                <w:rFonts w:cs="Arial"/>
              </w:rPr>
              <w:t>1.98</w:t>
            </w:r>
          </w:p>
        </w:tc>
        <w:tc>
          <w:tcPr>
            <w:tcW w:w="1223" w:type="dxa"/>
            <w:noWrap/>
            <w:hideMark/>
          </w:tcPr>
          <w:p w14:paraId="7918EA6C" w14:textId="77777777" w:rsidR="006E145C" w:rsidRPr="00BA4F8E" w:rsidRDefault="006E145C" w:rsidP="00961E93">
            <w:pPr>
              <w:jc w:val="center"/>
              <w:rPr>
                <w:rFonts w:cs="Arial"/>
                <w:b/>
              </w:rPr>
            </w:pPr>
            <w:r w:rsidRPr="00BA4F8E">
              <w:rPr>
                <w:rFonts w:cs="Arial"/>
                <w:b/>
              </w:rPr>
              <w:t>2.56</w:t>
            </w:r>
          </w:p>
        </w:tc>
      </w:tr>
      <w:tr w:rsidR="006E145C" w:rsidRPr="00BA4F8E" w14:paraId="125CAA85" w14:textId="77777777" w:rsidTr="00FF1814">
        <w:trPr>
          <w:trHeight w:val="302"/>
        </w:trPr>
        <w:tc>
          <w:tcPr>
            <w:tcW w:w="662" w:type="dxa"/>
            <w:noWrap/>
            <w:hideMark/>
          </w:tcPr>
          <w:p w14:paraId="58512F74" w14:textId="77777777" w:rsidR="006E145C" w:rsidRPr="00BA4F8E" w:rsidRDefault="006E145C" w:rsidP="00961E93">
            <w:pPr>
              <w:rPr>
                <w:rFonts w:cs="Arial"/>
              </w:rPr>
            </w:pPr>
            <w:r w:rsidRPr="00BA4F8E">
              <w:rPr>
                <w:rFonts w:cs="Arial"/>
              </w:rPr>
              <w:t>77</w:t>
            </w:r>
          </w:p>
        </w:tc>
        <w:tc>
          <w:tcPr>
            <w:tcW w:w="3488" w:type="dxa"/>
            <w:noWrap/>
            <w:hideMark/>
          </w:tcPr>
          <w:p w14:paraId="3D964876" w14:textId="77777777" w:rsidR="006E145C" w:rsidRPr="00BA4F8E" w:rsidRDefault="006E145C" w:rsidP="00961E93">
            <w:pPr>
              <w:rPr>
                <w:rFonts w:cs="Arial"/>
              </w:rPr>
            </w:pPr>
            <w:r w:rsidRPr="00BA4F8E">
              <w:rPr>
                <w:rFonts w:cs="Arial"/>
              </w:rPr>
              <w:t>Elektrická zařízení, přístroje a spotřebiče, j.n.</w:t>
            </w:r>
          </w:p>
        </w:tc>
        <w:tc>
          <w:tcPr>
            <w:tcW w:w="1223" w:type="dxa"/>
            <w:noWrap/>
            <w:hideMark/>
          </w:tcPr>
          <w:p w14:paraId="4966B01B" w14:textId="77777777" w:rsidR="006E145C" w:rsidRPr="00BA4F8E" w:rsidRDefault="006E145C" w:rsidP="00961E93">
            <w:pPr>
              <w:jc w:val="center"/>
              <w:rPr>
                <w:rFonts w:cs="Arial"/>
              </w:rPr>
            </w:pPr>
            <w:r w:rsidRPr="00BA4F8E">
              <w:rPr>
                <w:rFonts w:cs="Arial"/>
              </w:rPr>
              <w:t>9.40</w:t>
            </w:r>
          </w:p>
        </w:tc>
        <w:tc>
          <w:tcPr>
            <w:tcW w:w="1223" w:type="dxa"/>
            <w:noWrap/>
            <w:hideMark/>
          </w:tcPr>
          <w:p w14:paraId="037EE277" w14:textId="77777777" w:rsidR="006E145C" w:rsidRPr="00BA4F8E" w:rsidRDefault="006E145C" w:rsidP="00961E93">
            <w:pPr>
              <w:jc w:val="center"/>
              <w:rPr>
                <w:rFonts w:cs="Arial"/>
              </w:rPr>
            </w:pPr>
            <w:r w:rsidRPr="00BA4F8E">
              <w:rPr>
                <w:rFonts w:cs="Arial"/>
              </w:rPr>
              <w:t>9.98</w:t>
            </w:r>
          </w:p>
        </w:tc>
        <w:tc>
          <w:tcPr>
            <w:tcW w:w="1223" w:type="dxa"/>
            <w:noWrap/>
            <w:hideMark/>
          </w:tcPr>
          <w:p w14:paraId="35C29CDD" w14:textId="77777777" w:rsidR="006E145C" w:rsidRPr="00BA4F8E" w:rsidRDefault="006E145C" w:rsidP="00961E93">
            <w:pPr>
              <w:jc w:val="center"/>
              <w:rPr>
                <w:rFonts w:cs="Arial"/>
              </w:rPr>
            </w:pPr>
            <w:r w:rsidRPr="00BA4F8E">
              <w:rPr>
                <w:rFonts w:cs="Arial"/>
              </w:rPr>
              <w:t>1.16</w:t>
            </w:r>
          </w:p>
        </w:tc>
        <w:tc>
          <w:tcPr>
            <w:tcW w:w="1223" w:type="dxa"/>
            <w:noWrap/>
            <w:hideMark/>
          </w:tcPr>
          <w:p w14:paraId="06089584" w14:textId="77777777" w:rsidR="006E145C" w:rsidRPr="00BA4F8E" w:rsidRDefault="006E145C" w:rsidP="00961E93">
            <w:pPr>
              <w:jc w:val="center"/>
              <w:rPr>
                <w:rFonts w:cs="Arial"/>
              </w:rPr>
            </w:pPr>
            <w:r w:rsidRPr="00BA4F8E">
              <w:rPr>
                <w:rFonts w:cs="Arial"/>
              </w:rPr>
              <w:t>1.16</w:t>
            </w:r>
          </w:p>
        </w:tc>
      </w:tr>
      <w:tr w:rsidR="006E145C" w:rsidRPr="00BA4F8E" w14:paraId="6451F1F9" w14:textId="77777777" w:rsidTr="00FF1814">
        <w:trPr>
          <w:trHeight w:val="302"/>
        </w:trPr>
        <w:tc>
          <w:tcPr>
            <w:tcW w:w="662" w:type="dxa"/>
            <w:noWrap/>
            <w:hideMark/>
          </w:tcPr>
          <w:p w14:paraId="08066153" w14:textId="77777777" w:rsidR="006E145C" w:rsidRPr="00BA4F8E" w:rsidRDefault="006E145C" w:rsidP="00961E93">
            <w:pPr>
              <w:rPr>
                <w:rFonts w:cs="Arial"/>
              </w:rPr>
            </w:pPr>
            <w:r w:rsidRPr="00BA4F8E">
              <w:rPr>
                <w:rFonts w:cs="Arial"/>
              </w:rPr>
              <w:t>75</w:t>
            </w:r>
          </w:p>
        </w:tc>
        <w:tc>
          <w:tcPr>
            <w:tcW w:w="3488" w:type="dxa"/>
            <w:noWrap/>
            <w:hideMark/>
          </w:tcPr>
          <w:p w14:paraId="77D058AF" w14:textId="77777777" w:rsidR="006E145C" w:rsidRPr="00BA4F8E" w:rsidRDefault="006E145C" w:rsidP="00961E93">
            <w:pPr>
              <w:rPr>
                <w:rFonts w:cs="Arial"/>
              </w:rPr>
            </w:pPr>
            <w:r w:rsidRPr="00BA4F8E">
              <w:rPr>
                <w:rFonts w:cs="Arial"/>
              </w:rPr>
              <w:t>Kancelářské stroje a zařízení k automat. zpracování dat</w:t>
            </w:r>
          </w:p>
        </w:tc>
        <w:tc>
          <w:tcPr>
            <w:tcW w:w="1223" w:type="dxa"/>
            <w:noWrap/>
            <w:hideMark/>
          </w:tcPr>
          <w:p w14:paraId="0EE71FDF" w14:textId="77777777" w:rsidR="006E145C" w:rsidRPr="00BA4F8E" w:rsidRDefault="006E145C" w:rsidP="00961E93">
            <w:pPr>
              <w:jc w:val="center"/>
              <w:rPr>
                <w:rFonts w:cs="Arial"/>
              </w:rPr>
            </w:pPr>
            <w:r w:rsidRPr="00BA4F8E">
              <w:rPr>
                <w:rFonts w:cs="Arial"/>
              </w:rPr>
              <w:t>7.36</w:t>
            </w:r>
          </w:p>
        </w:tc>
        <w:tc>
          <w:tcPr>
            <w:tcW w:w="1223" w:type="dxa"/>
            <w:noWrap/>
            <w:hideMark/>
          </w:tcPr>
          <w:p w14:paraId="53BE6FDF" w14:textId="77777777" w:rsidR="006E145C" w:rsidRPr="00BA4F8E" w:rsidRDefault="006E145C" w:rsidP="00961E93">
            <w:pPr>
              <w:jc w:val="center"/>
              <w:rPr>
                <w:rFonts w:cs="Arial"/>
              </w:rPr>
            </w:pPr>
            <w:r w:rsidRPr="00BA4F8E">
              <w:rPr>
                <w:rFonts w:cs="Arial"/>
              </w:rPr>
              <w:t>7.23</w:t>
            </w:r>
          </w:p>
        </w:tc>
        <w:tc>
          <w:tcPr>
            <w:tcW w:w="1223" w:type="dxa"/>
            <w:noWrap/>
            <w:hideMark/>
          </w:tcPr>
          <w:p w14:paraId="4BD6B140" w14:textId="77777777" w:rsidR="006E145C" w:rsidRPr="00BA4F8E" w:rsidRDefault="006E145C" w:rsidP="00961E93">
            <w:pPr>
              <w:jc w:val="center"/>
              <w:rPr>
                <w:rFonts w:cs="Arial"/>
              </w:rPr>
            </w:pPr>
            <w:r w:rsidRPr="00BA4F8E">
              <w:rPr>
                <w:rFonts w:cs="Arial"/>
              </w:rPr>
              <w:t>1.68</w:t>
            </w:r>
          </w:p>
        </w:tc>
        <w:tc>
          <w:tcPr>
            <w:tcW w:w="1223" w:type="dxa"/>
            <w:noWrap/>
            <w:hideMark/>
          </w:tcPr>
          <w:p w14:paraId="065ACC08" w14:textId="77777777" w:rsidR="006E145C" w:rsidRPr="00BA4F8E" w:rsidRDefault="006E145C" w:rsidP="00961E93">
            <w:pPr>
              <w:jc w:val="center"/>
              <w:rPr>
                <w:rFonts w:cs="Arial"/>
                <w:b/>
              </w:rPr>
            </w:pPr>
            <w:r w:rsidRPr="00BA4F8E">
              <w:rPr>
                <w:rFonts w:cs="Arial"/>
                <w:b/>
              </w:rPr>
              <w:t>2.26</w:t>
            </w:r>
          </w:p>
        </w:tc>
      </w:tr>
      <w:tr w:rsidR="006E145C" w:rsidRPr="00BA4F8E" w14:paraId="2F362D81" w14:textId="77777777" w:rsidTr="00FF1814">
        <w:trPr>
          <w:trHeight w:val="302"/>
        </w:trPr>
        <w:tc>
          <w:tcPr>
            <w:tcW w:w="662" w:type="dxa"/>
            <w:noWrap/>
            <w:hideMark/>
          </w:tcPr>
          <w:p w14:paraId="36BCB799" w14:textId="77777777" w:rsidR="006E145C" w:rsidRPr="00BA4F8E" w:rsidRDefault="006E145C" w:rsidP="00961E93">
            <w:pPr>
              <w:rPr>
                <w:rFonts w:cs="Arial"/>
              </w:rPr>
            </w:pPr>
            <w:r w:rsidRPr="00BA4F8E">
              <w:rPr>
                <w:rFonts w:cs="Arial"/>
              </w:rPr>
              <w:t>74</w:t>
            </w:r>
          </w:p>
        </w:tc>
        <w:tc>
          <w:tcPr>
            <w:tcW w:w="3488" w:type="dxa"/>
            <w:noWrap/>
            <w:hideMark/>
          </w:tcPr>
          <w:p w14:paraId="00DC2FC5" w14:textId="77777777" w:rsidR="006E145C" w:rsidRPr="00BA4F8E" w:rsidRDefault="006E145C" w:rsidP="00961E93">
            <w:pPr>
              <w:rPr>
                <w:rFonts w:cs="Arial"/>
              </w:rPr>
            </w:pPr>
            <w:r w:rsidRPr="00BA4F8E">
              <w:rPr>
                <w:rFonts w:cs="Arial"/>
              </w:rPr>
              <w:t>Stroje a zařízení všeobecně užívané v průmyslu, j.n.</w:t>
            </w:r>
          </w:p>
        </w:tc>
        <w:tc>
          <w:tcPr>
            <w:tcW w:w="1223" w:type="dxa"/>
            <w:noWrap/>
            <w:hideMark/>
          </w:tcPr>
          <w:p w14:paraId="1A213B1C" w14:textId="77777777" w:rsidR="006E145C" w:rsidRPr="00BA4F8E" w:rsidRDefault="006E145C" w:rsidP="00961E93">
            <w:pPr>
              <w:jc w:val="center"/>
              <w:rPr>
                <w:rFonts w:cs="Arial"/>
              </w:rPr>
            </w:pPr>
            <w:r w:rsidRPr="00BA4F8E">
              <w:rPr>
                <w:rFonts w:cs="Arial"/>
              </w:rPr>
              <w:t>6.90</w:t>
            </w:r>
          </w:p>
        </w:tc>
        <w:tc>
          <w:tcPr>
            <w:tcW w:w="1223" w:type="dxa"/>
            <w:noWrap/>
            <w:hideMark/>
          </w:tcPr>
          <w:p w14:paraId="07E570E7" w14:textId="77777777" w:rsidR="006E145C" w:rsidRPr="00BA4F8E" w:rsidRDefault="006E145C" w:rsidP="00961E93">
            <w:pPr>
              <w:jc w:val="center"/>
              <w:rPr>
                <w:rFonts w:cs="Arial"/>
              </w:rPr>
            </w:pPr>
            <w:r w:rsidRPr="00BA4F8E">
              <w:rPr>
                <w:rFonts w:cs="Arial"/>
              </w:rPr>
              <w:t>6.85</w:t>
            </w:r>
          </w:p>
        </w:tc>
        <w:tc>
          <w:tcPr>
            <w:tcW w:w="1223" w:type="dxa"/>
            <w:noWrap/>
            <w:hideMark/>
          </w:tcPr>
          <w:p w14:paraId="0828F0BA" w14:textId="77777777" w:rsidR="006E145C" w:rsidRPr="00BA4F8E" w:rsidRDefault="006E145C" w:rsidP="00961E93">
            <w:pPr>
              <w:jc w:val="center"/>
              <w:rPr>
                <w:rFonts w:cs="Arial"/>
              </w:rPr>
            </w:pPr>
            <w:r w:rsidRPr="00BA4F8E">
              <w:rPr>
                <w:rFonts w:cs="Arial"/>
              </w:rPr>
              <w:t>1.88</w:t>
            </w:r>
          </w:p>
        </w:tc>
        <w:tc>
          <w:tcPr>
            <w:tcW w:w="1223" w:type="dxa"/>
            <w:noWrap/>
            <w:hideMark/>
          </w:tcPr>
          <w:p w14:paraId="25A7BE24" w14:textId="77777777" w:rsidR="006E145C" w:rsidRPr="00BA4F8E" w:rsidRDefault="006E145C" w:rsidP="00961E93">
            <w:pPr>
              <w:jc w:val="center"/>
              <w:rPr>
                <w:rFonts w:cs="Arial"/>
              </w:rPr>
            </w:pPr>
            <w:r w:rsidRPr="00BA4F8E">
              <w:rPr>
                <w:rFonts w:cs="Arial"/>
              </w:rPr>
              <w:t>1.79</w:t>
            </w:r>
          </w:p>
        </w:tc>
      </w:tr>
      <w:tr w:rsidR="006E145C" w:rsidRPr="00BA4F8E" w14:paraId="33D62EE6" w14:textId="77777777" w:rsidTr="00FF1814">
        <w:trPr>
          <w:trHeight w:val="302"/>
        </w:trPr>
        <w:tc>
          <w:tcPr>
            <w:tcW w:w="662" w:type="dxa"/>
            <w:noWrap/>
            <w:hideMark/>
          </w:tcPr>
          <w:p w14:paraId="4C7C7575" w14:textId="77777777" w:rsidR="006E145C" w:rsidRPr="00BA4F8E" w:rsidRDefault="006E145C" w:rsidP="00961E93">
            <w:pPr>
              <w:rPr>
                <w:rFonts w:cs="Arial"/>
              </w:rPr>
            </w:pPr>
            <w:r w:rsidRPr="00BA4F8E">
              <w:rPr>
                <w:rFonts w:cs="Arial"/>
              </w:rPr>
              <w:t>89</w:t>
            </w:r>
          </w:p>
        </w:tc>
        <w:tc>
          <w:tcPr>
            <w:tcW w:w="3488" w:type="dxa"/>
            <w:noWrap/>
            <w:hideMark/>
          </w:tcPr>
          <w:p w14:paraId="5DB2E58D" w14:textId="77777777" w:rsidR="006E145C" w:rsidRPr="00BA4F8E" w:rsidRDefault="006E145C" w:rsidP="00961E93">
            <w:pPr>
              <w:rPr>
                <w:rFonts w:cs="Arial"/>
              </w:rPr>
            </w:pPr>
            <w:r w:rsidRPr="00BA4F8E">
              <w:rPr>
                <w:rFonts w:cs="Arial"/>
              </w:rPr>
              <w:t>Různé výrobky, j.n.</w:t>
            </w:r>
          </w:p>
        </w:tc>
        <w:tc>
          <w:tcPr>
            <w:tcW w:w="1223" w:type="dxa"/>
            <w:noWrap/>
            <w:hideMark/>
          </w:tcPr>
          <w:p w14:paraId="331D44DD" w14:textId="77777777" w:rsidR="006E145C" w:rsidRPr="00BA4F8E" w:rsidRDefault="006E145C" w:rsidP="00961E93">
            <w:pPr>
              <w:jc w:val="center"/>
              <w:rPr>
                <w:rFonts w:cs="Arial"/>
              </w:rPr>
            </w:pPr>
            <w:r w:rsidRPr="00BA4F8E">
              <w:rPr>
                <w:rFonts w:cs="Arial"/>
              </w:rPr>
              <w:t>4.47</w:t>
            </w:r>
          </w:p>
        </w:tc>
        <w:tc>
          <w:tcPr>
            <w:tcW w:w="1223" w:type="dxa"/>
            <w:noWrap/>
            <w:hideMark/>
          </w:tcPr>
          <w:p w14:paraId="04E7A8AE" w14:textId="77777777" w:rsidR="006E145C" w:rsidRPr="00BA4F8E" w:rsidRDefault="006E145C" w:rsidP="00961E93">
            <w:pPr>
              <w:jc w:val="center"/>
              <w:rPr>
                <w:rFonts w:cs="Arial"/>
              </w:rPr>
            </w:pPr>
            <w:r w:rsidRPr="00BA4F8E">
              <w:rPr>
                <w:rFonts w:cs="Arial"/>
              </w:rPr>
              <w:t>5.90</w:t>
            </w:r>
          </w:p>
        </w:tc>
        <w:tc>
          <w:tcPr>
            <w:tcW w:w="1223" w:type="dxa"/>
            <w:noWrap/>
            <w:hideMark/>
          </w:tcPr>
          <w:p w14:paraId="463EDF3F" w14:textId="77777777" w:rsidR="006E145C" w:rsidRPr="00BA4F8E" w:rsidRDefault="006E145C" w:rsidP="00961E93">
            <w:pPr>
              <w:jc w:val="center"/>
              <w:rPr>
                <w:rFonts w:cs="Arial"/>
              </w:rPr>
            </w:pPr>
            <w:r w:rsidRPr="00BA4F8E">
              <w:rPr>
                <w:rFonts w:cs="Arial"/>
              </w:rPr>
              <w:t>1.33</w:t>
            </w:r>
          </w:p>
        </w:tc>
        <w:tc>
          <w:tcPr>
            <w:tcW w:w="1223" w:type="dxa"/>
            <w:noWrap/>
            <w:hideMark/>
          </w:tcPr>
          <w:p w14:paraId="75074B07" w14:textId="77777777" w:rsidR="006E145C" w:rsidRPr="00BA4F8E" w:rsidRDefault="006E145C" w:rsidP="00961E93">
            <w:pPr>
              <w:jc w:val="center"/>
              <w:rPr>
                <w:rFonts w:cs="Arial"/>
                <w:b/>
              </w:rPr>
            </w:pPr>
            <w:r w:rsidRPr="00BA4F8E">
              <w:rPr>
                <w:rFonts w:cs="Arial"/>
                <w:b/>
              </w:rPr>
              <w:t>1.58</w:t>
            </w:r>
          </w:p>
        </w:tc>
      </w:tr>
      <w:tr w:rsidR="006E145C" w:rsidRPr="00BA4F8E" w14:paraId="45FDA5DC" w14:textId="77777777" w:rsidTr="00FF1814">
        <w:trPr>
          <w:trHeight w:val="287"/>
        </w:trPr>
        <w:tc>
          <w:tcPr>
            <w:tcW w:w="662" w:type="dxa"/>
            <w:noWrap/>
            <w:hideMark/>
          </w:tcPr>
          <w:p w14:paraId="3AD20200" w14:textId="77777777" w:rsidR="006E145C" w:rsidRPr="00BA4F8E" w:rsidRDefault="006E145C" w:rsidP="00961E93">
            <w:pPr>
              <w:rPr>
                <w:rFonts w:cs="Arial"/>
              </w:rPr>
            </w:pPr>
            <w:r w:rsidRPr="00BA4F8E">
              <w:rPr>
                <w:rFonts w:cs="Arial"/>
              </w:rPr>
              <w:t>69</w:t>
            </w:r>
          </w:p>
        </w:tc>
        <w:tc>
          <w:tcPr>
            <w:tcW w:w="3488" w:type="dxa"/>
            <w:noWrap/>
            <w:hideMark/>
          </w:tcPr>
          <w:p w14:paraId="25A388AD" w14:textId="77777777" w:rsidR="006E145C" w:rsidRPr="00BA4F8E" w:rsidRDefault="006E145C" w:rsidP="00961E93">
            <w:pPr>
              <w:rPr>
                <w:rFonts w:cs="Arial"/>
              </w:rPr>
            </w:pPr>
            <w:r w:rsidRPr="00BA4F8E">
              <w:rPr>
                <w:rFonts w:cs="Arial"/>
              </w:rPr>
              <w:t>Kovové výrobky, j.n</w:t>
            </w:r>
          </w:p>
        </w:tc>
        <w:tc>
          <w:tcPr>
            <w:tcW w:w="1223" w:type="dxa"/>
            <w:noWrap/>
            <w:hideMark/>
          </w:tcPr>
          <w:p w14:paraId="0DBF240D" w14:textId="77777777" w:rsidR="006E145C" w:rsidRPr="00BA4F8E" w:rsidRDefault="006E145C" w:rsidP="00961E93">
            <w:pPr>
              <w:jc w:val="center"/>
              <w:rPr>
                <w:rFonts w:cs="Arial"/>
              </w:rPr>
            </w:pPr>
            <w:r w:rsidRPr="00BA4F8E">
              <w:rPr>
                <w:rFonts w:cs="Arial"/>
              </w:rPr>
              <w:t>5.57</w:t>
            </w:r>
          </w:p>
        </w:tc>
        <w:tc>
          <w:tcPr>
            <w:tcW w:w="1223" w:type="dxa"/>
            <w:noWrap/>
            <w:hideMark/>
          </w:tcPr>
          <w:p w14:paraId="78D6B9F8" w14:textId="77777777" w:rsidR="006E145C" w:rsidRPr="00BA4F8E" w:rsidRDefault="006E145C" w:rsidP="00961E93">
            <w:pPr>
              <w:jc w:val="center"/>
              <w:rPr>
                <w:rFonts w:cs="Arial"/>
              </w:rPr>
            </w:pPr>
            <w:r w:rsidRPr="00BA4F8E">
              <w:rPr>
                <w:rFonts w:cs="Arial"/>
              </w:rPr>
              <w:t>5.15</w:t>
            </w:r>
          </w:p>
        </w:tc>
        <w:tc>
          <w:tcPr>
            <w:tcW w:w="1223" w:type="dxa"/>
            <w:noWrap/>
            <w:hideMark/>
          </w:tcPr>
          <w:p w14:paraId="60A96896" w14:textId="77777777" w:rsidR="006E145C" w:rsidRPr="00BA4F8E" w:rsidRDefault="006E145C" w:rsidP="00961E93">
            <w:pPr>
              <w:jc w:val="center"/>
              <w:rPr>
                <w:rFonts w:cs="Arial"/>
              </w:rPr>
            </w:pPr>
            <w:r w:rsidRPr="00BA4F8E">
              <w:rPr>
                <w:rFonts w:cs="Arial"/>
              </w:rPr>
              <w:t>2.61</w:t>
            </w:r>
          </w:p>
        </w:tc>
        <w:tc>
          <w:tcPr>
            <w:tcW w:w="1223" w:type="dxa"/>
            <w:noWrap/>
            <w:hideMark/>
          </w:tcPr>
          <w:p w14:paraId="5E1E2851" w14:textId="77777777" w:rsidR="006E145C" w:rsidRPr="00BA4F8E" w:rsidRDefault="006E145C" w:rsidP="00961E93">
            <w:pPr>
              <w:jc w:val="center"/>
              <w:rPr>
                <w:rFonts w:cs="Arial"/>
              </w:rPr>
            </w:pPr>
            <w:r w:rsidRPr="00BA4F8E">
              <w:rPr>
                <w:rFonts w:cs="Arial"/>
              </w:rPr>
              <w:t>2.32</w:t>
            </w:r>
          </w:p>
        </w:tc>
      </w:tr>
      <w:tr w:rsidR="006E145C" w:rsidRPr="00BA4F8E" w14:paraId="657EED88" w14:textId="77777777" w:rsidTr="00FF1814">
        <w:trPr>
          <w:trHeight w:val="302"/>
        </w:trPr>
        <w:tc>
          <w:tcPr>
            <w:tcW w:w="662" w:type="dxa"/>
            <w:noWrap/>
            <w:hideMark/>
          </w:tcPr>
          <w:p w14:paraId="2ED0BB1F" w14:textId="77777777" w:rsidR="006E145C" w:rsidRPr="00BA4F8E" w:rsidRDefault="006E145C" w:rsidP="00961E93">
            <w:pPr>
              <w:rPr>
                <w:rFonts w:cs="Arial"/>
              </w:rPr>
            </w:pPr>
            <w:r w:rsidRPr="00BA4F8E">
              <w:rPr>
                <w:rFonts w:cs="Arial"/>
              </w:rPr>
              <w:t>76</w:t>
            </w:r>
          </w:p>
        </w:tc>
        <w:tc>
          <w:tcPr>
            <w:tcW w:w="3488" w:type="dxa"/>
            <w:noWrap/>
            <w:hideMark/>
          </w:tcPr>
          <w:p w14:paraId="18A751B5" w14:textId="77777777" w:rsidR="006E145C" w:rsidRPr="00BA4F8E" w:rsidRDefault="006E145C" w:rsidP="00961E93">
            <w:pPr>
              <w:rPr>
                <w:rFonts w:cs="Arial"/>
              </w:rPr>
            </w:pPr>
            <w:r w:rsidRPr="00BA4F8E">
              <w:rPr>
                <w:rFonts w:cs="Arial"/>
              </w:rPr>
              <w:t>Zařízení pro telekomunikace a pro záznam a reprodukci zvuku</w:t>
            </w:r>
          </w:p>
        </w:tc>
        <w:tc>
          <w:tcPr>
            <w:tcW w:w="1223" w:type="dxa"/>
            <w:noWrap/>
            <w:hideMark/>
          </w:tcPr>
          <w:p w14:paraId="65F63E21" w14:textId="77777777" w:rsidR="006E145C" w:rsidRPr="00BA4F8E" w:rsidRDefault="006E145C" w:rsidP="00961E93">
            <w:pPr>
              <w:jc w:val="center"/>
              <w:rPr>
                <w:rFonts w:cs="Arial"/>
              </w:rPr>
            </w:pPr>
            <w:r w:rsidRPr="00BA4F8E">
              <w:rPr>
                <w:rFonts w:cs="Arial"/>
              </w:rPr>
              <w:t>4.41</w:t>
            </w:r>
          </w:p>
        </w:tc>
        <w:tc>
          <w:tcPr>
            <w:tcW w:w="1223" w:type="dxa"/>
            <w:noWrap/>
            <w:hideMark/>
          </w:tcPr>
          <w:p w14:paraId="32BA6CBA" w14:textId="77777777" w:rsidR="006E145C" w:rsidRPr="00BA4F8E" w:rsidRDefault="006E145C" w:rsidP="00961E93">
            <w:pPr>
              <w:jc w:val="center"/>
              <w:rPr>
                <w:rFonts w:cs="Arial"/>
              </w:rPr>
            </w:pPr>
            <w:r w:rsidRPr="00BA4F8E">
              <w:rPr>
                <w:rFonts w:cs="Arial"/>
              </w:rPr>
              <w:t>5.05</w:t>
            </w:r>
          </w:p>
        </w:tc>
        <w:tc>
          <w:tcPr>
            <w:tcW w:w="1223" w:type="dxa"/>
            <w:noWrap/>
            <w:hideMark/>
          </w:tcPr>
          <w:p w14:paraId="34E9F543" w14:textId="77777777" w:rsidR="006E145C" w:rsidRPr="00BA4F8E" w:rsidRDefault="006E145C" w:rsidP="00961E93">
            <w:pPr>
              <w:jc w:val="center"/>
              <w:rPr>
                <w:rFonts w:cs="Arial"/>
              </w:rPr>
            </w:pPr>
            <w:r w:rsidRPr="00BA4F8E">
              <w:rPr>
                <w:rFonts w:cs="Arial"/>
              </w:rPr>
              <w:t>0.96</w:t>
            </w:r>
          </w:p>
        </w:tc>
        <w:tc>
          <w:tcPr>
            <w:tcW w:w="1223" w:type="dxa"/>
            <w:noWrap/>
            <w:hideMark/>
          </w:tcPr>
          <w:p w14:paraId="0E72CF14" w14:textId="77777777" w:rsidR="006E145C" w:rsidRPr="00BA4F8E" w:rsidRDefault="006E145C" w:rsidP="00961E93">
            <w:pPr>
              <w:jc w:val="center"/>
              <w:rPr>
                <w:rFonts w:cs="Arial"/>
                <w:b/>
              </w:rPr>
            </w:pPr>
            <w:r w:rsidRPr="00BA4F8E">
              <w:rPr>
                <w:rFonts w:cs="Arial"/>
                <w:b/>
              </w:rPr>
              <w:t>1.12</w:t>
            </w:r>
          </w:p>
        </w:tc>
      </w:tr>
      <w:tr w:rsidR="006E145C" w:rsidRPr="00BA4F8E" w14:paraId="219CE7FF" w14:textId="77777777" w:rsidTr="00FF1814">
        <w:trPr>
          <w:trHeight w:val="287"/>
        </w:trPr>
        <w:tc>
          <w:tcPr>
            <w:tcW w:w="662" w:type="dxa"/>
            <w:noWrap/>
            <w:hideMark/>
          </w:tcPr>
          <w:p w14:paraId="516B6E3F" w14:textId="77777777" w:rsidR="006E145C" w:rsidRPr="00BA4F8E" w:rsidRDefault="006E145C" w:rsidP="00961E93">
            <w:pPr>
              <w:rPr>
                <w:rFonts w:cs="Arial"/>
              </w:rPr>
            </w:pPr>
            <w:r w:rsidRPr="00BA4F8E">
              <w:rPr>
                <w:rFonts w:cs="Arial"/>
              </w:rPr>
              <w:t>71</w:t>
            </w:r>
          </w:p>
        </w:tc>
        <w:tc>
          <w:tcPr>
            <w:tcW w:w="3488" w:type="dxa"/>
            <w:noWrap/>
            <w:hideMark/>
          </w:tcPr>
          <w:p w14:paraId="217139AF" w14:textId="77777777" w:rsidR="006E145C" w:rsidRPr="00BA4F8E" w:rsidRDefault="006E145C" w:rsidP="00961E93">
            <w:pPr>
              <w:rPr>
                <w:rFonts w:cs="Arial"/>
              </w:rPr>
            </w:pPr>
            <w:r w:rsidRPr="00BA4F8E">
              <w:rPr>
                <w:rFonts w:cs="Arial"/>
              </w:rPr>
              <w:t>Stroje a zařízení k výrobě energie</w:t>
            </w:r>
          </w:p>
        </w:tc>
        <w:tc>
          <w:tcPr>
            <w:tcW w:w="1223" w:type="dxa"/>
            <w:noWrap/>
            <w:hideMark/>
          </w:tcPr>
          <w:p w14:paraId="0FBEBD67" w14:textId="77777777" w:rsidR="006E145C" w:rsidRPr="00BA4F8E" w:rsidRDefault="006E145C" w:rsidP="00961E93">
            <w:pPr>
              <w:jc w:val="center"/>
              <w:rPr>
                <w:rFonts w:cs="Arial"/>
              </w:rPr>
            </w:pPr>
            <w:r w:rsidRPr="00BA4F8E">
              <w:rPr>
                <w:rFonts w:cs="Arial"/>
              </w:rPr>
              <w:t>2.94</w:t>
            </w:r>
          </w:p>
        </w:tc>
        <w:tc>
          <w:tcPr>
            <w:tcW w:w="1223" w:type="dxa"/>
            <w:noWrap/>
            <w:hideMark/>
          </w:tcPr>
          <w:p w14:paraId="2374CF31" w14:textId="77777777" w:rsidR="006E145C" w:rsidRPr="00BA4F8E" w:rsidRDefault="006E145C" w:rsidP="00961E93">
            <w:pPr>
              <w:jc w:val="center"/>
              <w:rPr>
                <w:rFonts w:cs="Arial"/>
              </w:rPr>
            </w:pPr>
            <w:r w:rsidRPr="00BA4F8E">
              <w:rPr>
                <w:rFonts w:cs="Arial"/>
              </w:rPr>
              <w:t>2.70</w:t>
            </w:r>
          </w:p>
        </w:tc>
        <w:tc>
          <w:tcPr>
            <w:tcW w:w="1223" w:type="dxa"/>
            <w:noWrap/>
            <w:hideMark/>
          </w:tcPr>
          <w:p w14:paraId="533D5C2C" w14:textId="77777777" w:rsidR="006E145C" w:rsidRPr="00BA4F8E" w:rsidRDefault="006E145C" w:rsidP="00961E93">
            <w:pPr>
              <w:jc w:val="center"/>
              <w:rPr>
                <w:rFonts w:cs="Arial"/>
              </w:rPr>
            </w:pPr>
            <w:r w:rsidRPr="00BA4F8E">
              <w:rPr>
                <w:rFonts w:cs="Arial"/>
              </w:rPr>
              <w:t>1.23</w:t>
            </w:r>
          </w:p>
        </w:tc>
        <w:tc>
          <w:tcPr>
            <w:tcW w:w="1223" w:type="dxa"/>
            <w:noWrap/>
            <w:hideMark/>
          </w:tcPr>
          <w:p w14:paraId="7405E7DC" w14:textId="77777777" w:rsidR="006E145C" w:rsidRPr="00BA4F8E" w:rsidRDefault="006E145C" w:rsidP="00961E93">
            <w:pPr>
              <w:jc w:val="center"/>
              <w:rPr>
                <w:rFonts w:cs="Arial"/>
              </w:rPr>
            </w:pPr>
            <w:r w:rsidRPr="00BA4F8E">
              <w:rPr>
                <w:rFonts w:cs="Arial"/>
              </w:rPr>
              <w:t>1.20</w:t>
            </w:r>
          </w:p>
        </w:tc>
      </w:tr>
      <w:tr w:rsidR="006E145C" w:rsidRPr="00BA4F8E" w14:paraId="44E09708" w14:textId="77777777" w:rsidTr="00FF1814">
        <w:trPr>
          <w:trHeight w:val="302"/>
        </w:trPr>
        <w:tc>
          <w:tcPr>
            <w:tcW w:w="662" w:type="dxa"/>
            <w:noWrap/>
            <w:hideMark/>
          </w:tcPr>
          <w:p w14:paraId="1B7CEBE5" w14:textId="77777777" w:rsidR="006E145C" w:rsidRPr="00BA4F8E" w:rsidRDefault="006E145C" w:rsidP="00961E93">
            <w:pPr>
              <w:rPr>
                <w:rFonts w:cs="Arial"/>
              </w:rPr>
            </w:pPr>
            <w:r w:rsidRPr="00BA4F8E">
              <w:rPr>
                <w:rFonts w:cs="Arial"/>
              </w:rPr>
              <w:t>67</w:t>
            </w:r>
          </w:p>
        </w:tc>
        <w:tc>
          <w:tcPr>
            <w:tcW w:w="3488" w:type="dxa"/>
            <w:noWrap/>
            <w:hideMark/>
          </w:tcPr>
          <w:p w14:paraId="227263E5" w14:textId="77777777" w:rsidR="006E145C" w:rsidRPr="00BA4F8E" w:rsidRDefault="006E145C" w:rsidP="00961E93">
            <w:pPr>
              <w:rPr>
                <w:rFonts w:cs="Arial"/>
              </w:rPr>
            </w:pPr>
            <w:r w:rsidRPr="00BA4F8E">
              <w:rPr>
                <w:rFonts w:cs="Arial"/>
              </w:rPr>
              <w:t>Železo a ocel</w:t>
            </w:r>
          </w:p>
        </w:tc>
        <w:tc>
          <w:tcPr>
            <w:tcW w:w="1223" w:type="dxa"/>
            <w:noWrap/>
            <w:hideMark/>
          </w:tcPr>
          <w:p w14:paraId="196F0868" w14:textId="77777777" w:rsidR="006E145C" w:rsidRPr="00BA4F8E" w:rsidRDefault="006E145C" w:rsidP="00961E93">
            <w:pPr>
              <w:jc w:val="center"/>
              <w:rPr>
                <w:rFonts w:cs="Arial"/>
              </w:rPr>
            </w:pPr>
            <w:r w:rsidRPr="00BA4F8E">
              <w:rPr>
                <w:rFonts w:cs="Arial"/>
              </w:rPr>
              <w:t>4.59</w:t>
            </w:r>
          </w:p>
        </w:tc>
        <w:tc>
          <w:tcPr>
            <w:tcW w:w="1223" w:type="dxa"/>
            <w:noWrap/>
            <w:hideMark/>
          </w:tcPr>
          <w:p w14:paraId="53A24ACF" w14:textId="77777777" w:rsidR="006E145C" w:rsidRPr="00BA4F8E" w:rsidRDefault="006E145C" w:rsidP="00961E93">
            <w:pPr>
              <w:jc w:val="center"/>
              <w:rPr>
                <w:rFonts w:cs="Arial"/>
              </w:rPr>
            </w:pPr>
            <w:r w:rsidRPr="00BA4F8E">
              <w:rPr>
                <w:rFonts w:cs="Arial"/>
              </w:rPr>
              <w:t>2.63</w:t>
            </w:r>
          </w:p>
        </w:tc>
        <w:tc>
          <w:tcPr>
            <w:tcW w:w="1223" w:type="dxa"/>
            <w:noWrap/>
            <w:hideMark/>
          </w:tcPr>
          <w:p w14:paraId="141CB68D" w14:textId="77777777" w:rsidR="006E145C" w:rsidRPr="00BA4F8E" w:rsidRDefault="006E145C" w:rsidP="00961E93">
            <w:pPr>
              <w:jc w:val="center"/>
              <w:rPr>
                <w:rFonts w:cs="Arial"/>
              </w:rPr>
            </w:pPr>
            <w:r w:rsidRPr="00BA4F8E">
              <w:rPr>
                <w:rFonts w:cs="Arial"/>
              </w:rPr>
              <w:t>1.43</w:t>
            </w:r>
          </w:p>
        </w:tc>
        <w:tc>
          <w:tcPr>
            <w:tcW w:w="1223" w:type="dxa"/>
            <w:noWrap/>
            <w:hideMark/>
          </w:tcPr>
          <w:p w14:paraId="2C940069" w14:textId="77777777" w:rsidR="006E145C" w:rsidRPr="00BA4F8E" w:rsidRDefault="006E145C" w:rsidP="00961E93">
            <w:pPr>
              <w:jc w:val="center"/>
              <w:rPr>
                <w:rFonts w:cs="Arial"/>
              </w:rPr>
            </w:pPr>
            <w:r w:rsidRPr="00BA4F8E">
              <w:rPr>
                <w:rFonts w:cs="Arial"/>
              </w:rPr>
              <w:t>1.13</w:t>
            </w:r>
          </w:p>
        </w:tc>
      </w:tr>
      <w:tr w:rsidR="006E145C" w:rsidRPr="00BA4F8E" w14:paraId="4A246B3E" w14:textId="77777777" w:rsidTr="00FF1814">
        <w:trPr>
          <w:trHeight w:val="287"/>
        </w:trPr>
        <w:tc>
          <w:tcPr>
            <w:tcW w:w="662" w:type="dxa"/>
            <w:noWrap/>
            <w:hideMark/>
          </w:tcPr>
          <w:p w14:paraId="770EF468" w14:textId="77777777" w:rsidR="006E145C" w:rsidRPr="00BA4F8E" w:rsidRDefault="006E145C" w:rsidP="00961E93">
            <w:pPr>
              <w:rPr>
                <w:rFonts w:cs="Arial"/>
              </w:rPr>
            </w:pPr>
            <w:r w:rsidRPr="00BA4F8E">
              <w:rPr>
                <w:rFonts w:cs="Arial"/>
              </w:rPr>
              <w:t>72</w:t>
            </w:r>
          </w:p>
        </w:tc>
        <w:tc>
          <w:tcPr>
            <w:tcW w:w="3488" w:type="dxa"/>
            <w:noWrap/>
            <w:hideMark/>
          </w:tcPr>
          <w:p w14:paraId="13C32635" w14:textId="77777777" w:rsidR="006E145C" w:rsidRPr="00BA4F8E" w:rsidRDefault="006E145C" w:rsidP="00961E93">
            <w:pPr>
              <w:rPr>
                <w:rFonts w:cs="Arial"/>
              </w:rPr>
            </w:pPr>
            <w:r w:rsidRPr="00BA4F8E">
              <w:rPr>
                <w:rFonts w:cs="Arial"/>
              </w:rPr>
              <w:t>Výrobky z pryže, j.n.</w:t>
            </w:r>
          </w:p>
        </w:tc>
        <w:tc>
          <w:tcPr>
            <w:tcW w:w="1223" w:type="dxa"/>
            <w:noWrap/>
            <w:hideMark/>
          </w:tcPr>
          <w:p w14:paraId="409D6C70" w14:textId="77777777" w:rsidR="006E145C" w:rsidRPr="00BA4F8E" w:rsidRDefault="006E145C" w:rsidP="00961E93">
            <w:pPr>
              <w:jc w:val="center"/>
              <w:rPr>
                <w:rFonts w:cs="Arial"/>
              </w:rPr>
            </w:pPr>
            <w:r w:rsidRPr="00BA4F8E">
              <w:rPr>
                <w:rFonts w:cs="Arial"/>
              </w:rPr>
              <w:t>3.09</w:t>
            </w:r>
          </w:p>
        </w:tc>
        <w:tc>
          <w:tcPr>
            <w:tcW w:w="1223" w:type="dxa"/>
            <w:noWrap/>
            <w:hideMark/>
          </w:tcPr>
          <w:p w14:paraId="7255CC77" w14:textId="77777777" w:rsidR="006E145C" w:rsidRPr="00BA4F8E" w:rsidRDefault="006E145C" w:rsidP="00961E93">
            <w:pPr>
              <w:jc w:val="center"/>
              <w:rPr>
                <w:rFonts w:cs="Arial"/>
              </w:rPr>
            </w:pPr>
            <w:r w:rsidRPr="00BA4F8E">
              <w:rPr>
                <w:rFonts w:cs="Arial"/>
              </w:rPr>
              <w:t>2.48</w:t>
            </w:r>
          </w:p>
        </w:tc>
        <w:tc>
          <w:tcPr>
            <w:tcW w:w="1223" w:type="dxa"/>
            <w:noWrap/>
            <w:hideMark/>
          </w:tcPr>
          <w:p w14:paraId="6091F1E1" w14:textId="77777777" w:rsidR="006E145C" w:rsidRPr="00BA4F8E" w:rsidRDefault="006E145C" w:rsidP="00961E93">
            <w:pPr>
              <w:jc w:val="center"/>
              <w:rPr>
                <w:rFonts w:cs="Arial"/>
              </w:rPr>
            </w:pPr>
            <w:r w:rsidRPr="00BA4F8E">
              <w:rPr>
                <w:rFonts w:cs="Arial"/>
              </w:rPr>
              <w:t>1.19</w:t>
            </w:r>
          </w:p>
        </w:tc>
        <w:tc>
          <w:tcPr>
            <w:tcW w:w="1223" w:type="dxa"/>
            <w:noWrap/>
            <w:hideMark/>
          </w:tcPr>
          <w:p w14:paraId="59F9404B" w14:textId="77777777" w:rsidR="006E145C" w:rsidRPr="00BA4F8E" w:rsidRDefault="006E145C" w:rsidP="00961E93">
            <w:pPr>
              <w:jc w:val="center"/>
              <w:rPr>
                <w:rFonts w:cs="Arial"/>
              </w:rPr>
            </w:pPr>
            <w:r w:rsidRPr="00BA4F8E">
              <w:rPr>
                <w:rFonts w:cs="Arial"/>
              </w:rPr>
              <w:t>1.08</w:t>
            </w:r>
          </w:p>
        </w:tc>
      </w:tr>
      <w:tr w:rsidR="006E145C" w:rsidRPr="00BA4F8E" w14:paraId="0012530D" w14:textId="77777777" w:rsidTr="00FF1814">
        <w:trPr>
          <w:trHeight w:val="287"/>
        </w:trPr>
        <w:tc>
          <w:tcPr>
            <w:tcW w:w="662" w:type="dxa"/>
            <w:noWrap/>
            <w:hideMark/>
          </w:tcPr>
          <w:p w14:paraId="7232F5DF" w14:textId="77777777" w:rsidR="006E145C" w:rsidRPr="00BA4F8E" w:rsidRDefault="006E145C" w:rsidP="00961E93">
            <w:pPr>
              <w:rPr>
                <w:rFonts w:cs="Arial"/>
              </w:rPr>
            </w:pPr>
            <w:r w:rsidRPr="00BA4F8E">
              <w:rPr>
                <w:rFonts w:cs="Arial"/>
              </w:rPr>
              <w:t>21</w:t>
            </w:r>
          </w:p>
        </w:tc>
        <w:tc>
          <w:tcPr>
            <w:tcW w:w="3488" w:type="dxa"/>
            <w:noWrap/>
            <w:hideMark/>
          </w:tcPr>
          <w:p w14:paraId="280F6FBD" w14:textId="77777777" w:rsidR="006E145C" w:rsidRPr="00BA4F8E" w:rsidRDefault="006E145C" w:rsidP="00961E93">
            <w:pPr>
              <w:rPr>
                <w:rFonts w:cs="Arial"/>
              </w:rPr>
            </w:pPr>
            <w:r w:rsidRPr="00BA4F8E">
              <w:rPr>
                <w:rFonts w:cs="Arial"/>
              </w:rPr>
              <w:t>Suroviny nepoživatelné s výjimkou paliv</w:t>
            </w:r>
          </w:p>
        </w:tc>
        <w:tc>
          <w:tcPr>
            <w:tcW w:w="1223" w:type="dxa"/>
            <w:noWrap/>
            <w:hideMark/>
          </w:tcPr>
          <w:p w14:paraId="733E65B9" w14:textId="77777777" w:rsidR="006E145C" w:rsidRPr="00BA4F8E" w:rsidRDefault="006E145C" w:rsidP="00961E93">
            <w:pPr>
              <w:jc w:val="center"/>
              <w:rPr>
                <w:rFonts w:cs="Arial"/>
              </w:rPr>
            </w:pPr>
            <w:r w:rsidRPr="00BA4F8E">
              <w:rPr>
                <w:rFonts w:cs="Arial"/>
              </w:rPr>
              <w:t>2.49</w:t>
            </w:r>
          </w:p>
        </w:tc>
        <w:tc>
          <w:tcPr>
            <w:tcW w:w="1223" w:type="dxa"/>
            <w:noWrap/>
            <w:hideMark/>
          </w:tcPr>
          <w:p w14:paraId="3BD14FA9" w14:textId="77777777" w:rsidR="006E145C" w:rsidRPr="00BA4F8E" w:rsidRDefault="006E145C" w:rsidP="00961E93">
            <w:pPr>
              <w:jc w:val="center"/>
              <w:rPr>
                <w:rFonts w:cs="Arial"/>
              </w:rPr>
            </w:pPr>
            <w:r w:rsidRPr="00BA4F8E">
              <w:rPr>
                <w:rFonts w:cs="Arial"/>
              </w:rPr>
              <w:t>2.25</w:t>
            </w:r>
          </w:p>
        </w:tc>
        <w:tc>
          <w:tcPr>
            <w:tcW w:w="1223" w:type="dxa"/>
            <w:noWrap/>
            <w:hideMark/>
          </w:tcPr>
          <w:p w14:paraId="67E9DE22" w14:textId="77777777" w:rsidR="006E145C" w:rsidRPr="00BA4F8E" w:rsidRDefault="006E145C" w:rsidP="00961E93">
            <w:pPr>
              <w:jc w:val="center"/>
              <w:rPr>
                <w:rFonts w:cs="Arial"/>
              </w:rPr>
            </w:pPr>
            <w:r w:rsidRPr="00BA4F8E">
              <w:rPr>
                <w:rFonts w:cs="Arial"/>
              </w:rPr>
              <w:t>0.72</w:t>
            </w:r>
          </w:p>
        </w:tc>
        <w:tc>
          <w:tcPr>
            <w:tcW w:w="1223" w:type="dxa"/>
            <w:noWrap/>
            <w:hideMark/>
          </w:tcPr>
          <w:p w14:paraId="11FBB318" w14:textId="77777777" w:rsidR="006E145C" w:rsidRPr="00BA4F8E" w:rsidRDefault="006E145C" w:rsidP="00961E93">
            <w:pPr>
              <w:jc w:val="center"/>
              <w:rPr>
                <w:rFonts w:cs="Arial"/>
              </w:rPr>
            </w:pPr>
            <w:r w:rsidRPr="00BA4F8E">
              <w:rPr>
                <w:rFonts w:cs="Arial"/>
              </w:rPr>
              <w:t>0.62</w:t>
            </w:r>
          </w:p>
        </w:tc>
      </w:tr>
      <w:tr w:rsidR="006E145C" w:rsidRPr="00BA4F8E" w14:paraId="3E5731E5" w14:textId="77777777" w:rsidTr="00FF1814">
        <w:trPr>
          <w:trHeight w:val="287"/>
        </w:trPr>
        <w:tc>
          <w:tcPr>
            <w:tcW w:w="662" w:type="dxa"/>
            <w:noWrap/>
            <w:hideMark/>
          </w:tcPr>
          <w:p w14:paraId="5A08B718" w14:textId="77777777" w:rsidR="006E145C" w:rsidRPr="00BA4F8E" w:rsidRDefault="006E145C" w:rsidP="00961E93">
            <w:pPr>
              <w:rPr>
                <w:rFonts w:cs="Arial"/>
              </w:rPr>
            </w:pPr>
            <w:r w:rsidRPr="00BA4F8E">
              <w:rPr>
                <w:rFonts w:cs="Arial"/>
              </w:rPr>
              <w:t>82</w:t>
            </w:r>
          </w:p>
        </w:tc>
        <w:tc>
          <w:tcPr>
            <w:tcW w:w="3488" w:type="dxa"/>
            <w:noWrap/>
            <w:hideMark/>
          </w:tcPr>
          <w:p w14:paraId="1B64F55B" w14:textId="77777777" w:rsidR="006E145C" w:rsidRPr="00BA4F8E" w:rsidRDefault="006E145C" w:rsidP="00961E93">
            <w:pPr>
              <w:rPr>
                <w:rFonts w:cs="Arial"/>
              </w:rPr>
            </w:pPr>
            <w:r w:rsidRPr="00BA4F8E">
              <w:rPr>
                <w:rFonts w:cs="Arial"/>
              </w:rPr>
              <w:t>Nábytek a jeho díly</w:t>
            </w:r>
          </w:p>
        </w:tc>
        <w:tc>
          <w:tcPr>
            <w:tcW w:w="1223" w:type="dxa"/>
            <w:noWrap/>
            <w:hideMark/>
          </w:tcPr>
          <w:p w14:paraId="0B2558D0" w14:textId="77777777" w:rsidR="006E145C" w:rsidRPr="00BA4F8E" w:rsidRDefault="006E145C" w:rsidP="00961E93">
            <w:pPr>
              <w:jc w:val="center"/>
              <w:rPr>
                <w:rFonts w:cs="Arial"/>
              </w:rPr>
            </w:pPr>
            <w:r w:rsidRPr="00BA4F8E">
              <w:rPr>
                <w:rFonts w:cs="Arial"/>
              </w:rPr>
              <w:t>2.06</w:t>
            </w:r>
          </w:p>
        </w:tc>
        <w:tc>
          <w:tcPr>
            <w:tcW w:w="1223" w:type="dxa"/>
            <w:noWrap/>
            <w:hideMark/>
          </w:tcPr>
          <w:p w14:paraId="32CCD23E" w14:textId="77777777" w:rsidR="006E145C" w:rsidRPr="00BA4F8E" w:rsidRDefault="006E145C" w:rsidP="00961E93">
            <w:pPr>
              <w:jc w:val="center"/>
              <w:rPr>
                <w:rFonts w:cs="Arial"/>
              </w:rPr>
            </w:pPr>
            <w:r w:rsidRPr="00BA4F8E">
              <w:rPr>
                <w:rFonts w:cs="Arial"/>
              </w:rPr>
              <w:t>2.14</w:t>
            </w:r>
          </w:p>
        </w:tc>
        <w:tc>
          <w:tcPr>
            <w:tcW w:w="1223" w:type="dxa"/>
            <w:noWrap/>
            <w:hideMark/>
          </w:tcPr>
          <w:p w14:paraId="76AA7494" w14:textId="77777777" w:rsidR="006E145C" w:rsidRPr="00BA4F8E" w:rsidRDefault="006E145C" w:rsidP="00961E93">
            <w:pPr>
              <w:jc w:val="center"/>
              <w:rPr>
                <w:rFonts w:cs="Arial"/>
              </w:rPr>
            </w:pPr>
            <w:r w:rsidRPr="00BA4F8E">
              <w:rPr>
                <w:rFonts w:cs="Arial"/>
              </w:rPr>
              <w:t>2.26</w:t>
            </w:r>
          </w:p>
        </w:tc>
        <w:tc>
          <w:tcPr>
            <w:tcW w:w="1223" w:type="dxa"/>
            <w:noWrap/>
            <w:hideMark/>
          </w:tcPr>
          <w:p w14:paraId="04474CBA" w14:textId="77777777" w:rsidR="006E145C" w:rsidRPr="00BA4F8E" w:rsidRDefault="006E145C" w:rsidP="00961E93">
            <w:pPr>
              <w:jc w:val="center"/>
              <w:rPr>
                <w:rFonts w:cs="Arial"/>
              </w:rPr>
            </w:pPr>
            <w:r w:rsidRPr="00BA4F8E">
              <w:rPr>
                <w:rFonts w:cs="Arial"/>
              </w:rPr>
              <w:t>2.16</w:t>
            </w:r>
          </w:p>
        </w:tc>
      </w:tr>
      <w:tr w:rsidR="006E145C" w:rsidRPr="00BA4F8E" w14:paraId="6335D25B" w14:textId="77777777" w:rsidTr="00FF1814">
        <w:trPr>
          <w:trHeight w:val="302"/>
        </w:trPr>
        <w:tc>
          <w:tcPr>
            <w:tcW w:w="662" w:type="dxa"/>
            <w:noWrap/>
            <w:hideMark/>
          </w:tcPr>
          <w:p w14:paraId="3221EC1E" w14:textId="77777777" w:rsidR="006E145C" w:rsidRPr="00BA4F8E" w:rsidRDefault="006E145C" w:rsidP="00961E93">
            <w:pPr>
              <w:rPr>
                <w:rFonts w:cs="Arial"/>
              </w:rPr>
            </w:pPr>
            <w:r w:rsidRPr="00BA4F8E">
              <w:rPr>
                <w:rFonts w:cs="Arial"/>
              </w:rPr>
              <w:lastRenderedPageBreak/>
              <w:t>62</w:t>
            </w:r>
          </w:p>
        </w:tc>
        <w:tc>
          <w:tcPr>
            <w:tcW w:w="3488" w:type="dxa"/>
            <w:noWrap/>
            <w:hideMark/>
          </w:tcPr>
          <w:p w14:paraId="5A6C1124" w14:textId="77777777" w:rsidR="006E145C" w:rsidRPr="00BA4F8E" w:rsidRDefault="006E145C" w:rsidP="00961E93">
            <w:pPr>
              <w:rPr>
                <w:rFonts w:cs="Arial"/>
              </w:rPr>
            </w:pPr>
            <w:r w:rsidRPr="00BA4F8E">
              <w:rPr>
                <w:rFonts w:cs="Arial"/>
              </w:rPr>
              <w:t>Strojní zařízení pro určitá odvětví průmyslu</w:t>
            </w:r>
          </w:p>
        </w:tc>
        <w:tc>
          <w:tcPr>
            <w:tcW w:w="1223" w:type="dxa"/>
            <w:noWrap/>
            <w:hideMark/>
          </w:tcPr>
          <w:p w14:paraId="7EDA6E89" w14:textId="77777777" w:rsidR="006E145C" w:rsidRPr="00BA4F8E" w:rsidRDefault="006E145C" w:rsidP="00961E93">
            <w:pPr>
              <w:jc w:val="center"/>
              <w:rPr>
                <w:rFonts w:cs="Arial"/>
              </w:rPr>
            </w:pPr>
            <w:r w:rsidRPr="00BA4F8E">
              <w:rPr>
                <w:rFonts w:cs="Arial"/>
              </w:rPr>
              <w:t>2.25</w:t>
            </w:r>
          </w:p>
        </w:tc>
        <w:tc>
          <w:tcPr>
            <w:tcW w:w="1223" w:type="dxa"/>
            <w:noWrap/>
            <w:hideMark/>
          </w:tcPr>
          <w:p w14:paraId="1CCF8385" w14:textId="77777777" w:rsidR="006E145C" w:rsidRPr="00BA4F8E" w:rsidRDefault="006E145C" w:rsidP="00961E93">
            <w:pPr>
              <w:jc w:val="center"/>
              <w:rPr>
                <w:rFonts w:cs="Arial"/>
              </w:rPr>
            </w:pPr>
            <w:r w:rsidRPr="00BA4F8E">
              <w:rPr>
                <w:rFonts w:cs="Arial"/>
              </w:rPr>
              <w:t>2.11</w:t>
            </w:r>
          </w:p>
        </w:tc>
        <w:tc>
          <w:tcPr>
            <w:tcW w:w="1223" w:type="dxa"/>
            <w:noWrap/>
            <w:hideMark/>
          </w:tcPr>
          <w:p w14:paraId="5FF541A2" w14:textId="77777777" w:rsidR="006E145C" w:rsidRPr="00BA4F8E" w:rsidRDefault="006E145C" w:rsidP="00961E93">
            <w:pPr>
              <w:jc w:val="center"/>
              <w:rPr>
                <w:rFonts w:cs="Arial"/>
              </w:rPr>
            </w:pPr>
            <w:r w:rsidRPr="00BA4F8E">
              <w:rPr>
                <w:rFonts w:cs="Arial"/>
              </w:rPr>
              <w:t>3.10</w:t>
            </w:r>
          </w:p>
        </w:tc>
        <w:tc>
          <w:tcPr>
            <w:tcW w:w="1223" w:type="dxa"/>
            <w:noWrap/>
            <w:hideMark/>
          </w:tcPr>
          <w:p w14:paraId="5EE3C628" w14:textId="77777777" w:rsidR="006E145C" w:rsidRPr="00BA4F8E" w:rsidRDefault="006E145C" w:rsidP="00961E93">
            <w:pPr>
              <w:jc w:val="center"/>
              <w:rPr>
                <w:rFonts w:cs="Arial"/>
              </w:rPr>
            </w:pPr>
            <w:r w:rsidRPr="00BA4F8E">
              <w:rPr>
                <w:rFonts w:cs="Arial"/>
              </w:rPr>
              <w:t>2.70</w:t>
            </w:r>
          </w:p>
        </w:tc>
      </w:tr>
      <w:tr w:rsidR="006E145C" w:rsidRPr="00BA4F8E" w14:paraId="65DCD7E5" w14:textId="77777777" w:rsidTr="00FF1814">
        <w:trPr>
          <w:trHeight w:val="287"/>
        </w:trPr>
        <w:tc>
          <w:tcPr>
            <w:tcW w:w="662" w:type="dxa"/>
            <w:noWrap/>
            <w:hideMark/>
          </w:tcPr>
          <w:p w14:paraId="22D3E77E" w14:textId="77777777" w:rsidR="006E145C" w:rsidRPr="00BA4F8E" w:rsidRDefault="006E145C" w:rsidP="00961E93">
            <w:pPr>
              <w:rPr>
                <w:rFonts w:cs="Arial"/>
              </w:rPr>
            </w:pPr>
            <w:r w:rsidRPr="00BA4F8E">
              <w:rPr>
                <w:rFonts w:cs="Arial"/>
              </w:rPr>
              <w:t>x</w:t>
            </w:r>
          </w:p>
        </w:tc>
        <w:tc>
          <w:tcPr>
            <w:tcW w:w="3488" w:type="dxa"/>
            <w:noWrap/>
            <w:hideMark/>
          </w:tcPr>
          <w:p w14:paraId="36649EF8" w14:textId="77777777" w:rsidR="006E145C" w:rsidRPr="00BA4F8E" w:rsidRDefault="006E145C" w:rsidP="00961E93">
            <w:pPr>
              <w:rPr>
                <w:rFonts w:cs="Arial"/>
              </w:rPr>
            </w:pPr>
            <w:r w:rsidRPr="00BA4F8E">
              <w:rPr>
                <w:rFonts w:cs="Arial"/>
              </w:rPr>
              <w:t>Podíl 1 - 5 položky na exportu ČR</w:t>
            </w:r>
          </w:p>
        </w:tc>
        <w:tc>
          <w:tcPr>
            <w:tcW w:w="1223" w:type="dxa"/>
            <w:noWrap/>
            <w:hideMark/>
          </w:tcPr>
          <w:p w14:paraId="4D3373E6" w14:textId="77777777" w:rsidR="006E145C" w:rsidRPr="00BA4F8E" w:rsidRDefault="006E145C" w:rsidP="00961E93">
            <w:pPr>
              <w:jc w:val="center"/>
              <w:rPr>
                <w:rFonts w:cs="Arial"/>
              </w:rPr>
            </w:pPr>
            <w:r w:rsidRPr="00BA4F8E">
              <w:rPr>
                <w:rFonts w:cs="Arial"/>
              </w:rPr>
              <w:t>44.74</w:t>
            </w:r>
          </w:p>
        </w:tc>
        <w:tc>
          <w:tcPr>
            <w:tcW w:w="1223" w:type="dxa"/>
            <w:noWrap/>
            <w:hideMark/>
          </w:tcPr>
          <w:p w14:paraId="49F2164C" w14:textId="77777777" w:rsidR="006E145C" w:rsidRPr="00BA4F8E" w:rsidRDefault="006E145C" w:rsidP="00961E93">
            <w:pPr>
              <w:jc w:val="center"/>
              <w:rPr>
                <w:rFonts w:cs="Arial"/>
              </w:rPr>
            </w:pPr>
            <w:r w:rsidRPr="00BA4F8E">
              <w:rPr>
                <w:rFonts w:cs="Arial"/>
              </w:rPr>
              <w:t>49.93</w:t>
            </w:r>
          </w:p>
        </w:tc>
        <w:tc>
          <w:tcPr>
            <w:tcW w:w="1223" w:type="dxa"/>
            <w:noWrap/>
            <w:hideMark/>
          </w:tcPr>
          <w:p w14:paraId="674E2FFB" w14:textId="77777777" w:rsidR="006E145C" w:rsidRPr="00BA4F8E" w:rsidRDefault="006E145C" w:rsidP="00961E93">
            <w:pPr>
              <w:jc w:val="center"/>
              <w:rPr>
                <w:rFonts w:cs="Arial"/>
              </w:rPr>
            </w:pPr>
            <w:r w:rsidRPr="00BA4F8E">
              <w:rPr>
                <w:rFonts w:cs="Arial"/>
              </w:rPr>
              <w:t>-</w:t>
            </w:r>
          </w:p>
        </w:tc>
        <w:tc>
          <w:tcPr>
            <w:tcW w:w="1223" w:type="dxa"/>
            <w:noWrap/>
            <w:hideMark/>
          </w:tcPr>
          <w:p w14:paraId="3D93B03D" w14:textId="77777777" w:rsidR="006E145C" w:rsidRPr="00BA4F8E" w:rsidRDefault="006E145C" w:rsidP="00961E93">
            <w:pPr>
              <w:jc w:val="center"/>
              <w:rPr>
                <w:rFonts w:cs="Arial"/>
              </w:rPr>
            </w:pPr>
            <w:r w:rsidRPr="00BA4F8E">
              <w:rPr>
                <w:rFonts w:cs="Arial"/>
              </w:rPr>
              <w:t>-</w:t>
            </w:r>
          </w:p>
        </w:tc>
      </w:tr>
      <w:tr w:rsidR="006E145C" w:rsidRPr="00BA4F8E" w14:paraId="66BDBF4B" w14:textId="77777777" w:rsidTr="00FF1814">
        <w:trPr>
          <w:trHeight w:val="287"/>
        </w:trPr>
        <w:tc>
          <w:tcPr>
            <w:tcW w:w="662" w:type="dxa"/>
            <w:noWrap/>
            <w:hideMark/>
          </w:tcPr>
          <w:p w14:paraId="64534DD2" w14:textId="77777777" w:rsidR="006E145C" w:rsidRPr="00BA4F8E" w:rsidRDefault="006E145C" w:rsidP="00961E93">
            <w:pPr>
              <w:rPr>
                <w:rFonts w:cs="Arial"/>
              </w:rPr>
            </w:pPr>
            <w:r w:rsidRPr="00BA4F8E">
              <w:rPr>
                <w:rFonts w:cs="Arial"/>
              </w:rPr>
              <w:t>x</w:t>
            </w:r>
          </w:p>
        </w:tc>
        <w:tc>
          <w:tcPr>
            <w:tcW w:w="3488" w:type="dxa"/>
            <w:noWrap/>
            <w:hideMark/>
          </w:tcPr>
          <w:p w14:paraId="6ADD6520" w14:textId="77777777" w:rsidR="006E145C" w:rsidRPr="00BA4F8E" w:rsidRDefault="006E145C" w:rsidP="00961E93">
            <w:pPr>
              <w:rPr>
                <w:rFonts w:cs="Arial"/>
              </w:rPr>
            </w:pPr>
            <w:r w:rsidRPr="00BA4F8E">
              <w:rPr>
                <w:rFonts w:cs="Arial"/>
              </w:rPr>
              <w:t>Podíl 6 – 10 položky na exportu ČR</w:t>
            </w:r>
          </w:p>
        </w:tc>
        <w:tc>
          <w:tcPr>
            <w:tcW w:w="1223" w:type="dxa"/>
            <w:noWrap/>
            <w:hideMark/>
          </w:tcPr>
          <w:p w14:paraId="4A7D75C9" w14:textId="77777777" w:rsidR="006E145C" w:rsidRPr="00BA4F8E" w:rsidRDefault="006E145C" w:rsidP="00961E93">
            <w:pPr>
              <w:jc w:val="center"/>
              <w:rPr>
                <w:rFonts w:cs="Arial"/>
              </w:rPr>
            </w:pPr>
            <w:r w:rsidRPr="00BA4F8E">
              <w:rPr>
                <w:rFonts w:cs="Arial"/>
              </w:rPr>
              <w:t>20.60</w:t>
            </w:r>
          </w:p>
        </w:tc>
        <w:tc>
          <w:tcPr>
            <w:tcW w:w="1223" w:type="dxa"/>
            <w:noWrap/>
            <w:hideMark/>
          </w:tcPr>
          <w:p w14:paraId="4A1C6EEB" w14:textId="77777777" w:rsidR="006E145C" w:rsidRPr="00BA4F8E" w:rsidRDefault="006E145C" w:rsidP="00961E93">
            <w:pPr>
              <w:jc w:val="center"/>
              <w:rPr>
                <w:rFonts w:cs="Arial"/>
              </w:rPr>
            </w:pPr>
            <w:r w:rsidRPr="00BA4F8E">
              <w:rPr>
                <w:rFonts w:cs="Arial"/>
              </w:rPr>
              <w:t>18.02</w:t>
            </w:r>
          </w:p>
        </w:tc>
        <w:tc>
          <w:tcPr>
            <w:tcW w:w="1223" w:type="dxa"/>
            <w:noWrap/>
            <w:hideMark/>
          </w:tcPr>
          <w:p w14:paraId="3FD8117A" w14:textId="77777777" w:rsidR="006E145C" w:rsidRPr="00BA4F8E" w:rsidRDefault="006E145C" w:rsidP="00961E93">
            <w:pPr>
              <w:jc w:val="center"/>
              <w:rPr>
                <w:rFonts w:cs="Arial"/>
              </w:rPr>
            </w:pPr>
            <w:r w:rsidRPr="00BA4F8E">
              <w:rPr>
                <w:rFonts w:cs="Arial"/>
              </w:rPr>
              <w:t>-</w:t>
            </w:r>
          </w:p>
        </w:tc>
        <w:tc>
          <w:tcPr>
            <w:tcW w:w="1223" w:type="dxa"/>
            <w:noWrap/>
            <w:hideMark/>
          </w:tcPr>
          <w:p w14:paraId="5F234292" w14:textId="77777777" w:rsidR="006E145C" w:rsidRPr="00BA4F8E" w:rsidRDefault="006E145C" w:rsidP="00961E93">
            <w:pPr>
              <w:jc w:val="center"/>
              <w:rPr>
                <w:rFonts w:cs="Arial"/>
              </w:rPr>
            </w:pPr>
            <w:r w:rsidRPr="00BA4F8E">
              <w:rPr>
                <w:rFonts w:cs="Arial"/>
              </w:rPr>
              <w:t>-</w:t>
            </w:r>
          </w:p>
        </w:tc>
      </w:tr>
      <w:tr w:rsidR="006E145C" w:rsidRPr="00BA4F8E" w14:paraId="69E12AF4" w14:textId="77777777" w:rsidTr="00FF1814">
        <w:trPr>
          <w:trHeight w:val="287"/>
        </w:trPr>
        <w:tc>
          <w:tcPr>
            <w:tcW w:w="662" w:type="dxa"/>
            <w:noWrap/>
            <w:hideMark/>
          </w:tcPr>
          <w:p w14:paraId="18607B70" w14:textId="77777777" w:rsidR="006E145C" w:rsidRPr="00BA4F8E" w:rsidRDefault="006E145C" w:rsidP="00961E93">
            <w:pPr>
              <w:rPr>
                <w:rFonts w:cs="Arial"/>
              </w:rPr>
            </w:pPr>
            <w:r w:rsidRPr="00BA4F8E">
              <w:rPr>
                <w:rFonts w:cs="Arial"/>
              </w:rPr>
              <w:t>x</w:t>
            </w:r>
          </w:p>
        </w:tc>
        <w:tc>
          <w:tcPr>
            <w:tcW w:w="3488" w:type="dxa"/>
            <w:noWrap/>
            <w:hideMark/>
          </w:tcPr>
          <w:p w14:paraId="486C2D56" w14:textId="77777777" w:rsidR="006E145C" w:rsidRPr="00BA4F8E" w:rsidRDefault="006E145C" w:rsidP="00961E93">
            <w:pPr>
              <w:rPr>
                <w:rFonts w:cs="Arial"/>
              </w:rPr>
            </w:pPr>
            <w:r w:rsidRPr="00BA4F8E">
              <w:rPr>
                <w:rFonts w:cs="Arial"/>
              </w:rPr>
              <w:t>Podíl prvních 10 položek na exportu ČR</w:t>
            </w:r>
          </w:p>
        </w:tc>
        <w:tc>
          <w:tcPr>
            <w:tcW w:w="1223" w:type="dxa"/>
            <w:noWrap/>
            <w:hideMark/>
          </w:tcPr>
          <w:p w14:paraId="7914182D" w14:textId="77777777" w:rsidR="006E145C" w:rsidRPr="00BA4F8E" w:rsidRDefault="006E145C" w:rsidP="00961E93">
            <w:pPr>
              <w:jc w:val="center"/>
              <w:rPr>
                <w:rFonts w:cs="Arial"/>
              </w:rPr>
            </w:pPr>
            <w:r w:rsidRPr="00BA4F8E">
              <w:rPr>
                <w:rFonts w:cs="Arial"/>
              </w:rPr>
              <w:t>65.34</w:t>
            </w:r>
          </w:p>
        </w:tc>
        <w:tc>
          <w:tcPr>
            <w:tcW w:w="1223" w:type="dxa"/>
            <w:noWrap/>
            <w:hideMark/>
          </w:tcPr>
          <w:p w14:paraId="12F071AF" w14:textId="77777777" w:rsidR="006E145C" w:rsidRPr="00BA4F8E" w:rsidRDefault="006E145C" w:rsidP="00961E93">
            <w:pPr>
              <w:jc w:val="center"/>
              <w:rPr>
                <w:rFonts w:cs="Arial"/>
              </w:rPr>
            </w:pPr>
            <w:r w:rsidRPr="00BA4F8E">
              <w:rPr>
                <w:rFonts w:cs="Arial"/>
              </w:rPr>
              <w:t>67.94</w:t>
            </w:r>
          </w:p>
        </w:tc>
        <w:tc>
          <w:tcPr>
            <w:tcW w:w="1223" w:type="dxa"/>
            <w:noWrap/>
            <w:hideMark/>
          </w:tcPr>
          <w:p w14:paraId="2D45F974" w14:textId="77777777" w:rsidR="006E145C" w:rsidRPr="00BA4F8E" w:rsidRDefault="006E145C" w:rsidP="00961E93">
            <w:pPr>
              <w:jc w:val="center"/>
              <w:rPr>
                <w:rFonts w:cs="Arial"/>
              </w:rPr>
            </w:pPr>
            <w:r w:rsidRPr="00BA4F8E">
              <w:rPr>
                <w:rFonts w:cs="Arial"/>
              </w:rPr>
              <w:t>-</w:t>
            </w:r>
          </w:p>
        </w:tc>
        <w:tc>
          <w:tcPr>
            <w:tcW w:w="1223" w:type="dxa"/>
            <w:noWrap/>
            <w:hideMark/>
          </w:tcPr>
          <w:p w14:paraId="707F976D" w14:textId="77777777" w:rsidR="006E145C" w:rsidRPr="00BA4F8E" w:rsidRDefault="006E145C" w:rsidP="00961E93">
            <w:pPr>
              <w:jc w:val="center"/>
              <w:rPr>
                <w:rFonts w:cs="Arial"/>
              </w:rPr>
            </w:pPr>
            <w:r w:rsidRPr="00BA4F8E">
              <w:rPr>
                <w:rFonts w:cs="Arial"/>
              </w:rPr>
              <w:t>-</w:t>
            </w:r>
          </w:p>
        </w:tc>
      </w:tr>
    </w:tbl>
    <w:p w14:paraId="17B051AF" w14:textId="77777777" w:rsidR="006E145C" w:rsidRPr="00671F72" w:rsidRDefault="006E145C" w:rsidP="00671F72">
      <w:pPr>
        <w:pStyle w:val="Zdrojdat"/>
        <w:spacing w:after="0"/>
        <w:rPr>
          <w:rFonts w:asciiTheme="minorHAnsi" w:hAnsiTheme="minorHAnsi"/>
          <w:i/>
          <w:sz w:val="18"/>
          <w:szCs w:val="18"/>
        </w:rPr>
      </w:pPr>
      <w:r w:rsidRPr="00671F72">
        <w:rPr>
          <w:rFonts w:asciiTheme="minorHAnsi" w:hAnsiTheme="minorHAnsi"/>
          <w:i/>
          <w:sz w:val="18"/>
          <w:szCs w:val="18"/>
        </w:rPr>
        <w:t>Zdroj: vlastní výpočty na základě dat UNCTAD a ČSÚ (databáze zahraničního obchodu)</w:t>
      </w:r>
    </w:p>
    <w:p w14:paraId="623A527B" w14:textId="77777777" w:rsidR="006E145C" w:rsidRPr="00671F72" w:rsidRDefault="006E145C" w:rsidP="00671F72">
      <w:pPr>
        <w:spacing w:after="0"/>
        <w:rPr>
          <w:rFonts w:cs="Arial"/>
          <w:i/>
          <w:sz w:val="18"/>
          <w:szCs w:val="18"/>
        </w:rPr>
      </w:pPr>
      <w:r w:rsidRPr="00671F72">
        <w:rPr>
          <w:rFonts w:cs="Arial"/>
          <w:i/>
          <w:sz w:val="18"/>
          <w:szCs w:val="18"/>
        </w:rPr>
        <w:t>Pozn.: Tučně zvýrazněny třídy SITC 2, u nichž ve sledovaném období došlo ke zvýšení BI.</w:t>
      </w:r>
    </w:p>
    <w:p w14:paraId="49C849AC" w14:textId="77777777" w:rsidR="006E145C" w:rsidRPr="00BA4F8E" w:rsidRDefault="006E145C" w:rsidP="006E145C">
      <w:pPr>
        <w:rPr>
          <w:lang w:eastAsia="cs-CZ"/>
        </w:rPr>
      </w:pPr>
    </w:p>
    <w:p w14:paraId="605D0B94" w14:textId="352FC754" w:rsidR="006E145C" w:rsidRDefault="006E145C" w:rsidP="006E145C">
      <w:pPr>
        <w:spacing w:line="360" w:lineRule="auto"/>
        <w:ind w:firstLine="708"/>
        <w:jc w:val="both"/>
        <w:rPr>
          <w:rFonts w:cs="Arial"/>
        </w:rPr>
      </w:pPr>
      <w:r w:rsidRPr="00BA4F8E">
        <w:rPr>
          <w:rFonts w:cs="Arial"/>
        </w:rPr>
        <w:t>Z</w:t>
      </w:r>
      <w:r w:rsidR="005E1ED5">
        <w:rPr>
          <w:rFonts w:cs="Arial"/>
        </w:rPr>
        <w:t> </w:t>
      </w:r>
      <w:r w:rsidRPr="008A2864">
        <w:rPr>
          <w:rFonts w:cs="Arial"/>
          <w:highlight w:val="yellow"/>
        </w:rPr>
        <w:fldChar w:fldCharType="begin"/>
      </w:r>
      <w:r w:rsidRPr="008A2864">
        <w:rPr>
          <w:rFonts w:cs="Arial"/>
        </w:rPr>
        <w:instrText xml:space="preserve"> REF _Ref521398488 \h </w:instrText>
      </w:r>
      <w:r w:rsidR="00BA4F8E" w:rsidRPr="008A2864">
        <w:rPr>
          <w:rFonts w:cs="Arial"/>
          <w:highlight w:val="yellow"/>
        </w:rPr>
        <w:instrText xml:space="preserve"> \* MERGEFORMAT </w:instrText>
      </w:r>
      <w:r w:rsidRPr="008A2864">
        <w:rPr>
          <w:rFonts w:cs="Arial"/>
          <w:highlight w:val="yellow"/>
        </w:rPr>
      </w:r>
      <w:r w:rsidRPr="008A2864">
        <w:rPr>
          <w:rFonts w:cs="Arial"/>
          <w:highlight w:val="yellow"/>
        </w:rPr>
        <w:fldChar w:fldCharType="separate"/>
      </w:r>
      <w:r w:rsidR="00DE40D4" w:rsidRPr="00BA4F8E">
        <w:t>Tabulk</w:t>
      </w:r>
      <w:r w:rsidR="00997C48">
        <w:t>y</w:t>
      </w:r>
      <w:r w:rsidR="00DE40D4" w:rsidRPr="00BA4F8E">
        <w:t xml:space="preserve"> </w:t>
      </w:r>
      <w:r w:rsidR="00DE40D4">
        <w:rPr>
          <w:noProof/>
        </w:rPr>
        <w:t>3</w:t>
      </w:r>
      <w:r w:rsidRPr="008A2864">
        <w:rPr>
          <w:rFonts w:cs="Arial"/>
          <w:highlight w:val="yellow"/>
        </w:rPr>
        <w:fldChar w:fldCharType="end"/>
      </w:r>
      <w:r w:rsidRPr="008A2864">
        <w:rPr>
          <w:rFonts w:cs="Arial"/>
        </w:rPr>
        <w:t xml:space="preserve"> </w:t>
      </w:r>
      <w:r w:rsidRPr="00BA4F8E">
        <w:rPr>
          <w:rFonts w:cs="Arial"/>
        </w:rPr>
        <w:t xml:space="preserve">vyplývá, že k růstů BI došlo u tříd silniční vozidla (78), kancelářské stroje a zařízení k automat. zpracování dat (89), Různé výrobky (69) a zařízení pro telekomunikace a pro záznam reprodukci zvuku (76).   </w:t>
      </w:r>
    </w:p>
    <w:p w14:paraId="77F5061E" w14:textId="418EBD17" w:rsidR="004E3022" w:rsidRDefault="004E3022">
      <w:pPr>
        <w:spacing w:after="200" w:line="276" w:lineRule="auto"/>
        <w:rPr>
          <w:rFonts w:cs="Arial"/>
        </w:rPr>
      </w:pPr>
      <w:r>
        <w:rPr>
          <w:rFonts w:cs="Arial"/>
        </w:rPr>
        <w:br w:type="page"/>
      </w:r>
    </w:p>
    <w:p w14:paraId="41EDC000" w14:textId="121407AB" w:rsidR="006E145C" w:rsidRPr="00BA4F8E" w:rsidRDefault="005836FA" w:rsidP="00580DE3">
      <w:pPr>
        <w:pStyle w:val="Titulek"/>
      </w:pPr>
      <w:bookmarkStart w:id="71" w:name="_Ref521398626"/>
      <w:bookmarkStart w:id="72" w:name="_Toc525716316"/>
      <w:r w:rsidRPr="00BA4F8E">
        <w:rPr>
          <w:noProof/>
        </w:rPr>
        <w:lastRenderedPageBreak/>
        <w:drawing>
          <wp:anchor distT="0" distB="0" distL="114300" distR="114300" simplePos="0" relativeHeight="251685888" behindDoc="0" locked="0" layoutInCell="1" allowOverlap="1" wp14:anchorId="206A0DF9" wp14:editId="205E5F73">
            <wp:simplePos x="0" y="0"/>
            <wp:positionH relativeFrom="column">
              <wp:posOffset>-166370</wp:posOffset>
            </wp:positionH>
            <wp:positionV relativeFrom="paragraph">
              <wp:posOffset>300355</wp:posOffset>
            </wp:positionV>
            <wp:extent cx="6282055" cy="8296275"/>
            <wp:effectExtent l="0" t="0" r="4445" b="9525"/>
            <wp:wrapNone/>
            <wp:docPr id="13"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margin">
              <wp14:pctWidth>0</wp14:pctWidth>
            </wp14:sizeRelH>
            <wp14:sizeRelV relativeFrom="margin">
              <wp14:pctHeight>0</wp14:pctHeight>
            </wp14:sizeRelV>
          </wp:anchor>
        </w:drawing>
      </w:r>
      <w:r w:rsidR="00055CF2"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14</w:t>
      </w:r>
      <w:r w:rsidR="00EE7C52">
        <w:rPr>
          <w:noProof/>
        </w:rPr>
        <w:fldChar w:fldCharType="end"/>
      </w:r>
      <w:bookmarkEnd w:id="71"/>
      <w:r w:rsidR="00055CF2" w:rsidRPr="00BA4F8E">
        <w:t xml:space="preserve"> - Export ČR dle NACE v roce 2015 (%)</w:t>
      </w:r>
      <w:bookmarkEnd w:id="72"/>
    </w:p>
    <w:p w14:paraId="092ED481" w14:textId="068AB37A" w:rsidR="00055CF2" w:rsidRPr="00BA4F8E" w:rsidRDefault="00055CF2" w:rsidP="00055CF2">
      <w:pPr>
        <w:rPr>
          <w:lang w:eastAsia="cs-CZ"/>
        </w:rPr>
      </w:pPr>
    </w:p>
    <w:p w14:paraId="738E30AC" w14:textId="77777777" w:rsidR="00B2479C" w:rsidRDefault="00B2479C" w:rsidP="000570B9">
      <w:pPr>
        <w:spacing w:before="240" w:line="360" w:lineRule="auto"/>
        <w:ind w:firstLine="708"/>
        <w:jc w:val="both"/>
        <w:rPr>
          <w:rFonts w:cs="Arial"/>
        </w:rPr>
      </w:pPr>
    </w:p>
    <w:p w14:paraId="30F797BD" w14:textId="77777777" w:rsidR="006A19EB" w:rsidRDefault="006A19EB" w:rsidP="000570B9">
      <w:pPr>
        <w:spacing w:before="240" w:line="360" w:lineRule="auto"/>
        <w:ind w:firstLine="708"/>
        <w:jc w:val="both"/>
        <w:rPr>
          <w:rFonts w:cs="Arial"/>
        </w:rPr>
      </w:pPr>
    </w:p>
    <w:p w14:paraId="035F2281" w14:textId="77777777" w:rsidR="006A19EB" w:rsidRPr="00BA4F8E" w:rsidRDefault="006A19EB" w:rsidP="000570B9">
      <w:pPr>
        <w:spacing w:before="240" w:line="360" w:lineRule="auto"/>
        <w:ind w:firstLine="708"/>
        <w:jc w:val="both"/>
        <w:rPr>
          <w:rFonts w:cs="Arial"/>
        </w:rPr>
      </w:pPr>
    </w:p>
    <w:p w14:paraId="30EE2142" w14:textId="77777777" w:rsidR="00B2479C" w:rsidRPr="00BA4F8E" w:rsidRDefault="00B2479C" w:rsidP="000570B9">
      <w:pPr>
        <w:spacing w:before="240" w:line="360" w:lineRule="auto"/>
        <w:ind w:firstLine="708"/>
        <w:jc w:val="both"/>
        <w:rPr>
          <w:rFonts w:cs="Arial"/>
        </w:rPr>
      </w:pPr>
    </w:p>
    <w:p w14:paraId="5A1D60BD" w14:textId="77777777" w:rsidR="00055CF2" w:rsidRPr="00BA4F8E" w:rsidRDefault="00055CF2" w:rsidP="000570B9">
      <w:pPr>
        <w:spacing w:before="240" w:line="360" w:lineRule="auto"/>
        <w:ind w:firstLine="708"/>
        <w:jc w:val="both"/>
        <w:rPr>
          <w:rFonts w:cs="Arial"/>
        </w:rPr>
      </w:pPr>
    </w:p>
    <w:p w14:paraId="5C5AA31B" w14:textId="77777777" w:rsidR="00055CF2" w:rsidRPr="00BA4F8E" w:rsidRDefault="00055CF2" w:rsidP="000570B9">
      <w:pPr>
        <w:spacing w:before="240" w:line="360" w:lineRule="auto"/>
        <w:ind w:firstLine="708"/>
        <w:jc w:val="both"/>
        <w:rPr>
          <w:rFonts w:cs="Arial"/>
        </w:rPr>
      </w:pPr>
    </w:p>
    <w:p w14:paraId="1C302112" w14:textId="77777777" w:rsidR="00055CF2" w:rsidRPr="00BA4F8E" w:rsidRDefault="00055CF2" w:rsidP="000570B9">
      <w:pPr>
        <w:spacing w:before="240" w:line="360" w:lineRule="auto"/>
        <w:ind w:firstLine="708"/>
        <w:jc w:val="both"/>
        <w:rPr>
          <w:rFonts w:cs="Arial"/>
        </w:rPr>
      </w:pPr>
    </w:p>
    <w:p w14:paraId="7D717658" w14:textId="77777777" w:rsidR="00055CF2" w:rsidRPr="00BA4F8E" w:rsidRDefault="00055CF2" w:rsidP="000570B9">
      <w:pPr>
        <w:spacing w:before="240" w:line="360" w:lineRule="auto"/>
        <w:ind w:firstLine="708"/>
        <w:jc w:val="both"/>
        <w:rPr>
          <w:rFonts w:cs="Arial"/>
        </w:rPr>
      </w:pPr>
    </w:p>
    <w:p w14:paraId="04D600C3" w14:textId="77777777" w:rsidR="00055CF2" w:rsidRPr="00BA4F8E" w:rsidRDefault="00055CF2" w:rsidP="000570B9">
      <w:pPr>
        <w:spacing w:before="240" w:line="360" w:lineRule="auto"/>
        <w:ind w:firstLine="708"/>
        <w:jc w:val="both"/>
        <w:rPr>
          <w:rFonts w:cs="Arial"/>
        </w:rPr>
      </w:pPr>
    </w:p>
    <w:p w14:paraId="20E7F6CF" w14:textId="77777777" w:rsidR="00055CF2" w:rsidRPr="00BA4F8E" w:rsidRDefault="00055CF2" w:rsidP="000570B9">
      <w:pPr>
        <w:spacing w:before="240" w:line="360" w:lineRule="auto"/>
        <w:ind w:firstLine="708"/>
        <w:jc w:val="both"/>
        <w:rPr>
          <w:rFonts w:cs="Arial"/>
        </w:rPr>
      </w:pPr>
    </w:p>
    <w:p w14:paraId="7DF41EFD" w14:textId="77777777" w:rsidR="00055CF2" w:rsidRPr="00BA4F8E" w:rsidRDefault="00055CF2" w:rsidP="000570B9">
      <w:pPr>
        <w:spacing w:before="240" w:line="360" w:lineRule="auto"/>
        <w:ind w:firstLine="708"/>
        <w:jc w:val="both"/>
        <w:rPr>
          <w:rFonts w:cs="Arial"/>
        </w:rPr>
      </w:pPr>
    </w:p>
    <w:p w14:paraId="1955CE2B" w14:textId="77777777" w:rsidR="00055CF2" w:rsidRPr="00BA4F8E" w:rsidRDefault="00055CF2" w:rsidP="000570B9">
      <w:pPr>
        <w:spacing w:before="240" w:line="360" w:lineRule="auto"/>
        <w:ind w:firstLine="708"/>
        <w:jc w:val="both"/>
        <w:rPr>
          <w:rFonts w:cs="Arial"/>
        </w:rPr>
      </w:pPr>
    </w:p>
    <w:p w14:paraId="0BD2FDA6" w14:textId="77777777" w:rsidR="00055CF2" w:rsidRPr="00BA4F8E" w:rsidRDefault="00055CF2" w:rsidP="000570B9">
      <w:pPr>
        <w:spacing w:before="240" w:line="360" w:lineRule="auto"/>
        <w:ind w:firstLine="708"/>
        <w:jc w:val="both"/>
        <w:rPr>
          <w:rFonts w:cs="Arial"/>
        </w:rPr>
      </w:pPr>
    </w:p>
    <w:p w14:paraId="38597B5C" w14:textId="77777777" w:rsidR="00055CF2" w:rsidRPr="00BA4F8E" w:rsidRDefault="00055CF2" w:rsidP="000570B9">
      <w:pPr>
        <w:spacing w:before="240" w:line="360" w:lineRule="auto"/>
        <w:ind w:firstLine="708"/>
        <w:jc w:val="both"/>
        <w:rPr>
          <w:rFonts w:cs="Arial"/>
        </w:rPr>
      </w:pPr>
    </w:p>
    <w:p w14:paraId="5BDE38C9" w14:textId="77777777" w:rsidR="00055CF2" w:rsidRPr="00BA4F8E" w:rsidRDefault="00055CF2" w:rsidP="000570B9">
      <w:pPr>
        <w:spacing w:before="240" w:line="360" w:lineRule="auto"/>
        <w:ind w:firstLine="708"/>
        <w:jc w:val="both"/>
        <w:rPr>
          <w:rFonts w:cs="Arial"/>
        </w:rPr>
      </w:pPr>
    </w:p>
    <w:p w14:paraId="773551FB" w14:textId="77777777" w:rsidR="00055CF2" w:rsidRPr="00BA4F8E" w:rsidRDefault="00055CF2" w:rsidP="000570B9">
      <w:pPr>
        <w:spacing w:before="240" w:line="360" w:lineRule="auto"/>
        <w:ind w:firstLine="708"/>
        <w:jc w:val="both"/>
        <w:rPr>
          <w:rFonts w:cs="Arial"/>
        </w:rPr>
      </w:pPr>
    </w:p>
    <w:p w14:paraId="5396F7A7" w14:textId="77777777" w:rsidR="00055CF2" w:rsidRPr="00BA4F8E" w:rsidRDefault="00055CF2" w:rsidP="000570B9">
      <w:pPr>
        <w:spacing w:before="240" w:line="360" w:lineRule="auto"/>
        <w:ind w:firstLine="708"/>
        <w:jc w:val="both"/>
        <w:rPr>
          <w:rFonts w:cs="Arial"/>
        </w:rPr>
      </w:pPr>
    </w:p>
    <w:p w14:paraId="61A7AA0B" w14:textId="77777777" w:rsidR="00055CF2" w:rsidRPr="00BA4F8E" w:rsidRDefault="00055CF2" w:rsidP="000570B9">
      <w:pPr>
        <w:spacing w:before="240" w:line="360" w:lineRule="auto"/>
        <w:ind w:firstLine="708"/>
        <w:jc w:val="both"/>
        <w:rPr>
          <w:rFonts w:cs="Arial"/>
        </w:rPr>
      </w:pPr>
    </w:p>
    <w:p w14:paraId="783342CE" w14:textId="77777777" w:rsidR="00055CF2" w:rsidRPr="00BA4F8E" w:rsidRDefault="00055CF2" w:rsidP="000570B9">
      <w:pPr>
        <w:spacing w:before="240" w:line="360" w:lineRule="auto"/>
        <w:ind w:firstLine="708"/>
        <w:jc w:val="both"/>
        <w:rPr>
          <w:rFonts w:cs="Arial"/>
        </w:rPr>
      </w:pPr>
    </w:p>
    <w:p w14:paraId="6196DEBB" w14:textId="77777777" w:rsidR="00055CF2" w:rsidRPr="00BA4F8E" w:rsidRDefault="00055CF2" w:rsidP="000570B9">
      <w:pPr>
        <w:spacing w:before="240" w:line="360" w:lineRule="auto"/>
        <w:ind w:firstLine="708"/>
        <w:jc w:val="both"/>
        <w:rPr>
          <w:rFonts w:cs="Arial"/>
        </w:rPr>
      </w:pPr>
    </w:p>
    <w:p w14:paraId="5F8C03B0" w14:textId="77777777" w:rsidR="005836FA" w:rsidRDefault="00055CF2" w:rsidP="009E105B">
      <w:pPr>
        <w:spacing w:after="0"/>
        <w:rPr>
          <w:rFonts w:cs="Arial"/>
          <w:i/>
          <w:sz w:val="18"/>
          <w:szCs w:val="18"/>
        </w:rPr>
      </w:pPr>
      <w:r w:rsidRPr="00EB6EBA">
        <w:rPr>
          <w:rFonts w:cs="Arial"/>
          <w:i/>
          <w:sz w:val="18"/>
          <w:szCs w:val="18"/>
        </w:rPr>
        <w:t>Zdroj: Eurostat (International trade in goods), vlastní výpočty</w:t>
      </w:r>
      <w:r w:rsidR="005836FA">
        <w:rPr>
          <w:rFonts w:cs="Arial"/>
          <w:i/>
          <w:sz w:val="18"/>
          <w:szCs w:val="18"/>
        </w:rPr>
        <w:t xml:space="preserve"> </w:t>
      </w:r>
    </w:p>
    <w:p w14:paraId="30E1A74A" w14:textId="197652A7" w:rsidR="00055CF2" w:rsidRPr="00EB6EBA" w:rsidRDefault="00055CF2" w:rsidP="009E105B">
      <w:pPr>
        <w:spacing w:after="0"/>
        <w:rPr>
          <w:rFonts w:cs="Arial"/>
          <w:i/>
          <w:sz w:val="18"/>
          <w:szCs w:val="18"/>
        </w:rPr>
      </w:pPr>
      <w:r w:rsidRPr="00EB6EBA">
        <w:rPr>
          <w:rFonts w:cs="Arial"/>
          <w:i/>
          <w:sz w:val="18"/>
          <w:szCs w:val="18"/>
        </w:rPr>
        <w:lastRenderedPageBreak/>
        <w:t>Pozn.: Z důvodu přehlednosti jsou v grafu uvedeny pouze vybrané NACE.</w:t>
      </w:r>
    </w:p>
    <w:p w14:paraId="3A7EB4AC" w14:textId="77777777" w:rsidR="00B2479C" w:rsidRPr="00BA4F8E" w:rsidRDefault="00B2479C" w:rsidP="006634B6">
      <w:pPr>
        <w:spacing w:before="240" w:after="0" w:line="360" w:lineRule="auto"/>
        <w:ind w:firstLine="708"/>
        <w:jc w:val="both"/>
        <w:rPr>
          <w:rFonts w:cs="Arial"/>
        </w:rPr>
      </w:pPr>
    </w:p>
    <w:p w14:paraId="74B060B9" w14:textId="14B4E6F2" w:rsidR="00055CF2" w:rsidRPr="00BA4F8E" w:rsidRDefault="00055CF2" w:rsidP="006634B6">
      <w:pPr>
        <w:spacing w:after="0" w:line="360" w:lineRule="auto"/>
        <w:ind w:firstLine="708"/>
        <w:jc w:val="both"/>
        <w:rPr>
          <w:rFonts w:cs="Arial"/>
        </w:rPr>
      </w:pPr>
      <w:r w:rsidRPr="00BA4F8E">
        <w:rPr>
          <w:rFonts w:cs="Arial"/>
        </w:rPr>
        <w:t>Z </w:t>
      </w:r>
      <w:r w:rsidRPr="005836FA">
        <w:rPr>
          <w:rFonts w:cs="Arial"/>
          <w:highlight w:val="yellow"/>
        </w:rPr>
        <w:fldChar w:fldCharType="begin"/>
      </w:r>
      <w:r w:rsidRPr="005836FA">
        <w:rPr>
          <w:rFonts w:cs="Arial"/>
        </w:rPr>
        <w:instrText xml:space="preserve"> REF _Ref521398626 \h </w:instrText>
      </w:r>
      <w:r w:rsidR="00BA4F8E" w:rsidRPr="005836FA">
        <w:rPr>
          <w:rFonts w:cs="Arial"/>
          <w:highlight w:val="yellow"/>
        </w:rPr>
        <w:instrText xml:space="preserve"> \* MERGEFORMAT </w:instrText>
      </w:r>
      <w:r w:rsidRPr="005836FA">
        <w:rPr>
          <w:rFonts w:cs="Arial"/>
          <w:highlight w:val="yellow"/>
        </w:rPr>
      </w:r>
      <w:r w:rsidRPr="005836FA">
        <w:rPr>
          <w:rFonts w:cs="Arial"/>
          <w:highlight w:val="yellow"/>
        </w:rPr>
        <w:fldChar w:fldCharType="separate"/>
      </w:r>
      <w:r w:rsidR="00A0553F" w:rsidRPr="00BA4F8E">
        <w:t>Graf</w:t>
      </w:r>
      <w:r w:rsidR="00A0553F">
        <w:t>u</w:t>
      </w:r>
      <w:r w:rsidR="00A0553F" w:rsidRPr="00BA4F8E">
        <w:t xml:space="preserve"> </w:t>
      </w:r>
      <w:r w:rsidR="00A0553F">
        <w:rPr>
          <w:noProof/>
        </w:rPr>
        <w:t>14</w:t>
      </w:r>
      <w:r w:rsidRPr="005836FA">
        <w:rPr>
          <w:rFonts w:cs="Arial"/>
          <w:highlight w:val="yellow"/>
        </w:rPr>
        <w:fldChar w:fldCharType="end"/>
      </w:r>
      <w:r w:rsidRPr="00BA4F8E">
        <w:rPr>
          <w:rFonts w:cs="Arial"/>
        </w:rPr>
        <w:t xml:space="preserve"> je patrné, že vývozu dominuje NACE 29 Výroba motorových vozidel, přívěsů a návěsů (podíl na celkovém exportu ČR v roce 2015 činí 29 %). Dalšími významnými exportními položkami jsou NACE 46 Velkoobchod, kromě motorových vozidel (podíl 12 %), 28 Výroba strojů a zařízení (podíl 7 %), 25 Výroba kovových konstrukcí, kromě strojů a zařízení (podíl 7 %), 27 Výroba elektrických zařízení (podíl 6%), 22 Výroba pryžových a plastových výrobků (podíl 5 %), 26 Výroba počítačů, elektronických a optických přístrojů a zařízení (podíl 4,5 %). Potvrzuje se tedy dominantní exportní význam automobilového (NACE 29), elektronického (NACE 26), strojírenského (NACE 28) a</w:t>
      </w:r>
      <w:r w:rsidR="00BB41D4">
        <w:rPr>
          <w:rFonts w:cs="Arial"/>
        </w:rPr>
        <w:t> </w:t>
      </w:r>
      <w:r w:rsidRPr="00BA4F8E">
        <w:rPr>
          <w:rFonts w:cs="Arial"/>
        </w:rPr>
        <w:t xml:space="preserve">elektrotechnického (NACE 27) průmyslu. </w:t>
      </w:r>
    </w:p>
    <w:p w14:paraId="2D7B9883" w14:textId="2E105DB9" w:rsidR="00055CF2" w:rsidRDefault="00055CF2" w:rsidP="006634B6">
      <w:pPr>
        <w:spacing w:after="0" w:line="360" w:lineRule="auto"/>
        <w:ind w:firstLine="708"/>
        <w:jc w:val="both"/>
        <w:rPr>
          <w:rFonts w:cs="Arial"/>
        </w:rPr>
      </w:pPr>
      <w:r w:rsidRPr="005836FA">
        <w:rPr>
          <w:rFonts w:cs="Arial"/>
        </w:rPr>
        <w:fldChar w:fldCharType="begin"/>
      </w:r>
      <w:r w:rsidRPr="005836FA">
        <w:rPr>
          <w:rFonts w:cs="Arial"/>
        </w:rPr>
        <w:instrText xml:space="preserve"> REF _Ref521398488 \h </w:instrText>
      </w:r>
      <w:r w:rsidR="00BA4F8E" w:rsidRPr="005836FA">
        <w:rPr>
          <w:rFonts w:cs="Arial"/>
        </w:rPr>
        <w:instrText xml:space="preserve"> \* MERGEFORMAT </w:instrText>
      </w:r>
      <w:r w:rsidRPr="005836FA">
        <w:rPr>
          <w:rFonts w:cs="Arial"/>
        </w:rPr>
      </w:r>
      <w:r w:rsidRPr="005836FA">
        <w:rPr>
          <w:rFonts w:cs="Arial"/>
        </w:rPr>
        <w:fldChar w:fldCharType="separate"/>
      </w:r>
      <w:r w:rsidR="00DE40D4" w:rsidRPr="00BA4F8E">
        <w:t xml:space="preserve">Tabulka </w:t>
      </w:r>
      <w:r w:rsidR="00DE40D4">
        <w:rPr>
          <w:noProof/>
        </w:rPr>
        <w:t>3</w:t>
      </w:r>
      <w:r w:rsidRPr="005836FA">
        <w:rPr>
          <w:rFonts w:cs="Arial"/>
        </w:rPr>
        <w:fldChar w:fldCharType="end"/>
      </w:r>
      <w:r w:rsidRPr="00BA4F8E">
        <w:rPr>
          <w:rFonts w:cs="Arial"/>
        </w:rPr>
        <w:t xml:space="preserve"> zachycuje pouze tok zboží a nikoliv služeb, a z tohoto důvodu byly vypočítány hodnoty BI pro jednotlivé kategorie s</w:t>
      </w:r>
      <w:r w:rsidRPr="001F1DD6">
        <w:rPr>
          <w:rFonts w:cs="Arial"/>
        </w:rPr>
        <w:t xml:space="preserve">lužeb (viz </w:t>
      </w:r>
      <w:r w:rsidR="00FE16BF" w:rsidRPr="001F1DD6">
        <w:rPr>
          <w:rFonts w:cs="Arial"/>
          <w:highlight w:val="yellow"/>
        </w:rPr>
        <w:fldChar w:fldCharType="begin"/>
      </w:r>
      <w:r w:rsidR="00FE16BF" w:rsidRPr="001F1DD6">
        <w:rPr>
          <w:rFonts w:cs="Arial"/>
        </w:rPr>
        <w:instrText xml:space="preserve"> REF _Ref521487779 \h </w:instrText>
      </w:r>
      <w:r w:rsidR="00FE16BF" w:rsidRPr="001F1DD6">
        <w:rPr>
          <w:rFonts w:cs="Arial"/>
          <w:highlight w:val="yellow"/>
        </w:rPr>
      </w:r>
      <w:r w:rsidR="00FE16BF" w:rsidRPr="001F1DD6">
        <w:rPr>
          <w:rFonts w:cs="Arial"/>
          <w:highlight w:val="yellow"/>
        </w:rPr>
        <w:fldChar w:fldCharType="separate"/>
      </w:r>
      <w:r w:rsidR="00DE40D4" w:rsidRPr="00BA4F8E">
        <w:t xml:space="preserve">Tabulka </w:t>
      </w:r>
      <w:r w:rsidR="00DE40D4">
        <w:rPr>
          <w:noProof/>
        </w:rPr>
        <w:t>4</w:t>
      </w:r>
      <w:r w:rsidR="00FE16BF" w:rsidRPr="001F1DD6">
        <w:rPr>
          <w:rFonts w:cs="Arial"/>
          <w:highlight w:val="yellow"/>
        </w:rPr>
        <w:fldChar w:fldCharType="end"/>
      </w:r>
      <w:r w:rsidRPr="001F1DD6">
        <w:rPr>
          <w:rFonts w:cs="Arial"/>
        </w:rPr>
        <w:t>).</w:t>
      </w:r>
    </w:p>
    <w:p w14:paraId="27E30BAC" w14:textId="77777777" w:rsidR="000216FA" w:rsidRPr="00BA4F8E" w:rsidRDefault="000216FA" w:rsidP="006634B6">
      <w:pPr>
        <w:spacing w:after="0" w:line="360" w:lineRule="auto"/>
        <w:ind w:firstLine="708"/>
        <w:jc w:val="both"/>
        <w:rPr>
          <w:rFonts w:cs="Arial"/>
        </w:rPr>
      </w:pPr>
    </w:p>
    <w:p w14:paraId="29E60034" w14:textId="47D64016" w:rsidR="00B2479C" w:rsidRPr="00BA4F8E" w:rsidRDefault="00055CF2" w:rsidP="00580DE3">
      <w:pPr>
        <w:pStyle w:val="Titulek"/>
      </w:pPr>
      <w:bookmarkStart w:id="73" w:name="_Ref521487779"/>
      <w:bookmarkStart w:id="74" w:name="_Ref523471810"/>
      <w:bookmarkStart w:id="75" w:name="_Toc524677664"/>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4</w:t>
      </w:r>
      <w:r w:rsidR="00EE7C52">
        <w:rPr>
          <w:noProof/>
        </w:rPr>
        <w:fldChar w:fldCharType="end"/>
      </w:r>
      <w:bookmarkEnd w:id="73"/>
      <w:r w:rsidRPr="00BA4F8E">
        <w:t xml:space="preserve"> - BI dle typů exportních služeb ČR vs. svět</w:t>
      </w:r>
      <w:bookmarkEnd w:id="74"/>
      <w:bookmarkEnd w:id="75"/>
    </w:p>
    <w:tbl>
      <w:tblPr>
        <w:tblStyle w:val="Mkatabulky2"/>
        <w:tblW w:w="5000" w:type="pct"/>
        <w:tblLook w:val="04A0" w:firstRow="1" w:lastRow="0" w:firstColumn="1" w:lastColumn="0" w:noHBand="0" w:noVBand="1"/>
      </w:tblPr>
      <w:tblGrid>
        <w:gridCol w:w="762"/>
        <w:gridCol w:w="2934"/>
        <w:gridCol w:w="895"/>
        <w:gridCol w:w="895"/>
        <w:gridCol w:w="783"/>
        <w:gridCol w:w="855"/>
        <w:gridCol w:w="1017"/>
        <w:gridCol w:w="921"/>
      </w:tblGrid>
      <w:tr w:rsidR="00055CF2" w:rsidRPr="00BA4F8E" w14:paraId="5A885E84" w14:textId="77777777" w:rsidTr="00D31D08">
        <w:trPr>
          <w:trHeight w:val="302"/>
          <w:tblHeader/>
        </w:trPr>
        <w:tc>
          <w:tcPr>
            <w:tcW w:w="2039" w:type="pct"/>
            <w:gridSpan w:val="2"/>
            <w:vMerge w:val="restart"/>
            <w:shd w:val="clear" w:color="auto" w:fill="004B8D"/>
            <w:vAlign w:val="center"/>
            <w:hideMark/>
          </w:tcPr>
          <w:p w14:paraId="7BA3A954" w14:textId="6ED105FE" w:rsidR="00055CF2" w:rsidRPr="00BA4F8E" w:rsidRDefault="00055CF2" w:rsidP="005C739C">
            <w:pPr>
              <w:jc w:val="center"/>
              <w:rPr>
                <w:rFonts w:cs="Arial"/>
                <w:b/>
                <w:bCs/>
              </w:rPr>
            </w:pPr>
            <w:bookmarkStart w:id="76" w:name="OLE_LINK1"/>
          </w:p>
          <w:p w14:paraId="50A40562" w14:textId="77777777" w:rsidR="00055CF2" w:rsidRPr="00BA4F8E" w:rsidRDefault="00055CF2" w:rsidP="005C739C">
            <w:pPr>
              <w:jc w:val="center"/>
              <w:rPr>
                <w:rFonts w:cs="Arial"/>
                <w:b/>
                <w:bCs/>
              </w:rPr>
            </w:pPr>
            <w:r w:rsidRPr="00BA4F8E">
              <w:rPr>
                <w:rFonts w:cs="Arial"/>
                <w:b/>
                <w:bCs/>
              </w:rPr>
              <w:t>Kategorie</w:t>
            </w:r>
          </w:p>
        </w:tc>
        <w:tc>
          <w:tcPr>
            <w:tcW w:w="988" w:type="pct"/>
            <w:gridSpan w:val="2"/>
            <w:shd w:val="clear" w:color="auto" w:fill="004B8D"/>
            <w:vAlign w:val="center"/>
            <w:hideMark/>
          </w:tcPr>
          <w:p w14:paraId="3F6F62D5" w14:textId="77777777" w:rsidR="00055CF2" w:rsidRPr="00BA4F8E" w:rsidRDefault="00055CF2" w:rsidP="005C739C">
            <w:pPr>
              <w:jc w:val="center"/>
              <w:rPr>
                <w:rFonts w:cs="Arial"/>
                <w:b/>
                <w:bCs/>
              </w:rPr>
            </w:pPr>
            <w:r w:rsidRPr="00BA4F8E">
              <w:rPr>
                <w:rFonts w:cs="Arial"/>
                <w:b/>
                <w:bCs/>
              </w:rPr>
              <w:t xml:space="preserve">Průměr </w:t>
            </w:r>
            <w:r w:rsidRPr="00BA4F8E">
              <w:rPr>
                <w:rFonts w:cs="Arial"/>
                <w:b/>
                <w:bCs/>
              </w:rPr>
              <w:br/>
              <w:t>2005 - 2007</w:t>
            </w:r>
          </w:p>
        </w:tc>
        <w:tc>
          <w:tcPr>
            <w:tcW w:w="904" w:type="pct"/>
            <w:gridSpan w:val="2"/>
            <w:shd w:val="clear" w:color="auto" w:fill="004B8D"/>
            <w:vAlign w:val="center"/>
            <w:hideMark/>
          </w:tcPr>
          <w:p w14:paraId="2F2F643D" w14:textId="77777777" w:rsidR="00055CF2" w:rsidRPr="00BA4F8E" w:rsidRDefault="00055CF2" w:rsidP="005C739C">
            <w:pPr>
              <w:jc w:val="center"/>
              <w:rPr>
                <w:rFonts w:cs="Arial"/>
                <w:b/>
                <w:bCs/>
              </w:rPr>
            </w:pPr>
            <w:r w:rsidRPr="00BA4F8E">
              <w:rPr>
                <w:rFonts w:cs="Arial"/>
                <w:b/>
                <w:bCs/>
              </w:rPr>
              <w:t xml:space="preserve">Průměr </w:t>
            </w:r>
            <w:r w:rsidRPr="00BA4F8E">
              <w:rPr>
                <w:rFonts w:cs="Arial"/>
                <w:b/>
                <w:bCs/>
              </w:rPr>
              <w:br/>
              <w:t>2014 - 2016</w:t>
            </w:r>
          </w:p>
        </w:tc>
        <w:tc>
          <w:tcPr>
            <w:tcW w:w="1069" w:type="pct"/>
            <w:gridSpan w:val="2"/>
            <w:shd w:val="clear" w:color="auto" w:fill="004B8D"/>
            <w:vAlign w:val="center"/>
            <w:hideMark/>
          </w:tcPr>
          <w:p w14:paraId="4825505A" w14:textId="77777777" w:rsidR="00055CF2" w:rsidRPr="00BA4F8E" w:rsidRDefault="00055CF2" w:rsidP="005C739C">
            <w:pPr>
              <w:jc w:val="center"/>
              <w:rPr>
                <w:rFonts w:cs="Arial"/>
                <w:b/>
                <w:bCs/>
              </w:rPr>
            </w:pPr>
            <w:r w:rsidRPr="00BA4F8E">
              <w:rPr>
                <w:rFonts w:cs="Arial"/>
                <w:b/>
                <w:bCs/>
              </w:rPr>
              <w:t>BI</w:t>
            </w:r>
          </w:p>
        </w:tc>
      </w:tr>
      <w:tr w:rsidR="00055CF2" w:rsidRPr="00BA4F8E" w14:paraId="0223CC39" w14:textId="77777777" w:rsidTr="00D31D08">
        <w:trPr>
          <w:trHeight w:val="361"/>
          <w:tblHeader/>
        </w:trPr>
        <w:tc>
          <w:tcPr>
            <w:tcW w:w="2039" w:type="pct"/>
            <w:gridSpan w:val="2"/>
            <w:vMerge/>
            <w:shd w:val="clear" w:color="auto" w:fill="004B8D"/>
            <w:vAlign w:val="center"/>
            <w:hideMark/>
          </w:tcPr>
          <w:p w14:paraId="3C9ED548" w14:textId="77777777" w:rsidR="00055CF2" w:rsidRPr="00BA4F8E" w:rsidRDefault="00055CF2" w:rsidP="005C739C">
            <w:pPr>
              <w:jc w:val="center"/>
              <w:rPr>
                <w:rFonts w:cs="Arial"/>
                <w:b/>
                <w:bCs/>
              </w:rPr>
            </w:pPr>
          </w:p>
        </w:tc>
        <w:tc>
          <w:tcPr>
            <w:tcW w:w="494" w:type="pct"/>
            <w:shd w:val="clear" w:color="auto" w:fill="004B8D"/>
            <w:vAlign w:val="center"/>
            <w:hideMark/>
          </w:tcPr>
          <w:p w14:paraId="3468F124" w14:textId="77777777" w:rsidR="00055CF2" w:rsidRPr="00BA4F8E" w:rsidRDefault="00055CF2" w:rsidP="005C739C">
            <w:pPr>
              <w:jc w:val="center"/>
              <w:rPr>
                <w:rFonts w:cs="Arial"/>
                <w:b/>
                <w:bCs/>
              </w:rPr>
            </w:pPr>
            <w:r w:rsidRPr="00BA4F8E">
              <w:rPr>
                <w:rFonts w:cs="Arial"/>
                <w:b/>
                <w:bCs/>
              </w:rPr>
              <w:t>ČR</w:t>
            </w:r>
          </w:p>
        </w:tc>
        <w:tc>
          <w:tcPr>
            <w:tcW w:w="494" w:type="pct"/>
            <w:shd w:val="clear" w:color="auto" w:fill="004B8D"/>
            <w:vAlign w:val="center"/>
            <w:hideMark/>
          </w:tcPr>
          <w:p w14:paraId="38F7BE95" w14:textId="77777777" w:rsidR="00055CF2" w:rsidRPr="00BA4F8E" w:rsidRDefault="00055CF2" w:rsidP="005C739C">
            <w:pPr>
              <w:jc w:val="center"/>
              <w:rPr>
                <w:rFonts w:cs="Arial"/>
                <w:b/>
                <w:bCs/>
              </w:rPr>
            </w:pPr>
            <w:r w:rsidRPr="00BA4F8E">
              <w:rPr>
                <w:rFonts w:cs="Arial"/>
                <w:b/>
                <w:bCs/>
              </w:rPr>
              <w:t>svět</w:t>
            </w:r>
          </w:p>
        </w:tc>
        <w:tc>
          <w:tcPr>
            <w:tcW w:w="432" w:type="pct"/>
            <w:shd w:val="clear" w:color="auto" w:fill="004B8D"/>
            <w:vAlign w:val="center"/>
            <w:hideMark/>
          </w:tcPr>
          <w:p w14:paraId="13571F11" w14:textId="77777777" w:rsidR="00055CF2" w:rsidRPr="00BA4F8E" w:rsidRDefault="00055CF2" w:rsidP="005C739C">
            <w:pPr>
              <w:jc w:val="center"/>
              <w:rPr>
                <w:rFonts w:cs="Arial"/>
                <w:b/>
                <w:bCs/>
              </w:rPr>
            </w:pPr>
            <w:r w:rsidRPr="00BA4F8E">
              <w:rPr>
                <w:rFonts w:cs="Arial"/>
                <w:b/>
                <w:bCs/>
              </w:rPr>
              <w:t>ČR</w:t>
            </w:r>
          </w:p>
        </w:tc>
        <w:tc>
          <w:tcPr>
            <w:tcW w:w="472" w:type="pct"/>
            <w:shd w:val="clear" w:color="auto" w:fill="004B8D"/>
            <w:vAlign w:val="center"/>
            <w:hideMark/>
          </w:tcPr>
          <w:p w14:paraId="104F86DA" w14:textId="77777777" w:rsidR="00055CF2" w:rsidRPr="00BA4F8E" w:rsidRDefault="00055CF2" w:rsidP="005C739C">
            <w:pPr>
              <w:jc w:val="center"/>
              <w:rPr>
                <w:rFonts w:cs="Arial"/>
                <w:b/>
                <w:bCs/>
              </w:rPr>
            </w:pPr>
            <w:r w:rsidRPr="00BA4F8E">
              <w:rPr>
                <w:rFonts w:cs="Arial"/>
                <w:b/>
                <w:bCs/>
              </w:rPr>
              <w:t>svět</w:t>
            </w:r>
          </w:p>
        </w:tc>
        <w:tc>
          <w:tcPr>
            <w:tcW w:w="561" w:type="pct"/>
            <w:shd w:val="clear" w:color="auto" w:fill="004B8D"/>
            <w:vAlign w:val="center"/>
            <w:hideMark/>
          </w:tcPr>
          <w:p w14:paraId="55F50B19" w14:textId="77777777" w:rsidR="00055CF2" w:rsidRPr="00BA4F8E" w:rsidRDefault="00055CF2" w:rsidP="005C739C">
            <w:pPr>
              <w:jc w:val="center"/>
              <w:rPr>
                <w:rFonts w:cs="Arial"/>
                <w:b/>
                <w:bCs/>
              </w:rPr>
            </w:pPr>
            <w:r w:rsidRPr="00BA4F8E">
              <w:rPr>
                <w:rFonts w:cs="Arial"/>
                <w:b/>
                <w:bCs/>
              </w:rPr>
              <w:t xml:space="preserve">průměr </w:t>
            </w:r>
            <w:r w:rsidRPr="00BA4F8E">
              <w:rPr>
                <w:rFonts w:cs="Arial"/>
                <w:b/>
                <w:bCs/>
              </w:rPr>
              <w:br/>
              <w:t>2005 - 2007</w:t>
            </w:r>
          </w:p>
        </w:tc>
        <w:tc>
          <w:tcPr>
            <w:tcW w:w="508" w:type="pct"/>
            <w:shd w:val="clear" w:color="auto" w:fill="004B8D"/>
            <w:vAlign w:val="center"/>
            <w:hideMark/>
          </w:tcPr>
          <w:p w14:paraId="34B796E0" w14:textId="77777777" w:rsidR="00055CF2" w:rsidRPr="00BA4F8E" w:rsidRDefault="00055CF2" w:rsidP="005C739C">
            <w:pPr>
              <w:jc w:val="center"/>
              <w:rPr>
                <w:rFonts w:cs="Arial"/>
                <w:b/>
                <w:bCs/>
              </w:rPr>
            </w:pPr>
            <w:r w:rsidRPr="00BA4F8E">
              <w:rPr>
                <w:rFonts w:cs="Arial"/>
                <w:b/>
                <w:bCs/>
              </w:rPr>
              <w:t xml:space="preserve">průměr </w:t>
            </w:r>
            <w:r w:rsidRPr="00BA4F8E">
              <w:rPr>
                <w:rFonts w:cs="Arial"/>
                <w:b/>
                <w:bCs/>
              </w:rPr>
              <w:br/>
              <w:t>2014 - 2016</w:t>
            </w:r>
          </w:p>
        </w:tc>
      </w:tr>
      <w:tr w:rsidR="00055CF2" w:rsidRPr="00BA4F8E" w14:paraId="0CA279BB" w14:textId="77777777" w:rsidTr="00764ABB">
        <w:trPr>
          <w:trHeight w:val="302"/>
        </w:trPr>
        <w:tc>
          <w:tcPr>
            <w:tcW w:w="420" w:type="pct"/>
            <w:hideMark/>
          </w:tcPr>
          <w:p w14:paraId="325E46B4" w14:textId="77777777" w:rsidR="00055CF2" w:rsidRPr="00BA4F8E" w:rsidRDefault="00055CF2" w:rsidP="00961E93">
            <w:pPr>
              <w:jc w:val="right"/>
              <w:rPr>
                <w:rFonts w:cs="Arial"/>
              </w:rPr>
            </w:pPr>
            <w:r w:rsidRPr="00BA4F8E">
              <w:rPr>
                <w:rFonts w:cs="Arial"/>
              </w:rPr>
              <w:t> </w:t>
            </w:r>
          </w:p>
        </w:tc>
        <w:tc>
          <w:tcPr>
            <w:tcW w:w="1619" w:type="pct"/>
            <w:hideMark/>
          </w:tcPr>
          <w:p w14:paraId="65CB305F" w14:textId="77777777" w:rsidR="00055CF2" w:rsidRPr="00BA4F8E" w:rsidRDefault="00055CF2" w:rsidP="00961E93">
            <w:pPr>
              <w:rPr>
                <w:rFonts w:cs="Arial"/>
              </w:rPr>
            </w:pPr>
            <w:r w:rsidRPr="00BA4F8E">
              <w:rPr>
                <w:rFonts w:cs="Arial"/>
              </w:rPr>
              <w:t>Služby celkem</w:t>
            </w:r>
          </w:p>
        </w:tc>
        <w:tc>
          <w:tcPr>
            <w:tcW w:w="494" w:type="pct"/>
            <w:vAlign w:val="center"/>
            <w:hideMark/>
          </w:tcPr>
          <w:p w14:paraId="3F0B9A35" w14:textId="77777777" w:rsidR="00055CF2" w:rsidRPr="00BA4F8E" w:rsidRDefault="00055CF2" w:rsidP="00764ABB">
            <w:pPr>
              <w:jc w:val="center"/>
              <w:rPr>
                <w:rFonts w:cs="Arial"/>
              </w:rPr>
            </w:pPr>
            <w:r w:rsidRPr="00BA4F8E">
              <w:rPr>
                <w:rFonts w:cs="Arial"/>
              </w:rPr>
              <w:t>100</w:t>
            </w:r>
          </w:p>
        </w:tc>
        <w:tc>
          <w:tcPr>
            <w:tcW w:w="494" w:type="pct"/>
            <w:vAlign w:val="center"/>
            <w:hideMark/>
          </w:tcPr>
          <w:p w14:paraId="3B27BA19" w14:textId="77777777" w:rsidR="00055CF2" w:rsidRPr="00BA4F8E" w:rsidRDefault="00055CF2" w:rsidP="00764ABB">
            <w:pPr>
              <w:jc w:val="center"/>
              <w:rPr>
                <w:rFonts w:cs="Arial"/>
              </w:rPr>
            </w:pPr>
            <w:r w:rsidRPr="00BA4F8E">
              <w:rPr>
                <w:rFonts w:cs="Arial"/>
              </w:rPr>
              <w:t>100</w:t>
            </w:r>
          </w:p>
        </w:tc>
        <w:tc>
          <w:tcPr>
            <w:tcW w:w="432" w:type="pct"/>
            <w:vAlign w:val="center"/>
            <w:hideMark/>
          </w:tcPr>
          <w:p w14:paraId="7E1B188F" w14:textId="77777777" w:rsidR="00055CF2" w:rsidRPr="00BA4F8E" w:rsidRDefault="00055CF2" w:rsidP="00764ABB">
            <w:pPr>
              <w:jc w:val="center"/>
              <w:rPr>
                <w:rFonts w:cs="Arial"/>
              </w:rPr>
            </w:pPr>
            <w:r w:rsidRPr="00BA4F8E">
              <w:rPr>
                <w:rFonts w:cs="Arial"/>
              </w:rPr>
              <w:t>100</w:t>
            </w:r>
          </w:p>
        </w:tc>
        <w:tc>
          <w:tcPr>
            <w:tcW w:w="472" w:type="pct"/>
            <w:vAlign w:val="center"/>
            <w:hideMark/>
          </w:tcPr>
          <w:p w14:paraId="708A3117" w14:textId="77777777" w:rsidR="00055CF2" w:rsidRPr="00BA4F8E" w:rsidRDefault="00055CF2" w:rsidP="00764ABB">
            <w:pPr>
              <w:jc w:val="center"/>
              <w:rPr>
                <w:rFonts w:cs="Arial"/>
              </w:rPr>
            </w:pPr>
            <w:r w:rsidRPr="00BA4F8E">
              <w:rPr>
                <w:rFonts w:cs="Arial"/>
              </w:rPr>
              <w:t>100</w:t>
            </w:r>
          </w:p>
        </w:tc>
        <w:tc>
          <w:tcPr>
            <w:tcW w:w="561" w:type="pct"/>
            <w:vAlign w:val="center"/>
            <w:hideMark/>
          </w:tcPr>
          <w:p w14:paraId="008A250A" w14:textId="77777777" w:rsidR="00055CF2" w:rsidRPr="00BA4F8E" w:rsidRDefault="00055CF2" w:rsidP="00764ABB">
            <w:pPr>
              <w:jc w:val="center"/>
              <w:rPr>
                <w:rFonts w:cs="Arial"/>
              </w:rPr>
            </w:pPr>
            <w:r w:rsidRPr="00BA4F8E">
              <w:rPr>
                <w:rFonts w:cs="Arial"/>
              </w:rPr>
              <w:t>1</w:t>
            </w:r>
          </w:p>
        </w:tc>
        <w:tc>
          <w:tcPr>
            <w:tcW w:w="508" w:type="pct"/>
            <w:vAlign w:val="center"/>
            <w:hideMark/>
          </w:tcPr>
          <w:p w14:paraId="4EBB907A" w14:textId="77777777" w:rsidR="00055CF2" w:rsidRPr="00BA4F8E" w:rsidRDefault="00055CF2" w:rsidP="00764ABB">
            <w:pPr>
              <w:jc w:val="center"/>
              <w:rPr>
                <w:rFonts w:cs="Arial"/>
              </w:rPr>
            </w:pPr>
            <w:r w:rsidRPr="00BA4F8E">
              <w:rPr>
                <w:rFonts w:cs="Arial"/>
              </w:rPr>
              <w:t>1</w:t>
            </w:r>
          </w:p>
        </w:tc>
      </w:tr>
      <w:tr w:rsidR="00055CF2" w:rsidRPr="00BA4F8E" w14:paraId="29F86DC8" w14:textId="77777777" w:rsidTr="00764ABB">
        <w:trPr>
          <w:trHeight w:val="302"/>
        </w:trPr>
        <w:tc>
          <w:tcPr>
            <w:tcW w:w="420" w:type="pct"/>
            <w:hideMark/>
          </w:tcPr>
          <w:p w14:paraId="5024BEF8" w14:textId="77777777" w:rsidR="00055CF2" w:rsidRPr="00BA4F8E" w:rsidRDefault="00055CF2" w:rsidP="00961E93">
            <w:pPr>
              <w:jc w:val="right"/>
              <w:rPr>
                <w:rFonts w:cs="Arial"/>
              </w:rPr>
            </w:pPr>
            <w:r w:rsidRPr="00BA4F8E">
              <w:rPr>
                <w:rFonts w:cs="Arial"/>
              </w:rPr>
              <w:t>1</w:t>
            </w:r>
          </w:p>
        </w:tc>
        <w:tc>
          <w:tcPr>
            <w:tcW w:w="1619" w:type="pct"/>
            <w:hideMark/>
          </w:tcPr>
          <w:p w14:paraId="2CBF073D" w14:textId="77777777" w:rsidR="00055CF2" w:rsidRPr="00BA4F8E" w:rsidRDefault="00055CF2" w:rsidP="00961E93">
            <w:pPr>
              <w:rPr>
                <w:rFonts w:cs="Arial"/>
              </w:rPr>
            </w:pPr>
            <w:r w:rsidRPr="00BA4F8E">
              <w:rPr>
                <w:rFonts w:cs="Arial"/>
              </w:rPr>
              <w:t xml:space="preserve"> Doprava</w:t>
            </w:r>
          </w:p>
        </w:tc>
        <w:tc>
          <w:tcPr>
            <w:tcW w:w="494" w:type="pct"/>
            <w:vAlign w:val="center"/>
            <w:hideMark/>
          </w:tcPr>
          <w:p w14:paraId="37856C27" w14:textId="77777777" w:rsidR="00055CF2" w:rsidRPr="00BA4F8E" w:rsidRDefault="00055CF2" w:rsidP="00764ABB">
            <w:pPr>
              <w:jc w:val="center"/>
              <w:rPr>
                <w:rFonts w:cs="Arial"/>
              </w:rPr>
            </w:pPr>
            <w:r w:rsidRPr="00BA4F8E">
              <w:rPr>
                <w:rFonts w:cs="Arial"/>
              </w:rPr>
              <w:t>23.00</w:t>
            </w:r>
          </w:p>
        </w:tc>
        <w:tc>
          <w:tcPr>
            <w:tcW w:w="494" w:type="pct"/>
            <w:vAlign w:val="center"/>
            <w:hideMark/>
          </w:tcPr>
          <w:p w14:paraId="1492E877" w14:textId="77777777" w:rsidR="00055CF2" w:rsidRPr="00BA4F8E" w:rsidRDefault="00055CF2" w:rsidP="00764ABB">
            <w:pPr>
              <w:jc w:val="center"/>
              <w:rPr>
                <w:rFonts w:cs="Arial"/>
              </w:rPr>
            </w:pPr>
            <w:r w:rsidRPr="00BA4F8E">
              <w:rPr>
                <w:rFonts w:cs="Arial"/>
              </w:rPr>
              <w:t>21.74</w:t>
            </w:r>
          </w:p>
        </w:tc>
        <w:tc>
          <w:tcPr>
            <w:tcW w:w="432" w:type="pct"/>
            <w:vAlign w:val="center"/>
            <w:hideMark/>
          </w:tcPr>
          <w:p w14:paraId="62ECDDF7" w14:textId="77777777" w:rsidR="00055CF2" w:rsidRPr="00BA4F8E" w:rsidRDefault="00055CF2" w:rsidP="00764ABB">
            <w:pPr>
              <w:jc w:val="center"/>
              <w:rPr>
                <w:rFonts w:cs="Arial"/>
              </w:rPr>
            </w:pPr>
            <w:r w:rsidRPr="00BA4F8E">
              <w:rPr>
                <w:rFonts w:cs="Arial"/>
              </w:rPr>
              <w:t>22.72</w:t>
            </w:r>
          </w:p>
        </w:tc>
        <w:tc>
          <w:tcPr>
            <w:tcW w:w="472" w:type="pct"/>
            <w:vAlign w:val="center"/>
            <w:hideMark/>
          </w:tcPr>
          <w:p w14:paraId="340C4A89" w14:textId="77777777" w:rsidR="00055CF2" w:rsidRPr="00BA4F8E" w:rsidRDefault="00055CF2" w:rsidP="00764ABB">
            <w:pPr>
              <w:jc w:val="center"/>
              <w:rPr>
                <w:rFonts w:cs="Arial"/>
              </w:rPr>
            </w:pPr>
            <w:r w:rsidRPr="00BA4F8E">
              <w:rPr>
                <w:rFonts w:cs="Arial"/>
              </w:rPr>
              <w:t>18.35</w:t>
            </w:r>
          </w:p>
        </w:tc>
        <w:tc>
          <w:tcPr>
            <w:tcW w:w="561" w:type="pct"/>
            <w:vAlign w:val="center"/>
            <w:hideMark/>
          </w:tcPr>
          <w:p w14:paraId="569442A2" w14:textId="77777777" w:rsidR="00055CF2" w:rsidRPr="00BA4F8E" w:rsidRDefault="00055CF2" w:rsidP="00764ABB">
            <w:pPr>
              <w:jc w:val="center"/>
              <w:rPr>
                <w:rFonts w:cs="Arial"/>
              </w:rPr>
            </w:pPr>
            <w:r w:rsidRPr="00BA4F8E">
              <w:rPr>
                <w:rFonts w:cs="Arial"/>
              </w:rPr>
              <w:t>1.06</w:t>
            </w:r>
          </w:p>
        </w:tc>
        <w:tc>
          <w:tcPr>
            <w:tcW w:w="508" w:type="pct"/>
            <w:vAlign w:val="center"/>
            <w:hideMark/>
          </w:tcPr>
          <w:p w14:paraId="10CD2B07" w14:textId="77777777" w:rsidR="00055CF2" w:rsidRPr="00BA4F8E" w:rsidRDefault="00055CF2" w:rsidP="00764ABB">
            <w:pPr>
              <w:jc w:val="center"/>
              <w:rPr>
                <w:rFonts w:cs="Arial"/>
                <w:b/>
                <w:bCs/>
              </w:rPr>
            </w:pPr>
            <w:r w:rsidRPr="00BA4F8E">
              <w:rPr>
                <w:rFonts w:cs="Arial"/>
                <w:b/>
                <w:bCs/>
              </w:rPr>
              <w:t>1.24</w:t>
            </w:r>
          </w:p>
        </w:tc>
      </w:tr>
      <w:tr w:rsidR="00055CF2" w:rsidRPr="00BA4F8E" w14:paraId="25CD520F" w14:textId="77777777" w:rsidTr="00764ABB">
        <w:trPr>
          <w:trHeight w:val="302"/>
        </w:trPr>
        <w:tc>
          <w:tcPr>
            <w:tcW w:w="420" w:type="pct"/>
            <w:hideMark/>
          </w:tcPr>
          <w:p w14:paraId="3A985B03" w14:textId="77777777" w:rsidR="00055CF2" w:rsidRPr="00BA4F8E" w:rsidRDefault="00055CF2" w:rsidP="00961E93">
            <w:pPr>
              <w:jc w:val="right"/>
              <w:rPr>
                <w:rFonts w:cs="Arial"/>
              </w:rPr>
            </w:pPr>
            <w:r w:rsidRPr="00BA4F8E">
              <w:rPr>
                <w:rFonts w:cs="Arial"/>
              </w:rPr>
              <w:t>2</w:t>
            </w:r>
          </w:p>
        </w:tc>
        <w:tc>
          <w:tcPr>
            <w:tcW w:w="1619" w:type="pct"/>
            <w:hideMark/>
          </w:tcPr>
          <w:p w14:paraId="01E85544" w14:textId="77777777" w:rsidR="00055CF2" w:rsidRPr="00BA4F8E" w:rsidRDefault="00055CF2" w:rsidP="00961E93">
            <w:pPr>
              <w:rPr>
                <w:rFonts w:cs="Arial"/>
              </w:rPr>
            </w:pPr>
            <w:r w:rsidRPr="00BA4F8E">
              <w:rPr>
                <w:rFonts w:cs="Arial"/>
              </w:rPr>
              <w:t xml:space="preserve"> Cestovní ruch</w:t>
            </w:r>
          </w:p>
        </w:tc>
        <w:tc>
          <w:tcPr>
            <w:tcW w:w="494" w:type="pct"/>
            <w:vAlign w:val="center"/>
            <w:hideMark/>
          </w:tcPr>
          <w:p w14:paraId="491BB6A4" w14:textId="77777777" w:rsidR="00055CF2" w:rsidRPr="00BA4F8E" w:rsidRDefault="00055CF2" w:rsidP="00764ABB">
            <w:pPr>
              <w:jc w:val="center"/>
              <w:rPr>
                <w:rFonts w:cs="Arial"/>
              </w:rPr>
            </w:pPr>
            <w:r w:rsidRPr="00BA4F8E">
              <w:rPr>
                <w:rFonts w:cs="Arial"/>
              </w:rPr>
              <w:t>36.92</w:t>
            </w:r>
          </w:p>
        </w:tc>
        <w:tc>
          <w:tcPr>
            <w:tcW w:w="494" w:type="pct"/>
            <w:vAlign w:val="center"/>
            <w:hideMark/>
          </w:tcPr>
          <w:p w14:paraId="473AA079" w14:textId="77777777" w:rsidR="00055CF2" w:rsidRPr="00BA4F8E" w:rsidRDefault="00055CF2" w:rsidP="00764ABB">
            <w:pPr>
              <w:jc w:val="center"/>
              <w:rPr>
                <w:rFonts w:cs="Arial"/>
              </w:rPr>
            </w:pPr>
            <w:r w:rsidRPr="00BA4F8E">
              <w:rPr>
                <w:rFonts w:cs="Arial"/>
              </w:rPr>
              <w:t>25.05</w:t>
            </w:r>
          </w:p>
        </w:tc>
        <w:tc>
          <w:tcPr>
            <w:tcW w:w="432" w:type="pct"/>
            <w:vAlign w:val="center"/>
            <w:hideMark/>
          </w:tcPr>
          <w:p w14:paraId="2F2B2C35" w14:textId="77777777" w:rsidR="00055CF2" w:rsidRPr="00BA4F8E" w:rsidRDefault="00055CF2" w:rsidP="00764ABB">
            <w:pPr>
              <w:jc w:val="center"/>
              <w:rPr>
                <w:rFonts w:cs="Arial"/>
              </w:rPr>
            </w:pPr>
            <w:r w:rsidRPr="00BA4F8E">
              <w:rPr>
                <w:rFonts w:cs="Arial"/>
              </w:rPr>
              <w:t>26.80</w:t>
            </w:r>
          </w:p>
        </w:tc>
        <w:tc>
          <w:tcPr>
            <w:tcW w:w="472" w:type="pct"/>
            <w:vAlign w:val="center"/>
            <w:hideMark/>
          </w:tcPr>
          <w:p w14:paraId="264BB676" w14:textId="77777777" w:rsidR="00055CF2" w:rsidRPr="00BA4F8E" w:rsidRDefault="00055CF2" w:rsidP="00764ABB">
            <w:pPr>
              <w:jc w:val="center"/>
              <w:rPr>
                <w:rFonts w:cs="Arial"/>
              </w:rPr>
            </w:pPr>
            <w:r w:rsidRPr="00BA4F8E">
              <w:rPr>
                <w:rFonts w:cs="Arial"/>
              </w:rPr>
              <w:t>24.38</w:t>
            </w:r>
          </w:p>
        </w:tc>
        <w:tc>
          <w:tcPr>
            <w:tcW w:w="561" w:type="pct"/>
            <w:vAlign w:val="center"/>
            <w:hideMark/>
          </w:tcPr>
          <w:p w14:paraId="41A3921A" w14:textId="77777777" w:rsidR="00055CF2" w:rsidRPr="00BA4F8E" w:rsidRDefault="00055CF2" w:rsidP="00764ABB">
            <w:pPr>
              <w:jc w:val="center"/>
              <w:rPr>
                <w:rFonts w:cs="Arial"/>
              </w:rPr>
            </w:pPr>
            <w:r w:rsidRPr="00BA4F8E">
              <w:rPr>
                <w:rFonts w:cs="Arial"/>
              </w:rPr>
              <w:t>1.47</w:t>
            </w:r>
          </w:p>
        </w:tc>
        <w:tc>
          <w:tcPr>
            <w:tcW w:w="508" w:type="pct"/>
            <w:vAlign w:val="center"/>
            <w:hideMark/>
          </w:tcPr>
          <w:p w14:paraId="3B28C2FE" w14:textId="77777777" w:rsidR="00055CF2" w:rsidRPr="00BA4F8E" w:rsidRDefault="00055CF2" w:rsidP="00764ABB">
            <w:pPr>
              <w:jc w:val="center"/>
              <w:rPr>
                <w:rFonts w:cs="Arial"/>
                <w:bCs/>
              </w:rPr>
            </w:pPr>
            <w:r w:rsidRPr="00BA4F8E">
              <w:rPr>
                <w:rFonts w:cs="Arial"/>
                <w:bCs/>
              </w:rPr>
              <w:t>1.10</w:t>
            </w:r>
          </w:p>
        </w:tc>
      </w:tr>
      <w:tr w:rsidR="00055CF2" w:rsidRPr="00BA4F8E" w14:paraId="2CEFD022" w14:textId="77777777" w:rsidTr="00764ABB">
        <w:trPr>
          <w:trHeight w:val="302"/>
        </w:trPr>
        <w:tc>
          <w:tcPr>
            <w:tcW w:w="420" w:type="pct"/>
            <w:hideMark/>
          </w:tcPr>
          <w:p w14:paraId="50D1BD60" w14:textId="77777777" w:rsidR="00055CF2" w:rsidRPr="00BA4F8E" w:rsidRDefault="00055CF2" w:rsidP="00961E93">
            <w:pPr>
              <w:jc w:val="right"/>
              <w:rPr>
                <w:rFonts w:cs="Arial"/>
              </w:rPr>
            </w:pPr>
            <w:r w:rsidRPr="00BA4F8E">
              <w:rPr>
                <w:rFonts w:cs="Arial"/>
              </w:rPr>
              <w:t>3</w:t>
            </w:r>
          </w:p>
        </w:tc>
        <w:tc>
          <w:tcPr>
            <w:tcW w:w="1619" w:type="pct"/>
            <w:hideMark/>
          </w:tcPr>
          <w:p w14:paraId="195AE0FF" w14:textId="77777777" w:rsidR="00055CF2" w:rsidRPr="00BA4F8E" w:rsidRDefault="00055CF2" w:rsidP="00961E93">
            <w:pPr>
              <w:rPr>
                <w:rFonts w:cs="Arial"/>
              </w:rPr>
            </w:pPr>
            <w:r w:rsidRPr="00BA4F8E">
              <w:rPr>
                <w:rFonts w:cs="Arial"/>
              </w:rPr>
              <w:t xml:space="preserve"> Ostatní služby</w:t>
            </w:r>
          </w:p>
        </w:tc>
        <w:tc>
          <w:tcPr>
            <w:tcW w:w="494" w:type="pct"/>
            <w:vAlign w:val="center"/>
            <w:hideMark/>
          </w:tcPr>
          <w:p w14:paraId="4E76574D" w14:textId="77777777" w:rsidR="00055CF2" w:rsidRPr="00BA4F8E" w:rsidRDefault="00055CF2" w:rsidP="00764ABB">
            <w:pPr>
              <w:jc w:val="center"/>
              <w:rPr>
                <w:rFonts w:cs="Arial"/>
              </w:rPr>
            </w:pPr>
            <w:r w:rsidRPr="00BA4F8E">
              <w:rPr>
                <w:rFonts w:cs="Arial"/>
              </w:rPr>
              <w:t>31.60</w:t>
            </w:r>
          </w:p>
        </w:tc>
        <w:tc>
          <w:tcPr>
            <w:tcW w:w="494" w:type="pct"/>
            <w:vAlign w:val="center"/>
            <w:hideMark/>
          </w:tcPr>
          <w:p w14:paraId="2CFFF572" w14:textId="77777777" w:rsidR="00055CF2" w:rsidRPr="00BA4F8E" w:rsidRDefault="00055CF2" w:rsidP="00764ABB">
            <w:pPr>
              <w:jc w:val="center"/>
              <w:rPr>
                <w:rFonts w:cs="Arial"/>
              </w:rPr>
            </w:pPr>
            <w:r w:rsidRPr="00BA4F8E">
              <w:rPr>
                <w:rFonts w:cs="Arial"/>
              </w:rPr>
              <w:t>49.82</w:t>
            </w:r>
          </w:p>
        </w:tc>
        <w:tc>
          <w:tcPr>
            <w:tcW w:w="432" w:type="pct"/>
            <w:vAlign w:val="center"/>
            <w:hideMark/>
          </w:tcPr>
          <w:p w14:paraId="7277F366" w14:textId="77777777" w:rsidR="00055CF2" w:rsidRPr="00BA4F8E" w:rsidRDefault="00055CF2" w:rsidP="00764ABB">
            <w:pPr>
              <w:jc w:val="center"/>
              <w:rPr>
                <w:rFonts w:cs="Arial"/>
              </w:rPr>
            </w:pPr>
            <w:r w:rsidRPr="00BA4F8E">
              <w:rPr>
                <w:rFonts w:cs="Arial"/>
              </w:rPr>
              <w:t>40.52</w:t>
            </w:r>
          </w:p>
        </w:tc>
        <w:tc>
          <w:tcPr>
            <w:tcW w:w="472" w:type="pct"/>
            <w:vAlign w:val="center"/>
            <w:hideMark/>
          </w:tcPr>
          <w:p w14:paraId="7EC179DA" w14:textId="77777777" w:rsidR="00055CF2" w:rsidRPr="00BA4F8E" w:rsidRDefault="00055CF2" w:rsidP="00764ABB">
            <w:pPr>
              <w:jc w:val="center"/>
              <w:rPr>
                <w:rFonts w:cs="Arial"/>
              </w:rPr>
            </w:pPr>
            <w:r w:rsidRPr="00BA4F8E">
              <w:rPr>
                <w:rFonts w:cs="Arial"/>
              </w:rPr>
              <w:t>53.94</w:t>
            </w:r>
          </w:p>
        </w:tc>
        <w:tc>
          <w:tcPr>
            <w:tcW w:w="561" w:type="pct"/>
            <w:vAlign w:val="center"/>
            <w:hideMark/>
          </w:tcPr>
          <w:p w14:paraId="5F6C8C51" w14:textId="77777777" w:rsidR="00055CF2" w:rsidRPr="00BA4F8E" w:rsidRDefault="00055CF2" w:rsidP="00764ABB">
            <w:pPr>
              <w:jc w:val="center"/>
              <w:rPr>
                <w:rFonts w:cs="Arial"/>
              </w:rPr>
            </w:pPr>
            <w:r w:rsidRPr="00BA4F8E">
              <w:rPr>
                <w:rFonts w:cs="Arial"/>
              </w:rPr>
              <w:t>0.63</w:t>
            </w:r>
          </w:p>
        </w:tc>
        <w:tc>
          <w:tcPr>
            <w:tcW w:w="508" w:type="pct"/>
            <w:vAlign w:val="center"/>
            <w:hideMark/>
          </w:tcPr>
          <w:p w14:paraId="624FDD76" w14:textId="77777777" w:rsidR="00055CF2" w:rsidRPr="00BA4F8E" w:rsidRDefault="00055CF2" w:rsidP="00764ABB">
            <w:pPr>
              <w:jc w:val="center"/>
              <w:rPr>
                <w:rFonts w:cs="Arial"/>
                <w:b/>
              </w:rPr>
            </w:pPr>
            <w:r w:rsidRPr="00BA4F8E">
              <w:rPr>
                <w:rFonts w:cs="Arial"/>
                <w:b/>
              </w:rPr>
              <w:t>0.75</w:t>
            </w:r>
          </w:p>
        </w:tc>
      </w:tr>
      <w:tr w:rsidR="00055CF2" w:rsidRPr="00BA4F8E" w14:paraId="2A3D4BF2" w14:textId="77777777" w:rsidTr="00764ABB">
        <w:trPr>
          <w:trHeight w:val="302"/>
        </w:trPr>
        <w:tc>
          <w:tcPr>
            <w:tcW w:w="420" w:type="pct"/>
            <w:hideMark/>
          </w:tcPr>
          <w:p w14:paraId="07108125" w14:textId="77777777" w:rsidR="00055CF2" w:rsidRPr="00BA4F8E" w:rsidRDefault="00055CF2" w:rsidP="00961E93">
            <w:pPr>
              <w:jc w:val="right"/>
              <w:rPr>
                <w:rFonts w:cs="Arial"/>
              </w:rPr>
            </w:pPr>
            <w:r w:rsidRPr="00BA4F8E">
              <w:rPr>
                <w:rFonts w:cs="Arial"/>
              </w:rPr>
              <w:t>3.I</w:t>
            </w:r>
          </w:p>
        </w:tc>
        <w:tc>
          <w:tcPr>
            <w:tcW w:w="1619" w:type="pct"/>
            <w:hideMark/>
          </w:tcPr>
          <w:p w14:paraId="1F372549" w14:textId="77777777" w:rsidR="00055CF2" w:rsidRPr="00BA4F8E" w:rsidRDefault="00055CF2" w:rsidP="00961E93">
            <w:pPr>
              <w:rPr>
                <w:rFonts w:cs="Arial"/>
              </w:rPr>
            </w:pPr>
            <w:r w:rsidRPr="00BA4F8E">
              <w:rPr>
                <w:rFonts w:cs="Arial"/>
              </w:rPr>
              <w:t xml:space="preserve">   Telekomunikační služby</w:t>
            </w:r>
          </w:p>
        </w:tc>
        <w:tc>
          <w:tcPr>
            <w:tcW w:w="494" w:type="pct"/>
            <w:vAlign w:val="center"/>
            <w:hideMark/>
          </w:tcPr>
          <w:p w14:paraId="219E27E1" w14:textId="77777777" w:rsidR="00055CF2" w:rsidRPr="00BA4F8E" w:rsidRDefault="00055CF2" w:rsidP="00764ABB">
            <w:pPr>
              <w:jc w:val="center"/>
              <w:rPr>
                <w:rFonts w:cs="Arial"/>
              </w:rPr>
            </w:pPr>
            <w:r w:rsidRPr="00BA4F8E">
              <w:rPr>
                <w:rFonts w:cs="Arial"/>
              </w:rPr>
              <w:t>2.71</w:t>
            </w:r>
          </w:p>
        </w:tc>
        <w:tc>
          <w:tcPr>
            <w:tcW w:w="494" w:type="pct"/>
            <w:vAlign w:val="center"/>
            <w:hideMark/>
          </w:tcPr>
          <w:p w14:paraId="4B6CABB8" w14:textId="77777777" w:rsidR="00055CF2" w:rsidRPr="00BA4F8E" w:rsidRDefault="00055CF2" w:rsidP="00764ABB">
            <w:pPr>
              <w:jc w:val="center"/>
              <w:rPr>
                <w:rFonts w:cs="Arial"/>
              </w:rPr>
            </w:pPr>
            <w:r w:rsidRPr="00BA4F8E">
              <w:rPr>
                <w:rFonts w:cs="Arial"/>
              </w:rPr>
              <w:t>:</w:t>
            </w:r>
          </w:p>
        </w:tc>
        <w:tc>
          <w:tcPr>
            <w:tcW w:w="432" w:type="pct"/>
            <w:vAlign w:val="center"/>
            <w:hideMark/>
          </w:tcPr>
          <w:p w14:paraId="2304888A" w14:textId="77777777" w:rsidR="00055CF2" w:rsidRPr="00BA4F8E" w:rsidRDefault="00055CF2" w:rsidP="00764ABB">
            <w:pPr>
              <w:jc w:val="center"/>
              <w:rPr>
                <w:rFonts w:cs="Arial"/>
              </w:rPr>
            </w:pPr>
            <w:r w:rsidRPr="00BA4F8E">
              <w:rPr>
                <w:rFonts w:cs="Arial"/>
              </w:rPr>
              <w:t>1.85</w:t>
            </w:r>
          </w:p>
        </w:tc>
        <w:tc>
          <w:tcPr>
            <w:tcW w:w="472" w:type="pct"/>
            <w:vAlign w:val="center"/>
            <w:hideMark/>
          </w:tcPr>
          <w:p w14:paraId="7FF6CFAD" w14:textId="77777777" w:rsidR="00055CF2" w:rsidRPr="00BA4F8E" w:rsidRDefault="00055CF2" w:rsidP="00764ABB">
            <w:pPr>
              <w:jc w:val="center"/>
              <w:rPr>
                <w:rFonts w:cs="Arial"/>
              </w:rPr>
            </w:pPr>
            <w:r w:rsidRPr="00BA4F8E">
              <w:rPr>
                <w:rFonts w:cs="Arial"/>
              </w:rPr>
              <w:t>:</w:t>
            </w:r>
          </w:p>
        </w:tc>
        <w:tc>
          <w:tcPr>
            <w:tcW w:w="561" w:type="pct"/>
            <w:vAlign w:val="center"/>
            <w:hideMark/>
          </w:tcPr>
          <w:p w14:paraId="3A8A0CDE" w14:textId="77777777" w:rsidR="00055CF2" w:rsidRPr="00BA4F8E" w:rsidRDefault="00055CF2" w:rsidP="00764ABB">
            <w:pPr>
              <w:jc w:val="center"/>
              <w:rPr>
                <w:rFonts w:cs="Arial"/>
              </w:rPr>
            </w:pPr>
            <w:r w:rsidRPr="00BA4F8E">
              <w:rPr>
                <w:rFonts w:cs="Arial"/>
              </w:rPr>
              <w:t>:</w:t>
            </w:r>
          </w:p>
        </w:tc>
        <w:tc>
          <w:tcPr>
            <w:tcW w:w="508" w:type="pct"/>
            <w:vAlign w:val="center"/>
            <w:hideMark/>
          </w:tcPr>
          <w:p w14:paraId="5D1C8593" w14:textId="77777777" w:rsidR="00055CF2" w:rsidRPr="00BA4F8E" w:rsidRDefault="00055CF2" w:rsidP="00764ABB">
            <w:pPr>
              <w:jc w:val="center"/>
              <w:rPr>
                <w:rFonts w:cs="Arial"/>
              </w:rPr>
            </w:pPr>
            <w:r w:rsidRPr="00BA4F8E">
              <w:rPr>
                <w:rFonts w:cs="Arial"/>
              </w:rPr>
              <w:t>:</w:t>
            </w:r>
          </w:p>
        </w:tc>
      </w:tr>
      <w:tr w:rsidR="00055CF2" w:rsidRPr="00BA4F8E" w14:paraId="548083E3" w14:textId="77777777" w:rsidTr="00764ABB">
        <w:trPr>
          <w:trHeight w:val="302"/>
        </w:trPr>
        <w:tc>
          <w:tcPr>
            <w:tcW w:w="420" w:type="pct"/>
            <w:hideMark/>
          </w:tcPr>
          <w:p w14:paraId="0C9739D7" w14:textId="77777777" w:rsidR="00055CF2" w:rsidRPr="00BA4F8E" w:rsidRDefault="00055CF2" w:rsidP="00961E93">
            <w:pPr>
              <w:jc w:val="right"/>
              <w:rPr>
                <w:rFonts w:cs="Arial"/>
              </w:rPr>
            </w:pPr>
            <w:r w:rsidRPr="00BA4F8E">
              <w:rPr>
                <w:rFonts w:cs="Arial"/>
              </w:rPr>
              <w:t>3.II</w:t>
            </w:r>
          </w:p>
        </w:tc>
        <w:tc>
          <w:tcPr>
            <w:tcW w:w="1619" w:type="pct"/>
            <w:hideMark/>
          </w:tcPr>
          <w:p w14:paraId="2092A60E" w14:textId="77777777" w:rsidR="00055CF2" w:rsidRPr="00BA4F8E" w:rsidRDefault="00055CF2" w:rsidP="00961E93">
            <w:pPr>
              <w:rPr>
                <w:rFonts w:cs="Arial"/>
              </w:rPr>
            </w:pPr>
            <w:r w:rsidRPr="00BA4F8E">
              <w:rPr>
                <w:rFonts w:cs="Arial"/>
              </w:rPr>
              <w:t xml:space="preserve">   Stavebnictví</w:t>
            </w:r>
          </w:p>
        </w:tc>
        <w:tc>
          <w:tcPr>
            <w:tcW w:w="494" w:type="pct"/>
            <w:vAlign w:val="center"/>
            <w:hideMark/>
          </w:tcPr>
          <w:p w14:paraId="34F91C5C" w14:textId="77777777" w:rsidR="00055CF2" w:rsidRPr="00BA4F8E" w:rsidRDefault="00055CF2" w:rsidP="00764ABB">
            <w:pPr>
              <w:jc w:val="center"/>
              <w:rPr>
                <w:rFonts w:cs="Arial"/>
              </w:rPr>
            </w:pPr>
            <w:r w:rsidRPr="00BA4F8E">
              <w:rPr>
                <w:rFonts w:cs="Arial"/>
              </w:rPr>
              <w:t>1.65</w:t>
            </w:r>
          </w:p>
        </w:tc>
        <w:tc>
          <w:tcPr>
            <w:tcW w:w="494" w:type="pct"/>
            <w:vAlign w:val="center"/>
            <w:hideMark/>
          </w:tcPr>
          <w:p w14:paraId="53C1D4E1" w14:textId="77777777" w:rsidR="00055CF2" w:rsidRPr="00BA4F8E" w:rsidRDefault="00055CF2" w:rsidP="00764ABB">
            <w:pPr>
              <w:jc w:val="center"/>
              <w:rPr>
                <w:rFonts w:cs="Arial"/>
              </w:rPr>
            </w:pPr>
            <w:r w:rsidRPr="00BA4F8E">
              <w:rPr>
                <w:rFonts w:cs="Arial"/>
              </w:rPr>
              <w:t>1.84</w:t>
            </w:r>
          </w:p>
        </w:tc>
        <w:tc>
          <w:tcPr>
            <w:tcW w:w="432" w:type="pct"/>
            <w:vAlign w:val="center"/>
            <w:hideMark/>
          </w:tcPr>
          <w:p w14:paraId="4E10A550" w14:textId="77777777" w:rsidR="00055CF2" w:rsidRPr="00BA4F8E" w:rsidRDefault="00055CF2" w:rsidP="00764ABB">
            <w:pPr>
              <w:jc w:val="center"/>
              <w:rPr>
                <w:rFonts w:cs="Arial"/>
              </w:rPr>
            </w:pPr>
            <w:r w:rsidRPr="00BA4F8E">
              <w:rPr>
                <w:rFonts w:cs="Arial"/>
              </w:rPr>
              <w:t>2.50</w:t>
            </w:r>
          </w:p>
        </w:tc>
        <w:tc>
          <w:tcPr>
            <w:tcW w:w="472" w:type="pct"/>
            <w:vAlign w:val="center"/>
            <w:hideMark/>
          </w:tcPr>
          <w:p w14:paraId="6FA2C547" w14:textId="77777777" w:rsidR="00055CF2" w:rsidRPr="00BA4F8E" w:rsidRDefault="00055CF2" w:rsidP="00764ABB">
            <w:pPr>
              <w:jc w:val="center"/>
              <w:rPr>
                <w:rFonts w:cs="Arial"/>
              </w:rPr>
            </w:pPr>
            <w:r w:rsidRPr="00BA4F8E">
              <w:rPr>
                <w:rFonts w:cs="Arial"/>
              </w:rPr>
              <w:t>1.97</w:t>
            </w:r>
          </w:p>
        </w:tc>
        <w:tc>
          <w:tcPr>
            <w:tcW w:w="561" w:type="pct"/>
            <w:vAlign w:val="center"/>
            <w:hideMark/>
          </w:tcPr>
          <w:p w14:paraId="52771F1E" w14:textId="77777777" w:rsidR="00055CF2" w:rsidRPr="00BA4F8E" w:rsidRDefault="00055CF2" w:rsidP="00764ABB">
            <w:pPr>
              <w:jc w:val="center"/>
              <w:rPr>
                <w:rFonts w:cs="Arial"/>
              </w:rPr>
            </w:pPr>
            <w:r w:rsidRPr="00BA4F8E">
              <w:rPr>
                <w:rFonts w:cs="Arial"/>
              </w:rPr>
              <w:t>0.90</w:t>
            </w:r>
          </w:p>
        </w:tc>
        <w:tc>
          <w:tcPr>
            <w:tcW w:w="508" w:type="pct"/>
            <w:vAlign w:val="center"/>
            <w:hideMark/>
          </w:tcPr>
          <w:p w14:paraId="3EF19226" w14:textId="77777777" w:rsidR="00055CF2" w:rsidRPr="00BA4F8E" w:rsidRDefault="00055CF2" w:rsidP="00764ABB">
            <w:pPr>
              <w:jc w:val="center"/>
              <w:rPr>
                <w:rFonts w:cs="Arial"/>
                <w:b/>
                <w:bCs/>
              </w:rPr>
            </w:pPr>
            <w:r w:rsidRPr="00BA4F8E">
              <w:rPr>
                <w:rFonts w:cs="Arial"/>
                <w:b/>
                <w:bCs/>
              </w:rPr>
              <w:t>1.27</w:t>
            </w:r>
          </w:p>
        </w:tc>
      </w:tr>
      <w:tr w:rsidR="00055CF2" w:rsidRPr="00BA4F8E" w14:paraId="0B5DC050" w14:textId="77777777" w:rsidTr="00764ABB">
        <w:trPr>
          <w:trHeight w:val="302"/>
        </w:trPr>
        <w:tc>
          <w:tcPr>
            <w:tcW w:w="420" w:type="pct"/>
            <w:hideMark/>
          </w:tcPr>
          <w:p w14:paraId="61506B43" w14:textId="77777777" w:rsidR="00055CF2" w:rsidRPr="00BA4F8E" w:rsidRDefault="00055CF2" w:rsidP="00961E93">
            <w:pPr>
              <w:jc w:val="right"/>
              <w:rPr>
                <w:rFonts w:cs="Arial"/>
              </w:rPr>
            </w:pPr>
            <w:r w:rsidRPr="00BA4F8E">
              <w:rPr>
                <w:rFonts w:cs="Arial"/>
              </w:rPr>
              <w:t>3.III</w:t>
            </w:r>
          </w:p>
        </w:tc>
        <w:tc>
          <w:tcPr>
            <w:tcW w:w="1619" w:type="pct"/>
            <w:hideMark/>
          </w:tcPr>
          <w:p w14:paraId="652FD456" w14:textId="77777777" w:rsidR="00055CF2" w:rsidRPr="00BA4F8E" w:rsidRDefault="00055CF2" w:rsidP="00961E93">
            <w:pPr>
              <w:rPr>
                <w:rFonts w:cs="Arial"/>
              </w:rPr>
            </w:pPr>
            <w:r w:rsidRPr="00BA4F8E">
              <w:rPr>
                <w:rFonts w:cs="Arial"/>
              </w:rPr>
              <w:t xml:space="preserve">   Pojišťovnictví</w:t>
            </w:r>
          </w:p>
        </w:tc>
        <w:tc>
          <w:tcPr>
            <w:tcW w:w="494" w:type="pct"/>
            <w:vAlign w:val="center"/>
            <w:hideMark/>
          </w:tcPr>
          <w:p w14:paraId="76F1CFC4" w14:textId="77777777" w:rsidR="00055CF2" w:rsidRPr="00BA4F8E" w:rsidRDefault="00055CF2" w:rsidP="00764ABB">
            <w:pPr>
              <w:jc w:val="center"/>
              <w:rPr>
                <w:rFonts w:cs="Arial"/>
              </w:rPr>
            </w:pPr>
            <w:r w:rsidRPr="00BA4F8E">
              <w:rPr>
                <w:rFonts w:cs="Arial"/>
              </w:rPr>
              <w:t>0.50</w:t>
            </w:r>
          </w:p>
        </w:tc>
        <w:tc>
          <w:tcPr>
            <w:tcW w:w="494" w:type="pct"/>
            <w:vAlign w:val="center"/>
            <w:hideMark/>
          </w:tcPr>
          <w:p w14:paraId="35BC7AF4" w14:textId="77777777" w:rsidR="00055CF2" w:rsidRPr="00BA4F8E" w:rsidRDefault="00055CF2" w:rsidP="00764ABB">
            <w:pPr>
              <w:jc w:val="center"/>
              <w:rPr>
                <w:rFonts w:cs="Arial"/>
              </w:rPr>
            </w:pPr>
            <w:r w:rsidRPr="00BA4F8E">
              <w:rPr>
                <w:rFonts w:cs="Arial"/>
              </w:rPr>
              <w:t>2.59</w:t>
            </w:r>
          </w:p>
        </w:tc>
        <w:tc>
          <w:tcPr>
            <w:tcW w:w="432" w:type="pct"/>
            <w:vAlign w:val="center"/>
            <w:hideMark/>
          </w:tcPr>
          <w:p w14:paraId="1AC5BA16" w14:textId="77777777" w:rsidR="00055CF2" w:rsidRPr="00BA4F8E" w:rsidRDefault="00055CF2" w:rsidP="00764ABB">
            <w:pPr>
              <w:jc w:val="center"/>
              <w:rPr>
                <w:rFonts w:cs="Arial"/>
              </w:rPr>
            </w:pPr>
            <w:r w:rsidRPr="00BA4F8E">
              <w:rPr>
                <w:rFonts w:cs="Arial"/>
              </w:rPr>
              <w:t>1.10</w:t>
            </w:r>
          </w:p>
        </w:tc>
        <w:tc>
          <w:tcPr>
            <w:tcW w:w="472" w:type="pct"/>
            <w:vAlign w:val="center"/>
            <w:hideMark/>
          </w:tcPr>
          <w:p w14:paraId="2E80907F" w14:textId="77777777" w:rsidR="00055CF2" w:rsidRPr="00BA4F8E" w:rsidRDefault="00055CF2" w:rsidP="00764ABB">
            <w:pPr>
              <w:jc w:val="center"/>
              <w:rPr>
                <w:rFonts w:cs="Arial"/>
              </w:rPr>
            </w:pPr>
            <w:r w:rsidRPr="00BA4F8E">
              <w:rPr>
                <w:rFonts w:cs="Arial"/>
              </w:rPr>
              <w:t>2.53</w:t>
            </w:r>
          </w:p>
        </w:tc>
        <w:tc>
          <w:tcPr>
            <w:tcW w:w="561" w:type="pct"/>
            <w:vAlign w:val="center"/>
            <w:hideMark/>
          </w:tcPr>
          <w:p w14:paraId="15341BF3" w14:textId="77777777" w:rsidR="00055CF2" w:rsidRPr="00BA4F8E" w:rsidRDefault="00055CF2" w:rsidP="00764ABB">
            <w:pPr>
              <w:jc w:val="center"/>
              <w:rPr>
                <w:rFonts w:cs="Arial"/>
              </w:rPr>
            </w:pPr>
            <w:r w:rsidRPr="00BA4F8E">
              <w:rPr>
                <w:rFonts w:cs="Arial"/>
              </w:rPr>
              <w:t>0.19</w:t>
            </w:r>
          </w:p>
        </w:tc>
        <w:tc>
          <w:tcPr>
            <w:tcW w:w="508" w:type="pct"/>
            <w:vAlign w:val="center"/>
            <w:hideMark/>
          </w:tcPr>
          <w:p w14:paraId="0B20FB84" w14:textId="77777777" w:rsidR="00055CF2" w:rsidRPr="00BA4F8E" w:rsidRDefault="00055CF2" w:rsidP="00764ABB">
            <w:pPr>
              <w:jc w:val="center"/>
              <w:rPr>
                <w:rFonts w:cs="Arial"/>
                <w:b/>
              </w:rPr>
            </w:pPr>
            <w:r w:rsidRPr="00BA4F8E">
              <w:rPr>
                <w:rFonts w:cs="Arial"/>
                <w:b/>
              </w:rPr>
              <w:t>0.43</w:t>
            </w:r>
          </w:p>
        </w:tc>
      </w:tr>
      <w:tr w:rsidR="00055CF2" w:rsidRPr="00BA4F8E" w14:paraId="6899775A" w14:textId="77777777" w:rsidTr="00764ABB">
        <w:trPr>
          <w:trHeight w:val="302"/>
        </w:trPr>
        <w:tc>
          <w:tcPr>
            <w:tcW w:w="420" w:type="pct"/>
            <w:hideMark/>
          </w:tcPr>
          <w:p w14:paraId="26A769DF" w14:textId="77777777" w:rsidR="00055CF2" w:rsidRPr="00BA4F8E" w:rsidRDefault="00055CF2" w:rsidP="00961E93">
            <w:pPr>
              <w:jc w:val="right"/>
              <w:rPr>
                <w:rFonts w:cs="Arial"/>
              </w:rPr>
            </w:pPr>
            <w:r w:rsidRPr="00BA4F8E">
              <w:rPr>
                <w:rFonts w:cs="Arial"/>
              </w:rPr>
              <w:t>3.IV</w:t>
            </w:r>
          </w:p>
        </w:tc>
        <w:tc>
          <w:tcPr>
            <w:tcW w:w="1619" w:type="pct"/>
            <w:hideMark/>
          </w:tcPr>
          <w:p w14:paraId="7F955B50" w14:textId="77777777" w:rsidR="00055CF2" w:rsidRPr="00BA4F8E" w:rsidRDefault="00055CF2" w:rsidP="00961E93">
            <w:pPr>
              <w:rPr>
                <w:rFonts w:cs="Arial"/>
              </w:rPr>
            </w:pPr>
            <w:r w:rsidRPr="00BA4F8E">
              <w:rPr>
                <w:rFonts w:cs="Arial"/>
              </w:rPr>
              <w:t xml:space="preserve">   Finanční služby</w:t>
            </w:r>
          </w:p>
        </w:tc>
        <w:tc>
          <w:tcPr>
            <w:tcW w:w="494" w:type="pct"/>
            <w:vAlign w:val="center"/>
            <w:hideMark/>
          </w:tcPr>
          <w:p w14:paraId="1FDCFAF5" w14:textId="77777777" w:rsidR="00055CF2" w:rsidRPr="00BA4F8E" w:rsidRDefault="00055CF2" w:rsidP="00764ABB">
            <w:pPr>
              <w:jc w:val="center"/>
              <w:rPr>
                <w:rFonts w:cs="Arial"/>
              </w:rPr>
            </w:pPr>
            <w:r w:rsidRPr="00BA4F8E">
              <w:rPr>
                <w:rFonts w:cs="Arial"/>
              </w:rPr>
              <w:t>2.34</w:t>
            </w:r>
          </w:p>
        </w:tc>
        <w:tc>
          <w:tcPr>
            <w:tcW w:w="494" w:type="pct"/>
            <w:vAlign w:val="center"/>
            <w:hideMark/>
          </w:tcPr>
          <w:p w14:paraId="7B945C3F" w14:textId="77777777" w:rsidR="00055CF2" w:rsidRPr="00BA4F8E" w:rsidRDefault="00055CF2" w:rsidP="00764ABB">
            <w:pPr>
              <w:jc w:val="center"/>
              <w:rPr>
                <w:rFonts w:cs="Arial"/>
              </w:rPr>
            </w:pPr>
            <w:r w:rsidRPr="00BA4F8E">
              <w:rPr>
                <w:rFonts w:cs="Arial"/>
              </w:rPr>
              <w:t>9.02</w:t>
            </w:r>
          </w:p>
        </w:tc>
        <w:tc>
          <w:tcPr>
            <w:tcW w:w="432" w:type="pct"/>
            <w:vAlign w:val="center"/>
            <w:hideMark/>
          </w:tcPr>
          <w:p w14:paraId="05A3D586" w14:textId="77777777" w:rsidR="00055CF2" w:rsidRPr="00BA4F8E" w:rsidRDefault="00055CF2" w:rsidP="00764ABB">
            <w:pPr>
              <w:jc w:val="center"/>
              <w:rPr>
                <w:rFonts w:cs="Arial"/>
              </w:rPr>
            </w:pPr>
            <w:r w:rsidRPr="00BA4F8E">
              <w:rPr>
                <w:rFonts w:cs="Arial"/>
              </w:rPr>
              <w:t>1.86</w:t>
            </w:r>
          </w:p>
        </w:tc>
        <w:tc>
          <w:tcPr>
            <w:tcW w:w="472" w:type="pct"/>
            <w:vAlign w:val="center"/>
            <w:hideMark/>
          </w:tcPr>
          <w:p w14:paraId="79433A3C" w14:textId="77777777" w:rsidR="00055CF2" w:rsidRPr="00BA4F8E" w:rsidRDefault="00055CF2" w:rsidP="00764ABB">
            <w:pPr>
              <w:jc w:val="center"/>
              <w:rPr>
                <w:rFonts w:cs="Arial"/>
              </w:rPr>
            </w:pPr>
            <w:r w:rsidRPr="00BA4F8E">
              <w:rPr>
                <w:rFonts w:cs="Arial"/>
              </w:rPr>
              <w:t>8.82</w:t>
            </w:r>
          </w:p>
        </w:tc>
        <w:tc>
          <w:tcPr>
            <w:tcW w:w="561" w:type="pct"/>
            <w:vAlign w:val="center"/>
            <w:hideMark/>
          </w:tcPr>
          <w:p w14:paraId="231E17B8" w14:textId="77777777" w:rsidR="00055CF2" w:rsidRPr="00BA4F8E" w:rsidRDefault="00055CF2" w:rsidP="00764ABB">
            <w:pPr>
              <w:jc w:val="center"/>
              <w:rPr>
                <w:rFonts w:cs="Arial"/>
              </w:rPr>
            </w:pPr>
            <w:r w:rsidRPr="00BA4F8E">
              <w:rPr>
                <w:rFonts w:cs="Arial"/>
              </w:rPr>
              <w:t>0.26</w:t>
            </w:r>
          </w:p>
        </w:tc>
        <w:tc>
          <w:tcPr>
            <w:tcW w:w="508" w:type="pct"/>
            <w:vAlign w:val="center"/>
            <w:hideMark/>
          </w:tcPr>
          <w:p w14:paraId="5480B480" w14:textId="77777777" w:rsidR="00055CF2" w:rsidRPr="00BA4F8E" w:rsidRDefault="00055CF2" w:rsidP="00764ABB">
            <w:pPr>
              <w:jc w:val="center"/>
              <w:rPr>
                <w:rFonts w:cs="Arial"/>
              </w:rPr>
            </w:pPr>
            <w:r w:rsidRPr="00BA4F8E">
              <w:rPr>
                <w:rFonts w:cs="Arial"/>
              </w:rPr>
              <w:t>0.21</w:t>
            </w:r>
          </w:p>
        </w:tc>
      </w:tr>
      <w:tr w:rsidR="00055CF2" w:rsidRPr="00BA4F8E" w14:paraId="2D137B5E" w14:textId="77777777" w:rsidTr="00764ABB">
        <w:trPr>
          <w:trHeight w:val="302"/>
        </w:trPr>
        <w:tc>
          <w:tcPr>
            <w:tcW w:w="420" w:type="pct"/>
            <w:hideMark/>
          </w:tcPr>
          <w:p w14:paraId="6284A444" w14:textId="77777777" w:rsidR="00055CF2" w:rsidRPr="00BA4F8E" w:rsidRDefault="00055CF2" w:rsidP="00961E93">
            <w:pPr>
              <w:jc w:val="right"/>
              <w:rPr>
                <w:rFonts w:cs="Arial"/>
              </w:rPr>
            </w:pPr>
            <w:r w:rsidRPr="00BA4F8E">
              <w:rPr>
                <w:rFonts w:cs="Arial"/>
              </w:rPr>
              <w:t>3.V</w:t>
            </w:r>
          </w:p>
        </w:tc>
        <w:tc>
          <w:tcPr>
            <w:tcW w:w="1619" w:type="pct"/>
            <w:hideMark/>
          </w:tcPr>
          <w:p w14:paraId="159EA61D" w14:textId="77777777" w:rsidR="00055CF2" w:rsidRPr="00BA4F8E" w:rsidRDefault="00055CF2" w:rsidP="00961E93">
            <w:pPr>
              <w:rPr>
                <w:rFonts w:cs="Arial"/>
              </w:rPr>
            </w:pPr>
            <w:r w:rsidRPr="00BA4F8E">
              <w:rPr>
                <w:rFonts w:cs="Arial"/>
              </w:rPr>
              <w:t xml:space="preserve">   Počítačové a informační služby</w:t>
            </w:r>
          </w:p>
        </w:tc>
        <w:tc>
          <w:tcPr>
            <w:tcW w:w="494" w:type="pct"/>
            <w:vAlign w:val="center"/>
            <w:hideMark/>
          </w:tcPr>
          <w:p w14:paraId="02575F1C" w14:textId="77777777" w:rsidR="00055CF2" w:rsidRPr="00BA4F8E" w:rsidRDefault="00055CF2" w:rsidP="00764ABB">
            <w:pPr>
              <w:jc w:val="center"/>
              <w:rPr>
                <w:rFonts w:cs="Arial"/>
              </w:rPr>
            </w:pPr>
            <w:r w:rsidRPr="00BA4F8E">
              <w:rPr>
                <w:rFonts w:cs="Arial"/>
              </w:rPr>
              <w:t>8.12</w:t>
            </w:r>
          </w:p>
        </w:tc>
        <w:tc>
          <w:tcPr>
            <w:tcW w:w="494" w:type="pct"/>
            <w:vAlign w:val="center"/>
            <w:hideMark/>
          </w:tcPr>
          <w:p w14:paraId="6CE86DF7" w14:textId="77777777" w:rsidR="00055CF2" w:rsidRPr="00BA4F8E" w:rsidRDefault="00055CF2" w:rsidP="00764ABB">
            <w:pPr>
              <w:jc w:val="center"/>
              <w:rPr>
                <w:rFonts w:cs="Arial"/>
              </w:rPr>
            </w:pPr>
            <w:r w:rsidRPr="00BA4F8E">
              <w:rPr>
                <w:rFonts w:cs="Arial"/>
              </w:rPr>
              <w:t>7.83</w:t>
            </w:r>
          </w:p>
        </w:tc>
        <w:tc>
          <w:tcPr>
            <w:tcW w:w="432" w:type="pct"/>
            <w:vAlign w:val="center"/>
            <w:hideMark/>
          </w:tcPr>
          <w:p w14:paraId="2BCF90CC" w14:textId="77777777" w:rsidR="00055CF2" w:rsidRPr="00BA4F8E" w:rsidRDefault="00055CF2" w:rsidP="00764ABB">
            <w:pPr>
              <w:jc w:val="center"/>
              <w:rPr>
                <w:rFonts w:cs="Arial"/>
              </w:rPr>
            </w:pPr>
            <w:r w:rsidRPr="00BA4F8E">
              <w:rPr>
                <w:rFonts w:cs="Arial"/>
              </w:rPr>
              <w:t>12.01</w:t>
            </w:r>
          </w:p>
        </w:tc>
        <w:tc>
          <w:tcPr>
            <w:tcW w:w="472" w:type="pct"/>
            <w:vAlign w:val="center"/>
            <w:hideMark/>
          </w:tcPr>
          <w:p w14:paraId="54F2BA73" w14:textId="77777777" w:rsidR="00055CF2" w:rsidRPr="00BA4F8E" w:rsidRDefault="00055CF2" w:rsidP="00764ABB">
            <w:pPr>
              <w:jc w:val="center"/>
              <w:rPr>
                <w:rFonts w:cs="Arial"/>
              </w:rPr>
            </w:pPr>
            <w:r w:rsidRPr="00BA4F8E">
              <w:rPr>
                <w:rFonts w:cs="Arial"/>
              </w:rPr>
              <w:t>9.79</w:t>
            </w:r>
          </w:p>
        </w:tc>
        <w:tc>
          <w:tcPr>
            <w:tcW w:w="561" w:type="pct"/>
            <w:vAlign w:val="center"/>
            <w:hideMark/>
          </w:tcPr>
          <w:p w14:paraId="7EE7AD88" w14:textId="77777777" w:rsidR="00055CF2" w:rsidRPr="00BA4F8E" w:rsidRDefault="00055CF2" w:rsidP="00764ABB">
            <w:pPr>
              <w:jc w:val="center"/>
              <w:rPr>
                <w:rFonts w:cs="Arial"/>
              </w:rPr>
            </w:pPr>
            <w:r w:rsidRPr="00BA4F8E">
              <w:rPr>
                <w:rFonts w:cs="Arial"/>
              </w:rPr>
              <w:t>1.04</w:t>
            </w:r>
          </w:p>
        </w:tc>
        <w:tc>
          <w:tcPr>
            <w:tcW w:w="508" w:type="pct"/>
            <w:vAlign w:val="center"/>
            <w:hideMark/>
          </w:tcPr>
          <w:p w14:paraId="18F93FDB" w14:textId="77777777" w:rsidR="00055CF2" w:rsidRPr="00BA4F8E" w:rsidRDefault="00055CF2" w:rsidP="00764ABB">
            <w:pPr>
              <w:jc w:val="center"/>
              <w:rPr>
                <w:rFonts w:cs="Arial"/>
                <w:b/>
                <w:bCs/>
              </w:rPr>
            </w:pPr>
            <w:r w:rsidRPr="00BA4F8E">
              <w:rPr>
                <w:rFonts w:cs="Arial"/>
                <w:b/>
                <w:bCs/>
              </w:rPr>
              <w:t>1.23</w:t>
            </w:r>
          </w:p>
        </w:tc>
      </w:tr>
      <w:tr w:rsidR="00055CF2" w:rsidRPr="00BA4F8E" w14:paraId="6AD11189" w14:textId="77777777" w:rsidTr="00764ABB">
        <w:trPr>
          <w:trHeight w:val="361"/>
        </w:trPr>
        <w:tc>
          <w:tcPr>
            <w:tcW w:w="420" w:type="pct"/>
            <w:hideMark/>
          </w:tcPr>
          <w:p w14:paraId="5F709193" w14:textId="77777777" w:rsidR="00055CF2" w:rsidRPr="00BA4F8E" w:rsidRDefault="00055CF2" w:rsidP="00961E93">
            <w:pPr>
              <w:jc w:val="right"/>
              <w:rPr>
                <w:rFonts w:cs="Arial"/>
              </w:rPr>
            </w:pPr>
            <w:r w:rsidRPr="00BA4F8E">
              <w:rPr>
                <w:rFonts w:cs="Arial"/>
              </w:rPr>
              <w:t>3.VI</w:t>
            </w:r>
          </w:p>
        </w:tc>
        <w:tc>
          <w:tcPr>
            <w:tcW w:w="1619" w:type="pct"/>
            <w:hideMark/>
          </w:tcPr>
          <w:p w14:paraId="7C8D98BA" w14:textId="77777777" w:rsidR="00055CF2" w:rsidRPr="00BA4F8E" w:rsidRDefault="00055CF2" w:rsidP="00961E93">
            <w:pPr>
              <w:rPr>
                <w:rFonts w:cs="Arial"/>
              </w:rPr>
            </w:pPr>
            <w:r w:rsidRPr="00BA4F8E">
              <w:rPr>
                <w:rFonts w:cs="Arial"/>
              </w:rPr>
              <w:t xml:space="preserve">   Práva k dušev. vlastnictví a lic. poplatky</w:t>
            </w:r>
          </w:p>
        </w:tc>
        <w:tc>
          <w:tcPr>
            <w:tcW w:w="494" w:type="pct"/>
            <w:vAlign w:val="center"/>
            <w:hideMark/>
          </w:tcPr>
          <w:p w14:paraId="5F292017" w14:textId="77777777" w:rsidR="00055CF2" w:rsidRPr="00BA4F8E" w:rsidRDefault="00055CF2" w:rsidP="00764ABB">
            <w:pPr>
              <w:jc w:val="center"/>
              <w:rPr>
                <w:rFonts w:cs="Arial"/>
              </w:rPr>
            </w:pPr>
            <w:r w:rsidRPr="00BA4F8E">
              <w:rPr>
                <w:rFonts w:cs="Arial"/>
              </w:rPr>
              <w:t>0.22</w:t>
            </w:r>
          </w:p>
        </w:tc>
        <w:tc>
          <w:tcPr>
            <w:tcW w:w="494" w:type="pct"/>
            <w:vAlign w:val="center"/>
            <w:hideMark/>
          </w:tcPr>
          <w:p w14:paraId="47C0EA65" w14:textId="77777777" w:rsidR="00055CF2" w:rsidRPr="00BA4F8E" w:rsidRDefault="00055CF2" w:rsidP="00764ABB">
            <w:pPr>
              <w:jc w:val="center"/>
              <w:rPr>
                <w:rFonts w:cs="Arial"/>
              </w:rPr>
            </w:pPr>
            <w:r w:rsidRPr="00BA4F8E">
              <w:rPr>
                <w:rFonts w:cs="Arial"/>
              </w:rPr>
              <w:t>6.02</w:t>
            </w:r>
          </w:p>
        </w:tc>
        <w:tc>
          <w:tcPr>
            <w:tcW w:w="432" w:type="pct"/>
            <w:vAlign w:val="center"/>
            <w:hideMark/>
          </w:tcPr>
          <w:p w14:paraId="4EED0EF0" w14:textId="77777777" w:rsidR="00055CF2" w:rsidRPr="00BA4F8E" w:rsidRDefault="00055CF2" w:rsidP="00764ABB">
            <w:pPr>
              <w:jc w:val="center"/>
              <w:rPr>
                <w:rFonts w:cs="Arial"/>
              </w:rPr>
            </w:pPr>
            <w:r w:rsidRPr="00BA4F8E">
              <w:rPr>
                <w:rFonts w:cs="Arial"/>
              </w:rPr>
              <w:t>1.97</w:t>
            </w:r>
          </w:p>
        </w:tc>
        <w:tc>
          <w:tcPr>
            <w:tcW w:w="472" w:type="pct"/>
            <w:vAlign w:val="center"/>
            <w:hideMark/>
          </w:tcPr>
          <w:p w14:paraId="7762FCC1" w14:textId="77777777" w:rsidR="00055CF2" w:rsidRPr="00BA4F8E" w:rsidRDefault="00055CF2" w:rsidP="00764ABB">
            <w:pPr>
              <w:jc w:val="center"/>
              <w:rPr>
                <w:rFonts w:cs="Arial"/>
              </w:rPr>
            </w:pPr>
            <w:r w:rsidRPr="00BA4F8E">
              <w:rPr>
                <w:rFonts w:cs="Arial"/>
              </w:rPr>
              <w:t>6.29</w:t>
            </w:r>
          </w:p>
        </w:tc>
        <w:tc>
          <w:tcPr>
            <w:tcW w:w="561" w:type="pct"/>
            <w:vAlign w:val="center"/>
            <w:hideMark/>
          </w:tcPr>
          <w:p w14:paraId="2B8763B6" w14:textId="77777777" w:rsidR="00055CF2" w:rsidRPr="00BA4F8E" w:rsidRDefault="00055CF2" w:rsidP="00764ABB">
            <w:pPr>
              <w:jc w:val="center"/>
              <w:rPr>
                <w:rFonts w:cs="Arial"/>
              </w:rPr>
            </w:pPr>
            <w:r w:rsidRPr="00BA4F8E">
              <w:rPr>
                <w:rFonts w:cs="Arial"/>
              </w:rPr>
              <w:t>0.04</w:t>
            </w:r>
          </w:p>
        </w:tc>
        <w:tc>
          <w:tcPr>
            <w:tcW w:w="508" w:type="pct"/>
            <w:vAlign w:val="center"/>
            <w:hideMark/>
          </w:tcPr>
          <w:p w14:paraId="040910AB" w14:textId="77777777" w:rsidR="00055CF2" w:rsidRPr="00BA4F8E" w:rsidRDefault="00055CF2" w:rsidP="00764ABB">
            <w:pPr>
              <w:jc w:val="center"/>
              <w:rPr>
                <w:rFonts w:cs="Arial"/>
                <w:b/>
              </w:rPr>
            </w:pPr>
            <w:r w:rsidRPr="00BA4F8E">
              <w:rPr>
                <w:rFonts w:cs="Arial"/>
                <w:b/>
              </w:rPr>
              <w:t>0.31</w:t>
            </w:r>
          </w:p>
        </w:tc>
      </w:tr>
      <w:tr w:rsidR="00055CF2" w:rsidRPr="00BA4F8E" w14:paraId="52EB7CE3" w14:textId="77777777" w:rsidTr="00A416BC">
        <w:trPr>
          <w:trHeight w:val="302"/>
        </w:trPr>
        <w:tc>
          <w:tcPr>
            <w:tcW w:w="420" w:type="pct"/>
            <w:hideMark/>
          </w:tcPr>
          <w:p w14:paraId="719AB56B" w14:textId="77777777" w:rsidR="00055CF2" w:rsidRPr="00BA4F8E" w:rsidRDefault="00055CF2" w:rsidP="00961E93">
            <w:pPr>
              <w:jc w:val="right"/>
              <w:rPr>
                <w:rFonts w:cs="Arial"/>
              </w:rPr>
            </w:pPr>
            <w:r w:rsidRPr="00BA4F8E">
              <w:rPr>
                <w:rFonts w:cs="Arial"/>
              </w:rPr>
              <w:t>3.VII</w:t>
            </w:r>
          </w:p>
        </w:tc>
        <w:tc>
          <w:tcPr>
            <w:tcW w:w="1619" w:type="pct"/>
            <w:hideMark/>
          </w:tcPr>
          <w:p w14:paraId="572EC56D" w14:textId="77777777" w:rsidR="00055CF2" w:rsidRPr="00BA4F8E" w:rsidRDefault="00055CF2" w:rsidP="00961E93">
            <w:pPr>
              <w:rPr>
                <w:rFonts w:cs="Arial"/>
              </w:rPr>
            </w:pPr>
            <w:r w:rsidRPr="00BA4F8E">
              <w:rPr>
                <w:rFonts w:cs="Arial"/>
              </w:rPr>
              <w:t xml:space="preserve">   Ostatní podnikové služby</w:t>
            </w:r>
          </w:p>
        </w:tc>
        <w:tc>
          <w:tcPr>
            <w:tcW w:w="494" w:type="pct"/>
            <w:vAlign w:val="center"/>
            <w:hideMark/>
          </w:tcPr>
          <w:p w14:paraId="3858D4AB" w14:textId="77777777" w:rsidR="00055CF2" w:rsidRPr="00BA4F8E" w:rsidRDefault="00055CF2" w:rsidP="00A416BC">
            <w:pPr>
              <w:jc w:val="center"/>
              <w:rPr>
                <w:rFonts w:cs="Arial"/>
              </w:rPr>
            </w:pPr>
            <w:r w:rsidRPr="00BA4F8E">
              <w:rPr>
                <w:rFonts w:cs="Arial"/>
              </w:rPr>
              <w:t>17.71</w:t>
            </w:r>
          </w:p>
        </w:tc>
        <w:tc>
          <w:tcPr>
            <w:tcW w:w="494" w:type="pct"/>
            <w:vAlign w:val="center"/>
            <w:hideMark/>
          </w:tcPr>
          <w:p w14:paraId="42E37771" w14:textId="77777777" w:rsidR="00055CF2" w:rsidRPr="00BA4F8E" w:rsidRDefault="00055CF2" w:rsidP="00A416BC">
            <w:pPr>
              <w:jc w:val="center"/>
              <w:rPr>
                <w:rFonts w:cs="Arial"/>
              </w:rPr>
            </w:pPr>
            <w:r w:rsidRPr="00BA4F8E">
              <w:rPr>
                <w:rFonts w:cs="Arial"/>
              </w:rPr>
              <w:t>19.54</w:t>
            </w:r>
          </w:p>
        </w:tc>
        <w:tc>
          <w:tcPr>
            <w:tcW w:w="432" w:type="pct"/>
            <w:vAlign w:val="center"/>
            <w:hideMark/>
          </w:tcPr>
          <w:p w14:paraId="2B6A034B" w14:textId="77777777" w:rsidR="00055CF2" w:rsidRPr="00BA4F8E" w:rsidRDefault="00055CF2" w:rsidP="00A416BC">
            <w:pPr>
              <w:jc w:val="center"/>
              <w:rPr>
                <w:rFonts w:cs="Arial"/>
              </w:rPr>
            </w:pPr>
            <w:r w:rsidRPr="00BA4F8E">
              <w:rPr>
                <w:rFonts w:cs="Arial"/>
              </w:rPr>
              <w:t>20.26</w:t>
            </w:r>
          </w:p>
        </w:tc>
        <w:tc>
          <w:tcPr>
            <w:tcW w:w="472" w:type="pct"/>
            <w:vAlign w:val="center"/>
            <w:hideMark/>
          </w:tcPr>
          <w:p w14:paraId="1D0D1489" w14:textId="77777777" w:rsidR="00055CF2" w:rsidRPr="00BA4F8E" w:rsidRDefault="00055CF2" w:rsidP="00A416BC">
            <w:pPr>
              <w:jc w:val="center"/>
              <w:rPr>
                <w:rFonts w:cs="Arial"/>
              </w:rPr>
            </w:pPr>
            <w:r w:rsidRPr="00BA4F8E">
              <w:rPr>
                <w:rFonts w:cs="Arial"/>
              </w:rPr>
              <w:t>21.97</w:t>
            </w:r>
          </w:p>
        </w:tc>
        <w:tc>
          <w:tcPr>
            <w:tcW w:w="561" w:type="pct"/>
            <w:vAlign w:val="center"/>
            <w:hideMark/>
          </w:tcPr>
          <w:p w14:paraId="19D99FC4" w14:textId="77777777" w:rsidR="00055CF2" w:rsidRPr="00BA4F8E" w:rsidRDefault="00055CF2" w:rsidP="00A416BC">
            <w:pPr>
              <w:jc w:val="center"/>
              <w:rPr>
                <w:rFonts w:cs="Arial"/>
              </w:rPr>
            </w:pPr>
            <w:r w:rsidRPr="00BA4F8E">
              <w:rPr>
                <w:rFonts w:cs="Arial"/>
              </w:rPr>
              <w:t>0.91</w:t>
            </w:r>
          </w:p>
        </w:tc>
        <w:tc>
          <w:tcPr>
            <w:tcW w:w="508" w:type="pct"/>
            <w:vAlign w:val="center"/>
            <w:hideMark/>
          </w:tcPr>
          <w:p w14:paraId="4CD2ED6E" w14:textId="77777777" w:rsidR="00055CF2" w:rsidRPr="00BA4F8E" w:rsidRDefault="00055CF2" w:rsidP="00A416BC">
            <w:pPr>
              <w:jc w:val="center"/>
              <w:rPr>
                <w:rFonts w:cs="Arial"/>
                <w:b/>
              </w:rPr>
            </w:pPr>
            <w:r w:rsidRPr="00BA4F8E">
              <w:rPr>
                <w:rFonts w:cs="Arial"/>
                <w:b/>
              </w:rPr>
              <w:t>0.92</w:t>
            </w:r>
          </w:p>
        </w:tc>
      </w:tr>
      <w:tr w:rsidR="00055CF2" w:rsidRPr="00BA4F8E" w14:paraId="4BD65026" w14:textId="77777777" w:rsidTr="00A416BC">
        <w:trPr>
          <w:trHeight w:val="214"/>
        </w:trPr>
        <w:tc>
          <w:tcPr>
            <w:tcW w:w="420" w:type="pct"/>
            <w:hideMark/>
          </w:tcPr>
          <w:p w14:paraId="2F22E7D5" w14:textId="77777777" w:rsidR="00055CF2" w:rsidRPr="00BA4F8E" w:rsidRDefault="00055CF2" w:rsidP="00961E93">
            <w:pPr>
              <w:jc w:val="right"/>
              <w:rPr>
                <w:rFonts w:cs="Arial"/>
              </w:rPr>
            </w:pPr>
            <w:r w:rsidRPr="00BA4F8E">
              <w:rPr>
                <w:rFonts w:cs="Arial"/>
              </w:rPr>
              <w:lastRenderedPageBreak/>
              <w:t>3.VIII</w:t>
            </w:r>
          </w:p>
        </w:tc>
        <w:tc>
          <w:tcPr>
            <w:tcW w:w="1619" w:type="pct"/>
            <w:hideMark/>
          </w:tcPr>
          <w:p w14:paraId="6924A846" w14:textId="77777777" w:rsidR="00055CF2" w:rsidRPr="00BA4F8E" w:rsidRDefault="00055CF2" w:rsidP="00961E93">
            <w:pPr>
              <w:rPr>
                <w:rFonts w:cs="Arial"/>
              </w:rPr>
            </w:pPr>
            <w:r w:rsidRPr="00BA4F8E">
              <w:rPr>
                <w:rFonts w:cs="Arial"/>
              </w:rPr>
              <w:t xml:space="preserve">   Osobní, kulturní a rekreační služby</w:t>
            </w:r>
          </w:p>
        </w:tc>
        <w:tc>
          <w:tcPr>
            <w:tcW w:w="494" w:type="pct"/>
            <w:vAlign w:val="center"/>
            <w:hideMark/>
          </w:tcPr>
          <w:p w14:paraId="3E5873B9" w14:textId="77777777" w:rsidR="00055CF2" w:rsidRPr="00BA4F8E" w:rsidRDefault="00055CF2" w:rsidP="00A416BC">
            <w:pPr>
              <w:jc w:val="center"/>
              <w:rPr>
                <w:rFonts w:cs="Arial"/>
              </w:rPr>
            </w:pPr>
            <w:r w:rsidRPr="00BA4F8E">
              <w:rPr>
                <w:rFonts w:cs="Arial"/>
              </w:rPr>
              <w:t>0.84</w:t>
            </w:r>
          </w:p>
        </w:tc>
        <w:tc>
          <w:tcPr>
            <w:tcW w:w="494" w:type="pct"/>
            <w:vAlign w:val="center"/>
            <w:hideMark/>
          </w:tcPr>
          <w:p w14:paraId="625C686E" w14:textId="77777777" w:rsidR="00055CF2" w:rsidRPr="00BA4F8E" w:rsidRDefault="00055CF2" w:rsidP="00A416BC">
            <w:pPr>
              <w:jc w:val="center"/>
              <w:rPr>
                <w:rFonts w:cs="Arial"/>
              </w:rPr>
            </w:pPr>
            <w:r w:rsidRPr="00BA4F8E">
              <w:rPr>
                <w:rFonts w:cs="Arial"/>
              </w:rPr>
              <w:t>0.93</w:t>
            </w:r>
          </w:p>
        </w:tc>
        <w:tc>
          <w:tcPr>
            <w:tcW w:w="432" w:type="pct"/>
            <w:vAlign w:val="center"/>
            <w:hideMark/>
          </w:tcPr>
          <w:p w14:paraId="0E1F3734" w14:textId="77777777" w:rsidR="00055CF2" w:rsidRPr="00BA4F8E" w:rsidRDefault="00055CF2" w:rsidP="00A416BC">
            <w:pPr>
              <w:jc w:val="center"/>
              <w:rPr>
                <w:rFonts w:cs="Arial"/>
              </w:rPr>
            </w:pPr>
            <w:r w:rsidRPr="00BA4F8E">
              <w:rPr>
                <w:rFonts w:cs="Arial"/>
              </w:rPr>
              <w:t>0.72</w:t>
            </w:r>
          </w:p>
        </w:tc>
        <w:tc>
          <w:tcPr>
            <w:tcW w:w="472" w:type="pct"/>
            <w:vAlign w:val="center"/>
            <w:hideMark/>
          </w:tcPr>
          <w:p w14:paraId="5E95874D" w14:textId="77777777" w:rsidR="00055CF2" w:rsidRPr="00BA4F8E" w:rsidRDefault="00055CF2" w:rsidP="00A416BC">
            <w:pPr>
              <w:jc w:val="center"/>
              <w:rPr>
                <w:rFonts w:cs="Arial"/>
              </w:rPr>
            </w:pPr>
            <w:r w:rsidRPr="00BA4F8E">
              <w:rPr>
                <w:rFonts w:cs="Arial"/>
              </w:rPr>
              <w:t>0.94</w:t>
            </w:r>
          </w:p>
        </w:tc>
        <w:tc>
          <w:tcPr>
            <w:tcW w:w="561" w:type="pct"/>
            <w:vAlign w:val="center"/>
            <w:hideMark/>
          </w:tcPr>
          <w:p w14:paraId="297484C4" w14:textId="77777777" w:rsidR="00055CF2" w:rsidRPr="00BA4F8E" w:rsidRDefault="00055CF2" w:rsidP="00A416BC">
            <w:pPr>
              <w:jc w:val="center"/>
              <w:rPr>
                <w:rFonts w:cs="Arial"/>
              </w:rPr>
            </w:pPr>
            <w:r w:rsidRPr="00BA4F8E">
              <w:rPr>
                <w:rFonts w:cs="Arial"/>
              </w:rPr>
              <w:t>0.90</w:t>
            </w:r>
          </w:p>
        </w:tc>
        <w:tc>
          <w:tcPr>
            <w:tcW w:w="508" w:type="pct"/>
            <w:vAlign w:val="center"/>
            <w:hideMark/>
          </w:tcPr>
          <w:p w14:paraId="76162D57" w14:textId="77777777" w:rsidR="00055CF2" w:rsidRPr="00BA4F8E" w:rsidRDefault="00055CF2" w:rsidP="00A416BC">
            <w:pPr>
              <w:jc w:val="center"/>
              <w:rPr>
                <w:rFonts w:cs="Arial"/>
                <w:bCs/>
              </w:rPr>
            </w:pPr>
            <w:r w:rsidRPr="00BA4F8E">
              <w:rPr>
                <w:rFonts w:cs="Arial"/>
                <w:bCs/>
              </w:rPr>
              <w:t>0.77</w:t>
            </w:r>
          </w:p>
        </w:tc>
      </w:tr>
      <w:tr w:rsidR="00055CF2" w:rsidRPr="00BA4F8E" w14:paraId="37B8C526" w14:textId="77777777" w:rsidTr="00A416BC">
        <w:trPr>
          <w:trHeight w:val="214"/>
        </w:trPr>
        <w:tc>
          <w:tcPr>
            <w:tcW w:w="420" w:type="pct"/>
            <w:hideMark/>
          </w:tcPr>
          <w:p w14:paraId="77CDB138" w14:textId="77777777" w:rsidR="00055CF2" w:rsidRPr="00BA4F8E" w:rsidRDefault="00055CF2" w:rsidP="00961E93">
            <w:pPr>
              <w:jc w:val="right"/>
              <w:rPr>
                <w:rFonts w:cs="Arial"/>
              </w:rPr>
            </w:pPr>
            <w:r w:rsidRPr="00BA4F8E">
              <w:rPr>
                <w:rFonts w:cs="Arial"/>
              </w:rPr>
              <w:t>3.IX</w:t>
            </w:r>
          </w:p>
        </w:tc>
        <w:tc>
          <w:tcPr>
            <w:tcW w:w="1619" w:type="pct"/>
            <w:hideMark/>
          </w:tcPr>
          <w:p w14:paraId="2914B55E" w14:textId="77777777" w:rsidR="00055CF2" w:rsidRPr="00BA4F8E" w:rsidRDefault="00055CF2" w:rsidP="00961E93">
            <w:pPr>
              <w:rPr>
                <w:rFonts w:cs="Arial"/>
              </w:rPr>
            </w:pPr>
            <w:r w:rsidRPr="00BA4F8E">
              <w:rPr>
                <w:rFonts w:cs="Arial"/>
              </w:rPr>
              <w:t xml:space="preserve">   Veřejné služby jinde neklasifikované</w:t>
            </w:r>
          </w:p>
        </w:tc>
        <w:tc>
          <w:tcPr>
            <w:tcW w:w="494" w:type="pct"/>
            <w:vAlign w:val="center"/>
            <w:hideMark/>
          </w:tcPr>
          <w:p w14:paraId="1A7EB317" w14:textId="77777777" w:rsidR="00055CF2" w:rsidRPr="00BA4F8E" w:rsidRDefault="00055CF2" w:rsidP="00A416BC">
            <w:pPr>
              <w:jc w:val="center"/>
              <w:rPr>
                <w:rFonts w:cs="Arial"/>
              </w:rPr>
            </w:pPr>
            <w:r w:rsidRPr="00BA4F8E">
              <w:rPr>
                <w:rFonts w:cs="Arial"/>
              </w:rPr>
              <w:t>0.22</w:t>
            </w:r>
          </w:p>
        </w:tc>
        <w:tc>
          <w:tcPr>
            <w:tcW w:w="494" w:type="pct"/>
            <w:vAlign w:val="center"/>
            <w:hideMark/>
          </w:tcPr>
          <w:p w14:paraId="09A927F7" w14:textId="77777777" w:rsidR="00055CF2" w:rsidRPr="00BA4F8E" w:rsidRDefault="00055CF2" w:rsidP="00A416BC">
            <w:pPr>
              <w:jc w:val="center"/>
              <w:rPr>
                <w:rFonts w:cs="Arial"/>
              </w:rPr>
            </w:pPr>
            <w:r w:rsidRPr="00BA4F8E">
              <w:rPr>
                <w:rFonts w:cs="Arial"/>
              </w:rPr>
              <w:t>2.05</w:t>
            </w:r>
          </w:p>
        </w:tc>
        <w:tc>
          <w:tcPr>
            <w:tcW w:w="432" w:type="pct"/>
            <w:vAlign w:val="center"/>
            <w:hideMark/>
          </w:tcPr>
          <w:p w14:paraId="396EE175" w14:textId="77777777" w:rsidR="00055CF2" w:rsidRPr="00BA4F8E" w:rsidRDefault="00055CF2" w:rsidP="00A416BC">
            <w:pPr>
              <w:jc w:val="center"/>
              <w:rPr>
                <w:rFonts w:cs="Arial"/>
              </w:rPr>
            </w:pPr>
            <w:r w:rsidRPr="00BA4F8E">
              <w:rPr>
                <w:rFonts w:cs="Arial"/>
              </w:rPr>
              <w:t>0.09</w:t>
            </w:r>
          </w:p>
        </w:tc>
        <w:tc>
          <w:tcPr>
            <w:tcW w:w="472" w:type="pct"/>
            <w:vAlign w:val="center"/>
            <w:hideMark/>
          </w:tcPr>
          <w:p w14:paraId="6DCC1E37" w14:textId="77777777" w:rsidR="00055CF2" w:rsidRPr="00BA4F8E" w:rsidRDefault="00055CF2" w:rsidP="00A416BC">
            <w:pPr>
              <w:jc w:val="center"/>
              <w:rPr>
                <w:rFonts w:cs="Arial"/>
              </w:rPr>
            </w:pPr>
            <w:r w:rsidRPr="00BA4F8E">
              <w:rPr>
                <w:rFonts w:cs="Arial"/>
              </w:rPr>
              <w:t>1.47</w:t>
            </w:r>
          </w:p>
        </w:tc>
        <w:tc>
          <w:tcPr>
            <w:tcW w:w="561" w:type="pct"/>
            <w:vAlign w:val="center"/>
            <w:hideMark/>
          </w:tcPr>
          <w:p w14:paraId="4AB02695" w14:textId="77777777" w:rsidR="00055CF2" w:rsidRPr="00BA4F8E" w:rsidRDefault="00055CF2" w:rsidP="00A416BC">
            <w:pPr>
              <w:jc w:val="center"/>
              <w:rPr>
                <w:rFonts w:cs="Arial"/>
              </w:rPr>
            </w:pPr>
            <w:r w:rsidRPr="00BA4F8E">
              <w:rPr>
                <w:rFonts w:cs="Arial"/>
              </w:rPr>
              <w:t>0.11</w:t>
            </w:r>
          </w:p>
        </w:tc>
        <w:tc>
          <w:tcPr>
            <w:tcW w:w="508" w:type="pct"/>
            <w:vAlign w:val="center"/>
            <w:hideMark/>
          </w:tcPr>
          <w:p w14:paraId="62C4ECAE" w14:textId="77777777" w:rsidR="00055CF2" w:rsidRPr="00BA4F8E" w:rsidRDefault="00055CF2" w:rsidP="00A416BC">
            <w:pPr>
              <w:jc w:val="center"/>
              <w:rPr>
                <w:rFonts w:cs="Arial"/>
              </w:rPr>
            </w:pPr>
            <w:r w:rsidRPr="00BA4F8E">
              <w:rPr>
                <w:rFonts w:cs="Arial"/>
              </w:rPr>
              <w:t>0.06</w:t>
            </w:r>
          </w:p>
        </w:tc>
      </w:tr>
      <w:tr w:rsidR="00055CF2" w:rsidRPr="00BA4F8E" w14:paraId="117E1D3F" w14:textId="14E4BEF4" w:rsidTr="00A416BC">
        <w:trPr>
          <w:trHeight w:val="302"/>
        </w:trPr>
        <w:tc>
          <w:tcPr>
            <w:tcW w:w="420" w:type="pct"/>
            <w:hideMark/>
          </w:tcPr>
          <w:p w14:paraId="467018E6" w14:textId="77777777" w:rsidR="00055CF2" w:rsidRPr="00BA4F8E" w:rsidRDefault="00055CF2" w:rsidP="00961E93">
            <w:pPr>
              <w:jc w:val="right"/>
              <w:rPr>
                <w:rFonts w:cs="Arial"/>
              </w:rPr>
            </w:pPr>
            <w:r w:rsidRPr="00BA4F8E">
              <w:rPr>
                <w:rFonts w:cs="Arial"/>
              </w:rPr>
              <w:t>5</w:t>
            </w:r>
          </w:p>
        </w:tc>
        <w:tc>
          <w:tcPr>
            <w:tcW w:w="1619" w:type="pct"/>
            <w:hideMark/>
          </w:tcPr>
          <w:p w14:paraId="5577FE14" w14:textId="77777777" w:rsidR="00055CF2" w:rsidRPr="00BA4F8E" w:rsidRDefault="00055CF2" w:rsidP="00961E93">
            <w:pPr>
              <w:rPr>
                <w:rFonts w:cs="Arial"/>
              </w:rPr>
            </w:pPr>
            <w:r w:rsidRPr="00BA4F8E">
              <w:rPr>
                <w:rFonts w:cs="Arial"/>
              </w:rPr>
              <w:t xml:space="preserve"> Úhrn tržních služeb</w:t>
            </w:r>
          </w:p>
        </w:tc>
        <w:tc>
          <w:tcPr>
            <w:tcW w:w="494" w:type="pct"/>
            <w:vAlign w:val="center"/>
            <w:hideMark/>
          </w:tcPr>
          <w:p w14:paraId="775B2CE3" w14:textId="77777777" w:rsidR="00055CF2" w:rsidRPr="00BA4F8E" w:rsidRDefault="00055CF2" w:rsidP="00A416BC">
            <w:pPr>
              <w:jc w:val="center"/>
              <w:rPr>
                <w:rFonts w:cs="Arial"/>
              </w:rPr>
            </w:pPr>
            <w:r w:rsidRPr="00BA4F8E">
              <w:rPr>
                <w:rFonts w:cs="Arial"/>
              </w:rPr>
              <w:t>91.52</w:t>
            </w:r>
          </w:p>
        </w:tc>
        <w:tc>
          <w:tcPr>
            <w:tcW w:w="494" w:type="pct"/>
            <w:vAlign w:val="center"/>
            <w:hideMark/>
          </w:tcPr>
          <w:p w14:paraId="7FD608AE" w14:textId="77777777" w:rsidR="00055CF2" w:rsidRPr="00BA4F8E" w:rsidRDefault="00055CF2" w:rsidP="00A416BC">
            <w:pPr>
              <w:jc w:val="center"/>
              <w:rPr>
                <w:rFonts w:cs="Arial"/>
              </w:rPr>
            </w:pPr>
            <w:r w:rsidRPr="00BA4F8E">
              <w:rPr>
                <w:rFonts w:cs="Arial"/>
              </w:rPr>
              <w:t>96.61</w:t>
            </w:r>
          </w:p>
        </w:tc>
        <w:tc>
          <w:tcPr>
            <w:tcW w:w="432" w:type="pct"/>
            <w:vAlign w:val="center"/>
            <w:hideMark/>
          </w:tcPr>
          <w:p w14:paraId="5118041B" w14:textId="77777777" w:rsidR="00055CF2" w:rsidRPr="00BA4F8E" w:rsidRDefault="00055CF2" w:rsidP="00A416BC">
            <w:pPr>
              <w:jc w:val="center"/>
              <w:rPr>
                <w:rFonts w:cs="Arial"/>
              </w:rPr>
            </w:pPr>
            <w:r w:rsidRPr="00BA4F8E">
              <w:rPr>
                <w:rFonts w:cs="Arial"/>
              </w:rPr>
              <w:t>90.04</w:t>
            </w:r>
          </w:p>
        </w:tc>
        <w:tc>
          <w:tcPr>
            <w:tcW w:w="472" w:type="pct"/>
            <w:vAlign w:val="center"/>
            <w:hideMark/>
          </w:tcPr>
          <w:p w14:paraId="21625441" w14:textId="77777777" w:rsidR="00055CF2" w:rsidRPr="00BA4F8E" w:rsidRDefault="00055CF2" w:rsidP="00A416BC">
            <w:pPr>
              <w:jc w:val="center"/>
              <w:rPr>
                <w:rFonts w:cs="Arial"/>
              </w:rPr>
            </w:pPr>
            <w:r w:rsidRPr="00BA4F8E">
              <w:rPr>
                <w:rFonts w:cs="Arial"/>
              </w:rPr>
              <w:t>96.67</w:t>
            </w:r>
          </w:p>
        </w:tc>
        <w:tc>
          <w:tcPr>
            <w:tcW w:w="561" w:type="pct"/>
            <w:vAlign w:val="center"/>
            <w:hideMark/>
          </w:tcPr>
          <w:p w14:paraId="54471049" w14:textId="77777777" w:rsidR="00055CF2" w:rsidRPr="00BA4F8E" w:rsidRDefault="00055CF2" w:rsidP="00A416BC">
            <w:pPr>
              <w:jc w:val="center"/>
              <w:rPr>
                <w:rFonts w:cs="Arial"/>
              </w:rPr>
            </w:pPr>
            <w:r w:rsidRPr="00BA4F8E">
              <w:rPr>
                <w:rFonts w:cs="Arial"/>
              </w:rPr>
              <w:t>0.95</w:t>
            </w:r>
          </w:p>
        </w:tc>
        <w:tc>
          <w:tcPr>
            <w:tcW w:w="508" w:type="pct"/>
            <w:vAlign w:val="center"/>
            <w:hideMark/>
          </w:tcPr>
          <w:p w14:paraId="4548B615" w14:textId="77777777" w:rsidR="00055CF2" w:rsidRPr="00BA4F8E" w:rsidRDefault="00055CF2" w:rsidP="00A416BC">
            <w:pPr>
              <w:jc w:val="center"/>
              <w:rPr>
                <w:rFonts w:cs="Arial"/>
              </w:rPr>
            </w:pPr>
            <w:r w:rsidRPr="00BA4F8E">
              <w:rPr>
                <w:rFonts w:cs="Arial"/>
              </w:rPr>
              <w:t>0.93</w:t>
            </w:r>
          </w:p>
        </w:tc>
      </w:tr>
    </w:tbl>
    <w:bookmarkEnd w:id="76"/>
    <w:p w14:paraId="37E4C9BE" w14:textId="77777777" w:rsidR="003154D9" w:rsidRPr="0073713D" w:rsidRDefault="003154D9" w:rsidP="0073713D">
      <w:pPr>
        <w:spacing w:after="0"/>
        <w:rPr>
          <w:rFonts w:cs="Arial"/>
          <w:i/>
          <w:sz w:val="18"/>
          <w:szCs w:val="18"/>
        </w:rPr>
      </w:pPr>
      <w:r w:rsidRPr="0073713D">
        <w:rPr>
          <w:rFonts w:cs="Arial"/>
          <w:i/>
          <w:sz w:val="18"/>
          <w:szCs w:val="18"/>
        </w:rPr>
        <w:t>Zdroj: vlastní výpočet na základě dat UNCTAD.</w:t>
      </w:r>
    </w:p>
    <w:p w14:paraId="5F1C5C22" w14:textId="77777777" w:rsidR="003154D9" w:rsidRPr="0073713D" w:rsidRDefault="003154D9" w:rsidP="0073713D">
      <w:pPr>
        <w:spacing w:after="0"/>
        <w:rPr>
          <w:rFonts w:cs="Arial"/>
          <w:i/>
          <w:sz w:val="18"/>
          <w:szCs w:val="18"/>
        </w:rPr>
      </w:pPr>
      <w:r w:rsidRPr="0073713D">
        <w:rPr>
          <w:rFonts w:cs="Arial"/>
          <w:i/>
          <w:sz w:val="18"/>
          <w:szCs w:val="18"/>
        </w:rPr>
        <w:t>Pozn.: Tučně zvýrazněny kategorie, u nichž ve sledovaném období došlo ke zvýšení BI.</w:t>
      </w:r>
    </w:p>
    <w:p w14:paraId="0A3057C4" w14:textId="77777777" w:rsidR="00055CF2" w:rsidRPr="00BA4F8E" w:rsidRDefault="00055CF2" w:rsidP="003154D9">
      <w:pPr>
        <w:spacing w:line="360" w:lineRule="auto"/>
        <w:rPr>
          <w:lang w:eastAsia="cs-CZ"/>
        </w:rPr>
      </w:pPr>
    </w:p>
    <w:p w14:paraId="17DE28DA" w14:textId="77777777" w:rsidR="003154D9" w:rsidRPr="00BA4F8E" w:rsidRDefault="003154D9" w:rsidP="000216FA">
      <w:pPr>
        <w:spacing w:after="0" w:line="360" w:lineRule="auto"/>
        <w:ind w:firstLine="708"/>
        <w:jc w:val="both"/>
        <w:rPr>
          <w:rFonts w:cs="Arial"/>
        </w:rPr>
      </w:pPr>
      <w:r w:rsidRPr="00BA4F8E">
        <w:rPr>
          <w:rFonts w:cs="Arial"/>
        </w:rPr>
        <w:t>ČR má komparativní výhodu ve službách spojených s dopravou a cestovním ruchem, což odpovídá geografické poloze ČR ve středu Evropy. Důležitou rostoucí součástí této položky z pohledu RIS3 je logistika.</w:t>
      </w:r>
      <w:r w:rsidRPr="00BA4F8E">
        <w:rPr>
          <w:rStyle w:val="Znakapoznpodarou"/>
          <w:rFonts w:cs="Arial"/>
        </w:rPr>
        <w:footnoteReference w:id="55"/>
      </w:r>
      <w:r w:rsidRPr="00BA4F8E">
        <w:rPr>
          <w:rFonts w:cs="Arial"/>
        </w:rPr>
        <w:t xml:space="preserve"> Jde o obor, jehož rozvoj je z velké části hnaný rozvojem v průmyslových oborech. Na druhou stranu podmínky pro rozvoj logistiky a souvisejících služeb představují významnou součást celkových podmínek pro rozvoj zpracovatelského průmyslu a služeb spojených s péčí o zákazníky.</w:t>
      </w:r>
      <w:r w:rsidRPr="00BA4F8E">
        <w:rPr>
          <w:rStyle w:val="Znakapoznpodarou"/>
          <w:rFonts w:cs="Arial"/>
        </w:rPr>
        <w:footnoteReference w:id="56"/>
      </w:r>
      <w:r w:rsidRPr="00BA4F8E">
        <w:rPr>
          <w:rFonts w:cs="Arial"/>
        </w:rPr>
        <w:t xml:space="preserve"> Dopravu a zvláště logistiku proto můžeme vnímat jako specifickou součást specializace ČR, která je postavena zejména na výše uvedených průmyslových odvětvích. </w:t>
      </w:r>
    </w:p>
    <w:p w14:paraId="40D1F50F" w14:textId="77777777" w:rsidR="003154D9" w:rsidRPr="00BA4F8E" w:rsidRDefault="003154D9" w:rsidP="000216FA">
      <w:pPr>
        <w:spacing w:after="0" w:line="360" w:lineRule="auto"/>
        <w:ind w:firstLine="708"/>
        <w:jc w:val="both"/>
        <w:rPr>
          <w:rFonts w:cs="Arial"/>
        </w:rPr>
      </w:pPr>
      <w:r w:rsidRPr="00BA4F8E">
        <w:rPr>
          <w:rFonts w:cs="Arial"/>
        </w:rPr>
        <w:t xml:space="preserve">Doprava a cestovní ruch generují skoro 43 % celkového exportu služeb. Specifickou oblast z hlediska RIS3 představuje cestovní ruch, který je částečně obsažen v položce 2 cestovní ruch (travel). Cestovní ruch bude spíše specializací na regionální než na národní úrovni.  </w:t>
      </w:r>
    </w:p>
    <w:p w14:paraId="51B30D53" w14:textId="4B100A5F" w:rsidR="003154D9" w:rsidRPr="00BA4F8E" w:rsidRDefault="003154D9" w:rsidP="000216FA">
      <w:pPr>
        <w:spacing w:after="0" w:line="360" w:lineRule="auto"/>
        <w:ind w:firstLine="708"/>
        <w:jc w:val="both"/>
        <w:rPr>
          <w:rFonts w:cs="Arial"/>
        </w:rPr>
      </w:pPr>
      <w:r w:rsidRPr="00BA4F8E">
        <w:rPr>
          <w:rFonts w:cs="Arial"/>
        </w:rPr>
        <w:t xml:space="preserve">Podle změn hodnot BI lze říci, že výrazný nárůst specializace exportu zaznamenaly tři kategorie: Doprava, Stavebnictví a Pojišťovnictví. Další kategorií, která zaznamenala relativně vysoký nárůst BI je kategorie Práva k duševnímu vlastnictví a licenční poplatky. </w:t>
      </w:r>
    </w:p>
    <w:p w14:paraId="5D1310ED" w14:textId="1710EE60" w:rsidR="003154D9" w:rsidRPr="00BA4F8E" w:rsidRDefault="003154D9" w:rsidP="000216FA">
      <w:pPr>
        <w:spacing w:after="0" w:line="360" w:lineRule="auto"/>
        <w:ind w:firstLine="708"/>
        <w:jc w:val="both"/>
        <w:rPr>
          <w:rFonts w:cs="Arial"/>
        </w:rPr>
      </w:pPr>
      <w:r w:rsidRPr="00BA4F8E">
        <w:rPr>
          <w:rFonts w:cs="Arial"/>
        </w:rPr>
        <w:t xml:space="preserve">Nárůst BI byl zaznamenán i u služeb v oblasti IT. U této kategorie služeb došlo v posledním desetiletí k růstu podílu na celkovém exportu služeb. Za tímto vývojem stojí jak rozvoj aktivit globálních center zákaznických služeb, tak dynamický rozvoj podnikání v oblasti vývoje SW a souvisejících služeb. S ohledem na povahu IT služeb, které v sobě zahrnují také řadu podpůrných služeb nezbytných pro </w:t>
      </w:r>
      <w:r w:rsidRPr="00BA4F8E">
        <w:rPr>
          <w:rFonts w:cs="Arial"/>
        </w:rPr>
        <w:lastRenderedPageBreak/>
        <w:t xml:space="preserve">realizaci exportu průmyslového zboží, je možné odvětví IT služeb a služeb digitální ekonomiky (včetně vývoje softwaru) považovat za jedno z klíčových odvětví české ekonomiky. Další nárůst exportu znalostně intenzivních služeb, včetně IT služeb, lze považovat za nezbytný předpoklad dalšího zvyšování hodnoty exportu ČR a zlepšování pozice českých firem v globálních hodnotových řetězcích. Vedle IT služeb je pak nutné přiřadit mezi významná odvětví služeb s vysokou exportní orientací také kulturní a kreativní </w:t>
      </w:r>
      <w:r w:rsidR="00864748">
        <w:rPr>
          <w:rFonts w:cs="Arial"/>
        </w:rPr>
        <w:t>odvětví</w:t>
      </w:r>
      <w:r w:rsidRPr="00BA4F8E">
        <w:rPr>
          <w:rStyle w:val="Znakapoznpodarou"/>
          <w:rFonts w:cs="Arial"/>
        </w:rPr>
        <w:footnoteReference w:id="57"/>
      </w:r>
    </w:p>
    <w:p w14:paraId="43A25BF8" w14:textId="4018C63A" w:rsidR="003154D9" w:rsidRDefault="003154D9" w:rsidP="003154D9">
      <w:pPr>
        <w:spacing w:line="360" w:lineRule="auto"/>
        <w:ind w:firstLine="708"/>
        <w:jc w:val="both"/>
        <w:rPr>
          <w:rFonts w:cs="Arial"/>
        </w:rPr>
      </w:pPr>
      <w:r w:rsidRPr="00BA4F8E">
        <w:rPr>
          <w:rFonts w:cs="Arial"/>
        </w:rPr>
        <w:t xml:space="preserve">Vedle exportní významnosti byla v dalším kroku posouzena významnost oborů dle podnikových výdajů na výzkum a vývoj (VaV). </w:t>
      </w:r>
    </w:p>
    <w:p w14:paraId="505D3FD1" w14:textId="77777777" w:rsidR="008B3307" w:rsidRPr="00BA4F8E" w:rsidRDefault="008B3307" w:rsidP="003154D9">
      <w:pPr>
        <w:spacing w:line="360" w:lineRule="auto"/>
        <w:ind w:firstLine="708"/>
        <w:jc w:val="both"/>
        <w:rPr>
          <w:rFonts w:cs="Arial"/>
        </w:rPr>
      </w:pPr>
    </w:p>
    <w:p w14:paraId="6FA15794" w14:textId="72941A76" w:rsidR="00E17E92" w:rsidRDefault="00E17E92" w:rsidP="00580DE3">
      <w:pPr>
        <w:pStyle w:val="Titulek"/>
      </w:pPr>
      <w:bookmarkStart w:id="77" w:name="_Toc525716317"/>
      <w:r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15</w:t>
      </w:r>
      <w:r w:rsidR="00EE7C52">
        <w:rPr>
          <w:noProof/>
        </w:rPr>
        <w:fldChar w:fldCharType="end"/>
      </w:r>
      <w:r w:rsidRPr="00BA4F8E">
        <w:t xml:space="preserve"> - Výdaje na VaV v podnikatelském sektoru podle odvětví ekonomické činnosti CZ</w:t>
      </w:r>
      <w:r w:rsidR="00246127">
        <w:t xml:space="preserve"> </w:t>
      </w:r>
      <w:r w:rsidRPr="00BA4F8E">
        <w:t>NACE (2014, 2016; mld. Kč)</w:t>
      </w:r>
      <w:bookmarkEnd w:id="77"/>
    </w:p>
    <w:p w14:paraId="55F51D3D" w14:textId="426C5EBD" w:rsidR="000570B9" w:rsidRPr="00BA4F8E" w:rsidRDefault="00E17E92" w:rsidP="000570B9">
      <w:pPr>
        <w:spacing w:before="240" w:line="360" w:lineRule="auto"/>
        <w:ind w:firstLine="708"/>
        <w:jc w:val="both"/>
        <w:rPr>
          <w:rFonts w:cs="Arial"/>
        </w:rPr>
      </w:pPr>
      <w:r w:rsidRPr="00BA4F8E">
        <w:rPr>
          <w:noProof/>
          <w:lang w:eastAsia="cs-CZ"/>
        </w:rPr>
        <w:drawing>
          <wp:anchor distT="0" distB="0" distL="114300" distR="114300" simplePos="0" relativeHeight="251687936" behindDoc="0" locked="0" layoutInCell="1" allowOverlap="1" wp14:anchorId="527B3EDE" wp14:editId="5D27BA71">
            <wp:simplePos x="0" y="0"/>
            <wp:positionH relativeFrom="column">
              <wp:posOffset>0</wp:posOffset>
            </wp:positionH>
            <wp:positionV relativeFrom="paragraph">
              <wp:posOffset>-635</wp:posOffset>
            </wp:positionV>
            <wp:extent cx="6120130" cy="4549775"/>
            <wp:effectExtent l="0" t="0" r="13970" b="3175"/>
            <wp:wrapNone/>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14:sizeRelV relativeFrom="margin">
              <wp14:pctHeight>0</wp14:pctHeight>
            </wp14:sizeRelV>
          </wp:anchor>
        </w:drawing>
      </w:r>
    </w:p>
    <w:p w14:paraId="32B93841" w14:textId="77777777" w:rsidR="000570B9" w:rsidRPr="00BA4F8E" w:rsidRDefault="000570B9" w:rsidP="000570B9"/>
    <w:p w14:paraId="7E9C93E7" w14:textId="77777777" w:rsidR="00055CF2" w:rsidRPr="00BA4F8E" w:rsidRDefault="00055CF2" w:rsidP="000570B9"/>
    <w:p w14:paraId="57E2EFB1" w14:textId="77777777" w:rsidR="00055CF2" w:rsidRPr="00BA4F8E" w:rsidRDefault="00055CF2" w:rsidP="000570B9"/>
    <w:p w14:paraId="38122CFF" w14:textId="77777777" w:rsidR="00055CF2" w:rsidRPr="00BA4F8E" w:rsidRDefault="00055CF2" w:rsidP="000570B9"/>
    <w:p w14:paraId="2C55085B" w14:textId="77777777" w:rsidR="00055CF2" w:rsidRPr="00BA4F8E" w:rsidRDefault="00055CF2" w:rsidP="000570B9"/>
    <w:p w14:paraId="552E5D1B" w14:textId="77777777" w:rsidR="00055CF2" w:rsidRPr="00BA4F8E" w:rsidRDefault="00055CF2" w:rsidP="000570B9"/>
    <w:p w14:paraId="6EB6AAAD" w14:textId="77777777" w:rsidR="00055CF2" w:rsidRPr="00BA4F8E" w:rsidRDefault="00055CF2" w:rsidP="000570B9"/>
    <w:p w14:paraId="70BE8ED4" w14:textId="77777777" w:rsidR="00055CF2" w:rsidRPr="00BA4F8E" w:rsidRDefault="00055CF2" w:rsidP="000570B9"/>
    <w:p w14:paraId="597A4F14" w14:textId="77777777" w:rsidR="00055CF2" w:rsidRPr="00BA4F8E" w:rsidRDefault="00055CF2" w:rsidP="000570B9"/>
    <w:p w14:paraId="44389A0B" w14:textId="77777777" w:rsidR="00055CF2" w:rsidRPr="00BA4F8E" w:rsidRDefault="00055CF2" w:rsidP="000570B9"/>
    <w:p w14:paraId="4A7A616D" w14:textId="77777777" w:rsidR="00055CF2" w:rsidRPr="00BA4F8E" w:rsidRDefault="00055CF2" w:rsidP="000570B9"/>
    <w:p w14:paraId="53F86CBC" w14:textId="77777777" w:rsidR="00055CF2" w:rsidRPr="00BA4F8E" w:rsidRDefault="00055CF2" w:rsidP="000570B9"/>
    <w:p w14:paraId="7C7055D7" w14:textId="77777777" w:rsidR="00055CF2" w:rsidRPr="00BA4F8E" w:rsidRDefault="00055CF2" w:rsidP="000570B9"/>
    <w:p w14:paraId="55D3E573" w14:textId="5E1BB15B" w:rsidR="00E17E92" w:rsidRPr="005A6527" w:rsidRDefault="00E17E92" w:rsidP="00C22F37">
      <w:pPr>
        <w:spacing w:before="240" w:after="0"/>
        <w:rPr>
          <w:rFonts w:cs="Arial"/>
          <w:i/>
          <w:sz w:val="18"/>
          <w:szCs w:val="18"/>
        </w:rPr>
      </w:pPr>
      <w:r w:rsidRPr="005A6527">
        <w:rPr>
          <w:rFonts w:cs="Arial"/>
          <w:i/>
          <w:sz w:val="18"/>
          <w:szCs w:val="18"/>
        </w:rPr>
        <w:t>Zdroj: ČSÚ (výzkum a vývoj)</w:t>
      </w:r>
      <w:r w:rsidR="003D0416" w:rsidRPr="005A6527">
        <w:rPr>
          <w:rFonts w:cs="Arial"/>
          <w:i/>
          <w:sz w:val="18"/>
          <w:szCs w:val="18"/>
        </w:rPr>
        <w:t>, vlastní zpracování</w:t>
      </w:r>
    </w:p>
    <w:p w14:paraId="3C401AAD" w14:textId="66642921" w:rsidR="00055CF2" w:rsidRPr="005A6527" w:rsidRDefault="00E17E92" w:rsidP="005A6527">
      <w:pPr>
        <w:spacing w:after="0"/>
        <w:rPr>
          <w:i/>
          <w:sz w:val="18"/>
          <w:szCs w:val="18"/>
        </w:rPr>
      </w:pPr>
      <w:r w:rsidRPr="005A6527">
        <w:rPr>
          <w:i/>
          <w:sz w:val="18"/>
          <w:szCs w:val="18"/>
        </w:rPr>
        <w:t>Pozn.: Z důvodu přehlednosti jsou uvedeny vybrané CZ NACE.</w:t>
      </w:r>
    </w:p>
    <w:p w14:paraId="1A044487" w14:textId="5F34CEAC" w:rsidR="00C45ABB" w:rsidRPr="00BA4F8E" w:rsidRDefault="00C45ABB" w:rsidP="000216FA">
      <w:pPr>
        <w:spacing w:after="0" w:line="360" w:lineRule="auto"/>
        <w:ind w:firstLine="708"/>
        <w:jc w:val="both"/>
        <w:rPr>
          <w:rFonts w:cs="Arial"/>
        </w:rPr>
      </w:pPr>
      <w:r w:rsidRPr="00BA4F8E">
        <w:rPr>
          <w:rFonts w:cs="Arial"/>
        </w:rPr>
        <w:lastRenderedPageBreak/>
        <w:t>Oproti roku 2014 došlo v roce 2016 k růstu celkových výdajů na VaV v podnikatelském sektoru o 2 mld. Kč. K největšímu růstu výdajů na VaV v podnikatelském sektoru došlo u</w:t>
      </w:r>
      <w:r w:rsidR="00724B87">
        <w:rPr>
          <w:rFonts w:cs="Arial"/>
        </w:rPr>
        <w:t> </w:t>
      </w:r>
      <w:r w:rsidRPr="00BA4F8E">
        <w:rPr>
          <w:rFonts w:cs="Arial"/>
        </w:rPr>
        <w:t>NACE</w:t>
      </w:r>
      <w:r w:rsidR="00724B87">
        <w:rPr>
          <w:rFonts w:cs="Arial"/>
        </w:rPr>
        <w:t> </w:t>
      </w:r>
      <w:r w:rsidRPr="00BA4F8E">
        <w:rPr>
          <w:rFonts w:cs="Arial"/>
        </w:rPr>
        <w:t xml:space="preserve">29 Automobilový průmysl – výroba motorových vozidel, 582, 62, 631 Činnosti v oblasti IT, 27 Elektrotechnický průmysl – výroba elektrických zařízení a 26 Výroba počítačů, elektronických a optických přístrojů a zařízení. </w:t>
      </w:r>
    </w:p>
    <w:p w14:paraId="30C5AB23" w14:textId="77777777" w:rsidR="00C45ABB" w:rsidRPr="00BA4F8E" w:rsidRDefault="00C45ABB" w:rsidP="000216FA">
      <w:pPr>
        <w:spacing w:after="0" w:line="360" w:lineRule="auto"/>
        <w:ind w:firstLine="708"/>
        <w:jc w:val="both"/>
        <w:rPr>
          <w:rFonts w:cs="Arial"/>
        </w:rPr>
      </w:pPr>
      <w:r w:rsidRPr="00BA4F8E">
        <w:rPr>
          <w:rFonts w:cs="Arial"/>
        </w:rPr>
        <w:t xml:space="preserve">Z hlediska podílu na podnikových výdajích na VaV tuzemské ekonomice dominují činnosti v oblasti IT a automobilového průmyslu. U automobilového průmyslu je tato pozice z velké části způsobena firmou Škoda Auto a.s., největším českým exportérem, která se na této položce podílí rozhodující mírou. S velkým odstupem pak následuje strojírenství, elektrotechnický a elektronický průmysl. </w:t>
      </w:r>
    </w:p>
    <w:p w14:paraId="262F4F3F" w14:textId="193E7EEF" w:rsidR="00790C59" w:rsidRDefault="00790C59" w:rsidP="00A47FB1">
      <w:pPr>
        <w:spacing w:line="360" w:lineRule="auto"/>
        <w:ind w:firstLine="708"/>
        <w:jc w:val="both"/>
        <w:rPr>
          <w:rFonts w:cs="Arial"/>
          <w:color w:val="000000" w:themeColor="text1"/>
        </w:rPr>
      </w:pPr>
      <w:r w:rsidRPr="00F81244">
        <w:rPr>
          <w:rFonts w:cs="Arial"/>
          <w:color w:val="000000" w:themeColor="text1"/>
        </w:rPr>
        <w:t xml:space="preserve">Srovnání oborů dle znalostní intenzity je zatíženo velkými odlišnostmi mezi jednotlivými obory z hlediska režimu inovací a potřeby vstupů do inovačního procesu v podobě výsledků výzkumu a experimentálního vývoje. Tyto rozdíly se promítají ve velmi rozdílných úrovních podnikových výdajů na VaV ve vztahu k vytvořené HPH dle jednotlivých oborů. Podstatně vyšší výdaje na VaV ku HPH v chemickém či farmaceutickém průmyslu ve srovnání s potravinářským či kovodělným průmyslem tak nemusí nutně znamenat, že první dva uvedené obory jsou inovativnější či ambicióznější z hlediska technologických inovací. </w:t>
      </w:r>
      <w:r w:rsidR="000833D4" w:rsidRPr="001F1DD6">
        <w:rPr>
          <w:rFonts w:cs="Arial"/>
        </w:rPr>
        <w:fldChar w:fldCharType="begin"/>
      </w:r>
      <w:r w:rsidR="000833D4" w:rsidRPr="001F1DD6">
        <w:rPr>
          <w:rFonts w:cs="Arial"/>
        </w:rPr>
        <w:instrText xml:space="preserve"> REF _Ref523306777 \h </w:instrText>
      </w:r>
      <w:r w:rsidR="000833D4" w:rsidRPr="001F1DD6">
        <w:rPr>
          <w:rFonts w:cs="Arial"/>
        </w:rPr>
      </w:r>
      <w:r w:rsidR="000833D4" w:rsidRPr="001F1DD6">
        <w:rPr>
          <w:rFonts w:cs="Arial"/>
        </w:rPr>
        <w:fldChar w:fldCharType="separate"/>
      </w:r>
      <w:r w:rsidR="00DE40D4">
        <w:t>Ta</w:t>
      </w:r>
      <w:r w:rsidR="00DE40D4" w:rsidRPr="00E81235">
        <w:t xml:space="preserve">bulka </w:t>
      </w:r>
      <w:r w:rsidR="00DE40D4">
        <w:rPr>
          <w:noProof/>
        </w:rPr>
        <w:t>5</w:t>
      </w:r>
      <w:r w:rsidR="000833D4" w:rsidRPr="001F1DD6">
        <w:rPr>
          <w:rFonts w:cs="Arial"/>
        </w:rPr>
        <w:fldChar w:fldCharType="end"/>
      </w:r>
      <w:r w:rsidRPr="001F1DD6">
        <w:rPr>
          <w:rFonts w:cs="Arial"/>
        </w:rPr>
        <w:t xml:space="preserve"> n</w:t>
      </w:r>
      <w:r w:rsidRPr="00F81244">
        <w:rPr>
          <w:rFonts w:cs="Arial"/>
          <w:color w:val="000000" w:themeColor="text1"/>
        </w:rPr>
        <w:t xml:space="preserve">íže porovnává znalostní intenzitu vybraných oborů v ČR s úrovní znalostní intenzity daných oborů pro země OECD. Z uvedených hodnot vyplývá, že nadprůměrné znalostní intenzity dosahuje pouze obor NACE 30 Výroba ostatních dopravních prostředků. Mírně pod průměrem je automobilový průmysl (NACE 29). Farmaceutický průmysl (NACE 21) již zaostává výrazněji, stále se však pohybuje kolem 80 % průměrné intenzity v zemích OECD. </w:t>
      </w:r>
    </w:p>
    <w:p w14:paraId="53633939" w14:textId="6E7CB50E" w:rsidR="00932123" w:rsidRDefault="00932123">
      <w:pPr>
        <w:spacing w:after="200" w:line="276" w:lineRule="auto"/>
        <w:rPr>
          <w:rFonts w:cs="Arial"/>
          <w:color w:val="000000" w:themeColor="text1"/>
        </w:rPr>
      </w:pPr>
      <w:r>
        <w:rPr>
          <w:rFonts w:cs="Arial"/>
          <w:color w:val="000000" w:themeColor="text1"/>
        </w:rPr>
        <w:br w:type="page"/>
      </w:r>
    </w:p>
    <w:p w14:paraId="7FFFE525" w14:textId="5C155C8C" w:rsidR="00790C59" w:rsidRPr="00A47FB1" w:rsidRDefault="00E81235" w:rsidP="00580DE3">
      <w:pPr>
        <w:pStyle w:val="Titulek"/>
        <w:rPr>
          <w:highlight w:val="yellow"/>
        </w:rPr>
      </w:pPr>
      <w:bookmarkStart w:id="78" w:name="_Ref523306777"/>
      <w:bookmarkStart w:id="79" w:name="_Toc397001016"/>
      <w:bookmarkStart w:id="80" w:name="_Toc455143640"/>
      <w:bookmarkStart w:id="81" w:name="_Ref523306772"/>
      <w:bookmarkStart w:id="82" w:name="_Toc524677665"/>
      <w:r>
        <w:lastRenderedPageBreak/>
        <w:t>Ta</w:t>
      </w:r>
      <w:r w:rsidRPr="00E81235">
        <w:t xml:space="preserve">bulka </w:t>
      </w:r>
      <w:r w:rsidR="00B034E9">
        <w:rPr>
          <w:noProof/>
        </w:rPr>
        <w:fldChar w:fldCharType="begin"/>
      </w:r>
      <w:r w:rsidR="00B034E9">
        <w:rPr>
          <w:noProof/>
        </w:rPr>
        <w:instrText xml:space="preserve"> SEQ Tabulka \* ARABIC </w:instrText>
      </w:r>
      <w:r w:rsidR="00B034E9">
        <w:rPr>
          <w:noProof/>
        </w:rPr>
        <w:fldChar w:fldCharType="separate"/>
      </w:r>
      <w:r w:rsidR="00DE40D4">
        <w:rPr>
          <w:noProof/>
        </w:rPr>
        <w:t>5</w:t>
      </w:r>
      <w:r w:rsidR="00B034E9">
        <w:rPr>
          <w:noProof/>
        </w:rPr>
        <w:fldChar w:fldCharType="end"/>
      </w:r>
      <w:bookmarkEnd w:id="78"/>
      <w:r w:rsidR="000833D4">
        <w:rPr>
          <w:noProof/>
        </w:rPr>
        <w:t xml:space="preserve"> </w:t>
      </w:r>
      <w:r w:rsidR="000833D4">
        <w:t>-</w:t>
      </w:r>
      <w:r w:rsidR="00790C59" w:rsidRPr="00E81235">
        <w:t xml:space="preserve"> </w:t>
      </w:r>
      <w:r w:rsidR="00790C59" w:rsidRPr="00EC4DD2">
        <w:t>Znalostní intenzita ve vybraných oborech – srovnání ČR s průměrem v zemích OECD</w:t>
      </w:r>
      <w:bookmarkEnd w:id="79"/>
      <w:bookmarkEnd w:id="80"/>
      <w:r w:rsidR="00F81244" w:rsidRPr="00E81235">
        <w:rPr>
          <w:rStyle w:val="Znakapoznpodarou"/>
          <w:rFonts w:cs="Times New Roman"/>
          <w:b w:val="0"/>
          <w:bCs w:val="0"/>
        </w:rPr>
        <w:footnoteReference w:id="58"/>
      </w:r>
      <w:bookmarkEnd w:id="81"/>
      <w:bookmarkEnd w:id="82"/>
    </w:p>
    <w:tbl>
      <w:tblPr>
        <w:tblpPr w:leftFromText="141" w:rightFromText="141" w:vertAnchor="text" w:horzAnchor="margin" w:tblpY="111"/>
        <w:tblW w:w="9212" w:type="dxa"/>
        <w:tblCellMar>
          <w:left w:w="70" w:type="dxa"/>
          <w:right w:w="70" w:type="dxa"/>
        </w:tblCellMar>
        <w:tblLook w:val="04A0" w:firstRow="1" w:lastRow="0" w:firstColumn="1" w:lastColumn="0" w:noHBand="0" w:noVBand="1"/>
      </w:tblPr>
      <w:tblGrid>
        <w:gridCol w:w="979"/>
        <w:gridCol w:w="4953"/>
        <w:gridCol w:w="1160"/>
        <w:gridCol w:w="1188"/>
        <w:gridCol w:w="1096"/>
      </w:tblGrid>
      <w:tr w:rsidR="00790C59" w:rsidRPr="00A47FB1" w14:paraId="4DB3191C" w14:textId="77777777" w:rsidTr="005836FA">
        <w:trPr>
          <w:trHeight w:val="95"/>
        </w:trPr>
        <w:tc>
          <w:tcPr>
            <w:tcW w:w="902" w:type="dxa"/>
            <w:vMerge w:val="restart"/>
            <w:tcBorders>
              <w:top w:val="single" w:sz="4" w:space="0" w:color="auto"/>
              <w:left w:val="single" w:sz="4" w:space="0" w:color="auto"/>
              <w:bottom w:val="single" w:sz="4" w:space="0" w:color="auto"/>
              <w:right w:val="single" w:sz="4" w:space="0" w:color="auto"/>
            </w:tcBorders>
            <w:shd w:val="clear" w:color="auto" w:fill="004B8D"/>
            <w:noWrap/>
            <w:vAlign w:val="center"/>
            <w:hideMark/>
          </w:tcPr>
          <w:p w14:paraId="1706C4AA" w14:textId="77777777" w:rsidR="00790C59" w:rsidRPr="001268AA" w:rsidRDefault="00790C59" w:rsidP="001268AA">
            <w:pPr>
              <w:spacing w:after="0" w:line="360" w:lineRule="auto"/>
              <w:rPr>
                <w:rFonts w:eastAsia="Times New Roman" w:cs="Arial"/>
                <w:b/>
                <w:color w:val="FFFFFF" w:themeColor="background1"/>
              </w:rPr>
            </w:pPr>
            <w:r w:rsidRPr="001268AA">
              <w:rPr>
                <w:rFonts w:eastAsia="Times New Roman" w:cs="Arial"/>
                <w:b/>
                <w:color w:val="FFFFFF" w:themeColor="background1"/>
              </w:rPr>
              <w:t>NACE</w:t>
            </w:r>
          </w:p>
        </w:tc>
        <w:tc>
          <w:tcPr>
            <w:tcW w:w="4953" w:type="dxa"/>
            <w:vMerge w:val="restart"/>
            <w:tcBorders>
              <w:top w:val="single" w:sz="4" w:space="0" w:color="auto"/>
              <w:left w:val="single" w:sz="4" w:space="0" w:color="auto"/>
              <w:bottom w:val="single" w:sz="4" w:space="0" w:color="auto"/>
              <w:right w:val="single" w:sz="4" w:space="0" w:color="auto"/>
            </w:tcBorders>
            <w:shd w:val="clear" w:color="auto" w:fill="004B8D"/>
            <w:noWrap/>
            <w:vAlign w:val="center"/>
            <w:hideMark/>
          </w:tcPr>
          <w:p w14:paraId="79B369EC" w14:textId="77777777" w:rsidR="00790C59" w:rsidRPr="001268AA" w:rsidRDefault="00790C59" w:rsidP="001268AA">
            <w:pPr>
              <w:spacing w:after="0" w:line="360" w:lineRule="auto"/>
              <w:rPr>
                <w:rFonts w:eastAsia="Times New Roman" w:cs="Arial"/>
                <w:b/>
                <w:color w:val="FFFFFF" w:themeColor="background1"/>
              </w:rPr>
            </w:pPr>
            <w:r w:rsidRPr="001268AA">
              <w:rPr>
                <w:rFonts w:eastAsia="Times New Roman" w:cs="Arial"/>
                <w:b/>
                <w:color w:val="FFFFFF" w:themeColor="background1"/>
              </w:rPr>
              <w:t>NACE – popis</w:t>
            </w:r>
          </w:p>
        </w:tc>
        <w:tc>
          <w:tcPr>
            <w:tcW w:w="3357" w:type="dxa"/>
            <w:gridSpan w:val="3"/>
            <w:tcBorders>
              <w:top w:val="single" w:sz="4" w:space="0" w:color="auto"/>
              <w:left w:val="nil"/>
              <w:bottom w:val="single" w:sz="4" w:space="0" w:color="auto"/>
              <w:right w:val="single" w:sz="4" w:space="0" w:color="auto"/>
            </w:tcBorders>
            <w:shd w:val="clear" w:color="auto" w:fill="004B8D"/>
            <w:noWrap/>
            <w:vAlign w:val="center"/>
            <w:hideMark/>
          </w:tcPr>
          <w:p w14:paraId="72F37D77" w14:textId="77777777" w:rsidR="00790C59" w:rsidRPr="001268AA" w:rsidRDefault="00790C59" w:rsidP="001268AA">
            <w:pPr>
              <w:spacing w:after="0" w:line="360" w:lineRule="auto"/>
              <w:rPr>
                <w:rFonts w:eastAsia="Times New Roman" w:cs="Arial"/>
                <w:b/>
                <w:color w:val="FFFFFF" w:themeColor="background1"/>
              </w:rPr>
            </w:pPr>
            <w:r w:rsidRPr="001268AA">
              <w:rPr>
                <w:rFonts w:eastAsia="Times New Roman" w:cs="Arial"/>
                <w:b/>
                <w:color w:val="FFFFFF" w:themeColor="background1"/>
              </w:rPr>
              <w:t xml:space="preserve">Podíl BERD na HPH </w:t>
            </w:r>
          </w:p>
          <w:p w14:paraId="02212C74" w14:textId="77777777" w:rsidR="00790C59" w:rsidRPr="001268AA" w:rsidRDefault="00790C59" w:rsidP="001268AA">
            <w:pPr>
              <w:spacing w:after="0" w:line="360" w:lineRule="auto"/>
              <w:rPr>
                <w:rFonts w:eastAsia="Times New Roman" w:cs="Arial"/>
                <w:b/>
                <w:color w:val="FFFFFF" w:themeColor="background1"/>
              </w:rPr>
            </w:pPr>
            <w:r w:rsidRPr="001268AA">
              <w:rPr>
                <w:rFonts w:eastAsia="Times New Roman" w:cs="Arial"/>
                <w:b/>
                <w:color w:val="FFFFFF" w:themeColor="background1"/>
              </w:rPr>
              <w:t>(průměr za roky 2006-2009)</w:t>
            </w:r>
          </w:p>
        </w:tc>
      </w:tr>
      <w:tr w:rsidR="00790C59" w:rsidRPr="00A47FB1" w14:paraId="56B93625" w14:textId="77777777" w:rsidTr="005836FA">
        <w:trPr>
          <w:trHeight w:val="95"/>
        </w:trPr>
        <w:tc>
          <w:tcPr>
            <w:tcW w:w="902" w:type="dxa"/>
            <w:vMerge/>
            <w:tcBorders>
              <w:top w:val="single" w:sz="4" w:space="0" w:color="auto"/>
              <w:left w:val="single" w:sz="4" w:space="0" w:color="auto"/>
              <w:bottom w:val="single" w:sz="4" w:space="0" w:color="auto"/>
              <w:right w:val="single" w:sz="4" w:space="0" w:color="auto"/>
            </w:tcBorders>
            <w:shd w:val="clear" w:color="auto" w:fill="004B8D"/>
            <w:vAlign w:val="center"/>
            <w:hideMark/>
          </w:tcPr>
          <w:p w14:paraId="6AD71F23" w14:textId="77777777" w:rsidR="00790C59" w:rsidRPr="001268AA" w:rsidRDefault="00790C59" w:rsidP="001268AA">
            <w:pPr>
              <w:spacing w:after="0" w:line="360" w:lineRule="auto"/>
              <w:rPr>
                <w:rFonts w:eastAsia="Times New Roman" w:cs="Arial"/>
                <w:b/>
                <w:color w:val="FFFFFF" w:themeColor="background1"/>
              </w:rPr>
            </w:pPr>
          </w:p>
        </w:tc>
        <w:tc>
          <w:tcPr>
            <w:tcW w:w="4953" w:type="dxa"/>
            <w:vMerge/>
            <w:tcBorders>
              <w:top w:val="single" w:sz="4" w:space="0" w:color="auto"/>
              <w:left w:val="single" w:sz="4" w:space="0" w:color="auto"/>
              <w:bottom w:val="single" w:sz="4" w:space="0" w:color="auto"/>
              <w:right w:val="single" w:sz="4" w:space="0" w:color="auto"/>
            </w:tcBorders>
            <w:shd w:val="clear" w:color="auto" w:fill="004B8D"/>
            <w:vAlign w:val="center"/>
            <w:hideMark/>
          </w:tcPr>
          <w:p w14:paraId="59D27BFF" w14:textId="77777777" w:rsidR="00790C59" w:rsidRPr="001268AA" w:rsidRDefault="00790C59" w:rsidP="001268AA">
            <w:pPr>
              <w:spacing w:after="0" w:line="360" w:lineRule="auto"/>
              <w:rPr>
                <w:rFonts w:eastAsia="Times New Roman" w:cs="Arial"/>
                <w:b/>
                <w:color w:val="FFFFFF" w:themeColor="background1"/>
              </w:rPr>
            </w:pPr>
          </w:p>
        </w:tc>
        <w:tc>
          <w:tcPr>
            <w:tcW w:w="1160" w:type="dxa"/>
            <w:tcBorders>
              <w:top w:val="nil"/>
              <w:left w:val="nil"/>
              <w:bottom w:val="single" w:sz="4" w:space="0" w:color="auto"/>
              <w:right w:val="single" w:sz="4" w:space="0" w:color="auto"/>
            </w:tcBorders>
            <w:shd w:val="clear" w:color="auto" w:fill="004B8D"/>
            <w:noWrap/>
            <w:vAlign w:val="center"/>
            <w:hideMark/>
          </w:tcPr>
          <w:p w14:paraId="7AEBD042" w14:textId="77777777" w:rsidR="00790C59" w:rsidRPr="001268AA" w:rsidRDefault="00790C59" w:rsidP="001268AA">
            <w:pPr>
              <w:spacing w:after="0" w:line="360" w:lineRule="auto"/>
              <w:rPr>
                <w:rFonts w:eastAsia="Times New Roman" w:cs="Arial"/>
                <w:b/>
                <w:color w:val="FFFFFF" w:themeColor="background1"/>
              </w:rPr>
            </w:pPr>
            <w:r w:rsidRPr="001268AA">
              <w:rPr>
                <w:rFonts w:eastAsia="Times New Roman" w:cs="Arial"/>
                <w:b/>
                <w:color w:val="FFFFFF" w:themeColor="background1"/>
              </w:rPr>
              <w:t>ČR</w:t>
            </w:r>
          </w:p>
        </w:tc>
        <w:tc>
          <w:tcPr>
            <w:tcW w:w="1188" w:type="dxa"/>
            <w:tcBorders>
              <w:top w:val="nil"/>
              <w:left w:val="nil"/>
              <w:bottom w:val="single" w:sz="4" w:space="0" w:color="auto"/>
              <w:right w:val="single" w:sz="4" w:space="0" w:color="auto"/>
            </w:tcBorders>
            <w:shd w:val="clear" w:color="auto" w:fill="004B8D"/>
            <w:noWrap/>
            <w:vAlign w:val="center"/>
            <w:hideMark/>
          </w:tcPr>
          <w:p w14:paraId="43A16006" w14:textId="77777777" w:rsidR="00790C59" w:rsidRPr="001268AA" w:rsidRDefault="00790C59" w:rsidP="001268AA">
            <w:pPr>
              <w:spacing w:after="0" w:line="360" w:lineRule="auto"/>
              <w:rPr>
                <w:rFonts w:eastAsia="Times New Roman" w:cs="Arial"/>
                <w:b/>
                <w:color w:val="FFFFFF" w:themeColor="background1"/>
              </w:rPr>
            </w:pPr>
            <w:r w:rsidRPr="001268AA">
              <w:rPr>
                <w:rFonts w:eastAsia="Times New Roman" w:cs="Arial"/>
                <w:b/>
                <w:color w:val="FFFFFF" w:themeColor="background1"/>
              </w:rPr>
              <w:t>Země OECD</w:t>
            </w:r>
          </w:p>
        </w:tc>
        <w:tc>
          <w:tcPr>
            <w:tcW w:w="1009" w:type="dxa"/>
            <w:tcBorders>
              <w:top w:val="nil"/>
              <w:left w:val="nil"/>
              <w:bottom w:val="single" w:sz="4" w:space="0" w:color="auto"/>
              <w:right w:val="single" w:sz="4" w:space="0" w:color="auto"/>
            </w:tcBorders>
            <w:shd w:val="clear" w:color="auto" w:fill="004B8D"/>
            <w:noWrap/>
            <w:vAlign w:val="center"/>
            <w:hideMark/>
          </w:tcPr>
          <w:p w14:paraId="20ED9D53" w14:textId="77777777" w:rsidR="00790C59" w:rsidRPr="001268AA" w:rsidRDefault="00790C59" w:rsidP="001268AA">
            <w:pPr>
              <w:spacing w:after="0" w:line="360" w:lineRule="auto"/>
              <w:rPr>
                <w:rFonts w:eastAsia="Times New Roman" w:cs="Arial"/>
                <w:b/>
                <w:color w:val="FFFFFF" w:themeColor="background1"/>
              </w:rPr>
            </w:pPr>
            <w:r w:rsidRPr="001268AA">
              <w:rPr>
                <w:rFonts w:eastAsia="Times New Roman" w:cs="Arial"/>
                <w:b/>
                <w:color w:val="FFFFFF" w:themeColor="background1"/>
              </w:rPr>
              <w:t>OECD=100</w:t>
            </w:r>
          </w:p>
        </w:tc>
      </w:tr>
      <w:tr w:rsidR="00790C59" w:rsidRPr="00A47FB1" w14:paraId="231B8796"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1A5EFDBD"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21</w:t>
            </w:r>
          </w:p>
        </w:tc>
        <w:tc>
          <w:tcPr>
            <w:tcW w:w="4953" w:type="dxa"/>
            <w:tcBorders>
              <w:top w:val="nil"/>
              <w:left w:val="nil"/>
              <w:bottom w:val="single" w:sz="4" w:space="0" w:color="auto"/>
              <w:right w:val="single" w:sz="4" w:space="0" w:color="auto"/>
            </w:tcBorders>
            <w:shd w:val="clear" w:color="auto" w:fill="auto"/>
            <w:noWrap/>
            <w:vAlign w:val="center"/>
            <w:hideMark/>
          </w:tcPr>
          <w:p w14:paraId="4938FC66"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farmaceutických výrobků přípravků</w:t>
            </w:r>
          </w:p>
        </w:tc>
        <w:tc>
          <w:tcPr>
            <w:tcW w:w="1160" w:type="dxa"/>
            <w:tcBorders>
              <w:top w:val="nil"/>
              <w:left w:val="nil"/>
              <w:bottom w:val="single" w:sz="4" w:space="0" w:color="auto"/>
              <w:right w:val="single" w:sz="4" w:space="0" w:color="auto"/>
            </w:tcBorders>
            <w:shd w:val="clear" w:color="auto" w:fill="auto"/>
            <w:noWrap/>
            <w:vAlign w:val="center"/>
            <w:hideMark/>
          </w:tcPr>
          <w:p w14:paraId="2A37AC7F"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25,34</w:t>
            </w:r>
          </w:p>
        </w:tc>
        <w:tc>
          <w:tcPr>
            <w:tcW w:w="1188" w:type="dxa"/>
            <w:tcBorders>
              <w:top w:val="nil"/>
              <w:left w:val="nil"/>
              <w:bottom w:val="single" w:sz="4" w:space="0" w:color="auto"/>
              <w:right w:val="single" w:sz="4" w:space="0" w:color="auto"/>
            </w:tcBorders>
            <w:shd w:val="clear" w:color="auto" w:fill="auto"/>
            <w:noWrap/>
            <w:vAlign w:val="center"/>
            <w:hideMark/>
          </w:tcPr>
          <w:p w14:paraId="34E15D01"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30,20</w:t>
            </w:r>
          </w:p>
        </w:tc>
        <w:tc>
          <w:tcPr>
            <w:tcW w:w="1009" w:type="dxa"/>
            <w:tcBorders>
              <w:top w:val="nil"/>
              <w:left w:val="nil"/>
              <w:bottom w:val="single" w:sz="4" w:space="0" w:color="auto"/>
              <w:right w:val="single" w:sz="4" w:space="0" w:color="auto"/>
            </w:tcBorders>
            <w:shd w:val="clear" w:color="auto" w:fill="auto"/>
            <w:noWrap/>
            <w:vAlign w:val="center"/>
            <w:hideMark/>
          </w:tcPr>
          <w:p w14:paraId="44B9B32C"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83,9</w:t>
            </w:r>
          </w:p>
        </w:tc>
      </w:tr>
      <w:tr w:rsidR="00790C59" w:rsidRPr="00A47FB1" w14:paraId="12E2836E"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722D4ED8"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30</w:t>
            </w:r>
          </w:p>
        </w:tc>
        <w:tc>
          <w:tcPr>
            <w:tcW w:w="4953" w:type="dxa"/>
            <w:tcBorders>
              <w:top w:val="nil"/>
              <w:left w:val="nil"/>
              <w:bottom w:val="single" w:sz="4" w:space="0" w:color="auto"/>
              <w:right w:val="single" w:sz="4" w:space="0" w:color="auto"/>
            </w:tcBorders>
            <w:shd w:val="clear" w:color="auto" w:fill="auto"/>
            <w:noWrap/>
            <w:vAlign w:val="center"/>
            <w:hideMark/>
          </w:tcPr>
          <w:p w14:paraId="4F36AE0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ostatních dopravních prostředků</w:t>
            </w:r>
          </w:p>
        </w:tc>
        <w:tc>
          <w:tcPr>
            <w:tcW w:w="1160" w:type="dxa"/>
            <w:tcBorders>
              <w:top w:val="nil"/>
              <w:left w:val="nil"/>
              <w:bottom w:val="single" w:sz="4" w:space="0" w:color="auto"/>
              <w:right w:val="single" w:sz="4" w:space="0" w:color="auto"/>
            </w:tcBorders>
            <w:shd w:val="clear" w:color="auto" w:fill="auto"/>
            <w:noWrap/>
            <w:vAlign w:val="center"/>
            <w:hideMark/>
          </w:tcPr>
          <w:p w14:paraId="7FBE27D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12,19</w:t>
            </w:r>
          </w:p>
        </w:tc>
        <w:tc>
          <w:tcPr>
            <w:tcW w:w="1188" w:type="dxa"/>
            <w:tcBorders>
              <w:top w:val="nil"/>
              <w:left w:val="nil"/>
              <w:bottom w:val="single" w:sz="4" w:space="0" w:color="auto"/>
              <w:right w:val="single" w:sz="4" w:space="0" w:color="auto"/>
            </w:tcBorders>
            <w:shd w:val="clear" w:color="auto" w:fill="auto"/>
            <w:noWrap/>
            <w:vAlign w:val="center"/>
            <w:hideMark/>
          </w:tcPr>
          <w:p w14:paraId="3D0A5365"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8,92</w:t>
            </w:r>
          </w:p>
        </w:tc>
        <w:tc>
          <w:tcPr>
            <w:tcW w:w="1009" w:type="dxa"/>
            <w:tcBorders>
              <w:top w:val="nil"/>
              <w:left w:val="nil"/>
              <w:bottom w:val="single" w:sz="4" w:space="0" w:color="auto"/>
              <w:right w:val="single" w:sz="4" w:space="0" w:color="auto"/>
            </w:tcBorders>
            <w:shd w:val="clear" w:color="auto" w:fill="auto"/>
            <w:noWrap/>
            <w:vAlign w:val="center"/>
            <w:hideMark/>
          </w:tcPr>
          <w:p w14:paraId="502E14D8"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136,7</w:t>
            </w:r>
          </w:p>
        </w:tc>
      </w:tr>
      <w:tr w:rsidR="00790C59" w:rsidRPr="00A47FB1" w14:paraId="3EAFAAA2"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16D8C817"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29</w:t>
            </w:r>
          </w:p>
        </w:tc>
        <w:tc>
          <w:tcPr>
            <w:tcW w:w="4953" w:type="dxa"/>
            <w:tcBorders>
              <w:top w:val="nil"/>
              <w:left w:val="nil"/>
              <w:bottom w:val="single" w:sz="4" w:space="0" w:color="auto"/>
              <w:right w:val="single" w:sz="4" w:space="0" w:color="auto"/>
            </w:tcBorders>
            <w:shd w:val="clear" w:color="auto" w:fill="auto"/>
            <w:noWrap/>
            <w:vAlign w:val="center"/>
            <w:hideMark/>
          </w:tcPr>
          <w:p w14:paraId="1580C584"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motorových vozidel</w:t>
            </w:r>
          </w:p>
        </w:tc>
        <w:tc>
          <w:tcPr>
            <w:tcW w:w="1160" w:type="dxa"/>
            <w:tcBorders>
              <w:top w:val="nil"/>
              <w:left w:val="nil"/>
              <w:bottom w:val="single" w:sz="4" w:space="0" w:color="auto"/>
              <w:right w:val="single" w:sz="4" w:space="0" w:color="auto"/>
            </w:tcBorders>
            <w:shd w:val="clear" w:color="auto" w:fill="auto"/>
            <w:noWrap/>
            <w:vAlign w:val="center"/>
            <w:hideMark/>
          </w:tcPr>
          <w:p w14:paraId="08262469"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7,71</w:t>
            </w:r>
          </w:p>
        </w:tc>
        <w:tc>
          <w:tcPr>
            <w:tcW w:w="1188" w:type="dxa"/>
            <w:tcBorders>
              <w:top w:val="nil"/>
              <w:left w:val="nil"/>
              <w:bottom w:val="single" w:sz="4" w:space="0" w:color="auto"/>
              <w:right w:val="single" w:sz="4" w:space="0" w:color="auto"/>
            </w:tcBorders>
            <w:shd w:val="clear" w:color="auto" w:fill="auto"/>
            <w:noWrap/>
            <w:vAlign w:val="center"/>
            <w:hideMark/>
          </w:tcPr>
          <w:p w14:paraId="3A4F804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8,54</w:t>
            </w:r>
          </w:p>
        </w:tc>
        <w:tc>
          <w:tcPr>
            <w:tcW w:w="1009" w:type="dxa"/>
            <w:tcBorders>
              <w:top w:val="nil"/>
              <w:left w:val="nil"/>
              <w:bottom w:val="single" w:sz="4" w:space="0" w:color="auto"/>
              <w:right w:val="single" w:sz="4" w:space="0" w:color="auto"/>
            </w:tcBorders>
            <w:shd w:val="clear" w:color="auto" w:fill="auto"/>
            <w:noWrap/>
            <w:vAlign w:val="center"/>
            <w:hideMark/>
          </w:tcPr>
          <w:p w14:paraId="16F7E242"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90,3</w:t>
            </w:r>
          </w:p>
        </w:tc>
      </w:tr>
      <w:tr w:rsidR="00790C59" w:rsidRPr="00A47FB1" w14:paraId="72A5EEFF"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7431EC94"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26/27</w:t>
            </w:r>
          </w:p>
        </w:tc>
        <w:tc>
          <w:tcPr>
            <w:tcW w:w="4953" w:type="dxa"/>
            <w:tcBorders>
              <w:top w:val="nil"/>
              <w:left w:val="nil"/>
              <w:bottom w:val="single" w:sz="4" w:space="0" w:color="auto"/>
              <w:right w:val="single" w:sz="4" w:space="0" w:color="auto"/>
            </w:tcBorders>
            <w:shd w:val="clear" w:color="auto" w:fill="auto"/>
            <w:noWrap/>
            <w:vAlign w:val="center"/>
            <w:hideMark/>
          </w:tcPr>
          <w:p w14:paraId="3A4DE0E7"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počítačů, elektronických a optických přístrojů / Výroba elektrických zařízení</w:t>
            </w:r>
          </w:p>
        </w:tc>
        <w:tc>
          <w:tcPr>
            <w:tcW w:w="1160" w:type="dxa"/>
            <w:tcBorders>
              <w:top w:val="nil"/>
              <w:left w:val="nil"/>
              <w:bottom w:val="single" w:sz="4" w:space="0" w:color="auto"/>
              <w:right w:val="single" w:sz="4" w:space="0" w:color="auto"/>
            </w:tcBorders>
            <w:shd w:val="clear" w:color="auto" w:fill="auto"/>
            <w:noWrap/>
            <w:vAlign w:val="center"/>
            <w:hideMark/>
          </w:tcPr>
          <w:p w14:paraId="58B9D09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4,25</w:t>
            </w:r>
          </w:p>
        </w:tc>
        <w:tc>
          <w:tcPr>
            <w:tcW w:w="1188" w:type="dxa"/>
            <w:tcBorders>
              <w:top w:val="nil"/>
              <w:left w:val="nil"/>
              <w:bottom w:val="single" w:sz="4" w:space="0" w:color="auto"/>
              <w:right w:val="single" w:sz="4" w:space="0" w:color="auto"/>
            </w:tcBorders>
            <w:shd w:val="clear" w:color="auto" w:fill="auto"/>
            <w:noWrap/>
            <w:vAlign w:val="center"/>
            <w:hideMark/>
          </w:tcPr>
          <w:p w14:paraId="6B830B9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14,52</w:t>
            </w:r>
          </w:p>
        </w:tc>
        <w:tc>
          <w:tcPr>
            <w:tcW w:w="1009" w:type="dxa"/>
            <w:tcBorders>
              <w:top w:val="nil"/>
              <w:left w:val="nil"/>
              <w:bottom w:val="single" w:sz="4" w:space="0" w:color="auto"/>
              <w:right w:val="single" w:sz="4" w:space="0" w:color="auto"/>
            </w:tcBorders>
            <w:shd w:val="clear" w:color="auto" w:fill="auto"/>
            <w:noWrap/>
            <w:vAlign w:val="center"/>
            <w:hideMark/>
          </w:tcPr>
          <w:p w14:paraId="1D5F78B1"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29,3</w:t>
            </w:r>
          </w:p>
        </w:tc>
      </w:tr>
      <w:tr w:rsidR="00790C59" w:rsidRPr="00A47FB1" w14:paraId="2A75F0EB"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62CE9E87"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28</w:t>
            </w:r>
          </w:p>
        </w:tc>
        <w:tc>
          <w:tcPr>
            <w:tcW w:w="4953" w:type="dxa"/>
            <w:tcBorders>
              <w:top w:val="nil"/>
              <w:left w:val="nil"/>
              <w:bottom w:val="single" w:sz="4" w:space="0" w:color="auto"/>
              <w:right w:val="single" w:sz="4" w:space="0" w:color="auto"/>
            </w:tcBorders>
            <w:shd w:val="clear" w:color="auto" w:fill="auto"/>
            <w:noWrap/>
            <w:vAlign w:val="center"/>
            <w:hideMark/>
          </w:tcPr>
          <w:p w14:paraId="2BA47E7B"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strojů a zařízení</w:t>
            </w:r>
          </w:p>
        </w:tc>
        <w:tc>
          <w:tcPr>
            <w:tcW w:w="1160" w:type="dxa"/>
            <w:tcBorders>
              <w:top w:val="nil"/>
              <w:left w:val="nil"/>
              <w:bottom w:val="single" w:sz="4" w:space="0" w:color="auto"/>
              <w:right w:val="single" w:sz="4" w:space="0" w:color="auto"/>
            </w:tcBorders>
            <w:shd w:val="clear" w:color="auto" w:fill="auto"/>
            <w:noWrap/>
            <w:vAlign w:val="center"/>
            <w:hideMark/>
          </w:tcPr>
          <w:p w14:paraId="6094FB9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3,04</w:t>
            </w:r>
          </w:p>
        </w:tc>
        <w:tc>
          <w:tcPr>
            <w:tcW w:w="1188" w:type="dxa"/>
            <w:tcBorders>
              <w:top w:val="nil"/>
              <w:left w:val="nil"/>
              <w:bottom w:val="single" w:sz="4" w:space="0" w:color="auto"/>
              <w:right w:val="single" w:sz="4" w:space="0" w:color="auto"/>
            </w:tcBorders>
            <w:shd w:val="clear" w:color="auto" w:fill="auto"/>
            <w:noWrap/>
            <w:vAlign w:val="center"/>
            <w:hideMark/>
          </w:tcPr>
          <w:p w14:paraId="4E83BD12"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6,24</w:t>
            </w:r>
          </w:p>
        </w:tc>
        <w:tc>
          <w:tcPr>
            <w:tcW w:w="1009" w:type="dxa"/>
            <w:tcBorders>
              <w:top w:val="nil"/>
              <w:left w:val="nil"/>
              <w:bottom w:val="single" w:sz="4" w:space="0" w:color="auto"/>
              <w:right w:val="single" w:sz="4" w:space="0" w:color="auto"/>
            </w:tcBorders>
            <w:shd w:val="clear" w:color="auto" w:fill="auto"/>
            <w:noWrap/>
            <w:vAlign w:val="center"/>
            <w:hideMark/>
          </w:tcPr>
          <w:p w14:paraId="2EF93BC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48,7</w:t>
            </w:r>
          </w:p>
        </w:tc>
      </w:tr>
      <w:tr w:rsidR="00790C59" w:rsidRPr="00F81244" w14:paraId="418EE7D4"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09A83BBE"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20</w:t>
            </w:r>
          </w:p>
        </w:tc>
        <w:tc>
          <w:tcPr>
            <w:tcW w:w="4953" w:type="dxa"/>
            <w:tcBorders>
              <w:top w:val="nil"/>
              <w:left w:val="nil"/>
              <w:bottom w:val="single" w:sz="4" w:space="0" w:color="auto"/>
              <w:right w:val="single" w:sz="4" w:space="0" w:color="auto"/>
            </w:tcBorders>
            <w:shd w:val="clear" w:color="auto" w:fill="auto"/>
            <w:noWrap/>
            <w:vAlign w:val="center"/>
            <w:hideMark/>
          </w:tcPr>
          <w:p w14:paraId="1608AFBC"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chemických látek a přípravků</w:t>
            </w:r>
          </w:p>
        </w:tc>
        <w:tc>
          <w:tcPr>
            <w:tcW w:w="1160" w:type="dxa"/>
            <w:tcBorders>
              <w:top w:val="nil"/>
              <w:left w:val="nil"/>
              <w:bottom w:val="single" w:sz="4" w:space="0" w:color="auto"/>
              <w:right w:val="single" w:sz="4" w:space="0" w:color="auto"/>
            </w:tcBorders>
            <w:shd w:val="clear" w:color="auto" w:fill="auto"/>
            <w:noWrap/>
            <w:vAlign w:val="center"/>
            <w:hideMark/>
          </w:tcPr>
          <w:p w14:paraId="664A6C4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2,37</w:t>
            </w:r>
          </w:p>
        </w:tc>
        <w:tc>
          <w:tcPr>
            <w:tcW w:w="1188" w:type="dxa"/>
            <w:tcBorders>
              <w:top w:val="nil"/>
              <w:left w:val="nil"/>
              <w:bottom w:val="single" w:sz="4" w:space="0" w:color="auto"/>
              <w:right w:val="single" w:sz="4" w:space="0" w:color="auto"/>
            </w:tcBorders>
            <w:shd w:val="clear" w:color="auto" w:fill="auto"/>
            <w:noWrap/>
            <w:vAlign w:val="center"/>
            <w:hideMark/>
          </w:tcPr>
          <w:p w14:paraId="5027D2DA"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8,69</w:t>
            </w:r>
          </w:p>
        </w:tc>
        <w:tc>
          <w:tcPr>
            <w:tcW w:w="1009" w:type="dxa"/>
            <w:tcBorders>
              <w:top w:val="nil"/>
              <w:left w:val="nil"/>
              <w:bottom w:val="single" w:sz="4" w:space="0" w:color="auto"/>
              <w:right w:val="single" w:sz="4" w:space="0" w:color="auto"/>
            </w:tcBorders>
            <w:shd w:val="clear" w:color="auto" w:fill="auto"/>
            <w:noWrap/>
            <w:vAlign w:val="center"/>
            <w:hideMark/>
          </w:tcPr>
          <w:p w14:paraId="22D0DBD9"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27,3</w:t>
            </w:r>
          </w:p>
        </w:tc>
      </w:tr>
      <w:tr w:rsidR="00790C59" w:rsidRPr="00F81244" w14:paraId="3DED71FF"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22607B3F"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22</w:t>
            </w:r>
          </w:p>
        </w:tc>
        <w:tc>
          <w:tcPr>
            <w:tcW w:w="4953" w:type="dxa"/>
            <w:tcBorders>
              <w:top w:val="nil"/>
              <w:left w:val="nil"/>
              <w:bottom w:val="single" w:sz="4" w:space="0" w:color="auto"/>
              <w:right w:val="single" w:sz="4" w:space="0" w:color="auto"/>
            </w:tcBorders>
            <w:shd w:val="clear" w:color="auto" w:fill="auto"/>
            <w:noWrap/>
            <w:vAlign w:val="center"/>
            <w:hideMark/>
          </w:tcPr>
          <w:p w14:paraId="6A64E172"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pryžových a plastových výrobků</w:t>
            </w:r>
          </w:p>
        </w:tc>
        <w:tc>
          <w:tcPr>
            <w:tcW w:w="1160" w:type="dxa"/>
            <w:tcBorders>
              <w:top w:val="nil"/>
              <w:left w:val="nil"/>
              <w:bottom w:val="single" w:sz="4" w:space="0" w:color="auto"/>
              <w:right w:val="single" w:sz="4" w:space="0" w:color="auto"/>
            </w:tcBorders>
            <w:shd w:val="clear" w:color="auto" w:fill="auto"/>
            <w:noWrap/>
            <w:vAlign w:val="center"/>
            <w:hideMark/>
          </w:tcPr>
          <w:p w14:paraId="3B29D025"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1,26</w:t>
            </w:r>
          </w:p>
        </w:tc>
        <w:tc>
          <w:tcPr>
            <w:tcW w:w="1188" w:type="dxa"/>
            <w:tcBorders>
              <w:top w:val="nil"/>
              <w:left w:val="nil"/>
              <w:bottom w:val="single" w:sz="4" w:space="0" w:color="auto"/>
              <w:right w:val="single" w:sz="4" w:space="0" w:color="auto"/>
            </w:tcBorders>
            <w:shd w:val="clear" w:color="auto" w:fill="auto"/>
            <w:noWrap/>
            <w:vAlign w:val="center"/>
            <w:hideMark/>
          </w:tcPr>
          <w:p w14:paraId="4E22ED56"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3,27</w:t>
            </w:r>
          </w:p>
        </w:tc>
        <w:tc>
          <w:tcPr>
            <w:tcW w:w="1009" w:type="dxa"/>
            <w:tcBorders>
              <w:top w:val="nil"/>
              <w:left w:val="nil"/>
              <w:bottom w:val="single" w:sz="4" w:space="0" w:color="auto"/>
              <w:right w:val="single" w:sz="4" w:space="0" w:color="auto"/>
            </w:tcBorders>
            <w:shd w:val="clear" w:color="auto" w:fill="auto"/>
            <w:noWrap/>
            <w:vAlign w:val="center"/>
            <w:hideMark/>
          </w:tcPr>
          <w:p w14:paraId="2CF7EA8A"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38,4</w:t>
            </w:r>
          </w:p>
        </w:tc>
      </w:tr>
      <w:tr w:rsidR="00790C59" w:rsidRPr="00F81244" w14:paraId="788CA022"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593B1083"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24</w:t>
            </w:r>
          </w:p>
        </w:tc>
        <w:tc>
          <w:tcPr>
            <w:tcW w:w="4953" w:type="dxa"/>
            <w:tcBorders>
              <w:top w:val="nil"/>
              <w:left w:val="nil"/>
              <w:bottom w:val="single" w:sz="4" w:space="0" w:color="auto"/>
              <w:right w:val="single" w:sz="4" w:space="0" w:color="auto"/>
            </w:tcBorders>
            <w:shd w:val="clear" w:color="auto" w:fill="auto"/>
            <w:noWrap/>
            <w:vAlign w:val="center"/>
            <w:hideMark/>
          </w:tcPr>
          <w:p w14:paraId="49F5595E"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základních kovů, hutnictví; slévárenství</w:t>
            </w:r>
          </w:p>
        </w:tc>
        <w:tc>
          <w:tcPr>
            <w:tcW w:w="1160" w:type="dxa"/>
            <w:tcBorders>
              <w:top w:val="nil"/>
              <w:left w:val="nil"/>
              <w:bottom w:val="single" w:sz="4" w:space="0" w:color="auto"/>
              <w:right w:val="single" w:sz="4" w:space="0" w:color="auto"/>
            </w:tcBorders>
            <w:shd w:val="clear" w:color="auto" w:fill="auto"/>
            <w:noWrap/>
            <w:vAlign w:val="center"/>
            <w:hideMark/>
          </w:tcPr>
          <w:p w14:paraId="64723494"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0,83</w:t>
            </w:r>
          </w:p>
        </w:tc>
        <w:tc>
          <w:tcPr>
            <w:tcW w:w="1188" w:type="dxa"/>
            <w:tcBorders>
              <w:top w:val="nil"/>
              <w:left w:val="nil"/>
              <w:bottom w:val="single" w:sz="4" w:space="0" w:color="auto"/>
              <w:right w:val="single" w:sz="4" w:space="0" w:color="auto"/>
            </w:tcBorders>
            <w:shd w:val="clear" w:color="auto" w:fill="auto"/>
            <w:noWrap/>
            <w:vAlign w:val="center"/>
            <w:hideMark/>
          </w:tcPr>
          <w:p w14:paraId="0C57EBE8"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2,27</w:t>
            </w:r>
          </w:p>
        </w:tc>
        <w:tc>
          <w:tcPr>
            <w:tcW w:w="1009" w:type="dxa"/>
            <w:tcBorders>
              <w:top w:val="nil"/>
              <w:left w:val="nil"/>
              <w:bottom w:val="single" w:sz="4" w:space="0" w:color="auto"/>
              <w:right w:val="single" w:sz="4" w:space="0" w:color="auto"/>
            </w:tcBorders>
            <w:shd w:val="clear" w:color="auto" w:fill="auto"/>
            <w:noWrap/>
            <w:vAlign w:val="center"/>
            <w:hideMark/>
          </w:tcPr>
          <w:p w14:paraId="2401EA77"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36,4</w:t>
            </w:r>
          </w:p>
        </w:tc>
      </w:tr>
      <w:tr w:rsidR="00790C59" w:rsidRPr="00F81244" w14:paraId="4C0703BF"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45E82E7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25</w:t>
            </w:r>
          </w:p>
        </w:tc>
        <w:tc>
          <w:tcPr>
            <w:tcW w:w="4953" w:type="dxa"/>
            <w:tcBorders>
              <w:top w:val="nil"/>
              <w:left w:val="nil"/>
              <w:bottom w:val="single" w:sz="4" w:space="0" w:color="auto"/>
              <w:right w:val="single" w:sz="4" w:space="0" w:color="auto"/>
            </w:tcBorders>
            <w:shd w:val="clear" w:color="auto" w:fill="auto"/>
            <w:noWrap/>
            <w:vAlign w:val="center"/>
            <w:hideMark/>
          </w:tcPr>
          <w:p w14:paraId="774A62B7"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kovových konstrukcí a kovodělných výrobků</w:t>
            </w:r>
          </w:p>
        </w:tc>
        <w:tc>
          <w:tcPr>
            <w:tcW w:w="1160" w:type="dxa"/>
            <w:tcBorders>
              <w:top w:val="nil"/>
              <w:left w:val="nil"/>
              <w:bottom w:val="single" w:sz="4" w:space="0" w:color="auto"/>
              <w:right w:val="single" w:sz="4" w:space="0" w:color="auto"/>
            </w:tcBorders>
            <w:shd w:val="clear" w:color="auto" w:fill="auto"/>
            <w:noWrap/>
            <w:vAlign w:val="center"/>
            <w:hideMark/>
          </w:tcPr>
          <w:p w14:paraId="7BB9F32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0,53</w:t>
            </w:r>
          </w:p>
        </w:tc>
        <w:tc>
          <w:tcPr>
            <w:tcW w:w="1188" w:type="dxa"/>
            <w:tcBorders>
              <w:top w:val="nil"/>
              <w:left w:val="nil"/>
              <w:bottom w:val="single" w:sz="4" w:space="0" w:color="auto"/>
              <w:right w:val="single" w:sz="4" w:space="0" w:color="auto"/>
            </w:tcBorders>
            <w:shd w:val="clear" w:color="auto" w:fill="auto"/>
            <w:noWrap/>
            <w:vAlign w:val="center"/>
            <w:hideMark/>
          </w:tcPr>
          <w:p w14:paraId="27B0FB27"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1,15</w:t>
            </w:r>
          </w:p>
        </w:tc>
        <w:tc>
          <w:tcPr>
            <w:tcW w:w="1009" w:type="dxa"/>
            <w:tcBorders>
              <w:top w:val="nil"/>
              <w:left w:val="nil"/>
              <w:bottom w:val="single" w:sz="4" w:space="0" w:color="auto"/>
              <w:right w:val="single" w:sz="4" w:space="0" w:color="auto"/>
            </w:tcBorders>
            <w:shd w:val="clear" w:color="auto" w:fill="auto"/>
            <w:noWrap/>
            <w:vAlign w:val="center"/>
            <w:hideMark/>
          </w:tcPr>
          <w:p w14:paraId="4B9FC9A1"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46,0</w:t>
            </w:r>
          </w:p>
        </w:tc>
      </w:tr>
      <w:tr w:rsidR="00790C59" w:rsidRPr="00F81244" w14:paraId="3C684061"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4427A38F"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13/14/15</w:t>
            </w:r>
          </w:p>
        </w:tc>
        <w:tc>
          <w:tcPr>
            <w:tcW w:w="4953" w:type="dxa"/>
            <w:tcBorders>
              <w:top w:val="nil"/>
              <w:left w:val="nil"/>
              <w:bottom w:val="single" w:sz="4" w:space="0" w:color="auto"/>
              <w:right w:val="single" w:sz="4" w:space="0" w:color="auto"/>
            </w:tcBorders>
            <w:shd w:val="clear" w:color="auto" w:fill="auto"/>
            <w:noWrap/>
            <w:vAlign w:val="center"/>
            <w:hideMark/>
          </w:tcPr>
          <w:p w14:paraId="3FBA7160"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 xml:space="preserve">Výroba textilií, oděvů, usní a souvisejících výrobků </w:t>
            </w:r>
          </w:p>
        </w:tc>
        <w:tc>
          <w:tcPr>
            <w:tcW w:w="1160" w:type="dxa"/>
            <w:tcBorders>
              <w:top w:val="nil"/>
              <w:left w:val="nil"/>
              <w:bottom w:val="single" w:sz="4" w:space="0" w:color="auto"/>
              <w:right w:val="single" w:sz="4" w:space="0" w:color="auto"/>
            </w:tcBorders>
            <w:shd w:val="clear" w:color="auto" w:fill="auto"/>
            <w:noWrap/>
            <w:vAlign w:val="center"/>
            <w:hideMark/>
          </w:tcPr>
          <w:p w14:paraId="6E9C5434"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1,11</w:t>
            </w:r>
          </w:p>
        </w:tc>
        <w:tc>
          <w:tcPr>
            <w:tcW w:w="1188" w:type="dxa"/>
            <w:tcBorders>
              <w:top w:val="nil"/>
              <w:left w:val="nil"/>
              <w:bottom w:val="single" w:sz="4" w:space="0" w:color="auto"/>
              <w:right w:val="single" w:sz="4" w:space="0" w:color="auto"/>
            </w:tcBorders>
            <w:shd w:val="clear" w:color="auto" w:fill="auto"/>
            <w:noWrap/>
            <w:vAlign w:val="center"/>
            <w:hideMark/>
          </w:tcPr>
          <w:p w14:paraId="7E57310B"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1,96</w:t>
            </w:r>
          </w:p>
        </w:tc>
        <w:tc>
          <w:tcPr>
            <w:tcW w:w="1009" w:type="dxa"/>
            <w:tcBorders>
              <w:top w:val="nil"/>
              <w:left w:val="nil"/>
              <w:bottom w:val="single" w:sz="4" w:space="0" w:color="auto"/>
              <w:right w:val="single" w:sz="4" w:space="0" w:color="auto"/>
            </w:tcBorders>
            <w:shd w:val="clear" w:color="auto" w:fill="auto"/>
            <w:noWrap/>
            <w:vAlign w:val="center"/>
            <w:hideMark/>
          </w:tcPr>
          <w:p w14:paraId="72017166"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56,7</w:t>
            </w:r>
          </w:p>
        </w:tc>
      </w:tr>
      <w:tr w:rsidR="00790C59" w:rsidRPr="00F81244" w14:paraId="251E2A93"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067A997E"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10/11</w:t>
            </w:r>
          </w:p>
        </w:tc>
        <w:tc>
          <w:tcPr>
            <w:tcW w:w="4953" w:type="dxa"/>
            <w:tcBorders>
              <w:top w:val="nil"/>
              <w:left w:val="nil"/>
              <w:bottom w:val="single" w:sz="4" w:space="0" w:color="auto"/>
              <w:right w:val="single" w:sz="4" w:space="0" w:color="auto"/>
            </w:tcBorders>
            <w:shd w:val="clear" w:color="auto" w:fill="auto"/>
            <w:noWrap/>
            <w:vAlign w:val="center"/>
            <w:hideMark/>
          </w:tcPr>
          <w:p w14:paraId="285F187E"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potravinářských výrobků, nápojů</w:t>
            </w:r>
          </w:p>
        </w:tc>
        <w:tc>
          <w:tcPr>
            <w:tcW w:w="1160" w:type="dxa"/>
            <w:tcBorders>
              <w:top w:val="nil"/>
              <w:left w:val="nil"/>
              <w:bottom w:val="single" w:sz="4" w:space="0" w:color="auto"/>
              <w:right w:val="single" w:sz="4" w:space="0" w:color="auto"/>
            </w:tcBorders>
            <w:shd w:val="clear" w:color="auto" w:fill="auto"/>
            <w:noWrap/>
            <w:vAlign w:val="center"/>
            <w:hideMark/>
          </w:tcPr>
          <w:p w14:paraId="633B6992"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0,33</w:t>
            </w:r>
          </w:p>
        </w:tc>
        <w:tc>
          <w:tcPr>
            <w:tcW w:w="1188" w:type="dxa"/>
            <w:tcBorders>
              <w:top w:val="nil"/>
              <w:left w:val="nil"/>
              <w:bottom w:val="single" w:sz="4" w:space="0" w:color="auto"/>
              <w:right w:val="single" w:sz="4" w:space="0" w:color="auto"/>
            </w:tcBorders>
            <w:shd w:val="clear" w:color="auto" w:fill="auto"/>
            <w:noWrap/>
            <w:vAlign w:val="center"/>
            <w:hideMark/>
          </w:tcPr>
          <w:p w14:paraId="794DF109"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1,04</w:t>
            </w:r>
          </w:p>
        </w:tc>
        <w:tc>
          <w:tcPr>
            <w:tcW w:w="1009" w:type="dxa"/>
            <w:tcBorders>
              <w:top w:val="nil"/>
              <w:left w:val="nil"/>
              <w:bottom w:val="single" w:sz="4" w:space="0" w:color="auto"/>
              <w:right w:val="single" w:sz="4" w:space="0" w:color="auto"/>
            </w:tcBorders>
            <w:shd w:val="clear" w:color="auto" w:fill="auto"/>
            <w:noWrap/>
            <w:vAlign w:val="center"/>
            <w:hideMark/>
          </w:tcPr>
          <w:p w14:paraId="3E24CECC"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31,1</w:t>
            </w:r>
          </w:p>
        </w:tc>
      </w:tr>
      <w:tr w:rsidR="00790C59" w:rsidRPr="00F81244" w14:paraId="475498A8"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1154014D"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17</w:t>
            </w:r>
          </w:p>
        </w:tc>
        <w:tc>
          <w:tcPr>
            <w:tcW w:w="4953" w:type="dxa"/>
            <w:tcBorders>
              <w:top w:val="nil"/>
              <w:left w:val="nil"/>
              <w:bottom w:val="single" w:sz="4" w:space="0" w:color="auto"/>
              <w:right w:val="single" w:sz="4" w:space="0" w:color="auto"/>
            </w:tcBorders>
            <w:shd w:val="clear" w:color="auto" w:fill="auto"/>
            <w:noWrap/>
            <w:vAlign w:val="center"/>
            <w:hideMark/>
          </w:tcPr>
          <w:p w14:paraId="5EC2ADC7"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papíru a výrobků z papíru</w:t>
            </w:r>
          </w:p>
        </w:tc>
        <w:tc>
          <w:tcPr>
            <w:tcW w:w="1160" w:type="dxa"/>
            <w:tcBorders>
              <w:top w:val="nil"/>
              <w:left w:val="nil"/>
              <w:bottom w:val="single" w:sz="4" w:space="0" w:color="auto"/>
              <w:right w:val="single" w:sz="4" w:space="0" w:color="auto"/>
            </w:tcBorders>
            <w:shd w:val="clear" w:color="auto" w:fill="auto"/>
            <w:noWrap/>
            <w:vAlign w:val="center"/>
            <w:hideMark/>
          </w:tcPr>
          <w:p w14:paraId="6D919E15"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0,02</w:t>
            </w:r>
          </w:p>
        </w:tc>
        <w:tc>
          <w:tcPr>
            <w:tcW w:w="1188" w:type="dxa"/>
            <w:tcBorders>
              <w:top w:val="nil"/>
              <w:left w:val="nil"/>
              <w:bottom w:val="single" w:sz="4" w:space="0" w:color="auto"/>
              <w:right w:val="single" w:sz="4" w:space="0" w:color="auto"/>
            </w:tcBorders>
            <w:shd w:val="clear" w:color="auto" w:fill="auto"/>
            <w:noWrap/>
            <w:vAlign w:val="center"/>
            <w:hideMark/>
          </w:tcPr>
          <w:p w14:paraId="066A6FF6"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1,37</w:t>
            </w:r>
          </w:p>
        </w:tc>
        <w:tc>
          <w:tcPr>
            <w:tcW w:w="1009" w:type="dxa"/>
            <w:tcBorders>
              <w:top w:val="nil"/>
              <w:left w:val="nil"/>
              <w:bottom w:val="single" w:sz="4" w:space="0" w:color="auto"/>
              <w:right w:val="single" w:sz="4" w:space="0" w:color="auto"/>
            </w:tcBorders>
            <w:shd w:val="clear" w:color="auto" w:fill="auto"/>
            <w:noWrap/>
            <w:vAlign w:val="center"/>
            <w:hideMark/>
          </w:tcPr>
          <w:p w14:paraId="3C55EC3C"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1,4</w:t>
            </w:r>
          </w:p>
        </w:tc>
      </w:tr>
      <w:tr w:rsidR="00790C59" w:rsidRPr="00F81244" w14:paraId="17707747"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13713D3A"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23</w:t>
            </w:r>
          </w:p>
        </w:tc>
        <w:tc>
          <w:tcPr>
            <w:tcW w:w="4953" w:type="dxa"/>
            <w:tcBorders>
              <w:top w:val="nil"/>
              <w:left w:val="nil"/>
              <w:bottom w:val="single" w:sz="4" w:space="0" w:color="auto"/>
              <w:right w:val="single" w:sz="4" w:space="0" w:color="auto"/>
            </w:tcBorders>
            <w:shd w:val="clear" w:color="auto" w:fill="auto"/>
            <w:noWrap/>
            <w:vAlign w:val="center"/>
            <w:hideMark/>
          </w:tcPr>
          <w:p w14:paraId="7A468587"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Výroba ostatních nekovových minerálních výrobků</w:t>
            </w:r>
          </w:p>
        </w:tc>
        <w:tc>
          <w:tcPr>
            <w:tcW w:w="1160" w:type="dxa"/>
            <w:tcBorders>
              <w:top w:val="nil"/>
              <w:left w:val="nil"/>
              <w:bottom w:val="single" w:sz="4" w:space="0" w:color="auto"/>
              <w:right w:val="single" w:sz="4" w:space="0" w:color="auto"/>
            </w:tcBorders>
            <w:shd w:val="clear" w:color="auto" w:fill="auto"/>
            <w:noWrap/>
            <w:vAlign w:val="center"/>
            <w:hideMark/>
          </w:tcPr>
          <w:p w14:paraId="7E7D735E"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0,85</w:t>
            </w:r>
          </w:p>
        </w:tc>
        <w:tc>
          <w:tcPr>
            <w:tcW w:w="1188" w:type="dxa"/>
            <w:tcBorders>
              <w:top w:val="nil"/>
              <w:left w:val="nil"/>
              <w:bottom w:val="single" w:sz="4" w:space="0" w:color="auto"/>
              <w:right w:val="single" w:sz="4" w:space="0" w:color="auto"/>
            </w:tcBorders>
            <w:shd w:val="clear" w:color="auto" w:fill="auto"/>
            <w:noWrap/>
            <w:vAlign w:val="center"/>
            <w:hideMark/>
          </w:tcPr>
          <w:p w14:paraId="2DBFC992"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1,51</w:t>
            </w:r>
          </w:p>
        </w:tc>
        <w:tc>
          <w:tcPr>
            <w:tcW w:w="1009" w:type="dxa"/>
            <w:tcBorders>
              <w:top w:val="nil"/>
              <w:left w:val="nil"/>
              <w:bottom w:val="single" w:sz="4" w:space="0" w:color="auto"/>
              <w:right w:val="single" w:sz="4" w:space="0" w:color="auto"/>
            </w:tcBorders>
            <w:shd w:val="clear" w:color="auto" w:fill="auto"/>
            <w:noWrap/>
            <w:vAlign w:val="center"/>
            <w:hideMark/>
          </w:tcPr>
          <w:p w14:paraId="31A4B996"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56,4</w:t>
            </w:r>
          </w:p>
        </w:tc>
      </w:tr>
      <w:tr w:rsidR="00790C59" w:rsidRPr="00F81244" w14:paraId="1C059C53" w14:textId="77777777" w:rsidTr="005836FA">
        <w:trPr>
          <w:trHeight w:val="95"/>
        </w:trPr>
        <w:tc>
          <w:tcPr>
            <w:tcW w:w="902" w:type="dxa"/>
            <w:tcBorders>
              <w:top w:val="nil"/>
              <w:left w:val="single" w:sz="4" w:space="0" w:color="auto"/>
              <w:bottom w:val="single" w:sz="4" w:space="0" w:color="auto"/>
              <w:right w:val="single" w:sz="4" w:space="0" w:color="auto"/>
            </w:tcBorders>
            <w:shd w:val="clear" w:color="auto" w:fill="auto"/>
            <w:noWrap/>
            <w:vAlign w:val="center"/>
            <w:hideMark/>
          </w:tcPr>
          <w:p w14:paraId="509C92B8"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 </w:t>
            </w:r>
          </w:p>
        </w:tc>
        <w:tc>
          <w:tcPr>
            <w:tcW w:w="4953" w:type="dxa"/>
            <w:tcBorders>
              <w:top w:val="nil"/>
              <w:left w:val="nil"/>
              <w:bottom w:val="single" w:sz="4" w:space="0" w:color="auto"/>
              <w:right w:val="single" w:sz="4" w:space="0" w:color="auto"/>
            </w:tcBorders>
            <w:shd w:val="clear" w:color="auto" w:fill="auto"/>
            <w:noWrap/>
            <w:vAlign w:val="center"/>
            <w:hideMark/>
          </w:tcPr>
          <w:p w14:paraId="21B571F7"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HI-TECH zpracovatelský průmysl - souhrnně</w:t>
            </w:r>
          </w:p>
        </w:tc>
        <w:tc>
          <w:tcPr>
            <w:tcW w:w="1160" w:type="dxa"/>
            <w:tcBorders>
              <w:top w:val="nil"/>
              <w:left w:val="nil"/>
              <w:bottom w:val="single" w:sz="4" w:space="0" w:color="auto"/>
              <w:right w:val="single" w:sz="4" w:space="0" w:color="auto"/>
            </w:tcBorders>
            <w:shd w:val="clear" w:color="auto" w:fill="auto"/>
            <w:noWrap/>
            <w:vAlign w:val="center"/>
            <w:hideMark/>
          </w:tcPr>
          <w:p w14:paraId="48E1D165"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12,06</w:t>
            </w:r>
          </w:p>
        </w:tc>
        <w:tc>
          <w:tcPr>
            <w:tcW w:w="1188" w:type="dxa"/>
            <w:tcBorders>
              <w:top w:val="nil"/>
              <w:left w:val="nil"/>
              <w:bottom w:val="single" w:sz="4" w:space="0" w:color="auto"/>
              <w:right w:val="single" w:sz="4" w:space="0" w:color="auto"/>
            </w:tcBorders>
            <w:shd w:val="clear" w:color="auto" w:fill="auto"/>
            <w:noWrap/>
            <w:vAlign w:val="center"/>
            <w:hideMark/>
          </w:tcPr>
          <w:p w14:paraId="1A2AE02B"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25,02</w:t>
            </w:r>
          </w:p>
        </w:tc>
        <w:tc>
          <w:tcPr>
            <w:tcW w:w="1009" w:type="dxa"/>
            <w:tcBorders>
              <w:top w:val="nil"/>
              <w:left w:val="nil"/>
              <w:bottom w:val="single" w:sz="4" w:space="0" w:color="auto"/>
              <w:right w:val="single" w:sz="4" w:space="0" w:color="auto"/>
            </w:tcBorders>
            <w:shd w:val="clear" w:color="auto" w:fill="auto"/>
            <w:noWrap/>
            <w:vAlign w:val="center"/>
            <w:hideMark/>
          </w:tcPr>
          <w:p w14:paraId="79E6883E" w14:textId="77777777" w:rsidR="00790C59" w:rsidRPr="00F81244" w:rsidRDefault="00790C59" w:rsidP="00A47FB1">
            <w:pPr>
              <w:spacing w:after="0" w:line="360" w:lineRule="auto"/>
              <w:jc w:val="both"/>
              <w:rPr>
                <w:rFonts w:eastAsia="Times New Roman" w:cs="Arial"/>
                <w:color w:val="000000" w:themeColor="text1"/>
              </w:rPr>
            </w:pPr>
            <w:r w:rsidRPr="00F81244">
              <w:rPr>
                <w:rFonts w:eastAsia="Times New Roman" w:cs="Arial"/>
                <w:color w:val="000000" w:themeColor="text1"/>
              </w:rPr>
              <w:t>48,2</w:t>
            </w:r>
          </w:p>
        </w:tc>
      </w:tr>
    </w:tbl>
    <w:p w14:paraId="1E4AE1EA" w14:textId="77777777" w:rsidR="00790C59" w:rsidRPr="00D31D08" w:rsidRDefault="00790C59" w:rsidP="00FD57E6">
      <w:pPr>
        <w:spacing w:after="0" w:line="240" w:lineRule="auto"/>
        <w:jc w:val="both"/>
        <w:rPr>
          <w:rFonts w:cs="Arial"/>
          <w:i/>
          <w:color w:val="000000" w:themeColor="text1"/>
          <w:sz w:val="18"/>
          <w:szCs w:val="18"/>
        </w:rPr>
      </w:pPr>
      <w:r w:rsidRPr="00D31D08">
        <w:rPr>
          <w:rFonts w:cs="Arial"/>
          <w:i/>
          <w:color w:val="000000" w:themeColor="text1"/>
          <w:sz w:val="18"/>
          <w:szCs w:val="18"/>
        </w:rPr>
        <w:t xml:space="preserve">Zdroj: STI Database OECD. Pozn. 1: BERD = podnikové výdaje na výzkum a vývoj; HPH = hrubá přidaná hodnota. </w:t>
      </w:r>
    </w:p>
    <w:p w14:paraId="03175C9C" w14:textId="7E2E8F20" w:rsidR="00790C59" w:rsidRPr="00D31D08" w:rsidRDefault="00790C59" w:rsidP="00FD57E6">
      <w:pPr>
        <w:spacing w:after="0" w:line="240" w:lineRule="auto"/>
        <w:jc w:val="both"/>
        <w:rPr>
          <w:rFonts w:cs="Arial"/>
          <w:i/>
          <w:color w:val="000000" w:themeColor="text1"/>
          <w:sz w:val="18"/>
          <w:szCs w:val="18"/>
        </w:rPr>
      </w:pPr>
      <w:r w:rsidRPr="00D31D08">
        <w:rPr>
          <w:rFonts w:cs="Arial"/>
          <w:i/>
          <w:color w:val="000000" w:themeColor="text1"/>
          <w:sz w:val="18"/>
          <w:szCs w:val="18"/>
        </w:rPr>
        <w:t>Pozn.: Agregátní skupina high-tech zpracovatelský průmysl obsahuje podle definice OECD ISIC Rev. 3 obory: letecký a kosmický průmysl, farmacie, kancelářská a výpočetní technika, rádia, televize a</w:t>
      </w:r>
      <w:r w:rsidR="005C5745" w:rsidRPr="00D31D08">
        <w:rPr>
          <w:rFonts w:cs="Arial"/>
          <w:i/>
          <w:color w:val="000000" w:themeColor="text1"/>
          <w:sz w:val="18"/>
          <w:szCs w:val="18"/>
        </w:rPr>
        <w:t> </w:t>
      </w:r>
      <w:r w:rsidRPr="00D31D08">
        <w:rPr>
          <w:rFonts w:cs="Arial"/>
          <w:i/>
          <w:color w:val="000000" w:themeColor="text1"/>
          <w:sz w:val="18"/>
          <w:szCs w:val="18"/>
        </w:rPr>
        <w:t>komunikační technika, medicínské, přesné a optické přístroje. Od sledovaného období se zvýšila znalostní intenzita podnikového sektoru v ČR, tudíž nelze hodnoty uvedené v tabulce 3 přeceňovat</w:t>
      </w:r>
      <w:r w:rsidR="00E81235" w:rsidRPr="00D31D08">
        <w:rPr>
          <w:rFonts w:cs="Arial"/>
          <w:i/>
          <w:color w:val="000000" w:themeColor="text1"/>
          <w:sz w:val="18"/>
          <w:szCs w:val="18"/>
        </w:rPr>
        <w:t>.</w:t>
      </w:r>
      <w:r w:rsidR="004E551A">
        <w:rPr>
          <w:rFonts w:cs="Arial"/>
          <w:i/>
          <w:color w:val="000000" w:themeColor="text1"/>
          <w:sz w:val="18"/>
          <w:szCs w:val="18"/>
        </w:rPr>
        <w:t xml:space="preserve"> </w:t>
      </w:r>
      <w:r w:rsidRPr="00D31D08">
        <w:rPr>
          <w:rFonts w:cs="Arial"/>
          <w:i/>
          <w:color w:val="000000" w:themeColor="text1"/>
          <w:sz w:val="18"/>
          <w:szCs w:val="18"/>
        </w:rPr>
        <w:t>Novější data nejsou k dispozici</w:t>
      </w:r>
    </w:p>
    <w:p w14:paraId="35F9ADE4" w14:textId="77777777" w:rsidR="00F81244" w:rsidRDefault="00F81244" w:rsidP="00F81244">
      <w:pPr>
        <w:spacing w:after="0" w:line="360" w:lineRule="auto"/>
        <w:ind w:firstLine="360"/>
        <w:jc w:val="both"/>
        <w:rPr>
          <w:rFonts w:cs="Arial"/>
          <w:color w:val="000000" w:themeColor="text1"/>
        </w:rPr>
      </w:pPr>
    </w:p>
    <w:p w14:paraId="32488339" w14:textId="77777777" w:rsidR="00790C59" w:rsidRPr="00F81244" w:rsidRDefault="00790C59" w:rsidP="00E81235">
      <w:pPr>
        <w:spacing w:after="0" w:line="360" w:lineRule="auto"/>
        <w:ind w:firstLine="709"/>
        <w:jc w:val="both"/>
        <w:rPr>
          <w:rFonts w:cs="Arial"/>
          <w:color w:val="000000" w:themeColor="text1"/>
        </w:rPr>
      </w:pPr>
      <w:r w:rsidRPr="00F81244">
        <w:rPr>
          <w:rFonts w:cs="Arial"/>
          <w:color w:val="000000" w:themeColor="text1"/>
        </w:rPr>
        <w:t xml:space="preserve">V ostatních oborech je znalostní intenzita podnikové sféry na území ČR výrazně pod průměrem zemí OECD. Zvláště důležité je to v případě nosných exportních oborů strojírenství (NACE 28), elektrotechnika/elektronika (NACE 26 + 27), kovodělný (NACE 25) a hutnický (NACE 24) průmysl. Podíl podnikových výdajů na VaV na vytvořené HPH v těchto oborech nedosahuje ani poloviční úrovně běžné v ekonomikách OECD. Tato skutečnost dokumentuje celkové postavení české ekonomiky v oblasti inovací, které se vyznačuje: </w:t>
      </w:r>
    </w:p>
    <w:p w14:paraId="22DEDE2E" w14:textId="77777777" w:rsidR="00790C59" w:rsidRPr="00F81244" w:rsidRDefault="00790C59" w:rsidP="00543C1B">
      <w:pPr>
        <w:numPr>
          <w:ilvl w:val="0"/>
          <w:numId w:val="75"/>
        </w:numPr>
        <w:spacing w:after="200" w:line="360" w:lineRule="auto"/>
        <w:contextualSpacing/>
        <w:jc w:val="both"/>
        <w:rPr>
          <w:rFonts w:cs="Arial"/>
          <w:color w:val="000000" w:themeColor="text1"/>
        </w:rPr>
      </w:pPr>
      <w:r w:rsidRPr="00F81244">
        <w:rPr>
          <w:rFonts w:cs="Arial"/>
          <w:color w:val="000000" w:themeColor="text1"/>
        </w:rPr>
        <w:t>dominancí inovací v podobě absorpce cizí technologie nad inovacemi, které jsou založené na vlastních technologiích / technických znalostech;</w:t>
      </w:r>
    </w:p>
    <w:p w14:paraId="5AFE453B" w14:textId="77777777" w:rsidR="00790C59" w:rsidRPr="00F81244" w:rsidRDefault="00790C59" w:rsidP="00543C1B">
      <w:pPr>
        <w:numPr>
          <w:ilvl w:val="0"/>
          <w:numId w:val="75"/>
        </w:numPr>
        <w:spacing w:after="200" w:line="360" w:lineRule="auto"/>
        <w:contextualSpacing/>
        <w:jc w:val="both"/>
        <w:rPr>
          <w:rFonts w:cs="Arial"/>
          <w:color w:val="000000" w:themeColor="text1"/>
        </w:rPr>
      </w:pPr>
      <w:r w:rsidRPr="00F81244">
        <w:rPr>
          <w:rFonts w:cs="Arial"/>
          <w:color w:val="000000" w:themeColor="text1"/>
        </w:rPr>
        <w:lastRenderedPageBreak/>
        <w:t>malým počtem firem pohybujících se na technologické hranici svého oboru schopných generovat technologické inovace vyšších řádů, které jsou nové pro trh;</w:t>
      </w:r>
    </w:p>
    <w:p w14:paraId="67B2BCF3" w14:textId="77777777" w:rsidR="00790C59" w:rsidRPr="00F81244" w:rsidRDefault="00790C59" w:rsidP="00543C1B">
      <w:pPr>
        <w:numPr>
          <w:ilvl w:val="0"/>
          <w:numId w:val="75"/>
        </w:numPr>
        <w:spacing w:after="200" w:line="360" w:lineRule="auto"/>
        <w:contextualSpacing/>
        <w:jc w:val="both"/>
        <w:rPr>
          <w:rFonts w:cs="Arial"/>
          <w:color w:val="000000" w:themeColor="text1"/>
        </w:rPr>
      </w:pPr>
      <w:r w:rsidRPr="00F81244">
        <w:rPr>
          <w:rFonts w:cs="Arial"/>
          <w:color w:val="000000" w:themeColor="text1"/>
        </w:rPr>
        <w:t>závislostí na velkých zahraničních firmách, z nichž většina má rozhodující část VaV kapacit mimo ČR.</w:t>
      </w:r>
    </w:p>
    <w:p w14:paraId="4F07B248" w14:textId="77777777" w:rsidR="00790C59" w:rsidRPr="00F81244" w:rsidRDefault="00790C59" w:rsidP="00CD2AAE">
      <w:pPr>
        <w:spacing w:after="0" w:line="360" w:lineRule="auto"/>
        <w:ind w:firstLine="709"/>
        <w:jc w:val="both"/>
        <w:rPr>
          <w:rFonts w:cs="Arial"/>
          <w:color w:val="000000" w:themeColor="text1"/>
        </w:rPr>
      </w:pPr>
      <w:r w:rsidRPr="00F81244">
        <w:rPr>
          <w:rFonts w:cs="Arial"/>
          <w:color w:val="000000" w:themeColor="text1"/>
        </w:rPr>
        <w:t xml:space="preserve">Důsledkem uvedených charakteristik podnikového sektoru je nízká inovační poptávka v oblasti vyšších řádů inovací, což omezuje potenciál pro výzkumnou spolupráci a technologický transfer mezi firmami a výzkumnými organizacemi. </w:t>
      </w:r>
    </w:p>
    <w:p w14:paraId="754F6598" w14:textId="0071A8F2" w:rsidR="00790C59" w:rsidRPr="00A47FB1" w:rsidRDefault="00790C59" w:rsidP="00CD2AAE">
      <w:pPr>
        <w:spacing w:after="0" w:line="360" w:lineRule="auto"/>
        <w:ind w:firstLine="708"/>
        <w:jc w:val="both"/>
        <w:rPr>
          <w:rFonts w:cs="Arial"/>
          <w:color w:val="000000" w:themeColor="text1"/>
        </w:rPr>
      </w:pPr>
      <w:r w:rsidRPr="00A47FB1">
        <w:rPr>
          <w:rFonts w:cs="Arial"/>
          <w:color w:val="000000" w:themeColor="text1"/>
        </w:rPr>
        <w:t>Vezmeme-li v úvahu, že dopravní prostředky</w:t>
      </w:r>
      <w:r w:rsidRPr="00A47FB1">
        <w:rPr>
          <w:rFonts w:cs="Arial"/>
          <w:color w:val="000000" w:themeColor="text1"/>
          <w:vertAlign w:val="superscript"/>
        </w:rPr>
        <w:footnoteReference w:id="59"/>
      </w:r>
      <w:r w:rsidRPr="00A47FB1">
        <w:rPr>
          <w:rFonts w:cs="Arial"/>
          <w:color w:val="000000" w:themeColor="text1"/>
        </w:rPr>
        <w:t xml:space="preserve"> jsou v zásadě stroje vybavené moderní elektronikou a využívající množství elektrotechnických komponent, můžeme dosavadní prezentaci dat za export a podnikové výdaje na VaV shrnout tak, že </w:t>
      </w:r>
      <w:r w:rsidRPr="00A47FB1">
        <w:rPr>
          <w:rFonts w:cs="Arial"/>
          <w:i/>
          <w:color w:val="000000" w:themeColor="text1"/>
        </w:rPr>
        <w:t>hospodářský výkon ČR je založen na průmyslové výrobě s rozhodujícím postavením oborů opírajících se o znalosti a technologie z oblasti strojírenství, elektrotechniky a elektroniky. Významnou součástí těchto aplikačních oborů jsou informační technologie a související služby</w:t>
      </w:r>
      <w:r w:rsidRPr="00A47FB1">
        <w:rPr>
          <w:rFonts w:cs="Arial"/>
          <w:color w:val="000000" w:themeColor="text1"/>
          <w:vertAlign w:val="superscript"/>
        </w:rPr>
        <w:footnoteReference w:id="60"/>
      </w:r>
      <w:r w:rsidRPr="00A47FB1">
        <w:rPr>
          <w:rFonts w:cs="Arial"/>
          <w:i/>
          <w:color w:val="000000" w:themeColor="text1"/>
        </w:rPr>
        <w:t>, které jsou integrální součástí moderních technologií ve strojírenství, elektrotechnice i dopravních systémech</w:t>
      </w:r>
      <w:r w:rsidRPr="00A47FB1">
        <w:rPr>
          <w:rFonts w:cs="Arial"/>
          <w:color w:val="000000" w:themeColor="text1"/>
        </w:rPr>
        <w:t>. Vedle automobilového průmyslu, který představuje dominantní hnací odvětví pro velkou část firem ze strojírenství, elektrotechniky i dalších dodavatelských oborů, je důležitým hnacím odvětvím také energetika a investiční celky pro petrochemický, hutnický, těžební a strojírenský průmysl. Velký podíl celkové produkce ve strojírenství a elektrotechnice „končí" v těchto oborech. Význam energetiky a investičních celků spočívá mj. i</w:t>
      </w:r>
      <w:r w:rsidR="00E81235">
        <w:rPr>
          <w:rFonts w:cs="Arial"/>
          <w:color w:val="000000" w:themeColor="text1"/>
        </w:rPr>
        <w:t> </w:t>
      </w:r>
      <w:r w:rsidRPr="00A47FB1">
        <w:rPr>
          <w:rFonts w:cs="Arial"/>
          <w:color w:val="000000" w:themeColor="text1"/>
        </w:rPr>
        <w:t>v dobré image „made in Czech“ na rychle se rozvíjejících trzích post-sovětských zemí a některých států v Asii. Vedle těchto tradičních oborů se z hlediska specializace na národní úrovni profiluje také odvětví výroby léčiv a zdravotnických prostředků, která mají relativně vysokou znalostní intenzitu a také rostoucí ekonomickou dynamiku.</w:t>
      </w:r>
    </w:p>
    <w:p w14:paraId="01F97893" w14:textId="77777777" w:rsidR="00790C59" w:rsidRPr="00A47FB1" w:rsidRDefault="00790C59" w:rsidP="00F81244">
      <w:pPr>
        <w:spacing w:after="0" w:line="360" w:lineRule="auto"/>
        <w:ind w:firstLine="708"/>
        <w:jc w:val="both"/>
        <w:rPr>
          <w:rFonts w:cs="Arial"/>
          <w:color w:val="000000" w:themeColor="text1"/>
        </w:rPr>
      </w:pPr>
      <w:r w:rsidRPr="00A47FB1">
        <w:rPr>
          <w:rFonts w:cs="Arial"/>
          <w:color w:val="000000" w:themeColor="text1"/>
        </w:rPr>
        <w:t xml:space="preserve">Automobilový, strojírenský, elektrotechnický a na ně navazující IT průmysl, stejně jako výroba léčiv a zdravotnických prostředků, jsou nosnými obory řady dalších zemí. Důležité je proto uvnitř těchto odvětví identifikovat konkrétní dílčí obory, které představují hlavní konkurenční sílu ekonomiky. Právě tyto dílčí obory, resp. firmy v nich, jsou důležité pro identifikaci znalostních domén, na jejichž rozvoj bude cílit inteligentní specializace. </w:t>
      </w:r>
    </w:p>
    <w:p w14:paraId="5A9358B9" w14:textId="766B8787" w:rsidR="00790C59" w:rsidRPr="00A47FB1" w:rsidRDefault="00790C59" w:rsidP="0082270E">
      <w:pPr>
        <w:spacing w:after="0" w:line="360" w:lineRule="auto"/>
        <w:ind w:firstLine="708"/>
        <w:jc w:val="both"/>
        <w:rPr>
          <w:rFonts w:cs="Arial"/>
          <w:b/>
          <w:color w:val="000000" w:themeColor="text1"/>
        </w:rPr>
      </w:pPr>
      <w:r w:rsidRPr="00A47FB1">
        <w:rPr>
          <w:rFonts w:cs="Arial"/>
          <w:color w:val="000000" w:themeColor="text1"/>
        </w:rPr>
        <w:t xml:space="preserve">Souhrnně je možné na základě výše uvedené kombinace dostupných empirických dat na straně jedné (data o intenzitě exportu, intenzitě výdajů na výzkum a vývoj, vývoji obratu v čase), a na straně druhé na základě započatého procesu entrepreneurial discovery, který probíhá od roku 2013 na regionální úrovni, identifikovat oblasti ekonomické specializace, kde ČR vykazuje nadprůměrný růstový potenciál. Jsou to </w:t>
      </w:r>
      <w:r w:rsidRPr="00A47FB1">
        <w:rPr>
          <w:rFonts w:cs="Arial"/>
          <w:b/>
          <w:color w:val="000000" w:themeColor="text1"/>
        </w:rPr>
        <w:t xml:space="preserve">výroba dopravních prostředků a zařízení, strojírenství, elektronika </w:t>
      </w:r>
      <w:r w:rsidRPr="00A47FB1">
        <w:rPr>
          <w:rFonts w:cs="Arial"/>
          <w:b/>
          <w:color w:val="000000" w:themeColor="text1"/>
        </w:rPr>
        <w:lastRenderedPageBreak/>
        <w:t>a</w:t>
      </w:r>
      <w:r w:rsidR="00B0028E">
        <w:rPr>
          <w:rFonts w:cs="Arial"/>
          <w:b/>
          <w:color w:val="000000" w:themeColor="text1"/>
        </w:rPr>
        <w:t> </w:t>
      </w:r>
      <w:r w:rsidRPr="00A47FB1">
        <w:rPr>
          <w:rFonts w:cs="Arial"/>
          <w:b/>
          <w:color w:val="000000" w:themeColor="text1"/>
        </w:rPr>
        <w:t>elektrotechnika, IT služby a software, výroba a distribuce elektrické energie, a léčiva a zdravotnické prostředky</w:t>
      </w:r>
      <w:r w:rsidRPr="00A47FB1">
        <w:rPr>
          <w:rFonts w:cs="Arial"/>
          <w:b/>
          <w:color w:val="000000" w:themeColor="text1"/>
          <w:vertAlign w:val="superscript"/>
        </w:rPr>
        <w:footnoteReference w:id="61"/>
      </w:r>
      <w:r w:rsidRPr="00A47FB1">
        <w:rPr>
          <w:rFonts w:cs="Arial"/>
          <w:b/>
          <w:color w:val="000000" w:themeColor="text1"/>
        </w:rPr>
        <w:t>.</w:t>
      </w:r>
    </w:p>
    <w:p w14:paraId="61BF8953" w14:textId="363D6D24" w:rsidR="00790C59" w:rsidRPr="00A47FB1" w:rsidRDefault="00790C59" w:rsidP="0082270E">
      <w:pPr>
        <w:spacing w:after="0" w:line="360" w:lineRule="auto"/>
        <w:ind w:firstLine="708"/>
        <w:jc w:val="both"/>
        <w:rPr>
          <w:rFonts w:cs="Arial"/>
          <w:color w:val="000000" w:themeColor="text1"/>
        </w:rPr>
      </w:pPr>
      <w:r w:rsidRPr="00A47FB1">
        <w:rPr>
          <w:rFonts w:cs="Arial"/>
          <w:color w:val="000000" w:themeColor="text1"/>
        </w:rPr>
        <w:t xml:space="preserve">Je nutné zdůraznit, že prakticky u všech identifikovaných aplikačních oblastí (s výjimkou IT služeb a částečně u zdravotních služeb a péče) se jedná o obory výrobní. To odráží aktuální ekonomickou specializaci ČR a v tomto ohledu je žádoucí také usměrňovat do budoucna specializaci výzkumnou. To však nesmí vést k mylnému závěru, že je vhodné podporovat výlučně průmyslovou výrobu. Naopak u všech identifikovaných výrobních odvětví je s ohledem na rostoucí globální komodifikaci výrobních činností žádoucí </w:t>
      </w:r>
      <w:r w:rsidRPr="00A47FB1">
        <w:rPr>
          <w:rFonts w:cs="Arial"/>
          <w:b/>
          <w:color w:val="000000" w:themeColor="text1"/>
        </w:rPr>
        <w:t>zvyšovat podíl souvisejících kvalifikovaných služeb</w:t>
      </w:r>
      <w:r w:rsidRPr="00A47FB1">
        <w:rPr>
          <w:rFonts w:cs="Arial"/>
          <w:color w:val="000000" w:themeColor="text1"/>
        </w:rPr>
        <w:t xml:space="preserve"> (např.</w:t>
      </w:r>
      <w:r w:rsidR="00610FF0">
        <w:rPr>
          <w:rFonts w:cs="Arial"/>
          <w:color w:val="000000" w:themeColor="text1"/>
        </w:rPr>
        <w:t> </w:t>
      </w:r>
      <w:r w:rsidRPr="00A47FB1">
        <w:rPr>
          <w:rFonts w:cs="Arial"/>
          <w:color w:val="000000" w:themeColor="text1"/>
        </w:rPr>
        <w:t xml:space="preserve">konstrukce, testování, design, zakázkový vývoj, poradenské služby, ale také marketingové služby) na ekonomické výkonnosti ČR. </w:t>
      </w:r>
    </w:p>
    <w:p w14:paraId="0C041703" w14:textId="77777777" w:rsidR="00790C59" w:rsidRDefault="00790C59" w:rsidP="00485FF7">
      <w:pPr>
        <w:spacing w:after="0" w:line="360" w:lineRule="auto"/>
        <w:ind w:firstLine="708"/>
        <w:jc w:val="both"/>
        <w:rPr>
          <w:rFonts w:cs="Arial"/>
          <w:color w:val="000000" w:themeColor="text1"/>
        </w:rPr>
      </w:pPr>
      <w:r w:rsidRPr="00A47FB1">
        <w:rPr>
          <w:rFonts w:cs="Arial"/>
          <w:color w:val="000000" w:themeColor="text1"/>
        </w:rPr>
        <w:t>V těchto aplikačních oblastech existují české podnikatelské subjekty, které vykazují značnou znalostní intenzitu, pozitivní ekonomickou dynamiku a slibný potenciál do budoucna. Tyto oblasti představují koncentraci zásadních znalostně intenzivních a inovačních aktivit podniků, které byly identifikovány – s využitím entrepreneurial discovery process – z regionální úrovně a ověřeny datovými analýzami na národní úrovni. Jedná se o aplikační oblasti</w:t>
      </w:r>
      <w:r w:rsidRPr="00A47FB1">
        <w:rPr>
          <w:rFonts w:cs="Arial"/>
          <w:color w:val="000000" w:themeColor="text1"/>
          <w:vertAlign w:val="superscript"/>
        </w:rPr>
        <w:footnoteReference w:id="62"/>
      </w:r>
      <w:r w:rsidRPr="00A47FB1">
        <w:rPr>
          <w:rFonts w:cs="Arial"/>
          <w:color w:val="000000" w:themeColor="text1"/>
        </w:rPr>
        <w:t xml:space="preserve">, v nichž se uplatňuje vysokou mírou specifická znalost a technologické kompetence a které je vhodné do budoucna v rámci Strategie inteligentní specializace rozvíjet a posilovat. </w:t>
      </w:r>
    </w:p>
    <w:p w14:paraId="2AD251E2" w14:textId="77777777" w:rsidR="00485FF7" w:rsidRPr="00A47FB1" w:rsidRDefault="00485FF7" w:rsidP="00485FF7">
      <w:pPr>
        <w:spacing w:after="0" w:line="360" w:lineRule="auto"/>
        <w:ind w:firstLine="708"/>
        <w:jc w:val="both"/>
        <w:rPr>
          <w:rFonts w:cs="Arial"/>
          <w:color w:val="000000" w:themeColor="text1"/>
        </w:rPr>
      </w:pPr>
    </w:p>
    <w:p w14:paraId="13F38A1C" w14:textId="77777777" w:rsidR="00790C59" w:rsidRPr="00A47FB1" w:rsidRDefault="00790C59" w:rsidP="00A47FB1">
      <w:pPr>
        <w:spacing w:after="0" w:line="360" w:lineRule="auto"/>
        <w:jc w:val="both"/>
        <w:rPr>
          <w:rFonts w:cs="Arial"/>
          <w:b/>
          <w:color w:val="000000" w:themeColor="text1"/>
        </w:rPr>
      </w:pPr>
      <w:r w:rsidRPr="00A47FB1">
        <w:rPr>
          <w:rFonts w:cs="Arial"/>
          <w:b/>
          <w:color w:val="000000" w:themeColor="text1"/>
        </w:rPr>
        <w:t>Výroba dopravních prostředků a zařízení</w:t>
      </w:r>
    </w:p>
    <w:p w14:paraId="01061A9C" w14:textId="435A4899" w:rsidR="00790C59" w:rsidRPr="00A47FB1" w:rsidRDefault="00790C59" w:rsidP="00A47FB1">
      <w:pPr>
        <w:spacing w:after="0" w:line="360" w:lineRule="auto"/>
        <w:jc w:val="both"/>
        <w:rPr>
          <w:rFonts w:cs="Arial"/>
          <w:color w:val="000000" w:themeColor="text1"/>
        </w:rPr>
      </w:pPr>
      <w:r w:rsidRPr="00A47FB1">
        <w:rPr>
          <w:rFonts w:cs="Arial"/>
          <w:color w:val="000000" w:themeColor="text1"/>
        </w:rPr>
        <w:t>Osobní automobily a jejich komponenty (světlomety, spalovací motory, převody, brzdy atd.), vývoj, konstrukce a testování</w:t>
      </w:r>
    </w:p>
    <w:p w14:paraId="62377C41"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Letadla, zejména ultralehká, a jejich komponenty, vývoj, konstrukce a testování</w:t>
      </w:r>
    </w:p>
    <w:p w14:paraId="05A6C28D"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Kosmické technologie</w:t>
      </w:r>
      <w:r w:rsidRPr="00A47FB1">
        <w:rPr>
          <w:rFonts w:cs="Arial"/>
          <w:color w:val="000000" w:themeColor="text1"/>
          <w:vertAlign w:val="superscript"/>
        </w:rPr>
        <w:footnoteReference w:id="63"/>
      </w:r>
      <w:r w:rsidRPr="00A47FB1">
        <w:rPr>
          <w:rFonts w:cs="Arial"/>
          <w:color w:val="000000" w:themeColor="text1"/>
        </w:rPr>
        <w:t xml:space="preserve">, včetně jejich využití mimo kosmické aplikace </w:t>
      </w:r>
    </w:p>
    <w:p w14:paraId="6982609B"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Elektrická vozidla a elektrické pohonné jednotky</w:t>
      </w:r>
    </w:p>
    <w:p w14:paraId="49C0FBCA"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Kolejová vozidla a jejich komponenty, vývoj, konstrukce a testování</w:t>
      </w:r>
    </w:p>
    <w:p w14:paraId="0B885A4A"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Materiály s nízkou energetickou a materiálovou náročností</w:t>
      </w:r>
    </w:p>
    <w:p w14:paraId="08FC7D90"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lastRenderedPageBreak/>
        <w:t>Sdělovací a zabezpečovací technika a elektronické řídicí a informační systémy, vývoj, konstrukce, testování</w:t>
      </w:r>
    </w:p>
    <w:p w14:paraId="5969A506" w14:textId="77777777" w:rsidR="00790C59" w:rsidRPr="00A47FB1" w:rsidRDefault="00790C59" w:rsidP="00A47FB1">
      <w:pPr>
        <w:spacing w:after="0" w:line="360" w:lineRule="auto"/>
        <w:jc w:val="both"/>
        <w:rPr>
          <w:rFonts w:cs="Arial"/>
          <w:b/>
          <w:color w:val="000000" w:themeColor="text1"/>
        </w:rPr>
      </w:pPr>
    </w:p>
    <w:p w14:paraId="44ECBB5C" w14:textId="77777777" w:rsidR="00790C59" w:rsidRPr="00A47FB1" w:rsidRDefault="00790C59" w:rsidP="00A47FB1">
      <w:pPr>
        <w:spacing w:after="0" w:line="360" w:lineRule="auto"/>
        <w:jc w:val="both"/>
        <w:rPr>
          <w:rFonts w:cs="Arial"/>
          <w:b/>
          <w:color w:val="000000" w:themeColor="text1"/>
        </w:rPr>
      </w:pPr>
      <w:r w:rsidRPr="00A47FB1">
        <w:rPr>
          <w:rFonts w:cs="Arial"/>
          <w:b/>
          <w:color w:val="000000" w:themeColor="text1"/>
        </w:rPr>
        <w:t>Strojírenství</w:t>
      </w:r>
    </w:p>
    <w:p w14:paraId="48DC8CA4"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Energetické strojírenství (turbíny, kotle, spalovací a zplyňovací zařízení atd.)</w:t>
      </w:r>
    </w:p>
    <w:p w14:paraId="500C4FB6"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Engineering a projekce pro investiční celky</w:t>
      </w:r>
    </w:p>
    <w:p w14:paraId="035AD4AF"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Strojírenská výrobní technika, mechatronické systémy, obráběcí a tvářecí stroje a nástroje</w:t>
      </w:r>
    </w:p>
    <w:p w14:paraId="4E9DEFB3"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Přesná mechanika a měřící technika</w:t>
      </w:r>
    </w:p>
    <w:p w14:paraId="1C0193BA"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 xml:space="preserve">Čerpací technika </w:t>
      </w:r>
    </w:p>
    <w:p w14:paraId="038CF70E"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Textilní stroje</w:t>
      </w:r>
    </w:p>
    <w:p w14:paraId="51EE7534"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Progresivní materiály a technologie jejich zpracování, povrchové úpravy</w:t>
      </w:r>
    </w:p>
    <w:p w14:paraId="441330AB"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Konstrukční činnosti, modelování, simulace</w:t>
      </w:r>
    </w:p>
    <w:p w14:paraId="2F3EF5BA"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Optimalizace výrobních procesů</w:t>
      </w:r>
    </w:p>
    <w:p w14:paraId="1D659FBD" w14:textId="77777777" w:rsidR="00790C59" w:rsidRPr="00A47FB1" w:rsidRDefault="00790C59" w:rsidP="00A47FB1">
      <w:pPr>
        <w:spacing w:after="0" w:line="360" w:lineRule="auto"/>
        <w:jc w:val="both"/>
        <w:rPr>
          <w:rFonts w:cs="Arial"/>
          <w:b/>
          <w:color w:val="000000" w:themeColor="text1"/>
        </w:rPr>
      </w:pPr>
    </w:p>
    <w:p w14:paraId="5EADCDDB" w14:textId="77777777" w:rsidR="00790C59" w:rsidRPr="00A47FB1" w:rsidRDefault="00790C59" w:rsidP="00A47FB1">
      <w:pPr>
        <w:spacing w:after="0" w:line="360" w:lineRule="auto"/>
        <w:jc w:val="both"/>
        <w:rPr>
          <w:rFonts w:cs="Arial"/>
          <w:b/>
          <w:color w:val="000000" w:themeColor="text1"/>
        </w:rPr>
      </w:pPr>
      <w:r w:rsidRPr="00A47FB1">
        <w:rPr>
          <w:rFonts w:cs="Arial"/>
          <w:b/>
          <w:color w:val="000000" w:themeColor="text1"/>
        </w:rPr>
        <w:t>Elektronika a elektrotechnika</w:t>
      </w:r>
    </w:p>
    <w:p w14:paraId="4CBF2D3D"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Průmyslová automatizace, komunikace, identifikace, kontrolní zařízení</w:t>
      </w:r>
    </w:p>
    <w:p w14:paraId="5D375F77"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Robotika, umělá inteligence</w:t>
      </w:r>
    </w:p>
    <w:p w14:paraId="30563E0F"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Spínací technika, jističe, spínače, rozvaděče</w:t>
      </w:r>
    </w:p>
    <w:p w14:paraId="77979984"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Mikroelektronika</w:t>
      </w:r>
    </w:p>
    <w:p w14:paraId="0DE95584"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Analytické, měřící a vědecké přístroje</w:t>
      </w:r>
    </w:p>
    <w:p w14:paraId="4B826678"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Elektromotory a elektrické rotační stroje a zařízení</w:t>
      </w:r>
    </w:p>
    <w:p w14:paraId="64A1E84D"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Optika, optoelektronika, lasery a jejich aplikace</w:t>
      </w:r>
    </w:p>
    <w:p w14:paraId="3259C297" w14:textId="77777777" w:rsidR="00790C59" w:rsidRPr="00A47FB1" w:rsidRDefault="00790C59" w:rsidP="00A47FB1">
      <w:pPr>
        <w:spacing w:after="0" w:line="360" w:lineRule="auto"/>
        <w:jc w:val="both"/>
        <w:rPr>
          <w:rFonts w:cs="Arial"/>
          <w:b/>
          <w:color w:val="000000" w:themeColor="text1"/>
        </w:rPr>
      </w:pPr>
    </w:p>
    <w:p w14:paraId="388AF4EC" w14:textId="77777777" w:rsidR="00790C59" w:rsidRPr="00A47FB1" w:rsidRDefault="00790C59" w:rsidP="00A47FB1">
      <w:pPr>
        <w:spacing w:after="0" w:line="360" w:lineRule="auto"/>
        <w:jc w:val="both"/>
        <w:rPr>
          <w:rFonts w:cs="Arial"/>
          <w:b/>
          <w:color w:val="000000" w:themeColor="text1"/>
        </w:rPr>
      </w:pPr>
      <w:r w:rsidRPr="00A47FB1">
        <w:rPr>
          <w:rFonts w:cs="Arial"/>
          <w:b/>
          <w:color w:val="000000" w:themeColor="text1"/>
        </w:rPr>
        <w:t>IT služby a software</w:t>
      </w:r>
    </w:p>
    <w:p w14:paraId="45E2C1F3"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Síťové technologie a bezpečnost sítí</w:t>
      </w:r>
    </w:p>
    <w:p w14:paraId="2737544E"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Antivirový SW</w:t>
      </w:r>
    </w:p>
    <w:p w14:paraId="10AA03B0"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Databázové, informační a expertní systémy, podnikový SW</w:t>
      </w:r>
    </w:p>
    <w:p w14:paraId="655C3820"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Kreativní IT služby, digitální media (inženýringové a architektonické služby, počítačové hry, audiovizuální a reklamní služby)</w:t>
      </w:r>
    </w:p>
    <w:p w14:paraId="1DE1FE84"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Internetové služby a mobilní aplikace</w:t>
      </w:r>
    </w:p>
    <w:p w14:paraId="01EDCE19"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 xml:space="preserve">Počítačové modelování, virtuální prototypování </w:t>
      </w:r>
    </w:p>
    <w:p w14:paraId="1B0834C7"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Aplikace založené na produktech kosmických systémů</w:t>
      </w:r>
    </w:p>
    <w:p w14:paraId="24DD89C4" w14:textId="77777777" w:rsidR="00790C59" w:rsidRDefault="00790C59" w:rsidP="00A47FB1">
      <w:pPr>
        <w:spacing w:after="0" w:line="360" w:lineRule="auto"/>
        <w:jc w:val="both"/>
        <w:rPr>
          <w:rFonts w:cs="Arial"/>
          <w:b/>
          <w:color w:val="000000" w:themeColor="text1"/>
        </w:rPr>
      </w:pPr>
    </w:p>
    <w:p w14:paraId="61FAFC04" w14:textId="77777777" w:rsidR="00790C59" w:rsidRPr="00A47FB1" w:rsidRDefault="00790C59" w:rsidP="00A47FB1">
      <w:pPr>
        <w:spacing w:after="0" w:line="360" w:lineRule="auto"/>
        <w:jc w:val="both"/>
        <w:rPr>
          <w:rFonts w:cs="Arial"/>
          <w:b/>
          <w:color w:val="000000" w:themeColor="text1"/>
        </w:rPr>
      </w:pPr>
      <w:r w:rsidRPr="00A47FB1">
        <w:rPr>
          <w:rFonts w:cs="Arial"/>
          <w:b/>
          <w:color w:val="000000" w:themeColor="text1"/>
        </w:rPr>
        <w:t>Výroba a distribuce elektrické energie</w:t>
      </w:r>
    </w:p>
    <w:p w14:paraId="74A32128"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Výroba a přeměna energie, zařízení pro výrobu a rozvod energie</w:t>
      </w:r>
    </w:p>
    <w:p w14:paraId="313BF777"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lastRenderedPageBreak/>
        <w:t xml:space="preserve">Přenos a řízení výroby a přenosu elektrické energie, inteligentní energetické sítě </w:t>
      </w:r>
    </w:p>
    <w:p w14:paraId="6491547D"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Výkonová elektronika, silnoproudá elektrotechnika</w:t>
      </w:r>
    </w:p>
    <w:p w14:paraId="36632B75"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Jaderná energetika</w:t>
      </w:r>
    </w:p>
    <w:p w14:paraId="1586FE80"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Těžba a využití uhlí</w:t>
      </w:r>
    </w:p>
    <w:p w14:paraId="76DE238D"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Obnovitelné zdroje energie, energetické využití odpadů</w:t>
      </w:r>
    </w:p>
    <w:p w14:paraId="4306DB1F"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Energetické materiály</w:t>
      </w:r>
    </w:p>
    <w:p w14:paraId="79111AAF"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Nízkouhlíkové technologie a energetické úspory</w:t>
      </w:r>
    </w:p>
    <w:p w14:paraId="2039B765"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 Energetická optimalizace činností pro uskutečnění a zabezpečení dopravy</w:t>
      </w:r>
    </w:p>
    <w:p w14:paraId="613D4F11" w14:textId="77777777" w:rsidR="00790C59" w:rsidRPr="00A47FB1" w:rsidRDefault="00790C59" w:rsidP="00A47FB1">
      <w:pPr>
        <w:spacing w:after="0" w:line="360" w:lineRule="auto"/>
        <w:jc w:val="both"/>
        <w:rPr>
          <w:rFonts w:cs="Arial"/>
          <w:b/>
          <w:color w:val="000000" w:themeColor="text1"/>
        </w:rPr>
      </w:pPr>
    </w:p>
    <w:p w14:paraId="080F33EB" w14:textId="77777777" w:rsidR="00790C59" w:rsidRPr="00A47FB1" w:rsidRDefault="00790C59" w:rsidP="00A47FB1">
      <w:pPr>
        <w:spacing w:after="0" w:line="360" w:lineRule="auto"/>
        <w:jc w:val="both"/>
        <w:rPr>
          <w:rFonts w:cs="Arial"/>
          <w:b/>
          <w:color w:val="000000" w:themeColor="text1"/>
        </w:rPr>
      </w:pPr>
      <w:r w:rsidRPr="00A47FB1">
        <w:rPr>
          <w:rFonts w:cs="Arial"/>
          <w:b/>
          <w:color w:val="000000" w:themeColor="text1"/>
        </w:rPr>
        <w:t>Léčiva a zdravotnické prostředky a metody</w:t>
      </w:r>
    </w:p>
    <w:p w14:paraId="4A4771B2"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Zdravotní technika a pomůcky</w:t>
      </w:r>
    </w:p>
    <w:p w14:paraId="31E1A3C4"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Implantáty a zdravotní náhrady, biologicky aktivní materiály</w:t>
      </w:r>
    </w:p>
    <w:p w14:paraId="38545179"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Diagnostická zařízení</w:t>
      </w:r>
    </w:p>
    <w:p w14:paraId="15C65C70"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Léčiva, farmakochemie</w:t>
      </w:r>
    </w:p>
    <w:p w14:paraId="75D4E11E"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Zdravotní služby a péče (lázeňství a balneologie, klinické zkoušky, biostatistika, apod.)</w:t>
      </w:r>
    </w:p>
    <w:p w14:paraId="02CD3117" w14:textId="77777777" w:rsidR="00790C59" w:rsidRPr="00A47FB1" w:rsidRDefault="00790C59" w:rsidP="00A47FB1">
      <w:pPr>
        <w:spacing w:after="0" w:line="360" w:lineRule="auto"/>
        <w:jc w:val="both"/>
        <w:rPr>
          <w:rFonts w:cs="Arial"/>
          <w:color w:val="000000" w:themeColor="text1"/>
        </w:rPr>
      </w:pPr>
    </w:p>
    <w:p w14:paraId="14E0F622" w14:textId="22B933AC" w:rsidR="00790C59" w:rsidRPr="00A47FB1" w:rsidRDefault="00790C59" w:rsidP="00A47FB1">
      <w:pPr>
        <w:spacing w:after="0" w:line="360" w:lineRule="auto"/>
        <w:ind w:firstLine="708"/>
        <w:jc w:val="both"/>
        <w:rPr>
          <w:rFonts w:cs="Arial"/>
          <w:color w:val="000000" w:themeColor="text1"/>
        </w:rPr>
      </w:pPr>
      <w:r w:rsidRPr="00A47FB1">
        <w:rPr>
          <w:rFonts w:cs="Arial"/>
          <w:color w:val="000000" w:themeColor="text1"/>
        </w:rPr>
        <w:t xml:space="preserve">Kromě šesti aplikačních </w:t>
      </w:r>
      <w:r w:rsidR="009B531F">
        <w:rPr>
          <w:rFonts w:cs="Arial"/>
          <w:color w:val="000000" w:themeColor="text1"/>
        </w:rPr>
        <w:t>odvětví</w:t>
      </w:r>
      <w:r w:rsidRPr="00A47FB1">
        <w:rPr>
          <w:rFonts w:cs="Arial"/>
          <w:color w:val="000000" w:themeColor="text1"/>
        </w:rPr>
        <w:t xml:space="preserve"> odvozených od ekonomické a inovační dynamiky příslušných aplikačních odvětví bylo dále doplněno ještě sedmé téma, které reflektuje potřebu inovací v oblasti přírodních zdrojů, zemědělství a potravinářství</w:t>
      </w:r>
      <w:r w:rsidRPr="00A47FB1">
        <w:rPr>
          <w:rFonts w:cs="Arial"/>
          <w:color w:val="000000" w:themeColor="text1"/>
          <w:vertAlign w:val="superscript"/>
        </w:rPr>
        <w:footnoteReference w:id="64"/>
      </w:r>
      <w:r w:rsidRPr="00A47FB1">
        <w:rPr>
          <w:rFonts w:cs="Arial"/>
          <w:color w:val="000000" w:themeColor="text1"/>
        </w:rPr>
        <w:t>. Jde o oblast, kde v tuto chvíli neexistuje bezprostřední komparativní výhoda ČR v mezinárodním měřítku, existuje zde však důvodný předpoklad, že z hlediska udržení dlouhodobé konkurenceschopnosti jde o kritickou oblast nezbytnou pro předcházení rizik (udržitelnost rozvoje, bezpečnost a dostatečnost zdrojů), která mohou dlouhodobě ohrožovat prosperitu ekonomiky a společnosti. Také v tomto tématu byly identifikovány užší aplikační oblasti, které vykazují výraznou dynamiku z hlediska produkce nových poznatků a</w:t>
      </w:r>
      <w:r w:rsidR="00EA32FF">
        <w:rPr>
          <w:rFonts w:cs="Arial"/>
          <w:color w:val="000000" w:themeColor="text1"/>
        </w:rPr>
        <w:t> </w:t>
      </w:r>
      <w:r w:rsidRPr="00A47FB1">
        <w:rPr>
          <w:rFonts w:cs="Arial"/>
          <w:color w:val="000000" w:themeColor="text1"/>
        </w:rPr>
        <w:t>dosahovaných aplikací.</w:t>
      </w:r>
    </w:p>
    <w:p w14:paraId="154F215E" w14:textId="77777777" w:rsidR="00790C59" w:rsidRPr="00A47FB1" w:rsidRDefault="00790C59" w:rsidP="00A47FB1">
      <w:pPr>
        <w:spacing w:after="0" w:line="360" w:lineRule="auto"/>
        <w:jc w:val="both"/>
        <w:rPr>
          <w:rFonts w:cs="Arial"/>
          <w:color w:val="000000" w:themeColor="text1"/>
        </w:rPr>
      </w:pPr>
    </w:p>
    <w:p w14:paraId="17BFC14F" w14:textId="77777777" w:rsidR="00790C59" w:rsidRPr="00A47FB1" w:rsidRDefault="00790C59" w:rsidP="00A47FB1">
      <w:pPr>
        <w:spacing w:after="0" w:line="360" w:lineRule="auto"/>
        <w:jc w:val="both"/>
        <w:rPr>
          <w:rFonts w:cs="Arial"/>
          <w:b/>
          <w:color w:val="000000" w:themeColor="text1"/>
        </w:rPr>
      </w:pPr>
      <w:r w:rsidRPr="00A47FB1">
        <w:rPr>
          <w:rFonts w:cs="Arial"/>
          <w:b/>
          <w:color w:val="000000" w:themeColor="text1"/>
        </w:rPr>
        <w:t>Přírodní zdroje, zemědělství a potravinářství</w:t>
      </w:r>
    </w:p>
    <w:p w14:paraId="3267A2FB"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Separační a sanační technologie pro životní prostředí a potravinářství</w:t>
      </w:r>
    </w:p>
    <w:p w14:paraId="4CE44243"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Technologie zpracování, čištění a úpravy vody, půdy a zpracování odpadů</w:t>
      </w:r>
    </w:p>
    <w:p w14:paraId="6BCEDE54"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Potravinářství a potravinová bezpečnost</w:t>
      </w:r>
    </w:p>
    <w:p w14:paraId="7A341C1F" w14:textId="39C19996" w:rsidR="00790C59" w:rsidRPr="00A47FB1" w:rsidRDefault="00790C59" w:rsidP="00A47FB1">
      <w:pPr>
        <w:spacing w:after="0" w:line="360" w:lineRule="auto"/>
        <w:jc w:val="both"/>
        <w:rPr>
          <w:rFonts w:cs="Arial"/>
          <w:color w:val="000000" w:themeColor="text1"/>
        </w:rPr>
      </w:pPr>
      <w:r w:rsidRPr="00A47FB1">
        <w:rPr>
          <w:rFonts w:cs="Arial"/>
          <w:color w:val="000000" w:themeColor="text1"/>
        </w:rPr>
        <w:t>Zemědělské a potravinářské technologie (biotechnologie, mikrobiologické postupy apod.)</w:t>
      </w:r>
    </w:p>
    <w:p w14:paraId="3C27C8C6" w14:textId="77777777" w:rsidR="00790C59" w:rsidRPr="00A47FB1" w:rsidRDefault="00790C59" w:rsidP="00A47FB1">
      <w:pPr>
        <w:spacing w:after="0" w:line="360" w:lineRule="auto"/>
        <w:jc w:val="both"/>
        <w:rPr>
          <w:rFonts w:cs="Arial"/>
          <w:color w:val="000000" w:themeColor="text1"/>
        </w:rPr>
      </w:pPr>
      <w:r w:rsidRPr="00A47FB1">
        <w:rPr>
          <w:rFonts w:cs="Arial"/>
          <w:color w:val="000000" w:themeColor="text1"/>
        </w:rPr>
        <w:t>Výroba alkoholických nápojů (vč. pivovarnictví) a související dodavatelské řetězce</w:t>
      </w:r>
    </w:p>
    <w:p w14:paraId="5D4E22FA" w14:textId="77777777" w:rsidR="00790C59" w:rsidRDefault="00790C59" w:rsidP="00A47FB1">
      <w:pPr>
        <w:spacing w:after="0" w:line="360" w:lineRule="auto"/>
        <w:jc w:val="both"/>
        <w:rPr>
          <w:rFonts w:cs="Arial"/>
          <w:color w:val="000000" w:themeColor="text1"/>
        </w:rPr>
      </w:pPr>
      <w:r w:rsidRPr="00A47FB1">
        <w:rPr>
          <w:rFonts w:cs="Arial"/>
          <w:color w:val="000000" w:themeColor="text1"/>
        </w:rPr>
        <w:lastRenderedPageBreak/>
        <w:t>Sladkovodní rybářství a zpracování ryb</w:t>
      </w:r>
    </w:p>
    <w:p w14:paraId="6AD617DB" w14:textId="77777777" w:rsidR="00EC4DD2" w:rsidRPr="00EC4DD2" w:rsidRDefault="00EC4DD2" w:rsidP="00592BB9">
      <w:pPr>
        <w:spacing w:after="0" w:line="360" w:lineRule="auto"/>
        <w:ind w:firstLine="708"/>
        <w:jc w:val="both"/>
      </w:pPr>
      <w:r w:rsidRPr="00EC4DD2">
        <w:t>Vedle tradičně silných hospodářských odvětví tvoří významnou skupinu uživatelů výsledků výzkumu také veřejná správa a další organizace spravující veřejné statky, zejména tam, kde dochází k monopolní či oligopolní tržní situaci („veřejné infrastruktury“). Mezi tato odvětví patří zejména sektor zdravotnictví, dále oblast energetiky a energetického hospodářství (výroba a rozvod elektrické energie), vodního a odpadového hospodářství, monitoringu životního prostředí a opatření na snižování negativních jevů na člověka a prostředí (včetně vlivu klimatických změn), a bezpečnost (včetně správy kritických infrastruktur a řízení krizových situací). Jedná se v podstatě o společenské výzvy, na které musí česká společnost reagovat a pro které je nezbytné udržovat a dále rozvíjet znalostní zázemí. Společenské výzvy přitom často vyžadují inovativní řešení založená na kombinaci znalostí a expertízy z jednotlivých výzkumných oblastí a současně jejich řešení může v řadě případů nejen nabízet řešení společenských problémů, ale také otvírat nové tržní příležitosti pro soukromé subjekty.</w:t>
      </w:r>
    </w:p>
    <w:p w14:paraId="325E1336" w14:textId="042E7ED2" w:rsidR="00EC4DD2" w:rsidRDefault="009F2F26" w:rsidP="00592BB9">
      <w:pPr>
        <w:spacing w:after="0" w:line="360" w:lineRule="auto"/>
        <w:ind w:firstLine="708"/>
        <w:jc w:val="both"/>
      </w:pPr>
      <w:r w:rsidRPr="001F1DD6">
        <w:rPr>
          <w:highlight w:val="yellow"/>
        </w:rPr>
        <w:fldChar w:fldCharType="begin"/>
      </w:r>
      <w:r w:rsidRPr="001F1DD6">
        <w:instrText xml:space="preserve"> REF _Ref523146534 \h </w:instrText>
      </w:r>
      <w:r w:rsidRPr="001F1DD6">
        <w:rPr>
          <w:highlight w:val="yellow"/>
        </w:rPr>
      </w:r>
      <w:r w:rsidRPr="001F1DD6">
        <w:rPr>
          <w:highlight w:val="yellow"/>
        </w:rPr>
        <w:fldChar w:fldCharType="separate"/>
      </w:r>
      <w:r w:rsidR="00DE40D4">
        <w:t xml:space="preserve">Tabulka </w:t>
      </w:r>
      <w:r w:rsidR="00DE40D4">
        <w:rPr>
          <w:noProof/>
        </w:rPr>
        <w:t>6</w:t>
      </w:r>
      <w:r w:rsidRPr="001F1DD6">
        <w:rPr>
          <w:highlight w:val="yellow"/>
        </w:rPr>
        <w:fldChar w:fldCharType="end"/>
      </w:r>
      <w:r w:rsidR="00EC4DD2" w:rsidRPr="001F1DD6">
        <w:t xml:space="preserve"> uvá</w:t>
      </w:r>
      <w:r w:rsidR="00EC4DD2" w:rsidRPr="00EC4DD2">
        <w:t>dí přehled společenských výzev, na něž je nutné reagovat při definování intervencí v oblasti VaVaI při implementaci Strategie inteligentní specializace.</w:t>
      </w:r>
    </w:p>
    <w:p w14:paraId="6174B14B" w14:textId="77777777" w:rsidR="002E54BF" w:rsidRDefault="002E54BF" w:rsidP="00EC4DD2">
      <w:pPr>
        <w:spacing w:line="360" w:lineRule="auto"/>
        <w:jc w:val="both"/>
      </w:pPr>
    </w:p>
    <w:p w14:paraId="3F54A646" w14:textId="53384CBF" w:rsidR="009F2F26" w:rsidRPr="00EF0518" w:rsidRDefault="009F2F26" w:rsidP="00580DE3">
      <w:pPr>
        <w:pStyle w:val="Titulek"/>
      </w:pPr>
      <w:bookmarkStart w:id="83" w:name="_Ref523146534"/>
      <w:bookmarkStart w:id="84" w:name="_Toc397001020"/>
      <w:bookmarkStart w:id="85" w:name="_Toc455143644"/>
      <w:bookmarkStart w:id="86" w:name="_Toc524677666"/>
      <w:r>
        <w:t xml:space="preserve">Tabulka </w:t>
      </w:r>
      <w:r w:rsidR="00BE65D6">
        <w:rPr>
          <w:noProof/>
        </w:rPr>
        <w:fldChar w:fldCharType="begin"/>
      </w:r>
      <w:r w:rsidR="00BE65D6">
        <w:rPr>
          <w:noProof/>
        </w:rPr>
        <w:instrText xml:space="preserve"> SEQ Tabulka \* ARABIC </w:instrText>
      </w:r>
      <w:r w:rsidR="00BE65D6">
        <w:rPr>
          <w:noProof/>
        </w:rPr>
        <w:fldChar w:fldCharType="separate"/>
      </w:r>
      <w:r w:rsidR="00DE40D4">
        <w:rPr>
          <w:noProof/>
        </w:rPr>
        <w:t>6</w:t>
      </w:r>
      <w:r w:rsidR="00BE65D6">
        <w:rPr>
          <w:noProof/>
        </w:rPr>
        <w:fldChar w:fldCharType="end"/>
      </w:r>
      <w:bookmarkEnd w:id="83"/>
      <w:r>
        <w:t xml:space="preserve"> - </w:t>
      </w:r>
      <w:r w:rsidRPr="00EF0518">
        <w:t>Společenské výzvy ČR</w:t>
      </w:r>
      <w:r w:rsidRPr="00EF0518">
        <w:rPr>
          <w:rStyle w:val="Znakapoznpodarou"/>
          <w:rFonts w:eastAsiaTheme="majorEastAsia"/>
        </w:rPr>
        <w:footnoteReference w:id="65"/>
      </w:r>
      <w:bookmarkEnd w:id="84"/>
      <w:bookmarkEnd w:id="85"/>
      <w:bookmarkEnd w:id="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2"/>
        <w:gridCol w:w="2648"/>
        <w:gridCol w:w="5702"/>
      </w:tblGrid>
      <w:tr w:rsidR="009F2F26" w:rsidRPr="009F2F26" w14:paraId="16C925F9" w14:textId="77777777" w:rsidTr="00936360">
        <w:tc>
          <w:tcPr>
            <w:tcW w:w="169" w:type="pct"/>
            <w:vMerge w:val="restart"/>
            <w:shd w:val="clear" w:color="auto" w:fill="004B8D"/>
            <w:textDirection w:val="btLr"/>
            <w:vAlign w:val="center"/>
          </w:tcPr>
          <w:p w14:paraId="2D7BA69E" w14:textId="77777777" w:rsidR="009F2F26" w:rsidRPr="009F2F26" w:rsidRDefault="009F2F26" w:rsidP="005F762C">
            <w:pPr>
              <w:spacing w:after="0"/>
              <w:ind w:left="113" w:right="113"/>
              <w:rPr>
                <w:rFonts w:cstheme="minorHAnsi"/>
                <w:b/>
                <w:sz w:val="18"/>
                <w:szCs w:val="18"/>
              </w:rPr>
            </w:pPr>
            <w:r w:rsidRPr="009F2F26">
              <w:rPr>
                <w:rFonts w:cstheme="minorHAnsi"/>
                <w:b/>
                <w:sz w:val="18"/>
                <w:szCs w:val="18"/>
              </w:rPr>
              <w:t>S</w:t>
            </w:r>
            <w:r w:rsidRPr="00936360">
              <w:rPr>
                <w:rFonts w:cstheme="minorHAnsi"/>
                <w:b/>
                <w:sz w:val="18"/>
                <w:szCs w:val="18"/>
                <w:shd w:val="clear" w:color="auto" w:fill="004B8D"/>
              </w:rPr>
              <w:t>polečenské výzvy</w:t>
            </w:r>
          </w:p>
        </w:tc>
        <w:tc>
          <w:tcPr>
            <w:tcW w:w="629" w:type="pct"/>
          </w:tcPr>
          <w:p w14:paraId="7BB3D768" w14:textId="77777777" w:rsidR="009F2F26" w:rsidRPr="009F2F26" w:rsidRDefault="009F2F26" w:rsidP="005F762C">
            <w:pPr>
              <w:spacing w:after="0"/>
              <w:rPr>
                <w:rFonts w:cstheme="minorHAnsi"/>
                <w:sz w:val="18"/>
                <w:szCs w:val="18"/>
              </w:rPr>
            </w:pPr>
            <w:r w:rsidRPr="009F2F26">
              <w:rPr>
                <w:sz w:val="18"/>
                <w:szCs w:val="18"/>
              </w:rPr>
              <w:t xml:space="preserve">Konkurenceschopná ekonomika založená na znalostech </w:t>
            </w:r>
          </w:p>
        </w:tc>
        <w:tc>
          <w:tcPr>
            <w:tcW w:w="1354" w:type="pct"/>
          </w:tcPr>
          <w:p w14:paraId="3D5BB315" w14:textId="77777777" w:rsidR="009F2F26" w:rsidRPr="009F2F26" w:rsidRDefault="009F2F26" w:rsidP="005F762C">
            <w:pPr>
              <w:pStyle w:val="Default"/>
              <w:jc w:val="both"/>
              <w:rPr>
                <w:rFonts w:asciiTheme="minorHAnsi" w:hAnsiTheme="minorHAnsi"/>
                <w:color w:val="auto"/>
                <w:sz w:val="18"/>
                <w:szCs w:val="18"/>
              </w:rPr>
            </w:pPr>
            <w:r w:rsidRPr="009F2F26">
              <w:rPr>
                <w:rFonts w:asciiTheme="minorHAnsi" w:hAnsiTheme="minorHAnsi"/>
                <w:iCs/>
                <w:color w:val="auto"/>
                <w:sz w:val="18"/>
                <w:szCs w:val="18"/>
              </w:rPr>
              <w:t xml:space="preserve">Využití nových poznatků z oblasti tzv. General Purpose Technologies </w:t>
            </w:r>
          </w:p>
          <w:p w14:paraId="01F201AD" w14:textId="77777777" w:rsidR="009F2F26" w:rsidRPr="009F2F26" w:rsidRDefault="009F2F26" w:rsidP="005F762C">
            <w:pPr>
              <w:pStyle w:val="Default"/>
              <w:jc w:val="both"/>
              <w:rPr>
                <w:rFonts w:asciiTheme="minorHAnsi" w:hAnsiTheme="minorHAnsi"/>
                <w:color w:val="auto"/>
                <w:sz w:val="18"/>
                <w:szCs w:val="18"/>
              </w:rPr>
            </w:pPr>
            <w:r w:rsidRPr="009F2F26">
              <w:rPr>
                <w:rFonts w:asciiTheme="minorHAnsi" w:hAnsiTheme="minorHAnsi"/>
                <w:iCs/>
                <w:color w:val="auto"/>
                <w:sz w:val="18"/>
                <w:szCs w:val="18"/>
              </w:rPr>
              <w:t xml:space="preserve">Posílení udržitelnosti výroby a dalších ekonomických aktivit </w:t>
            </w:r>
          </w:p>
          <w:p w14:paraId="3C37038B" w14:textId="77777777" w:rsidR="009F2F26" w:rsidRPr="009F2F26" w:rsidRDefault="009F2F26" w:rsidP="005F762C">
            <w:pPr>
              <w:pStyle w:val="Default"/>
              <w:jc w:val="both"/>
              <w:rPr>
                <w:rFonts w:asciiTheme="minorHAnsi" w:hAnsiTheme="minorHAnsi"/>
                <w:iCs/>
                <w:color w:val="auto"/>
                <w:sz w:val="18"/>
                <w:szCs w:val="18"/>
              </w:rPr>
            </w:pPr>
            <w:r w:rsidRPr="009F2F26">
              <w:rPr>
                <w:rFonts w:asciiTheme="minorHAnsi" w:hAnsiTheme="minorHAnsi"/>
                <w:iCs/>
                <w:color w:val="auto"/>
                <w:sz w:val="18"/>
                <w:szCs w:val="18"/>
              </w:rPr>
              <w:t xml:space="preserve">Posílení bezpečnosti a spolehlivosti </w:t>
            </w:r>
          </w:p>
          <w:p w14:paraId="258FC018" w14:textId="77777777" w:rsidR="009F2F26" w:rsidRPr="009F2F26" w:rsidRDefault="009F2F26" w:rsidP="005F762C">
            <w:pPr>
              <w:spacing w:after="0"/>
              <w:rPr>
                <w:rFonts w:cstheme="minorHAnsi"/>
                <w:sz w:val="18"/>
                <w:szCs w:val="18"/>
              </w:rPr>
            </w:pPr>
            <w:r w:rsidRPr="009F2F26">
              <w:rPr>
                <w:iCs/>
                <w:sz w:val="18"/>
                <w:szCs w:val="18"/>
              </w:rPr>
              <w:t>Mapování a analýza konkurenčních výhod.</w:t>
            </w:r>
          </w:p>
        </w:tc>
      </w:tr>
      <w:tr w:rsidR="009F2F26" w:rsidRPr="009F2F26" w14:paraId="513A0E43" w14:textId="77777777" w:rsidTr="00936360">
        <w:tc>
          <w:tcPr>
            <w:tcW w:w="169" w:type="pct"/>
            <w:vMerge/>
            <w:shd w:val="clear" w:color="auto" w:fill="004B8D"/>
            <w:textDirection w:val="btLr"/>
          </w:tcPr>
          <w:p w14:paraId="3DC27F59" w14:textId="77777777" w:rsidR="009F2F26" w:rsidRPr="009F2F26" w:rsidRDefault="009F2F26" w:rsidP="005F762C">
            <w:pPr>
              <w:spacing w:after="0"/>
              <w:ind w:left="113" w:right="113"/>
              <w:rPr>
                <w:rFonts w:cstheme="minorHAnsi"/>
                <w:sz w:val="18"/>
                <w:szCs w:val="18"/>
              </w:rPr>
            </w:pPr>
          </w:p>
        </w:tc>
        <w:tc>
          <w:tcPr>
            <w:tcW w:w="629" w:type="pct"/>
          </w:tcPr>
          <w:p w14:paraId="699C5484" w14:textId="77777777" w:rsidR="009F2F26" w:rsidRPr="009F2F26" w:rsidRDefault="009F2F26" w:rsidP="005F762C">
            <w:pPr>
              <w:spacing w:after="0"/>
              <w:rPr>
                <w:rFonts w:cstheme="minorHAnsi"/>
                <w:sz w:val="18"/>
                <w:szCs w:val="18"/>
              </w:rPr>
            </w:pPr>
            <w:r w:rsidRPr="009F2F26">
              <w:rPr>
                <w:sz w:val="18"/>
                <w:szCs w:val="18"/>
              </w:rPr>
              <w:t xml:space="preserve">Udržitelnost energetiky a materiálových zdrojů </w:t>
            </w:r>
          </w:p>
        </w:tc>
        <w:tc>
          <w:tcPr>
            <w:tcW w:w="1354" w:type="pct"/>
          </w:tcPr>
          <w:p w14:paraId="2D634E54" w14:textId="77777777" w:rsidR="009F2F26" w:rsidRPr="009F2F26" w:rsidRDefault="009F2F26" w:rsidP="005F762C">
            <w:pPr>
              <w:pStyle w:val="Default"/>
              <w:jc w:val="both"/>
              <w:rPr>
                <w:rFonts w:asciiTheme="minorHAnsi" w:hAnsiTheme="minorHAnsi"/>
                <w:color w:val="auto"/>
                <w:sz w:val="18"/>
                <w:szCs w:val="18"/>
              </w:rPr>
            </w:pPr>
            <w:r w:rsidRPr="009F2F26">
              <w:rPr>
                <w:rFonts w:asciiTheme="minorHAnsi" w:hAnsiTheme="minorHAnsi"/>
                <w:iCs/>
                <w:color w:val="auto"/>
                <w:sz w:val="18"/>
                <w:szCs w:val="18"/>
              </w:rPr>
              <w:t xml:space="preserve">Udržitelná energetika </w:t>
            </w:r>
          </w:p>
          <w:p w14:paraId="55C0C874" w14:textId="77777777" w:rsidR="009F2F26" w:rsidRPr="009F2F26" w:rsidRDefault="009F2F26" w:rsidP="005F762C">
            <w:pPr>
              <w:pStyle w:val="Default"/>
              <w:jc w:val="both"/>
              <w:rPr>
                <w:rFonts w:asciiTheme="minorHAnsi" w:hAnsiTheme="minorHAnsi"/>
                <w:color w:val="auto"/>
                <w:sz w:val="18"/>
                <w:szCs w:val="18"/>
              </w:rPr>
            </w:pPr>
            <w:r w:rsidRPr="009F2F26">
              <w:rPr>
                <w:rFonts w:asciiTheme="minorHAnsi" w:hAnsiTheme="minorHAnsi"/>
                <w:iCs/>
                <w:color w:val="auto"/>
                <w:sz w:val="18"/>
                <w:szCs w:val="18"/>
              </w:rPr>
              <w:t xml:space="preserve">Snižování energetické náročnosti hospodářství </w:t>
            </w:r>
          </w:p>
          <w:p w14:paraId="5FD6DF1C" w14:textId="77777777" w:rsidR="009F2F26" w:rsidRPr="009F2F26" w:rsidRDefault="009F2F26" w:rsidP="005F762C">
            <w:pPr>
              <w:spacing w:after="0"/>
              <w:rPr>
                <w:rFonts w:cstheme="minorHAnsi"/>
                <w:sz w:val="18"/>
                <w:szCs w:val="18"/>
              </w:rPr>
            </w:pPr>
            <w:r w:rsidRPr="009F2F26">
              <w:rPr>
                <w:iCs/>
                <w:sz w:val="18"/>
                <w:szCs w:val="18"/>
              </w:rPr>
              <w:t>Materiálová základna</w:t>
            </w:r>
          </w:p>
        </w:tc>
      </w:tr>
      <w:tr w:rsidR="009F2F26" w:rsidRPr="009F2F26" w14:paraId="2EE47212" w14:textId="77777777" w:rsidTr="00936360">
        <w:tc>
          <w:tcPr>
            <w:tcW w:w="169" w:type="pct"/>
            <w:vMerge/>
            <w:shd w:val="clear" w:color="auto" w:fill="004B8D"/>
          </w:tcPr>
          <w:p w14:paraId="3B41F90E" w14:textId="77777777" w:rsidR="009F2F26" w:rsidRPr="009F2F26" w:rsidRDefault="009F2F26" w:rsidP="005F762C">
            <w:pPr>
              <w:spacing w:after="0"/>
              <w:rPr>
                <w:rFonts w:cstheme="minorHAnsi"/>
                <w:sz w:val="18"/>
                <w:szCs w:val="18"/>
              </w:rPr>
            </w:pPr>
          </w:p>
        </w:tc>
        <w:tc>
          <w:tcPr>
            <w:tcW w:w="629" w:type="pct"/>
          </w:tcPr>
          <w:p w14:paraId="6CFC6A52" w14:textId="77777777" w:rsidR="009F2F26" w:rsidRPr="009F2F26" w:rsidRDefault="009F2F26" w:rsidP="005F762C">
            <w:pPr>
              <w:spacing w:after="0"/>
              <w:rPr>
                <w:rFonts w:cstheme="minorHAnsi"/>
                <w:sz w:val="18"/>
                <w:szCs w:val="18"/>
              </w:rPr>
            </w:pPr>
            <w:r w:rsidRPr="009F2F26">
              <w:rPr>
                <w:sz w:val="18"/>
                <w:szCs w:val="18"/>
              </w:rPr>
              <w:t>Prostředí pro kvalitní život</w:t>
            </w:r>
          </w:p>
        </w:tc>
        <w:tc>
          <w:tcPr>
            <w:tcW w:w="1354" w:type="pct"/>
          </w:tcPr>
          <w:p w14:paraId="2A87BCA2" w14:textId="77777777" w:rsidR="009F2F26" w:rsidRPr="009F2F26" w:rsidRDefault="009F2F26" w:rsidP="005F762C">
            <w:pPr>
              <w:pStyle w:val="Default"/>
              <w:jc w:val="both"/>
              <w:rPr>
                <w:rFonts w:asciiTheme="minorHAnsi" w:hAnsiTheme="minorHAnsi"/>
                <w:iCs/>
                <w:color w:val="auto"/>
                <w:sz w:val="18"/>
                <w:szCs w:val="18"/>
              </w:rPr>
            </w:pPr>
            <w:r w:rsidRPr="009F2F26">
              <w:rPr>
                <w:rFonts w:asciiTheme="minorHAnsi" w:hAnsiTheme="minorHAnsi"/>
                <w:iCs/>
                <w:color w:val="auto"/>
                <w:sz w:val="18"/>
                <w:szCs w:val="18"/>
              </w:rPr>
              <w:t>Přírodní zdroje</w:t>
            </w:r>
          </w:p>
          <w:p w14:paraId="345C5B9C" w14:textId="77777777" w:rsidR="009F2F26" w:rsidRPr="009F2F26" w:rsidRDefault="009F2F26" w:rsidP="005F762C">
            <w:pPr>
              <w:pStyle w:val="Default"/>
              <w:jc w:val="both"/>
              <w:rPr>
                <w:rFonts w:asciiTheme="minorHAnsi" w:hAnsiTheme="minorHAnsi"/>
                <w:iCs/>
                <w:color w:val="auto"/>
                <w:sz w:val="18"/>
                <w:szCs w:val="18"/>
              </w:rPr>
            </w:pPr>
            <w:r w:rsidRPr="009F2F26">
              <w:rPr>
                <w:rFonts w:asciiTheme="minorHAnsi" w:hAnsiTheme="minorHAnsi"/>
                <w:iCs/>
                <w:color w:val="auto"/>
                <w:sz w:val="18"/>
                <w:szCs w:val="18"/>
              </w:rPr>
              <w:t xml:space="preserve">Globální změny </w:t>
            </w:r>
          </w:p>
          <w:p w14:paraId="56333175" w14:textId="77777777" w:rsidR="009F2F26" w:rsidRPr="009F2F26" w:rsidRDefault="009F2F26" w:rsidP="005F762C">
            <w:pPr>
              <w:pStyle w:val="Default"/>
              <w:jc w:val="both"/>
              <w:rPr>
                <w:rFonts w:asciiTheme="minorHAnsi" w:hAnsiTheme="minorHAnsi"/>
                <w:color w:val="auto"/>
                <w:sz w:val="18"/>
                <w:szCs w:val="18"/>
              </w:rPr>
            </w:pPr>
            <w:r w:rsidRPr="009F2F26">
              <w:rPr>
                <w:rFonts w:asciiTheme="minorHAnsi" w:hAnsiTheme="minorHAnsi"/>
                <w:iCs/>
                <w:color w:val="auto"/>
                <w:sz w:val="18"/>
                <w:szCs w:val="18"/>
              </w:rPr>
              <w:t xml:space="preserve">Udržitelný rozvoj krajiny </w:t>
            </w:r>
          </w:p>
          <w:p w14:paraId="04FD41C7" w14:textId="77777777" w:rsidR="009F2F26" w:rsidRPr="009F2F26" w:rsidRDefault="009F2F26" w:rsidP="005F762C">
            <w:pPr>
              <w:pStyle w:val="Default"/>
              <w:jc w:val="both"/>
              <w:rPr>
                <w:rFonts w:asciiTheme="minorHAnsi" w:hAnsiTheme="minorHAnsi"/>
                <w:iCs/>
                <w:color w:val="auto"/>
                <w:sz w:val="18"/>
                <w:szCs w:val="18"/>
              </w:rPr>
            </w:pPr>
            <w:r w:rsidRPr="009F2F26">
              <w:rPr>
                <w:rFonts w:asciiTheme="minorHAnsi" w:hAnsiTheme="minorHAnsi"/>
                <w:iCs/>
                <w:color w:val="auto"/>
                <w:sz w:val="18"/>
                <w:szCs w:val="18"/>
              </w:rPr>
              <w:t xml:space="preserve">Environmentální technologie a ekoinovace </w:t>
            </w:r>
          </w:p>
          <w:p w14:paraId="02D134D5" w14:textId="77777777" w:rsidR="009F2F26" w:rsidRPr="009F2F26" w:rsidRDefault="009F2F26" w:rsidP="005F762C">
            <w:pPr>
              <w:pStyle w:val="Default"/>
              <w:jc w:val="both"/>
              <w:rPr>
                <w:rFonts w:cstheme="minorHAnsi"/>
                <w:color w:val="auto"/>
                <w:sz w:val="18"/>
                <w:szCs w:val="18"/>
              </w:rPr>
            </w:pPr>
            <w:r w:rsidRPr="009F2F26">
              <w:rPr>
                <w:rFonts w:asciiTheme="minorHAnsi" w:hAnsiTheme="minorHAnsi"/>
                <w:iCs/>
                <w:color w:val="auto"/>
                <w:sz w:val="18"/>
                <w:szCs w:val="18"/>
              </w:rPr>
              <w:t>Environmentálně příznivá společnost</w:t>
            </w:r>
          </w:p>
        </w:tc>
      </w:tr>
      <w:tr w:rsidR="009F2F26" w:rsidRPr="009F2F26" w14:paraId="05E634DD" w14:textId="77777777" w:rsidTr="00936360">
        <w:tc>
          <w:tcPr>
            <w:tcW w:w="169" w:type="pct"/>
            <w:vMerge/>
            <w:shd w:val="clear" w:color="auto" w:fill="004B8D"/>
          </w:tcPr>
          <w:p w14:paraId="0CF8FA35" w14:textId="77777777" w:rsidR="009F2F26" w:rsidRPr="009F2F26" w:rsidRDefault="009F2F26" w:rsidP="005F762C">
            <w:pPr>
              <w:spacing w:after="0"/>
              <w:rPr>
                <w:rFonts w:cstheme="minorHAnsi"/>
                <w:sz w:val="18"/>
                <w:szCs w:val="18"/>
              </w:rPr>
            </w:pPr>
          </w:p>
        </w:tc>
        <w:tc>
          <w:tcPr>
            <w:tcW w:w="629" w:type="pct"/>
          </w:tcPr>
          <w:p w14:paraId="46A36951" w14:textId="77777777" w:rsidR="009F2F26" w:rsidRPr="009F2F26" w:rsidRDefault="009F2F26" w:rsidP="005F762C">
            <w:pPr>
              <w:spacing w:after="0"/>
              <w:rPr>
                <w:rFonts w:cstheme="minorHAnsi"/>
                <w:sz w:val="18"/>
                <w:szCs w:val="18"/>
              </w:rPr>
            </w:pPr>
            <w:r w:rsidRPr="009F2F26">
              <w:rPr>
                <w:sz w:val="18"/>
                <w:szCs w:val="18"/>
              </w:rPr>
              <w:t>Sociální a kulturní výzvy</w:t>
            </w:r>
          </w:p>
        </w:tc>
        <w:tc>
          <w:tcPr>
            <w:tcW w:w="1354" w:type="pct"/>
          </w:tcPr>
          <w:p w14:paraId="060C2CC2" w14:textId="77777777" w:rsidR="009F2F26" w:rsidRPr="009F2F26" w:rsidRDefault="009F2F26" w:rsidP="005F762C">
            <w:pPr>
              <w:pStyle w:val="Default"/>
              <w:jc w:val="both"/>
              <w:rPr>
                <w:rFonts w:asciiTheme="minorHAnsi" w:hAnsiTheme="minorHAnsi"/>
                <w:color w:val="auto"/>
                <w:sz w:val="18"/>
                <w:szCs w:val="18"/>
              </w:rPr>
            </w:pPr>
            <w:r w:rsidRPr="009F2F26">
              <w:rPr>
                <w:rFonts w:asciiTheme="minorHAnsi" w:hAnsiTheme="minorHAnsi"/>
                <w:iCs/>
                <w:color w:val="auto"/>
                <w:sz w:val="18"/>
                <w:szCs w:val="18"/>
              </w:rPr>
              <w:t xml:space="preserve">Demografické a sociální proměny </w:t>
            </w:r>
          </w:p>
          <w:p w14:paraId="1C1DCA46" w14:textId="77777777" w:rsidR="009F2F26" w:rsidRPr="009F2F26" w:rsidRDefault="009F2F26" w:rsidP="005F762C">
            <w:pPr>
              <w:pStyle w:val="Default"/>
              <w:jc w:val="both"/>
              <w:rPr>
                <w:rFonts w:asciiTheme="minorHAnsi" w:hAnsiTheme="minorHAnsi"/>
                <w:iCs/>
                <w:color w:val="auto"/>
                <w:sz w:val="18"/>
                <w:szCs w:val="18"/>
              </w:rPr>
            </w:pPr>
            <w:r w:rsidRPr="009F2F26">
              <w:rPr>
                <w:rFonts w:asciiTheme="minorHAnsi" w:hAnsiTheme="minorHAnsi"/>
                <w:iCs/>
                <w:color w:val="auto"/>
                <w:sz w:val="18"/>
                <w:szCs w:val="18"/>
              </w:rPr>
              <w:t>Vládnutí a správa</w:t>
            </w:r>
          </w:p>
          <w:p w14:paraId="3DE590F5" w14:textId="77777777" w:rsidR="009F2F26" w:rsidRPr="009F2F26" w:rsidRDefault="009F2F26" w:rsidP="005F762C">
            <w:pPr>
              <w:pStyle w:val="Default"/>
              <w:jc w:val="both"/>
              <w:rPr>
                <w:rFonts w:asciiTheme="minorHAnsi" w:hAnsiTheme="minorHAnsi"/>
                <w:iCs/>
                <w:color w:val="auto"/>
                <w:sz w:val="18"/>
                <w:szCs w:val="18"/>
              </w:rPr>
            </w:pPr>
            <w:r w:rsidRPr="009F2F26">
              <w:rPr>
                <w:rFonts w:asciiTheme="minorHAnsi" w:hAnsiTheme="minorHAnsi"/>
                <w:iCs/>
                <w:color w:val="auto"/>
                <w:sz w:val="18"/>
                <w:szCs w:val="18"/>
              </w:rPr>
              <w:t xml:space="preserve">Kultura, hodnoty, identita a tradice </w:t>
            </w:r>
          </w:p>
          <w:p w14:paraId="2AF6E351" w14:textId="77777777" w:rsidR="009F2F26" w:rsidRPr="009F2F26" w:rsidRDefault="009F2F26" w:rsidP="005F762C">
            <w:pPr>
              <w:pStyle w:val="Default"/>
              <w:jc w:val="both"/>
              <w:rPr>
                <w:iCs/>
                <w:color w:val="auto"/>
                <w:sz w:val="18"/>
                <w:szCs w:val="18"/>
              </w:rPr>
            </w:pPr>
            <w:r w:rsidRPr="009F2F26">
              <w:rPr>
                <w:rFonts w:asciiTheme="minorHAnsi" w:hAnsiTheme="minorHAnsi"/>
                <w:iCs/>
                <w:color w:val="auto"/>
                <w:sz w:val="18"/>
                <w:szCs w:val="18"/>
              </w:rPr>
              <w:t xml:space="preserve">Rozvoj a uplatnění lidského potenciálu </w:t>
            </w:r>
          </w:p>
          <w:p w14:paraId="5C7B6BDF" w14:textId="77777777" w:rsidR="009F2F26" w:rsidRPr="009F2F26" w:rsidRDefault="009F2F26" w:rsidP="005F762C">
            <w:pPr>
              <w:pStyle w:val="Default"/>
              <w:jc w:val="both"/>
              <w:rPr>
                <w:rFonts w:cstheme="minorHAnsi"/>
                <w:color w:val="auto"/>
                <w:sz w:val="18"/>
                <w:szCs w:val="18"/>
              </w:rPr>
            </w:pPr>
            <w:r w:rsidRPr="009F2F26">
              <w:rPr>
                <w:rFonts w:asciiTheme="minorHAnsi" w:hAnsiTheme="minorHAnsi"/>
                <w:iCs/>
                <w:color w:val="auto"/>
                <w:sz w:val="18"/>
                <w:szCs w:val="18"/>
              </w:rPr>
              <w:t xml:space="preserve">Člověk, věda a nové technologie </w:t>
            </w:r>
          </w:p>
        </w:tc>
      </w:tr>
      <w:tr w:rsidR="009F2F26" w:rsidRPr="009F2F26" w14:paraId="381BCB57" w14:textId="77777777" w:rsidTr="00936360">
        <w:tc>
          <w:tcPr>
            <w:tcW w:w="169" w:type="pct"/>
            <w:vMerge/>
            <w:shd w:val="clear" w:color="auto" w:fill="004B8D"/>
          </w:tcPr>
          <w:p w14:paraId="6B86B682" w14:textId="77777777" w:rsidR="009F2F26" w:rsidRPr="009F2F26" w:rsidRDefault="009F2F26" w:rsidP="005F762C">
            <w:pPr>
              <w:spacing w:after="0"/>
              <w:rPr>
                <w:rFonts w:cstheme="minorHAnsi"/>
                <w:sz w:val="18"/>
                <w:szCs w:val="18"/>
              </w:rPr>
            </w:pPr>
          </w:p>
        </w:tc>
        <w:tc>
          <w:tcPr>
            <w:tcW w:w="629" w:type="pct"/>
          </w:tcPr>
          <w:p w14:paraId="2A148A38" w14:textId="77777777" w:rsidR="009F2F26" w:rsidRPr="009F2F26" w:rsidRDefault="009F2F26" w:rsidP="005F762C">
            <w:pPr>
              <w:spacing w:after="0"/>
              <w:rPr>
                <w:rFonts w:cstheme="minorHAnsi"/>
                <w:sz w:val="18"/>
                <w:szCs w:val="18"/>
              </w:rPr>
            </w:pPr>
            <w:r w:rsidRPr="009F2F26">
              <w:rPr>
                <w:sz w:val="18"/>
                <w:szCs w:val="18"/>
              </w:rPr>
              <w:t>Zdravá populace</w:t>
            </w:r>
          </w:p>
        </w:tc>
        <w:tc>
          <w:tcPr>
            <w:tcW w:w="1354" w:type="pct"/>
          </w:tcPr>
          <w:p w14:paraId="71075CE2" w14:textId="77777777" w:rsidR="009F2F26" w:rsidRPr="009F2F26" w:rsidRDefault="009F2F26" w:rsidP="005F762C">
            <w:pPr>
              <w:pStyle w:val="Default"/>
              <w:jc w:val="both"/>
              <w:rPr>
                <w:rFonts w:asciiTheme="minorHAnsi" w:hAnsiTheme="minorHAnsi"/>
                <w:color w:val="auto"/>
                <w:sz w:val="18"/>
                <w:szCs w:val="18"/>
              </w:rPr>
            </w:pPr>
            <w:r w:rsidRPr="009F2F26">
              <w:rPr>
                <w:rFonts w:asciiTheme="minorHAnsi" w:hAnsiTheme="minorHAnsi"/>
                <w:iCs/>
                <w:color w:val="auto"/>
                <w:sz w:val="18"/>
                <w:szCs w:val="18"/>
              </w:rPr>
              <w:t xml:space="preserve">Vznik a rozvoj chorob </w:t>
            </w:r>
          </w:p>
          <w:p w14:paraId="42834270" w14:textId="77777777" w:rsidR="009F2F26" w:rsidRPr="009F2F26" w:rsidRDefault="009F2F26" w:rsidP="005F762C">
            <w:pPr>
              <w:pStyle w:val="Default"/>
              <w:jc w:val="both"/>
              <w:rPr>
                <w:rFonts w:asciiTheme="minorHAnsi" w:hAnsiTheme="minorHAnsi"/>
                <w:iCs/>
                <w:color w:val="auto"/>
                <w:sz w:val="18"/>
                <w:szCs w:val="18"/>
              </w:rPr>
            </w:pPr>
            <w:r w:rsidRPr="009F2F26">
              <w:rPr>
                <w:rFonts w:asciiTheme="minorHAnsi" w:hAnsiTheme="minorHAnsi"/>
                <w:iCs/>
                <w:color w:val="auto"/>
                <w:sz w:val="18"/>
                <w:szCs w:val="18"/>
              </w:rPr>
              <w:t xml:space="preserve">Nové diagnostické a terapeutické metody </w:t>
            </w:r>
          </w:p>
          <w:p w14:paraId="409891BD" w14:textId="77777777" w:rsidR="009F2F26" w:rsidRPr="009F2F26" w:rsidRDefault="009F2F26" w:rsidP="005F762C">
            <w:pPr>
              <w:pStyle w:val="Default"/>
              <w:jc w:val="both"/>
              <w:rPr>
                <w:rFonts w:cstheme="minorHAnsi"/>
                <w:color w:val="auto"/>
                <w:sz w:val="18"/>
                <w:szCs w:val="18"/>
              </w:rPr>
            </w:pPr>
            <w:r w:rsidRPr="009F2F26">
              <w:rPr>
                <w:rFonts w:asciiTheme="minorHAnsi" w:hAnsiTheme="minorHAnsi"/>
                <w:iCs/>
                <w:color w:val="auto"/>
                <w:sz w:val="18"/>
                <w:szCs w:val="18"/>
              </w:rPr>
              <w:t>Epidemiologie a prevence nejzávažnějších chorob</w:t>
            </w:r>
          </w:p>
        </w:tc>
      </w:tr>
      <w:tr w:rsidR="009F2F26" w:rsidRPr="009F2F26" w14:paraId="61C4DA70" w14:textId="77777777" w:rsidTr="00936360">
        <w:tc>
          <w:tcPr>
            <w:tcW w:w="169" w:type="pct"/>
            <w:vMerge/>
            <w:shd w:val="clear" w:color="auto" w:fill="004B8D"/>
          </w:tcPr>
          <w:p w14:paraId="1D548D9E" w14:textId="77777777" w:rsidR="009F2F26" w:rsidRPr="009F2F26" w:rsidRDefault="009F2F26" w:rsidP="005F762C">
            <w:pPr>
              <w:spacing w:after="0"/>
              <w:rPr>
                <w:rFonts w:cstheme="minorHAnsi"/>
                <w:sz w:val="18"/>
                <w:szCs w:val="18"/>
              </w:rPr>
            </w:pPr>
          </w:p>
        </w:tc>
        <w:tc>
          <w:tcPr>
            <w:tcW w:w="629" w:type="pct"/>
          </w:tcPr>
          <w:p w14:paraId="4FC9A50A" w14:textId="77777777" w:rsidR="009F2F26" w:rsidRPr="009F2F26" w:rsidRDefault="009F2F26" w:rsidP="005F762C">
            <w:pPr>
              <w:spacing w:after="0"/>
              <w:rPr>
                <w:rFonts w:cstheme="minorHAnsi"/>
                <w:sz w:val="18"/>
                <w:szCs w:val="18"/>
              </w:rPr>
            </w:pPr>
            <w:r w:rsidRPr="009F2F26">
              <w:rPr>
                <w:sz w:val="18"/>
                <w:szCs w:val="18"/>
              </w:rPr>
              <w:t>Bezpečná společnost</w:t>
            </w:r>
          </w:p>
        </w:tc>
        <w:tc>
          <w:tcPr>
            <w:tcW w:w="1354" w:type="pct"/>
          </w:tcPr>
          <w:p w14:paraId="05CD44C8" w14:textId="77777777" w:rsidR="009F2F26" w:rsidRPr="009F2F26" w:rsidRDefault="009F2F26" w:rsidP="005F762C">
            <w:pPr>
              <w:pStyle w:val="Default"/>
              <w:jc w:val="both"/>
              <w:rPr>
                <w:rFonts w:asciiTheme="minorHAnsi" w:hAnsiTheme="minorHAnsi"/>
                <w:iCs/>
                <w:color w:val="auto"/>
                <w:sz w:val="18"/>
                <w:szCs w:val="18"/>
              </w:rPr>
            </w:pPr>
            <w:r w:rsidRPr="009F2F26">
              <w:rPr>
                <w:rFonts w:asciiTheme="minorHAnsi" w:hAnsiTheme="minorHAnsi"/>
                <w:iCs/>
                <w:color w:val="auto"/>
                <w:sz w:val="18"/>
                <w:szCs w:val="18"/>
              </w:rPr>
              <w:t xml:space="preserve">Bezpečnost občanů </w:t>
            </w:r>
          </w:p>
          <w:p w14:paraId="2ED45F76" w14:textId="77777777" w:rsidR="009F2F26" w:rsidRPr="009F2F26" w:rsidRDefault="009F2F26" w:rsidP="005F762C">
            <w:pPr>
              <w:pStyle w:val="Default"/>
              <w:jc w:val="both"/>
              <w:rPr>
                <w:rFonts w:asciiTheme="minorHAnsi" w:hAnsiTheme="minorHAnsi"/>
                <w:iCs/>
                <w:color w:val="auto"/>
                <w:sz w:val="18"/>
                <w:szCs w:val="18"/>
              </w:rPr>
            </w:pPr>
            <w:r w:rsidRPr="009F2F26">
              <w:rPr>
                <w:rFonts w:asciiTheme="minorHAnsi" w:hAnsiTheme="minorHAnsi"/>
                <w:iCs/>
                <w:color w:val="auto"/>
                <w:sz w:val="18"/>
                <w:szCs w:val="18"/>
              </w:rPr>
              <w:t>Bezpečnost kritických infrastruktur a zdrojů</w:t>
            </w:r>
          </w:p>
          <w:p w14:paraId="245EEB30" w14:textId="77777777" w:rsidR="009F2F26" w:rsidRPr="009F2F26" w:rsidRDefault="009F2F26" w:rsidP="005F762C">
            <w:pPr>
              <w:pStyle w:val="Default"/>
              <w:jc w:val="both"/>
              <w:rPr>
                <w:iCs/>
                <w:color w:val="auto"/>
                <w:sz w:val="18"/>
                <w:szCs w:val="18"/>
              </w:rPr>
            </w:pPr>
            <w:r w:rsidRPr="009F2F26">
              <w:rPr>
                <w:rFonts w:asciiTheme="minorHAnsi" w:hAnsiTheme="minorHAnsi"/>
                <w:iCs/>
                <w:color w:val="auto"/>
                <w:sz w:val="18"/>
                <w:szCs w:val="18"/>
              </w:rPr>
              <w:t>Krizové řízení a bezpečnostní politika</w:t>
            </w:r>
          </w:p>
          <w:p w14:paraId="6871688D" w14:textId="77777777" w:rsidR="009F2F26" w:rsidRPr="009F2F26" w:rsidRDefault="009F2F26" w:rsidP="005F762C">
            <w:pPr>
              <w:pStyle w:val="Default"/>
              <w:jc w:val="both"/>
              <w:rPr>
                <w:rFonts w:cstheme="minorHAnsi"/>
                <w:color w:val="auto"/>
                <w:sz w:val="18"/>
                <w:szCs w:val="18"/>
              </w:rPr>
            </w:pPr>
            <w:r w:rsidRPr="009F2F26">
              <w:rPr>
                <w:rFonts w:asciiTheme="minorHAnsi" w:hAnsiTheme="minorHAnsi"/>
                <w:iCs/>
                <w:color w:val="auto"/>
                <w:sz w:val="18"/>
                <w:szCs w:val="18"/>
              </w:rPr>
              <w:t>Obrana, obranyschopnost a nasazení ozbrojených sil</w:t>
            </w:r>
          </w:p>
        </w:tc>
      </w:tr>
    </w:tbl>
    <w:p w14:paraId="15CE80C6" w14:textId="77777777" w:rsidR="00A07887" w:rsidRDefault="00A07887" w:rsidP="006F64EE">
      <w:pPr>
        <w:spacing w:line="360" w:lineRule="auto"/>
        <w:ind w:firstLine="708"/>
        <w:jc w:val="both"/>
        <w:rPr>
          <w:rFonts w:cs="Arial"/>
          <w:color w:val="000000" w:themeColor="text1"/>
        </w:rPr>
      </w:pPr>
    </w:p>
    <w:p w14:paraId="2E2EE6E6" w14:textId="77777777" w:rsidR="00A07887" w:rsidRDefault="00A07887" w:rsidP="006F64EE">
      <w:pPr>
        <w:spacing w:line="360" w:lineRule="auto"/>
        <w:ind w:firstLine="708"/>
        <w:jc w:val="both"/>
        <w:rPr>
          <w:rFonts w:cs="Arial"/>
          <w:color w:val="000000" w:themeColor="text1"/>
        </w:rPr>
      </w:pPr>
    </w:p>
    <w:p w14:paraId="2AB6C2B4" w14:textId="2EDB13BB" w:rsidR="005132A0" w:rsidRDefault="008A2BB4" w:rsidP="00A07887">
      <w:pPr>
        <w:spacing w:line="360" w:lineRule="auto"/>
        <w:ind w:firstLine="708"/>
        <w:jc w:val="both"/>
        <w:sectPr w:rsidR="005132A0" w:rsidSect="00374DE2">
          <w:headerReference w:type="even" r:id="rId30"/>
          <w:headerReference w:type="default" r:id="rId31"/>
          <w:footerReference w:type="default" r:id="rId32"/>
          <w:headerReference w:type="first" r:id="rId33"/>
          <w:pgSz w:w="11906" w:h="16838"/>
          <w:pgMar w:top="1417" w:right="1417" w:bottom="1417" w:left="1417" w:header="708" w:footer="708" w:gutter="0"/>
          <w:cols w:space="708"/>
          <w:docGrid w:linePitch="360"/>
        </w:sectPr>
      </w:pPr>
      <w:r>
        <w:rPr>
          <w:rFonts w:cs="Arial"/>
          <w:color w:val="000000" w:themeColor="text1"/>
        </w:rPr>
        <w:lastRenderedPageBreak/>
        <w:t>Indikativní rozložení národní ekonomické specializace v rámci krajů přibližuje</w:t>
      </w:r>
      <w:r w:rsidR="00A07887">
        <w:rPr>
          <w:rFonts w:cs="Arial"/>
          <w:color w:val="000000" w:themeColor="text1"/>
        </w:rPr>
        <w:t xml:space="preserve"> </w:t>
      </w:r>
      <w:r w:rsidR="00A07887" w:rsidRPr="001F1DD6">
        <w:rPr>
          <w:rFonts w:cs="Arial"/>
        </w:rPr>
        <w:fldChar w:fldCharType="begin"/>
      </w:r>
      <w:r w:rsidR="00A07887" w:rsidRPr="001F1DD6">
        <w:rPr>
          <w:rFonts w:cs="Arial"/>
        </w:rPr>
        <w:instrText xml:space="preserve"> REF _Ref523471994 \h </w:instrText>
      </w:r>
      <w:r w:rsidR="00A07887" w:rsidRPr="001F1DD6">
        <w:rPr>
          <w:rFonts w:cs="Arial"/>
        </w:rPr>
      </w:r>
      <w:r w:rsidR="00A07887" w:rsidRPr="001F1DD6">
        <w:rPr>
          <w:rFonts w:cs="Arial"/>
        </w:rPr>
        <w:fldChar w:fldCharType="separate"/>
      </w:r>
      <w:r w:rsidR="00DE40D4">
        <w:t xml:space="preserve">Tabulka </w:t>
      </w:r>
      <w:r w:rsidR="00DE40D4">
        <w:rPr>
          <w:noProof/>
        </w:rPr>
        <w:t>7</w:t>
      </w:r>
      <w:r w:rsidR="00A07887" w:rsidRPr="001F1DD6">
        <w:rPr>
          <w:rFonts w:cs="Arial"/>
        </w:rPr>
        <w:fldChar w:fldCharType="end"/>
      </w:r>
      <w:r w:rsidR="00790C59" w:rsidRPr="001F1DD6">
        <w:rPr>
          <w:rFonts w:cs="Arial"/>
        </w:rPr>
        <w:t xml:space="preserve">. </w:t>
      </w:r>
      <w:r w:rsidRPr="001F1DD6">
        <w:rPr>
          <w:rFonts w:cs="Arial"/>
        </w:rPr>
        <w:t xml:space="preserve"> </w:t>
      </w:r>
      <w:r>
        <w:rPr>
          <w:rFonts w:cs="Arial"/>
          <w:color w:val="000000" w:themeColor="text1"/>
        </w:rPr>
        <w:t>Přehled doplňují regionálně specifické specializace</w:t>
      </w:r>
      <w:r w:rsidR="00D04CA0">
        <w:rPr>
          <w:rFonts w:cs="Arial"/>
          <w:color w:val="000000" w:themeColor="text1"/>
        </w:rPr>
        <w:t>, které</w:t>
      </w:r>
      <w:r w:rsidR="00790C59" w:rsidRPr="00A47FB1">
        <w:rPr>
          <w:rFonts w:cs="Arial"/>
          <w:color w:val="000000" w:themeColor="text1"/>
        </w:rPr>
        <w:t xml:space="preserve"> jdou nad rámec specializace národní, ale přesto představují v regionálním měří</w:t>
      </w:r>
      <w:r>
        <w:rPr>
          <w:rFonts w:cs="Arial"/>
          <w:color w:val="000000" w:themeColor="text1"/>
        </w:rPr>
        <w:t>tku významn</w:t>
      </w:r>
      <w:r w:rsidR="00D04CA0">
        <w:rPr>
          <w:rFonts w:cs="Arial"/>
          <w:color w:val="000000" w:themeColor="text1"/>
        </w:rPr>
        <w:t>á aplikační odvětví</w:t>
      </w:r>
      <w:r>
        <w:rPr>
          <w:rFonts w:cs="Arial"/>
          <w:color w:val="000000" w:themeColor="text1"/>
        </w:rPr>
        <w:t>.</w:t>
      </w:r>
      <w:bookmarkStart w:id="87" w:name="_Ref523304172"/>
      <w:r w:rsidR="008F0957">
        <w:br w:type="page"/>
      </w:r>
    </w:p>
    <w:p w14:paraId="1C589176" w14:textId="66424C31" w:rsidR="00CC6436" w:rsidRDefault="00CC6436" w:rsidP="00CC6436">
      <w:pPr>
        <w:pStyle w:val="Titulek"/>
        <w:rPr>
          <w:color w:val="000000" w:themeColor="text1"/>
        </w:rPr>
      </w:pPr>
      <w:bookmarkStart w:id="88" w:name="_Ref523471994"/>
      <w:bookmarkStart w:id="89" w:name="_Toc524677667"/>
      <w:r>
        <w:lastRenderedPageBreak/>
        <w:t xml:space="preserve">Tabulka </w:t>
      </w:r>
      <w:r w:rsidR="00E42ECD">
        <w:rPr>
          <w:noProof/>
        </w:rPr>
        <w:fldChar w:fldCharType="begin"/>
      </w:r>
      <w:r w:rsidR="00E42ECD">
        <w:rPr>
          <w:noProof/>
        </w:rPr>
        <w:instrText xml:space="preserve"> SEQ Tabulka \* ARABIC </w:instrText>
      </w:r>
      <w:r w:rsidR="00E42ECD">
        <w:rPr>
          <w:noProof/>
        </w:rPr>
        <w:fldChar w:fldCharType="separate"/>
      </w:r>
      <w:r w:rsidR="00DE40D4">
        <w:rPr>
          <w:noProof/>
        </w:rPr>
        <w:t>7</w:t>
      </w:r>
      <w:r w:rsidR="00E42ECD">
        <w:rPr>
          <w:noProof/>
        </w:rPr>
        <w:fldChar w:fldCharType="end"/>
      </w:r>
      <w:bookmarkEnd w:id="87"/>
      <w:bookmarkEnd w:id="88"/>
      <w:r w:rsidRPr="000A042F">
        <w:t xml:space="preserve"> </w:t>
      </w:r>
      <w:r>
        <w:t xml:space="preserve">- </w:t>
      </w:r>
      <w:r w:rsidRPr="00866298">
        <w:t xml:space="preserve">Zastoupení </w:t>
      </w:r>
      <w:r>
        <w:t>aplikačních odvětví</w:t>
      </w:r>
      <w:r w:rsidRPr="00866298">
        <w:t xml:space="preserve"> </w:t>
      </w:r>
      <w:r>
        <w:t>(ekonomických specializací</w:t>
      </w:r>
      <w:r w:rsidRPr="00866298">
        <w:t>) v </w:t>
      </w:r>
      <w:r>
        <w:t>krajích</w:t>
      </w:r>
      <w:r w:rsidRPr="00866298">
        <w:t xml:space="preserve"> ČR</w:t>
      </w:r>
      <w:r w:rsidR="008857B9">
        <w:rPr>
          <w:rStyle w:val="Znakapoznpodarou"/>
        </w:rPr>
        <w:footnoteReference w:id="66"/>
      </w:r>
      <w:bookmarkEnd w:id="89"/>
    </w:p>
    <w:tbl>
      <w:tblPr>
        <w:tblpPr w:leftFromText="141" w:rightFromText="141" w:vertAnchor="page" w:horzAnchor="margin" w:tblpXSpec="center" w:tblpY="2312"/>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4"/>
        <w:gridCol w:w="2545"/>
        <w:gridCol w:w="2953"/>
        <w:gridCol w:w="414"/>
        <w:gridCol w:w="462"/>
        <w:gridCol w:w="452"/>
        <w:gridCol w:w="458"/>
        <w:gridCol w:w="431"/>
        <w:gridCol w:w="482"/>
        <w:gridCol w:w="447"/>
        <w:gridCol w:w="452"/>
        <w:gridCol w:w="427"/>
        <w:gridCol w:w="464"/>
        <w:gridCol w:w="426"/>
        <w:gridCol w:w="444"/>
        <w:gridCol w:w="438"/>
        <w:gridCol w:w="419"/>
      </w:tblGrid>
      <w:tr w:rsidR="005132A0" w:rsidRPr="00DA0A7D" w14:paraId="069E1DD0" w14:textId="77777777" w:rsidTr="003A338E">
        <w:trPr>
          <w:tblHeader/>
        </w:trPr>
        <w:tc>
          <w:tcPr>
            <w:tcW w:w="827" w:type="pct"/>
            <w:vMerge w:val="restart"/>
            <w:shd w:val="clear" w:color="auto" w:fill="004B8D"/>
          </w:tcPr>
          <w:p w14:paraId="087ED9B4" w14:textId="77777777" w:rsidR="005132A0" w:rsidRPr="00DA0A7D" w:rsidRDefault="005132A0" w:rsidP="003A338E">
            <w:pPr>
              <w:spacing w:after="0"/>
              <w:rPr>
                <w:rFonts w:cstheme="minorHAnsi"/>
                <w:b/>
                <w:color w:val="FFFFFF" w:themeColor="background1"/>
                <w:sz w:val="14"/>
                <w:szCs w:val="14"/>
              </w:rPr>
            </w:pPr>
          </w:p>
          <w:p w14:paraId="05728312" w14:textId="77777777" w:rsidR="005132A0" w:rsidRPr="00DA0A7D" w:rsidRDefault="005132A0" w:rsidP="003A338E">
            <w:pPr>
              <w:spacing w:after="0"/>
              <w:rPr>
                <w:rFonts w:cstheme="minorHAnsi"/>
                <w:b/>
                <w:color w:val="FFFFFF" w:themeColor="background1"/>
                <w:sz w:val="14"/>
                <w:szCs w:val="14"/>
              </w:rPr>
            </w:pPr>
            <w:r w:rsidRPr="00DA0A7D">
              <w:rPr>
                <w:rFonts w:cstheme="minorHAnsi"/>
                <w:b/>
                <w:color w:val="FFFFFF" w:themeColor="background1"/>
                <w:sz w:val="14"/>
                <w:szCs w:val="14"/>
              </w:rPr>
              <w:t>Oblast</w:t>
            </w:r>
          </w:p>
          <w:p w14:paraId="151AF141" w14:textId="77777777" w:rsidR="005132A0" w:rsidRPr="00DA0A7D" w:rsidRDefault="005132A0" w:rsidP="003A338E">
            <w:pPr>
              <w:spacing w:after="0"/>
              <w:ind w:left="454" w:hanging="454"/>
              <w:jc w:val="center"/>
              <w:rPr>
                <w:rFonts w:cstheme="minorHAnsi"/>
                <w:b/>
                <w:color w:val="FFFFFF" w:themeColor="background1"/>
                <w:sz w:val="14"/>
                <w:szCs w:val="14"/>
              </w:rPr>
            </w:pPr>
          </w:p>
        </w:tc>
        <w:tc>
          <w:tcPr>
            <w:tcW w:w="924" w:type="pct"/>
            <w:vMerge w:val="restart"/>
            <w:shd w:val="clear" w:color="auto" w:fill="004B8D"/>
          </w:tcPr>
          <w:p w14:paraId="45A6086E" w14:textId="77777777" w:rsidR="005132A0" w:rsidRPr="00DA0A7D" w:rsidRDefault="005132A0" w:rsidP="003A338E">
            <w:pPr>
              <w:spacing w:after="0"/>
              <w:rPr>
                <w:rFonts w:cstheme="minorHAnsi"/>
                <w:b/>
                <w:color w:val="FFFFFF" w:themeColor="background1"/>
                <w:sz w:val="14"/>
                <w:szCs w:val="14"/>
              </w:rPr>
            </w:pPr>
          </w:p>
          <w:p w14:paraId="0D9E382F" w14:textId="77777777" w:rsidR="005132A0" w:rsidRPr="00DA0A7D" w:rsidRDefault="005132A0" w:rsidP="003A338E">
            <w:pPr>
              <w:spacing w:after="0"/>
              <w:rPr>
                <w:rFonts w:cstheme="minorHAnsi"/>
                <w:b/>
                <w:color w:val="FFFFFF" w:themeColor="background1"/>
                <w:sz w:val="14"/>
                <w:szCs w:val="14"/>
              </w:rPr>
            </w:pPr>
            <w:r w:rsidRPr="00DA0A7D">
              <w:rPr>
                <w:rFonts w:cstheme="minorHAnsi"/>
                <w:b/>
                <w:color w:val="FFFFFF" w:themeColor="background1"/>
                <w:sz w:val="14"/>
                <w:szCs w:val="14"/>
              </w:rPr>
              <w:t>Národní inovační platforma</w:t>
            </w:r>
          </w:p>
        </w:tc>
        <w:tc>
          <w:tcPr>
            <w:tcW w:w="1070" w:type="pct"/>
            <w:vMerge w:val="restart"/>
            <w:shd w:val="clear" w:color="auto" w:fill="004B8D"/>
          </w:tcPr>
          <w:p w14:paraId="09DE1CD9" w14:textId="77777777" w:rsidR="005132A0" w:rsidRPr="00DA0A7D" w:rsidRDefault="005132A0" w:rsidP="003A338E">
            <w:pPr>
              <w:spacing w:after="0"/>
              <w:rPr>
                <w:rFonts w:cstheme="minorHAnsi"/>
                <w:b/>
                <w:color w:val="FFFFFF" w:themeColor="background1"/>
                <w:sz w:val="14"/>
                <w:szCs w:val="14"/>
              </w:rPr>
            </w:pPr>
          </w:p>
          <w:p w14:paraId="29056608" w14:textId="77777777" w:rsidR="005132A0" w:rsidRPr="00DA0A7D" w:rsidRDefault="005132A0" w:rsidP="003A338E">
            <w:pPr>
              <w:spacing w:after="0"/>
              <w:rPr>
                <w:rFonts w:cstheme="minorHAnsi"/>
                <w:b/>
                <w:color w:val="FFFFFF" w:themeColor="background1"/>
                <w:sz w:val="14"/>
                <w:szCs w:val="14"/>
              </w:rPr>
            </w:pPr>
            <w:r w:rsidRPr="00DA0A7D">
              <w:rPr>
                <w:rFonts w:cstheme="minorHAnsi"/>
                <w:b/>
                <w:color w:val="FFFFFF" w:themeColor="background1"/>
                <w:sz w:val="14"/>
                <w:szCs w:val="14"/>
              </w:rPr>
              <w:t>Aplikační odvětví</w:t>
            </w:r>
          </w:p>
          <w:p w14:paraId="4F281965" w14:textId="77777777" w:rsidR="005132A0" w:rsidRPr="00DA0A7D" w:rsidRDefault="005132A0" w:rsidP="003A338E">
            <w:pPr>
              <w:spacing w:after="0"/>
              <w:rPr>
                <w:rFonts w:cstheme="minorHAnsi"/>
                <w:b/>
                <w:color w:val="FFFFFF" w:themeColor="background1"/>
                <w:sz w:val="14"/>
                <w:szCs w:val="14"/>
              </w:rPr>
            </w:pPr>
            <w:r w:rsidRPr="00DA0A7D">
              <w:rPr>
                <w:rFonts w:cstheme="minorHAnsi"/>
                <w:b/>
                <w:color w:val="FFFFFF" w:themeColor="background1"/>
                <w:sz w:val="14"/>
                <w:szCs w:val="14"/>
              </w:rPr>
              <w:t>(Ekonomická specializace)</w:t>
            </w:r>
          </w:p>
        </w:tc>
        <w:tc>
          <w:tcPr>
            <w:tcW w:w="2179" w:type="pct"/>
            <w:gridSpan w:val="14"/>
            <w:shd w:val="clear" w:color="auto" w:fill="004B8D"/>
          </w:tcPr>
          <w:p w14:paraId="50632563"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Kraj</w:t>
            </w:r>
          </w:p>
        </w:tc>
      </w:tr>
      <w:tr w:rsidR="005132A0" w:rsidRPr="00DA0A7D" w14:paraId="4F034FBD" w14:textId="77777777" w:rsidTr="003A338E">
        <w:trPr>
          <w:trHeight w:val="716"/>
          <w:tblHeader/>
        </w:trPr>
        <w:tc>
          <w:tcPr>
            <w:tcW w:w="827" w:type="pct"/>
            <w:vMerge/>
            <w:shd w:val="clear" w:color="auto" w:fill="004B8D"/>
          </w:tcPr>
          <w:p w14:paraId="7AEA55AD" w14:textId="77777777" w:rsidR="005132A0" w:rsidRPr="00DA0A7D" w:rsidRDefault="005132A0" w:rsidP="003A338E">
            <w:pPr>
              <w:spacing w:after="0"/>
              <w:rPr>
                <w:rFonts w:cstheme="minorHAnsi"/>
                <w:b/>
                <w:color w:val="FFFFFF" w:themeColor="background1"/>
                <w:sz w:val="14"/>
                <w:szCs w:val="14"/>
              </w:rPr>
            </w:pPr>
          </w:p>
        </w:tc>
        <w:tc>
          <w:tcPr>
            <w:tcW w:w="924" w:type="pct"/>
            <w:vMerge/>
            <w:shd w:val="clear" w:color="auto" w:fill="004B8D"/>
          </w:tcPr>
          <w:p w14:paraId="0AE5D8FE" w14:textId="77777777" w:rsidR="005132A0" w:rsidRPr="00DA0A7D" w:rsidRDefault="005132A0" w:rsidP="003A338E">
            <w:pPr>
              <w:spacing w:after="0"/>
              <w:rPr>
                <w:rFonts w:cstheme="minorHAnsi"/>
                <w:b/>
                <w:color w:val="FFFFFF" w:themeColor="background1"/>
                <w:sz w:val="14"/>
                <w:szCs w:val="14"/>
              </w:rPr>
            </w:pPr>
          </w:p>
        </w:tc>
        <w:tc>
          <w:tcPr>
            <w:tcW w:w="1070" w:type="pct"/>
            <w:vMerge/>
            <w:shd w:val="clear" w:color="auto" w:fill="004B8D"/>
          </w:tcPr>
          <w:p w14:paraId="2EC24797" w14:textId="77777777" w:rsidR="005132A0" w:rsidRPr="00DA0A7D" w:rsidRDefault="005132A0" w:rsidP="003A338E">
            <w:pPr>
              <w:spacing w:after="0"/>
              <w:rPr>
                <w:rFonts w:cstheme="minorHAnsi"/>
                <w:b/>
                <w:color w:val="FFFFFF" w:themeColor="background1"/>
                <w:sz w:val="14"/>
                <w:szCs w:val="14"/>
              </w:rPr>
            </w:pPr>
          </w:p>
        </w:tc>
        <w:tc>
          <w:tcPr>
            <w:tcW w:w="143" w:type="pct"/>
            <w:shd w:val="clear" w:color="auto" w:fill="004B8D"/>
          </w:tcPr>
          <w:p w14:paraId="6E4131FC"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JČK</w:t>
            </w:r>
          </w:p>
        </w:tc>
        <w:tc>
          <w:tcPr>
            <w:tcW w:w="159" w:type="pct"/>
            <w:shd w:val="clear" w:color="auto" w:fill="004B8D"/>
          </w:tcPr>
          <w:p w14:paraId="56279159"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JMK</w:t>
            </w:r>
          </w:p>
        </w:tc>
        <w:tc>
          <w:tcPr>
            <w:tcW w:w="171" w:type="pct"/>
            <w:shd w:val="clear" w:color="auto" w:fill="004B8D"/>
          </w:tcPr>
          <w:p w14:paraId="46FFE676"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KVK</w:t>
            </w:r>
          </w:p>
        </w:tc>
        <w:tc>
          <w:tcPr>
            <w:tcW w:w="158" w:type="pct"/>
            <w:shd w:val="clear" w:color="auto" w:fill="004B8D"/>
          </w:tcPr>
          <w:p w14:paraId="6239229E"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KHK</w:t>
            </w:r>
          </w:p>
        </w:tc>
        <w:tc>
          <w:tcPr>
            <w:tcW w:w="148" w:type="pct"/>
            <w:shd w:val="clear" w:color="auto" w:fill="004B8D"/>
          </w:tcPr>
          <w:p w14:paraId="44F1FADD"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LBK</w:t>
            </w:r>
          </w:p>
        </w:tc>
        <w:tc>
          <w:tcPr>
            <w:tcW w:w="178" w:type="pct"/>
            <w:shd w:val="clear" w:color="auto" w:fill="004B8D"/>
          </w:tcPr>
          <w:p w14:paraId="1231C69B"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MSK</w:t>
            </w:r>
          </w:p>
        </w:tc>
        <w:tc>
          <w:tcPr>
            <w:tcW w:w="154" w:type="pct"/>
            <w:shd w:val="clear" w:color="auto" w:fill="004B8D"/>
          </w:tcPr>
          <w:p w14:paraId="1A9CE561"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OLK</w:t>
            </w:r>
          </w:p>
        </w:tc>
        <w:tc>
          <w:tcPr>
            <w:tcW w:w="156" w:type="pct"/>
            <w:shd w:val="clear" w:color="auto" w:fill="004B8D"/>
          </w:tcPr>
          <w:p w14:paraId="10186F24"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PAK</w:t>
            </w:r>
          </w:p>
        </w:tc>
        <w:tc>
          <w:tcPr>
            <w:tcW w:w="147" w:type="pct"/>
            <w:shd w:val="clear" w:color="auto" w:fill="004B8D"/>
          </w:tcPr>
          <w:p w14:paraId="146C74B3" w14:textId="77777777" w:rsidR="005132A0" w:rsidRPr="00DA0A7D" w:rsidRDefault="005132A0" w:rsidP="003A338E">
            <w:pPr>
              <w:spacing w:after="0"/>
              <w:jc w:val="center"/>
              <w:rPr>
                <w:rFonts w:cstheme="minorHAnsi"/>
                <w:color w:val="FFFFFF" w:themeColor="background1"/>
                <w:sz w:val="14"/>
                <w:szCs w:val="14"/>
              </w:rPr>
            </w:pPr>
            <w:r w:rsidRPr="00DA0A7D">
              <w:rPr>
                <w:rFonts w:cstheme="minorHAnsi"/>
                <w:b/>
                <w:color w:val="FFFFFF" w:themeColor="background1"/>
                <w:sz w:val="14"/>
                <w:szCs w:val="14"/>
              </w:rPr>
              <w:t>PLK</w:t>
            </w:r>
          </w:p>
        </w:tc>
        <w:tc>
          <w:tcPr>
            <w:tcW w:w="160" w:type="pct"/>
            <w:shd w:val="clear" w:color="auto" w:fill="004B8D"/>
          </w:tcPr>
          <w:p w14:paraId="1FC5A87B"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PHA</w:t>
            </w:r>
          </w:p>
        </w:tc>
        <w:tc>
          <w:tcPr>
            <w:tcW w:w="147" w:type="pct"/>
            <w:shd w:val="clear" w:color="auto" w:fill="004B8D"/>
          </w:tcPr>
          <w:p w14:paraId="7CDD4C06"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STČ</w:t>
            </w:r>
          </w:p>
        </w:tc>
        <w:tc>
          <w:tcPr>
            <w:tcW w:w="153" w:type="pct"/>
            <w:shd w:val="clear" w:color="auto" w:fill="004B8D"/>
          </w:tcPr>
          <w:p w14:paraId="50BA7E1C"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ULK</w:t>
            </w:r>
          </w:p>
        </w:tc>
        <w:tc>
          <w:tcPr>
            <w:tcW w:w="158" w:type="pct"/>
            <w:shd w:val="clear" w:color="auto" w:fill="004B8D"/>
          </w:tcPr>
          <w:p w14:paraId="1D84E2CC"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VYS</w:t>
            </w:r>
          </w:p>
        </w:tc>
        <w:tc>
          <w:tcPr>
            <w:tcW w:w="147" w:type="pct"/>
            <w:shd w:val="clear" w:color="auto" w:fill="004B8D"/>
          </w:tcPr>
          <w:p w14:paraId="0DFD71CC" w14:textId="77777777" w:rsidR="005132A0" w:rsidRPr="00DA0A7D" w:rsidRDefault="005132A0" w:rsidP="003A338E">
            <w:pPr>
              <w:spacing w:after="0"/>
              <w:jc w:val="center"/>
              <w:rPr>
                <w:rFonts w:cstheme="minorHAnsi"/>
                <w:b/>
                <w:color w:val="FFFFFF" w:themeColor="background1"/>
                <w:sz w:val="14"/>
                <w:szCs w:val="14"/>
              </w:rPr>
            </w:pPr>
            <w:r w:rsidRPr="00DA0A7D">
              <w:rPr>
                <w:rFonts w:cstheme="minorHAnsi"/>
                <w:b/>
                <w:color w:val="FFFFFF" w:themeColor="background1"/>
                <w:sz w:val="14"/>
                <w:szCs w:val="14"/>
              </w:rPr>
              <w:t>ZLK</w:t>
            </w:r>
          </w:p>
        </w:tc>
      </w:tr>
      <w:tr w:rsidR="005132A0" w:rsidRPr="00DA0A7D" w14:paraId="621B6248" w14:textId="77777777" w:rsidTr="003A338E">
        <w:tc>
          <w:tcPr>
            <w:tcW w:w="827" w:type="pct"/>
            <w:vMerge w:val="restart"/>
            <w:shd w:val="clear" w:color="auto" w:fill="004B8D"/>
          </w:tcPr>
          <w:p w14:paraId="4D16DB14" w14:textId="77777777" w:rsidR="005132A0" w:rsidRPr="00DA0A7D" w:rsidRDefault="005132A0" w:rsidP="003A338E">
            <w:pPr>
              <w:spacing w:after="0" w:line="240" w:lineRule="auto"/>
              <w:rPr>
                <w:rFonts w:cstheme="minorHAnsi"/>
                <w:color w:val="FFFFFF" w:themeColor="background1"/>
                <w:sz w:val="14"/>
                <w:szCs w:val="14"/>
              </w:rPr>
            </w:pPr>
            <w:r w:rsidRPr="00DA0A7D">
              <w:rPr>
                <w:rFonts w:cstheme="minorHAnsi"/>
                <w:color w:val="FFFFFF" w:themeColor="background1"/>
                <w:sz w:val="14"/>
                <w:szCs w:val="14"/>
              </w:rPr>
              <w:t>Pokročilé stroje/technologie pro silný a globálně konkurenceschopný průmysl</w:t>
            </w:r>
          </w:p>
        </w:tc>
        <w:tc>
          <w:tcPr>
            <w:tcW w:w="924" w:type="pct"/>
            <w:vMerge w:val="restart"/>
          </w:tcPr>
          <w:p w14:paraId="00DF6ACE"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NIP I.</w:t>
            </w:r>
          </w:p>
          <w:p w14:paraId="161120D4"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Strojírenství, energetika, hutnictví a průmyslová chemie</w:t>
            </w:r>
          </w:p>
        </w:tc>
        <w:tc>
          <w:tcPr>
            <w:tcW w:w="1070" w:type="pct"/>
          </w:tcPr>
          <w:p w14:paraId="2A251D24" w14:textId="77777777" w:rsidR="005132A0" w:rsidRPr="00DA0A7D" w:rsidRDefault="005132A0" w:rsidP="003A338E">
            <w:pPr>
              <w:spacing w:after="0" w:line="240" w:lineRule="auto"/>
              <w:rPr>
                <w:sz w:val="14"/>
                <w:szCs w:val="14"/>
              </w:rPr>
            </w:pPr>
            <w:r>
              <w:rPr>
                <w:sz w:val="14"/>
                <w:szCs w:val="14"/>
              </w:rPr>
              <w:t>Strojírenství-mechatronika</w:t>
            </w:r>
          </w:p>
        </w:tc>
        <w:tc>
          <w:tcPr>
            <w:tcW w:w="143" w:type="pct"/>
            <w:vMerge w:val="restart"/>
            <w:vAlign w:val="center"/>
          </w:tcPr>
          <w:p w14:paraId="6CDBAEED" w14:textId="77777777" w:rsidR="005132A0" w:rsidRPr="00DA0A7D" w:rsidRDefault="005132A0" w:rsidP="003A338E">
            <w:pPr>
              <w:spacing w:after="0" w:line="240" w:lineRule="auto"/>
              <w:jc w:val="center"/>
              <w:rPr>
                <w:sz w:val="14"/>
                <w:szCs w:val="14"/>
              </w:rPr>
            </w:pPr>
            <w:r w:rsidRPr="00DA0A7D">
              <w:rPr>
                <w:sz w:val="14"/>
                <w:szCs w:val="14"/>
              </w:rPr>
              <w:t>x</w:t>
            </w:r>
          </w:p>
        </w:tc>
        <w:tc>
          <w:tcPr>
            <w:tcW w:w="159" w:type="pct"/>
            <w:vMerge w:val="restart"/>
            <w:vAlign w:val="center"/>
          </w:tcPr>
          <w:p w14:paraId="42D2AF2C" w14:textId="77777777" w:rsidR="005132A0" w:rsidRPr="00DA0A7D" w:rsidRDefault="005132A0" w:rsidP="003A338E">
            <w:pPr>
              <w:spacing w:after="0" w:line="240" w:lineRule="auto"/>
              <w:jc w:val="center"/>
              <w:rPr>
                <w:sz w:val="14"/>
                <w:szCs w:val="14"/>
              </w:rPr>
            </w:pPr>
            <w:r w:rsidRPr="00DA0A7D">
              <w:rPr>
                <w:sz w:val="14"/>
                <w:szCs w:val="14"/>
              </w:rPr>
              <w:t>x</w:t>
            </w:r>
          </w:p>
        </w:tc>
        <w:tc>
          <w:tcPr>
            <w:tcW w:w="171" w:type="pct"/>
            <w:vMerge w:val="restart"/>
            <w:vAlign w:val="center"/>
          </w:tcPr>
          <w:p w14:paraId="279710F7" w14:textId="77777777" w:rsidR="005132A0" w:rsidRPr="00DA0A7D" w:rsidRDefault="005132A0" w:rsidP="003A338E">
            <w:pPr>
              <w:spacing w:after="0" w:line="240" w:lineRule="auto"/>
              <w:jc w:val="center"/>
              <w:rPr>
                <w:sz w:val="14"/>
                <w:szCs w:val="14"/>
              </w:rPr>
            </w:pPr>
            <w:r w:rsidRPr="00DA0A7D">
              <w:rPr>
                <w:sz w:val="14"/>
                <w:szCs w:val="14"/>
              </w:rPr>
              <w:t>x</w:t>
            </w:r>
          </w:p>
        </w:tc>
        <w:tc>
          <w:tcPr>
            <w:tcW w:w="158" w:type="pct"/>
            <w:vMerge w:val="restart"/>
            <w:vAlign w:val="center"/>
          </w:tcPr>
          <w:p w14:paraId="69728F5F" w14:textId="77777777" w:rsidR="005132A0" w:rsidRPr="00DA0A7D" w:rsidRDefault="005132A0" w:rsidP="003A338E">
            <w:pPr>
              <w:spacing w:after="0" w:line="240" w:lineRule="auto"/>
              <w:jc w:val="center"/>
              <w:rPr>
                <w:sz w:val="14"/>
                <w:szCs w:val="14"/>
              </w:rPr>
            </w:pPr>
            <w:r w:rsidRPr="00DA0A7D">
              <w:rPr>
                <w:sz w:val="14"/>
                <w:szCs w:val="14"/>
              </w:rPr>
              <w:t>x</w:t>
            </w:r>
          </w:p>
        </w:tc>
        <w:tc>
          <w:tcPr>
            <w:tcW w:w="148" w:type="pct"/>
            <w:vMerge w:val="restart"/>
            <w:vAlign w:val="center"/>
          </w:tcPr>
          <w:p w14:paraId="6AF31FD4" w14:textId="77777777" w:rsidR="005132A0" w:rsidRPr="00DA0A7D" w:rsidRDefault="005132A0" w:rsidP="003A338E">
            <w:pPr>
              <w:spacing w:after="0" w:line="240" w:lineRule="auto"/>
              <w:jc w:val="center"/>
              <w:rPr>
                <w:sz w:val="14"/>
                <w:szCs w:val="14"/>
              </w:rPr>
            </w:pPr>
            <w:r w:rsidRPr="00DA0A7D">
              <w:rPr>
                <w:sz w:val="14"/>
                <w:szCs w:val="14"/>
              </w:rPr>
              <w:t>x</w:t>
            </w:r>
          </w:p>
        </w:tc>
        <w:tc>
          <w:tcPr>
            <w:tcW w:w="178" w:type="pct"/>
            <w:vMerge w:val="restart"/>
            <w:vAlign w:val="center"/>
          </w:tcPr>
          <w:p w14:paraId="0C18EC93" w14:textId="77777777" w:rsidR="005132A0" w:rsidRPr="00DA0A7D" w:rsidRDefault="005132A0" w:rsidP="003A338E">
            <w:pPr>
              <w:spacing w:after="0" w:line="240" w:lineRule="auto"/>
              <w:jc w:val="center"/>
              <w:rPr>
                <w:sz w:val="14"/>
                <w:szCs w:val="14"/>
              </w:rPr>
            </w:pPr>
            <w:r w:rsidRPr="00DA0A7D">
              <w:rPr>
                <w:sz w:val="14"/>
                <w:szCs w:val="14"/>
              </w:rPr>
              <w:t>x</w:t>
            </w:r>
          </w:p>
        </w:tc>
        <w:tc>
          <w:tcPr>
            <w:tcW w:w="154" w:type="pct"/>
            <w:vMerge w:val="restart"/>
            <w:vAlign w:val="center"/>
          </w:tcPr>
          <w:p w14:paraId="33386DE3" w14:textId="77777777" w:rsidR="005132A0" w:rsidRPr="00DA0A7D" w:rsidRDefault="005132A0" w:rsidP="003A338E">
            <w:pPr>
              <w:spacing w:after="0" w:line="240" w:lineRule="auto"/>
              <w:jc w:val="center"/>
              <w:rPr>
                <w:sz w:val="14"/>
                <w:szCs w:val="14"/>
              </w:rPr>
            </w:pPr>
            <w:r w:rsidRPr="00DA0A7D">
              <w:rPr>
                <w:sz w:val="14"/>
                <w:szCs w:val="14"/>
              </w:rPr>
              <w:t>x</w:t>
            </w:r>
          </w:p>
        </w:tc>
        <w:tc>
          <w:tcPr>
            <w:tcW w:w="156" w:type="pct"/>
            <w:vMerge w:val="restart"/>
            <w:vAlign w:val="center"/>
          </w:tcPr>
          <w:p w14:paraId="16DC76EF" w14:textId="77777777" w:rsidR="005132A0" w:rsidRPr="0036369C" w:rsidRDefault="005132A0" w:rsidP="003A338E">
            <w:pPr>
              <w:spacing w:after="0" w:line="240" w:lineRule="auto"/>
              <w:jc w:val="center"/>
              <w:rPr>
                <w:sz w:val="14"/>
                <w:szCs w:val="14"/>
              </w:rPr>
            </w:pPr>
            <w:r w:rsidRPr="0036369C">
              <w:rPr>
                <w:sz w:val="14"/>
                <w:szCs w:val="14"/>
              </w:rPr>
              <w:t>x</w:t>
            </w:r>
          </w:p>
        </w:tc>
        <w:tc>
          <w:tcPr>
            <w:tcW w:w="147" w:type="pct"/>
            <w:vMerge w:val="restart"/>
            <w:vAlign w:val="center"/>
          </w:tcPr>
          <w:p w14:paraId="22CB5DA8" w14:textId="77777777" w:rsidR="005132A0" w:rsidRPr="00DA0A7D" w:rsidRDefault="005132A0" w:rsidP="003A338E">
            <w:pPr>
              <w:spacing w:after="0" w:line="240" w:lineRule="auto"/>
              <w:jc w:val="center"/>
              <w:rPr>
                <w:sz w:val="14"/>
                <w:szCs w:val="14"/>
              </w:rPr>
            </w:pPr>
            <w:r w:rsidRPr="00DA0A7D">
              <w:rPr>
                <w:sz w:val="14"/>
                <w:szCs w:val="14"/>
              </w:rPr>
              <w:t>x</w:t>
            </w:r>
          </w:p>
        </w:tc>
        <w:tc>
          <w:tcPr>
            <w:tcW w:w="160" w:type="pct"/>
            <w:vMerge w:val="restart"/>
            <w:vAlign w:val="center"/>
          </w:tcPr>
          <w:p w14:paraId="6ED4BDA9"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Merge w:val="restart"/>
            <w:vAlign w:val="center"/>
          </w:tcPr>
          <w:p w14:paraId="727CEF1B" w14:textId="77777777" w:rsidR="005132A0" w:rsidRPr="00DA0A7D" w:rsidRDefault="005132A0" w:rsidP="003A338E">
            <w:pPr>
              <w:spacing w:after="0" w:line="240" w:lineRule="auto"/>
              <w:jc w:val="center"/>
              <w:rPr>
                <w:sz w:val="14"/>
                <w:szCs w:val="14"/>
              </w:rPr>
            </w:pPr>
            <w:r w:rsidRPr="00DA0A7D">
              <w:rPr>
                <w:sz w:val="14"/>
                <w:szCs w:val="14"/>
              </w:rPr>
              <w:t>x</w:t>
            </w:r>
          </w:p>
        </w:tc>
        <w:tc>
          <w:tcPr>
            <w:tcW w:w="153" w:type="pct"/>
            <w:vMerge w:val="restart"/>
            <w:vAlign w:val="center"/>
          </w:tcPr>
          <w:p w14:paraId="3DEDE29C" w14:textId="77777777" w:rsidR="005132A0" w:rsidRPr="00DA0A7D" w:rsidRDefault="005132A0" w:rsidP="003A338E">
            <w:pPr>
              <w:spacing w:after="0" w:line="240" w:lineRule="auto"/>
              <w:jc w:val="center"/>
              <w:rPr>
                <w:sz w:val="14"/>
                <w:szCs w:val="14"/>
              </w:rPr>
            </w:pPr>
            <w:r w:rsidRPr="00DA0A7D">
              <w:rPr>
                <w:sz w:val="14"/>
                <w:szCs w:val="14"/>
              </w:rPr>
              <w:t>x</w:t>
            </w:r>
          </w:p>
        </w:tc>
        <w:tc>
          <w:tcPr>
            <w:tcW w:w="158" w:type="pct"/>
            <w:vMerge w:val="restart"/>
            <w:vAlign w:val="center"/>
          </w:tcPr>
          <w:p w14:paraId="6A1B41A0"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Merge w:val="restart"/>
            <w:vAlign w:val="center"/>
          </w:tcPr>
          <w:p w14:paraId="32B197DA" w14:textId="77777777" w:rsidR="005132A0" w:rsidRPr="00DA0A7D" w:rsidRDefault="005132A0" w:rsidP="003A338E">
            <w:pPr>
              <w:spacing w:after="0" w:line="240" w:lineRule="auto"/>
              <w:jc w:val="center"/>
              <w:rPr>
                <w:sz w:val="14"/>
                <w:szCs w:val="14"/>
              </w:rPr>
            </w:pPr>
            <w:r w:rsidRPr="00DA0A7D">
              <w:rPr>
                <w:sz w:val="14"/>
                <w:szCs w:val="14"/>
              </w:rPr>
              <w:t>x</w:t>
            </w:r>
          </w:p>
        </w:tc>
      </w:tr>
      <w:tr w:rsidR="005132A0" w:rsidRPr="00DA0A7D" w14:paraId="32EF1AEE" w14:textId="77777777" w:rsidTr="003A338E">
        <w:tc>
          <w:tcPr>
            <w:tcW w:w="827" w:type="pct"/>
            <w:vMerge/>
            <w:shd w:val="clear" w:color="auto" w:fill="004B8D"/>
          </w:tcPr>
          <w:p w14:paraId="4F964710" w14:textId="77777777" w:rsidR="005132A0" w:rsidRPr="00DA0A7D" w:rsidRDefault="005132A0" w:rsidP="003A338E">
            <w:pPr>
              <w:spacing w:after="0" w:line="240" w:lineRule="auto"/>
              <w:rPr>
                <w:rFonts w:cstheme="minorHAnsi"/>
                <w:color w:val="FFFFFF" w:themeColor="background1"/>
                <w:sz w:val="14"/>
                <w:szCs w:val="14"/>
              </w:rPr>
            </w:pPr>
          </w:p>
        </w:tc>
        <w:tc>
          <w:tcPr>
            <w:tcW w:w="924" w:type="pct"/>
            <w:vMerge/>
          </w:tcPr>
          <w:p w14:paraId="533101A9" w14:textId="77777777" w:rsidR="005132A0" w:rsidRPr="00DA0A7D" w:rsidRDefault="005132A0" w:rsidP="003A338E">
            <w:pPr>
              <w:spacing w:after="0" w:line="240" w:lineRule="auto"/>
              <w:rPr>
                <w:rFonts w:cstheme="minorHAnsi"/>
                <w:sz w:val="14"/>
                <w:szCs w:val="14"/>
              </w:rPr>
            </w:pPr>
          </w:p>
        </w:tc>
        <w:tc>
          <w:tcPr>
            <w:tcW w:w="1070" w:type="pct"/>
          </w:tcPr>
          <w:p w14:paraId="1A1989DD" w14:textId="77777777" w:rsidR="005132A0" w:rsidRPr="00DA0A7D" w:rsidRDefault="005132A0" w:rsidP="003A338E">
            <w:pPr>
              <w:spacing w:after="0" w:line="240" w:lineRule="auto"/>
              <w:rPr>
                <w:sz w:val="14"/>
                <w:szCs w:val="14"/>
              </w:rPr>
            </w:pPr>
            <w:r w:rsidRPr="00DA0A7D">
              <w:rPr>
                <w:sz w:val="14"/>
                <w:szCs w:val="14"/>
              </w:rPr>
              <w:t>Hutnictví</w:t>
            </w:r>
          </w:p>
        </w:tc>
        <w:tc>
          <w:tcPr>
            <w:tcW w:w="143" w:type="pct"/>
            <w:vMerge/>
          </w:tcPr>
          <w:p w14:paraId="60CA921D" w14:textId="77777777" w:rsidR="005132A0" w:rsidRPr="00DA0A7D" w:rsidRDefault="005132A0" w:rsidP="003A338E">
            <w:pPr>
              <w:spacing w:after="0" w:line="240" w:lineRule="auto"/>
              <w:jc w:val="center"/>
              <w:rPr>
                <w:sz w:val="14"/>
                <w:szCs w:val="14"/>
              </w:rPr>
            </w:pPr>
          </w:p>
        </w:tc>
        <w:tc>
          <w:tcPr>
            <w:tcW w:w="159" w:type="pct"/>
            <w:vMerge/>
          </w:tcPr>
          <w:p w14:paraId="56545087" w14:textId="77777777" w:rsidR="005132A0" w:rsidRPr="00DA0A7D" w:rsidRDefault="005132A0" w:rsidP="003A338E">
            <w:pPr>
              <w:spacing w:after="0" w:line="240" w:lineRule="auto"/>
              <w:jc w:val="center"/>
              <w:rPr>
                <w:sz w:val="14"/>
                <w:szCs w:val="14"/>
              </w:rPr>
            </w:pPr>
          </w:p>
        </w:tc>
        <w:tc>
          <w:tcPr>
            <w:tcW w:w="171" w:type="pct"/>
            <w:vMerge/>
          </w:tcPr>
          <w:p w14:paraId="7BA23DC1" w14:textId="77777777" w:rsidR="005132A0" w:rsidRPr="00DA0A7D" w:rsidRDefault="005132A0" w:rsidP="003A338E">
            <w:pPr>
              <w:spacing w:after="0" w:line="240" w:lineRule="auto"/>
              <w:jc w:val="center"/>
              <w:rPr>
                <w:sz w:val="14"/>
                <w:szCs w:val="14"/>
              </w:rPr>
            </w:pPr>
          </w:p>
        </w:tc>
        <w:tc>
          <w:tcPr>
            <w:tcW w:w="158" w:type="pct"/>
            <w:vMerge/>
          </w:tcPr>
          <w:p w14:paraId="1A2818D7" w14:textId="77777777" w:rsidR="005132A0" w:rsidRPr="00DA0A7D" w:rsidRDefault="005132A0" w:rsidP="003A338E">
            <w:pPr>
              <w:spacing w:after="0" w:line="240" w:lineRule="auto"/>
              <w:jc w:val="center"/>
              <w:rPr>
                <w:sz w:val="14"/>
                <w:szCs w:val="14"/>
              </w:rPr>
            </w:pPr>
          </w:p>
        </w:tc>
        <w:tc>
          <w:tcPr>
            <w:tcW w:w="148" w:type="pct"/>
            <w:vMerge/>
          </w:tcPr>
          <w:p w14:paraId="0F4DB02C" w14:textId="77777777" w:rsidR="005132A0" w:rsidRPr="00DA0A7D" w:rsidRDefault="005132A0" w:rsidP="003A338E">
            <w:pPr>
              <w:spacing w:after="0" w:line="240" w:lineRule="auto"/>
              <w:jc w:val="center"/>
              <w:rPr>
                <w:sz w:val="14"/>
                <w:szCs w:val="14"/>
              </w:rPr>
            </w:pPr>
          </w:p>
        </w:tc>
        <w:tc>
          <w:tcPr>
            <w:tcW w:w="178" w:type="pct"/>
            <w:vMerge/>
          </w:tcPr>
          <w:p w14:paraId="326C4713" w14:textId="77777777" w:rsidR="005132A0" w:rsidRPr="00DA0A7D" w:rsidRDefault="005132A0" w:rsidP="003A338E">
            <w:pPr>
              <w:spacing w:after="0" w:line="240" w:lineRule="auto"/>
              <w:jc w:val="center"/>
              <w:rPr>
                <w:sz w:val="14"/>
                <w:szCs w:val="14"/>
              </w:rPr>
            </w:pPr>
          </w:p>
        </w:tc>
        <w:tc>
          <w:tcPr>
            <w:tcW w:w="154" w:type="pct"/>
            <w:vMerge/>
          </w:tcPr>
          <w:p w14:paraId="7EEF7B7D" w14:textId="77777777" w:rsidR="005132A0" w:rsidRPr="00DA0A7D" w:rsidRDefault="005132A0" w:rsidP="003A338E">
            <w:pPr>
              <w:spacing w:after="0" w:line="240" w:lineRule="auto"/>
              <w:jc w:val="center"/>
              <w:rPr>
                <w:sz w:val="14"/>
                <w:szCs w:val="14"/>
              </w:rPr>
            </w:pPr>
          </w:p>
        </w:tc>
        <w:tc>
          <w:tcPr>
            <w:tcW w:w="156" w:type="pct"/>
            <w:vMerge/>
          </w:tcPr>
          <w:p w14:paraId="44617793" w14:textId="77777777" w:rsidR="005132A0" w:rsidRPr="00DA0A7D" w:rsidRDefault="005132A0" w:rsidP="003A338E">
            <w:pPr>
              <w:spacing w:after="0" w:line="240" w:lineRule="auto"/>
              <w:jc w:val="center"/>
              <w:rPr>
                <w:rFonts w:cstheme="minorHAnsi"/>
                <w:sz w:val="14"/>
                <w:szCs w:val="14"/>
              </w:rPr>
            </w:pPr>
          </w:p>
        </w:tc>
        <w:tc>
          <w:tcPr>
            <w:tcW w:w="147" w:type="pct"/>
            <w:vMerge/>
          </w:tcPr>
          <w:p w14:paraId="6A352455" w14:textId="77777777" w:rsidR="005132A0" w:rsidRPr="00DA0A7D" w:rsidRDefault="005132A0" w:rsidP="003A338E">
            <w:pPr>
              <w:spacing w:after="0" w:line="240" w:lineRule="auto"/>
              <w:jc w:val="center"/>
              <w:rPr>
                <w:sz w:val="14"/>
                <w:szCs w:val="14"/>
              </w:rPr>
            </w:pPr>
          </w:p>
        </w:tc>
        <w:tc>
          <w:tcPr>
            <w:tcW w:w="160" w:type="pct"/>
            <w:vMerge/>
          </w:tcPr>
          <w:p w14:paraId="13BFBA3B" w14:textId="77777777" w:rsidR="005132A0" w:rsidRPr="00DA0A7D" w:rsidRDefault="005132A0" w:rsidP="003A338E">
            <w:pPr>
              <w:spacing w:after="0" w:line="240" w:lineRule="auto"/>
              <w:jc w:val="center"/>
              <w:rPr>
                <w:sz w:val="14"/>
                <w:szCs w:val="14"/>
              </w:rPr>
            </w:pPr>
          </w:p>
        </w:tc>
        <w:tc>
          <w:tcPr>
            <w:tcW w:w="147" w:type="pct"/>
            <w:vMerge/>
          </w:tcPr>
          <w:p w14:paraId="3D582BBF" w14:textId="77777777" w:rsidR="005132A0" w:rsidRPr="00DA0A7D" w:rsidRDefault="005132A0" w:rsidP="003A338E">
            <w:pPr>
              <w:spacing w:after="0" w:line="240" w:lineRule="auto"/>
              <w:jc w:val="center"/>
              <w:rPr>
                <w:sz w:val="14"/>
                <w:szCs w:val="14"/>
              </w:rPr>
            </w:pPr>
          </w:p>
        </w:tc>
        <w:tc>
          <w:tcPr>
            <w:tcW w:w="153" w:type="pct"/>
            <w:vMerge/>
          </w:tcPr>
          <w:p w14:paraId="7A930EB5" w14:textId="77777777" w:rsidR="005132A0" w:rsidRPr="00DA0A7D" w:rsidRDefault="005132A0" w:rsidP="003A338E">
            <w:pPr>
              <w:spacing w:after="0" w:line="240" w:lineRule="auto"/>
              <w:jc w:val="center"/>
              <w:rPr>
                <w:sz w:val="14"/>
                <w:szCs w:val="14"/>
              </w:rPr>
            </w:pPr>
          </w:p>
        </w:tc>
        <w:tc>
          <w:tcPr>
            <w:tcW w:w="158" w:type="pct"/>
            <w:vMerge/>
          </w:tcPr>
          <w:p w14:paraId="76A82B2A" w14:textId="77777777" w:rsidR="005132A0" w:rsidRPr="00DA0A7D" w:rsidRDefault="005132A0" w:rsidP="003A338E">
            <w:pPr>
              <w:spacing w:after="0" w:line="240" w:lineRule="auto"/>
              <w:jc w:val="center"/>
              <w:rPr>
                <w:sz w:val="14"/>
                <w:szCs w:val="14"/>
              </w:rPr>
            </w:pPr>
          </w:p>
        </w:tc>
        <w:tc>
          <w:tcPr>
            <w:tcW w:w="147" w:type="pct"/>
            <w:vMerge/>
          </w:tcPr>
          <w:p w14:paraId="2C8CDC60" w14:textId="77777777" w:rsidR="005132A0" w:rsidRPr="00DA0A7D" w:rsidRDefault="005132A0" w:rsidP="003A338E">
            <w:pPr>
              <w:spacing w:after="0" w:line="240" w:lineRule="auto"/>
              <w:jc w:val="center"/>
              <w:rPr>
                <w:sz w:val="14"/>
                <w:szCs w:val="14"/>
              </w:rPr>
            </w:pPr>
          </w:p>
        </w:tc>
      </w:tr>
      <w:tr w:rsidR="005132A0" w:rsidRPr="00DA0A7D" w14:paraId="6898CC8A" w14:textId="77777777" w:rsidTr="003A338E">
        <w:trPr>
          <w:trHeight w:val="50"/>
        </w:trPr>
        <w:tc>
          <w:tcPr>
            <w:tcW w:w="827" w:type="pct"/>
            <w:vMerge/>
            <w:shd w:val="clear" w:color="auto" w:fill="004B8D"/>
          </w:tcPr>
          <w:p w14:paraId="19E8DDF3" w14:textId="77777777" w:rsidR="005132A0" w:rsidRPr="00DA0A7D" w:rsidRDefault="005132A0" w:rsidP="003A338E">
            <w:pPr>
              <w:spacing w:after="0" w:line="240" w:lineRule="auto"/>
              <w:rPr>
                <w:rFonts w:cstheme="minorHAnsi"/>
                <w:color w:val="FFFFFF" w:themeColor="background1"/>
                <w:sz w:val="14"/>
                <w:szCs w:val="14"/>
              </w:rPr>
            </w:pPr>
          </w:p>
        </w:tc>
        <w:tc>
          <w:tcPr>
            <w:tcW w:w="924" w:type="pct"/>
            <w:vMerge/>
          </w:tcPr>
          <w:p w14:paraId="159783AE" w14:textId="77777777" w:rsidR="005132A0" w:rsidRPr="00DA0A7D" w:rsidRDefault="005132A0" w:rsidP="003A338E">
            <w:pPr>
              <w:spacing w:after="0" w:line="240" w:lineRule="auto"/>
              <w:rPr>
                <w:rFonts w:cstheme="minorHAnsi"/>
                <w:sz w:val="14"/>
                <w:szCs w:val="14"/>
              </w:rPr>
            </w:pPr>
          </w:p>
        </w:tc>
        <w:tc>
          <w:tcPr>
            <w:tcW w:w="1070" w:type="pct"/>
          </w:tcPr>
          <w:p w14:paraId="70A359DD" w14:textId="77777777" w:rsidR="005132A0" w:rsidRPr="00DA0A7D" w:rsidRDefault="005132A0" w:rsidP="003A338E">
            <w:pPr>
              <w:spacing w:after="0" w:line="240" w:lineRule="auto"/>
              <w:rPr>
                <w:sz w:val="14"/>
                <w:szCs w:val="14"/>
              </w:rPr>
            </w:pPr>
            <w:r>
              <w:rPr>
                <w:sz w:val="14"/>
                <w:szCs w:val="14"/>
              </w:rPr>
              <w:t>Energetika</w:t>
            </w:r>
          </w:p>
        </w:tc>
        <w:tc>
          <w:tcPr>
            <w:tcW w:w="143" w:type="pct"/>
            <w:vMerge/>
          </w:tcPr>
          <w:p w14:paraId="45BB6134" w14:textId="77777777" w:rsidR="005132A0" w:rsidRPr="00DA0A7D" w:rsidRDefault="005132A0" w:rsidP="003A338E">
            <w:pPr>
              <w:spacing w:after="0" w:line="240" w:lineRule="auto"/>
              <w:jc w:val="center"/>
              <w:rPr>
                <w:sz w:val="14"/>
                <w:szCs w:val="14"/>
              </w:rPr>
            </w:pPr>
          </w:p>
        </w:tc>
        <w:tc>
          <w:tcPr>
            <w:tcW w:w="159" w:type="pct"/>
            <w:vMerge/>
          </w:tcPr>
          <w:p w14:paraId="408CF3B6" w14:textId="77777777" w:rsidR="005132A0" w:rsidRPr="00DA0A7D" w:rsidRDefault="005132A0" w:rsidP="003A338E">
            <w:pPr>
              <w:spacing w:after="0" w:line="240" w:lineRule="auto"/>
              <w:jc w:val="center"/>
              <w:rPr>
                <w:sz w:val="14"/>
                <w:szCs w:val="14"/>
              </w:rPr>
            </w:pPr>
          </w:p>
        </w:tc>
        <w:tc>
          <w:tcPr>
            <w:tcW w:w="171" w:type="pct"/>
            <w:vMerge/>
          </w:tcPr>
          <w:p w14:paraId="7A6E7590" w14:textId="77777777" w:rsidR="005132A0" w:rsidRPr="00DA0A7D" w:rsidRDefault="005132A0" w:rsidP="003A338E">
            <w:pPr>
              <w:spacing w:after="0" w:line="240" w:lineRule="auto"/>
              <w:jc w:val="center"/>
              <w:rPr>
                <w:sz w:val="14"/>
                <w:szCs w:val="14"/>
              </w:rPr>
            </w:pPr>
          </w:p>
        </w:tc>
        <w:tc>
          <w:tcPr>
            <w:tcW w:w="158" w:type="pct"/>
            <w:vMerge/>
          </w:tcPr>
          <w:p w14:paraId="7AA11D74" w14:textId="77777777" w:rsidR="005132A0" w:rsidRPr="00DA0A7D" w:rsidRDefault="005132A0" w:rsidP="003A338E">
            <w:pPr>
              <w:spacing w:after="0" w:line="240" w:lineRule="auto"/>
              <w:jc w:val="center"/>
              <w:rPr>
                <w:sz w:val="14"/>
                <w:szCs w:val="14"/>
              </w:rPr>
            </w:pPr>
          </w:p>
        </w:tc>
        <w:tc>
          <w:tcPr>
            <w:tcW w:w="148" w:type="pct"/>
            <w:vMerge/>
          </w:tcPr>
          <w:p w14:paraId="11F3ECFF" w14:textId="77777777" w:rsidR="005132A0" w:rsidRPr="00DA0A7D" w:rsidRDefault="005132A0" w:rsidP="003A338E">
            <w:pPr>
              <w:spacing w:after="0" w:line="240" w:lineRule="auto"/>
              <w:jc w:val="center"/>
              <w:rPr>
                <w:sz w:val="14"/>
                <w:szCs w:val="14"/>
              </w:rPr>
            </w:pPr>
          </w:p>
        </w:tc>
        <w:tc>
          <w:tcPr>
            <w:tcW w:w="178" w:type="pct"/>
            <w:vMerge/>
          </w:tcPr>
          <w:p w14:paraId="55D79DDF" w14:textId="77777777" w:rsidR="005132A0" w:rsidRPr="00DA0A7D" w:rsidRDefault="005132A0" w:rsidP="003A338E">
            <w:pPr>
              <w:spacing w:after="0" w:line="240" w:lineRule="auto"/>
              <w:jc w:val="center"/>
              <w:rPr>
                <w:sz w:val="14"/>
                <w:szCs w:val="14"/>
              </w:rPr>
            </w:pPr>
          </w:p>
        </w:tc>
        <w:tc>
          <w:tcPr>
            <w:tcW w:w="154" w:type="pct"/>
            <w:vMerge/>
          </w:tcPr>
          <w:p w14:paraId="4BD0466F" w14:textId="77777777" w:rsidR="005132A0" w:rsidRPr="00DA0A7D" w:rsidRDefault="005132A0" w:rsidP="003A338E">
            <w:pPr>
              <w:spacing w:after="0" w:line="240" w:lineRule="auto"/>
              <w:jc w:val="center"/>
              <w:rPr>
                <w:sz w:val="14"/>
                <w:szCs w:val="14"/>
              </w:rPr>
            </w:pPr>
          </w:p>
        </w:tc>
        <w:tc>
          <w:tcPr>
            <w:tcW w:w="156" w:type="pct"/>
            <w:vMerge/>
          </w:tcPr>
          <w:p w14:paraId="102AE2AC" w14:textId="77777777" w:rsidR="005132A0" w:rsidRPr="00DA0A7D" w:rsidRDefault="005132A0" w:rsidP="003A338E">
            <w:pPr>
              <w:spacing w:after="0" w:line="240" w:lineRule="auto"/>
              <w:jc w:val="center"/>
              <w:rPr>
                <w:rFonts w:cstheme="minorHAnsi"/>
                <w:sz w:val="14"/>
                <w:szCs w:val="14"/>
              </w:rPr>
            </w:pPr>
          </w:p>
        </w:tc>
        <w:tc>
          <w:tcPr>
            <w:tcW w:w="147" w:type="pct"/>
            <w:vMerge/>
          </w:tcPr>
          <w:p w14:paraId="5846ABDC" w14:textId="77777777" w:rsidR="005132A0" w:rsidRPr="00DA0A7D" w:rsidRDefault="005132A0" w:rsidP="003A338E">
            <w:pPr>
              <w:spacing w:after="0" w:line="240" w:lineRule="auto"/>
              <w:jc w:val="center"/>
              <w:rPr>
                <w:sz w:val="14"/>
                <w:szCs w:val="14"/>
              </w:rPr>
            </w:pPr>
          </w:p>
        </w:tc>
        <w:tc>
          <w:tcPr>
            <w:tcW w:w="160" w:type="pct"/>
            <w:vMerge/>
          </w:tcPr>
          <w:p w14:paraId="2A3C0CC9" w14:textId="77777777" w:rsidR="005132A0" w:rsidRPr="00DA0A7D" w:rsidRDefault="005132A0" w:rsidP="003A338E">
            <w:pPr>
              <w:spacing w:after="0" w:line="240" w:lineRule="auto"/>
              <w:jc w:val="center"/>
              <w:rPr>
                <w:sz w:val="14"/>
                <w:szCs w:val="14"/>
              </w:rPr>
            </w:pPr>
          </w:p>
        </w:tc>
        <w:tc>
          <w:tcPr>
            <w:tcW w:w="147" w:type="pct"/>
            <w:vMerge/>
          </w:tcPr>
          <w:p w14:paraId="5CC34A24" w14:textId="77777777" w:rsidR="005132A0" w:rsidRPr="00DA0A7D" w:rsidRDefault="005132A0" w:rsidP="003A338E">
            <w:pPr>
              <w:spacing w:after="0" w:line="240" w:lineRule="auto"/>
              <w:jc w:val="center"/>
              <w:rPr>
                <w:sz w:val="14"/>
                <w:szCs w:val="14"/>
              </w:rPr>
            </w:pPr>
          </w:p>
        </w:tc>
        <w:tc>
          <w:tcPr>
            <w:tcW w:w="153" w:type="pct"/>
            <w:vMerge/>
          </w:tcPr>
          <w:p w14:paraId="4B004016" w14:textId="77777777" w:rsidR="005132A0" w:rsidRPr="00DA0A7D" w:rsidRDefault="005132A0" w:rsidP="003A338E">
            <w:pPr>
              <w:spacing w:after="0" w:line="240" w:lineRule="auto"/>
              <w:jc w:val="center"/>
              <w:rPr>
                <w:sz w:val="14"/>
                <w:szCs w:val="14"/>
              </w:rPr>
            </w:pPr>
          </w:p>
        </w:tc>
        <w:tc>
          <w:tcPr>
            <w:tcW w:w="158" w:type="pct"/>
            <w:vMerge/>
          </w:tcPr>
          <w:p w14:paraId="63A7733E" w14:textId="77777777" w:rsidR="005132A0" w:rsidRPr="00DA0A7D" w:rsidRDefault="005132A0" w:rsidP="003A338E">
            <w:pPr>
              <w:spacing w:after="0" w:line="240" w:lineRule="auto"/>
              <w:jc w:val="center"/>
              <w:rPr>
                <w:sz w:val="14"/>
                <w:szCs w:val="14"/>
              </w:rPr>
            </w:pPr>
          </w:p>
        </w:tc>
        <w:tc>
          <w:tcPr>
            <w:tcW w:w="147" w:type="pct"/>
            <w:vMerge/>
          </w:tcPr>
          <w:p w14:paraId="29FCF6E7" w14:textId="77777777" w:rsidR="005132A0" w:rsidRPr="00DA0A7D" w:rsidRDefault="005132A0" w:rsidP="003A338E">
            <w:pPr>
              <w:spacing w:after="0" w:line="240" w:lineRule="auto"/>
              <w:jc w:val="center"/>
              <w:rPr>
                <w:sz w:val="14"/>
                <w:szCs w:val="14"/>
              </w:rPr>
            </w:pPr>
          </w:p>
        </w:tc>
      </w:tr>
      <w:tr w:rsidR="005132A0" w:rsidRPr="00DA0A7D" w14:paraId="64C8A04C" w14:textId="77777777" w:rsidTr="003A338E">
        <w:trPr>
          <w:trHeight w:val="50"/>
        </w:trPr>
        <w:tc>
          <w:tcPr>
            <w:tcW w:w="827" w:type="pct"/>
            <w:vMerge/>
            <w:shd w:val="clear" w:color="auto" w:fill="004B8D"/>
          </w:tcPr>
          <w:p w14:paraId="48EBB50E" w14:textId="77777777" w:rsidR="005132A0" w:rsidRPr="00DA0A7D" w:rsidRDefault="005132A0" w:rsidP="003A338E">
            <w:pPr>
              <w:spacing w:after="0" w:line="240" w:lineRule="auto"/>
              <w:rPr>
                <w:rFonts w:cstheme="minorHAnsi"/>
                <w:color w:val="FFFFFF" w:themeColor="background1"/>
                <w:sz w:val="14"/>
                <w:szCs w:val="14"/>
              </w:rPr>
            </w:pPr>
          </w:p>
        </w:tc>
        <w:tc>
          <w:tcPr>
            <w:tcW w:w="924" w:type="pct"/>
            <w:vMerge/>
          </w:tcPr>
          <w:p w14:paraId="158DBBA5" w14:textId="77777777" w:rsidR="005132A0" w:rsidRPr="00DA0A7D" w:rsidRDefault="005132A0" w:rsidP="003A338E">
            <w:pPr>
              <w:spacing w:after="0" w:line="240" w:lineRule="auto"/>
              <w:rPr>
                <w:rFonts w:cstheme="minorHAnsi"/>
                <w:sz w:val="14"/>
                <w:szCs w:val="14"/>
              </w:rPr>
            </w:pPr>
          </w:p>
        </w:tc>
        <w:tc>
          <w:tcPr>
            <w:tcW w:w="1070" w:type="pct"/>
          </w:tcPr>
          <w:p w14:paraId="79646F72" w14:textId="77777777" w:rsidR="005132A0" w:rsidRPr="00DA0A7D" w:rsidRDefault="005132A0" w:rsidP="003A338E">
            <w:pPr>
              <w:spacing w:after="0" w:line="240" w:lineRule="auto"/>
              <w:rPr>
                <w:sz w:val="14"/>
                <w:szCs w:val="14"/>
              </w:rPr>
            </w:pPr>
            <w:r w:rsidRPr="00DA0A7D">
              <w:rPr>
                <w:sz w:val="14"/>
                <w:szCs w:val="14"/>
              </w:rPr>
              <w:t>Průmyslová chemie</w:t>
            </w:r>
          </w:p>
        </w:tc>
        <w:tc>
          <w:tcPr>
            <w:tcW w:w="143" w:type="pct"/>
            <w:vMerge/>
          </w:tcPr>
          <w:p w14:paraId="1D1465B2" w14:textId="77777777" w:rsidR="005132A0" w:rsidRPr="00DA0A7D" w:rsidRDefault="005132A0" w:rsidP="003A338E">
            <w:pPr>
              <w:spacing w:after="0" w:line="240" w:lineRule="auto"/>
              <w:jc w:val="center"/>
              <w:rPr>
                <w:sz w:val="14"/>
                <w:szCs w:val="14"/>
              </w:rPr>
            </w:pPr>
          </w:p>
        </w:tc>
        <w:tc>
          <w:tcPr>
            <w:tcW w:w="159" w:type="pct"/>
            <w:vMerge/>
          </w:tcPr>
          <w:p w14:paraId="328E2C1D" w14:textId="77777777" w:rsidR="005132A0" w:rsidRPr="00DA0A7D" w:rsidRDefault="005132A0" w:rsidP="003A338E">
            <w:pPr>
              <w:spacing w:after="0" w:line="240" w:lineRule="auto"/>
              <w:jc w:val="center"/>
              <w:rPr>
                <w:sz w:val="14"/>
                <w:szCs w:val="14"/>
              </w:rPr>
            </w:pPr>
          </w:p>
        </w:tc>
        <w:tc>
          <w:tcPr>
            <w:tcW w:w="171" w:type="pct"/>
            <w:vMerge/>
          </w:tcPr>
          <w:p w14:paraId="133F3532" w14:textId="77777777" w:rsidR="005132A0" w:rsidRPr="00DA0A7D" w:rsidRDefault="005132A0" w:rsidP="003A338E">
            <w:pPr>
              <w:spacing w:after="0" w:line="240" w:lineRule="auto"/>
              <w:jc w:val="center"/>
              <w:rPr>
                <w:sz w:val="14"/>
                <w:szCs w:val="14"/>
              </w:rPr>
            </w:pPr>
          </w:p>
        </w:tc>
        <w:tc>
          <w:tcPr>
            <w:tcW w:w="158" w:type="pct"/>
            <w:vMerge/>
          </w:tcPr>
          <w:p w14:paraId="7AE87EC6" w14:textId="77777777" w:rsidR="005132A0" w:rsidRPr="00DA0A7D" w:rsidRDefault="005132A0" w:rsidP="003A338E">
            <w:pPr>
              <w:spacing w:after="0" w:line="240" w:lineRule="auto"/>
              <w:jc w:val="center"/>
              <w:rPr>
                <w:sz w:val="14"/>
                <w:szCs w:val="14"/>
              </w:rPr>
            </w:pPr>
          </w:p>
        </w:tc>
        <w:tc>
          <w:tcPr>
            <w:tcW w:w="148" w:type="pct"/>
            <w:vMerge/>
          </w:tcPr>
          <w:p w14:paraId="44547A4D" w14:textId="77777777" w:rsidR="005132A0" w:rsidRPr="00DA0A7D" w:rsidRDefault="005132A0" w:rsidP="003A338E">
            <w:pPr>
              <w:spacing w:after="0" w:line="240" w:lineRule="auto"/>
              <w:jc w:val="center"/>
              <w:rPr>
                <w:sz w:val="14"/>
                <w:szCs w:val="14"/>
              </w:rPr>
            </w:pPr>
          </w:p>
        </w:tc>
        <w:tc>
          <w:tcPr>
            <w:tcW w:w="178" w:type="pct"/>
            <w:vMerge/>
          </w:tcPr>
          <w:p w14:paraId="77E4A5EC" w14:textId="77777777" w:rsidR="005132A0" w:rsidRPr="00DA0A7D" w:rsidRDefault="005132A0" w:rsidP="003A338E">
            <w:pPr>
              <w:spacing w:after="0" w:line="240" w:lineRule="auto"/>
              <w:jc w:val="center"/>
              <w:rPr>
                <w:sz w:val="14"/>
                <w:szCs w:val="14"/>
              </w:rPr>
            </w:pPr>
          </w:p>
        </w:tc>
        <w:tc>
          <w:tcPr>
            <w:tcW w:w="154" w:type="pct"/>
            <w:vMerge/>
          </w:tcPr>
          <w:p w14:paraId="19BE59A7" w14:textId="77777777" w:rsidR="005132A0" w:rsidRPr="00DA0A7D" w:rsidRDefault="005132A0" w:rsidP="003A338E">
            <w:pPr>
              <w:spacing w:after="0" w:line="240" w:lineRule="auto"/>
              <w:jc w:val="center"/>
              <w:rPr>
                <w:sz w:val="14"/>
                <w:szCs w:val="14"/>
              </w:rPr>
            </w:pPr>
          </w:p>
        </w:tc>
        <w:tc>
          <w:tcPr>
            <w:tcW w:w="156" w:type="pct"/>
            <w:vMerge/>
          </w:tcPr>
          <w:p w14:paraId="36822C84" w14:textId="77777777" w:rsidR="005132A0" w:rsidRPr="00DA0A7D" w:rsidRDefault="005132A0" w:rsidP="003A338E">
            <w:pPr>
              <w:spacing w:after="0" w:line="240" w:lineRule="auto"/>
              <w:jc w:val="center"/>
              <w:rPr>
                <w:rFonts w:cstheme="minorHAnsi"/>
                <w:sz w:val="14"/>
                <w:szCs w:val="14"/>
              </w:rPr>
            </w:pPr>
          </w:p>
        </w:tc>
        <w:tc>
          <w:tcPr>
            <w:tcW w:w="147" w:type="pct"/>
            <w:vMerge/>
          </w:tcPr>
          <w:p w14:paraId="3AF29D6B" w14:textId="77777777" w:rsidR="005132A0" w:rsidRPr="00DA0A7D" w:rsidRDefault="005132A0" w:rsidP="003A338E">
            <w:pPr>
              <w:spacing w:after="0" w:line="240" w:lineRule="auto"/>
              <w:jc w:val="center"/>
              <w:rPr>
                <w:sz w:val="14"/>
                <w:szCs w:val="14"/>
              </w:rPr>
            </w:pPr>
          </w:p>
        </w:tc>
        <w:tc>
          <w:tcPr>
            <w:tcW w:w="160" w:type="pct"/>
            <w:vMerge/>
          </w:tcPr>
          <w:p w14:paraId="088DE711" w14:textId="77777777" w:rsidR="005132A0" w:rsidRPr="00DA0A7D" w:rsidRDefault="005132A0" w:rsidP="003A338E">
            <w:pPr>
              <w:spacing w:after="0" w:line="240" w:lineRule="auto"/>
              <w:jc w:val="center"/>
              <w:rPr>
                <w:sz w:val="14"/>
                <w:szCs w:val="14"/>
              </w:rPr>
            </w:pPr>
          </w:p>
        </w:tc>
        <w:tc>
          <w:tcPr>
            <w:tcW w:w="147" w:type="pct"/>
            <w:vMerge/>
          </w:tcPr>
          <w:p w14:paraId="46E63ECF" w14:textId="77777777" w:rsidR="005132A0" w:rsidRPr="00DA0A7D" w:rsidRDefault="005132A0" w:rsidP="003A338E">
            <w:pPr>
              <w:spacing w:after="0" w:line="240" w:lineRule="auto"/>
              <w:jc w:val="center"/>
              <w:rPr>
                <w:sz w:val="14"/>
                <w:szCs w:val="14"/>
              </w:rPr>
            </w:pPr>
          </w:p>
        </w:tc>
        <w:tc>
          <w:tcPr>
            <w:tcW w:w="153" w:type="pct"/>
            <w:vMerge/>
          </w:tcPr>
          <w:p w14:paraId="0A04578E" w14:textId="77777777" w:rsidR="005132A0" w:rsidRPr="00DA0A7D" w:rsidRDefault="005132A0" w:rsidP="003A338E">
            <w:pPr>
              <w:spacing w:after="0" w:line="240" w:lineRule="auto"/>
              <w:jc w:val="center"/>
              <w:rPr>
                <w:sz w:val="14"/>
                <w:szCs w:val="14"/>
              </w:rPr>
            </w:pPr>
          </w:p>
        </w:tc>
        <w:tc>
          <w:tcPr>
            <w:tcW w:w="158" w:type="pct"/>
            <w:vMerge/>
          </w:tcPr>
          <w:p w14:paraId="639F9995" w14:textId="77777777" w:rsidR="005132A0" w:rsidRPr="00DA0A7D" w:rsidRDefault="005132A0" w:rsidP="003A338E">
            <w:pPr>
              <w:spacing w:after="0" w:line="240" w:lineRule="auto"/>
              <w:jc w:val="center"/>
              <w:rPr>
                <w:sz w:val="14"/>
                <w:szCs w:val="14"/>
              </w:rPr>
            </w:pPr>
          </w:p>
        </w:tc>
        <w:tc>
          <w:tcPr>
            <w:tcW w:w="147" w:type="pct"/>
            <w:vMerge/>
          </w:tcPr>
          <w:p w14:paraId="7CD3CF67" w14:textId="77777777" w:rsidR="005132A0" w:rsidRPr="00DA0A7D" w:rsidRDefault="005132A0" w:rsidP="003A338E">
            <w:pPr>
              <w:spacing w:after="0" w:line="240" w:lineRule="auto"/>
              <w:jc w:val="center"/>
              <w:rPr>
                <w:sz w:val="14"/>
                <w:szCs w:val="14"/>
              </w:rPr>
            </w:pPr>
          </w:p>
        </w:tc>
      </w:tr>
      <w:tr w:rsidR="005132A0" w:rsidRPr="00DA0A7D" w14:paraId="03C1EC14" w14:textId="77777777" w:rsidTr="003A338E">
        <w:trPr>
          <w:cantSplit/>
          <w:trHeight w:val="166"/>
        </w:trPr>
        <w:tc>
          <w:tcPr>
            <w:tcW w:w="827" w:type="pct"/>
            <w:vMerge w:val="restart"/>
            <w:shd w:val="clear" w:color="auto" w:fill="004B8D"/>
          </w:tcPr>
          <w:p w14:paraId="7FBA6370" w14:textId="77777777" w:rsidR="005132A0" w:rsidRPr="00DA0A7D" w:rsidRDefault="005132A0" w:rsidP="003A338E">
            <w:pPr>
              <w:spacing w:after="0"/>
              <w:rPr>
                <w:rFonts w:cstheme="minorHAnsi"/>
                <w:color w:val="FFFFFF" w:themeColor="background1"/>
                <w:sz w:val="14"/>
                <w:szCs w:val="14"/>
              </w:rPr>
            </w:pPr>
            <w:r w:rsidRPr="00DA0A7D">
              <w:rPr>
                <w:rFonts w:cstheme="minorHAnsi"/>
                <w:color w:val="FFFFFF" w:themeColor="background1"/>
                <w:sz w:val="14"/>
                <w:szCs w:val="14"/>
              </w:rPr>
              <w:t>Digital market technologies a elektrotechnika</w:t>
            </w:r>
          </w:p>
        </w:tc>
        <w:tc>
          <w:tcPr>
            <w:tcW w:w="924" w:type="pct"/>
            <w:vMerge w:val="restart"/>
          </w:tcPr>
          <w:p w14:paraId="2C85CC1B" w14:textId="77777777" w:rsidR="005132A0" w:rsidRPr="00DA0A7D" w:rsidRDefault="005132A0" w:rsidP="003A338E">
            <w:pPr>
              <w:spacing w:after="0"/>
              <w:rPr>
                <w:rFonts w:cstheme="minorHAnsi"/>
                <w:sz w:val="14"/>
                <w:szCs w:val="14"/>
              </w:rPr>
            </w:pPr>
            <w:r w:rsidRPr="00DA0A7D">
              <w:rPr>
                <w:rFonts w:cstheme="minorHAnsi"/>
                <w:sz w:val="14"/>
                <w:szCs w:val="14"/>
              </w:rPr>
              <w:t xml:space="preserve">NIP II. </w:t>
            </w:r>
          </w:p>
          <w:p w14:paraId="23F3EA92" w14:textId="77777777" w:rsidR="005132A0" w:rsidRPr="00DA0A7D" w:rsidRDefault="005132A0" w:rsidP="003A338E">
            <w:pPr>
              <w:spacing w:after="0"/>
              <w:rPr>
                <w:rFonts w:cstheme="minorHAnsi"/>
                <w:sz w:val="14"/>
                <w:szCs w:val="14"/>
              </w:rPr>
            </w:pPr>
            <w:r w:rsidRPr="00DA0A7D">
              <w:rPr>
                <w:rFonts w:cstheme="minorHAnsi"/>
                <w:sz w:val="14"/>
                <w:szCs w:val="14"/>
              </w:rPr>
              <w:t>Elektronika, elektrotechnika a</w:t>
            </w:r>
            <w:r>
              <w:rPr>
                <w:rFonts w:cstheme="minorHAnsi"/>
                <w:sz w:val="14"/>
                <w:szCs w:val="14"/>
              </w:rPr>
              <w:t xml:space="preserve"> </w:t>
            </w:r>
            <w:r w:rsidRPr="00DA0A7D">
              <w:rPr>
                <w:rFonts w:cstheme="minorHAnsi"/>
                <w:sz w:val="14"/>
                <w:szCs w:val="14"/>
              </w:rPr>
              <w:t>ICT</w:t>
            </w:r>
          </w:p>
        </w:tc>
        <w:tc>
          <w:tcPr>
            <w:tcW w:w="1070" w:type="pct"/>
          </w:tcPr>
          <w:p w14:paraId="5F7AB6CF"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Elektronika a el</w:t>
            </w:r>
            <w:r>
              <w:rPr>
                <w:rFonts w:cstheme="minorHAnsi"/>
                <w:sz w:val="14"/>
                <w:szCs w:val="14"/>
              </w:rPr>
              <w:t>ektrotechnika v digitálním věku</w:t>
            </w:r>
            <w:r w:rsidRPr="00DA0A7D">
              <w:rPr>
                <w:rFonts w:cstheme="minorHAnsi"/>
                <w:sz w:val="14"/>
                <w:szCs w:val="14"/>
              </w:rPr>
              <w:t xml:space="preserve"> </w:t>
            </w:r>
          </w:p>
        </w:tc>
        <w:tc>
          <w:tcPr>
            <w:tcW w:w="143" w:type="pct"/>
            <w:vMerge w:val="restart"/>
            <w:vAlign w:val="center"/>
          </w:tcPr>
          <w:p w14:paraId="01C3FFE4" w14:textId="77777777" w:rsidR="005132A0" w:rsidRPr="00DA0A7D" w:rsidRDefault="005132A0" w:rsidP="003A338E">
            <w:pPr>
              <w:spacing w:after="0" w:line="240" w:lineRule="auto"/>
              <w:jc w:val="center"/>
              <w:rPr>
                <w:sz w:val="14"/>
                <w:szCs w:val="14"/>
              </w:rPr>
            </w:pPr>
            <w:r w:rsidRPr="00DA0A7D">
              <w:rPr>
                <w:sz w:val="14"/>
                <w:szCs w:val="14"/>
              </w:rPr>
              <w:t>x</w:t>
            </w:r>
          </w:p>
        </w:tc>
        <w:tc>
          <w:tcPr>
            <w:tcW w:w="159" w:type="pct"/>
            <w:vMerge w:val="restart"/>
            <w:vAlign w:val="center"/>
          </w:tcPr>
          <w:p w14:paraId="573C7564" w14:textId="77777777" w:rsidR="005132A0" w:rsidRPr="00DA0A7D" w:rsidRDefault="005132A0" w:rsidP="003A338E">
            <w:pPr>
              <w:spacing w:after="0" w:line="240" w:lineRule="auto"/>
              <w:jc w:val="center"/>
              <w:rPr>
                <w:sz w:val="14"/>
                <w:szCs w:val="14"/>
              </w:rPr>
            </w:pPr>
            <w:r w:rsidRPr="00DA0A7D">
              <w:rPr>
                <w:sz w:val="14"/>
                <w:szCs w:val="14"/>
              </w:rPr>
              <w:t>x</w:t>
            </w:r>
          </w:p>
        </w:tc>
        <w:tc>
          <w:tcPr>
            <w:tcW w:w="171" w:type="pct"/>
            <w:vMerge w:val="restart"/>
            <w:vAlign w:val="center"/>
          </w:tcPr>
          <w:p w14:paraId="45705393" w14:textId="77777777" w:rsidR="005132A0" w:rsidRPr="00DA0A7D" w:rsidRDefault="005132A0" w:rsidP="003A338E">
            <w:pPr>
              <w:spacing w:after="0" w:line="240" w:lineRule="auto"/>
              <w:jc w:val="center"/>
              <w:rPr>
                <w:sz w:val="14"/>
                <w:szCs w:val="14"/>
              </w:rPr>
            </w:pPr>
            <w:r w:rsidRPr="00DA0A7D">
              <w:rPr>
                <w:sz w:val="14"/>
                <w:szCs w:val="14"/>
              </w:rPr>
              <w:t>x</w:t>
            </w:r>
          </w:p>
        </w:tc>
        <w:tc>
          <w:tcPr>
            <w:tcW w:w="158" w:type="pct"/>
            <w:vMerge w:val="restart"/>
            <w:vAlign w:val="center"/>
          </w:tcPr>
          <w:p w14:paraId="0142FB82" w14:textId="77777777" w:rsidR="005132A0" w:rsidRPr="00DA0A7D" w:rsidRDefault="005132A0" w:rsidP="003A338E">
            <w:pPr>
              <w:spacing w:after="0" w:line="240" w:lineRule="auto"/>
              <w:jc w:val="center"/>
              <w:rPr>
                <w:sz w:val="14"/>
                <w:szCs w:val="14"/>
              </w:rPr>
            </w:pPr>
            <w:r w:rsidRPr="00DA0A7D">
              <w:rPr>
                <w:sz w:val="14"/>
                <w:szCs w:val="14"/>
              </w:rPr>
              <w:t>x</w:t>
            </w:r>
          </w:p>
        </w:tc>
        <w:tc>
          <w:tcPr>
            <w:tcW w:w="148" w:type="pct"/>
            <w:vMerge w:val="restart"/>
            <w:vAlign w:val="center"/>
          </w:tcPr>
          <w:p w14:paraId="01B75A2F" w14:textId="77777777" w:rsidR="005132A0" w:rsidRPr="00DA0A7D" w:rsidRDefault="005132A0" w:rsidP="003A338E">
            <w:pPr>
              <w:spacing w:after="0" w:line="240" w:lineRule="auto"/>
              <w:jc w:val="center"/>
              <w:rPr>
                <w:sz w:val="14"/>
                <w:szCs w:val="14"/>
              </w:rPr>
            </w:pPr>
            <w:r w:rsidRPr="00DA0A7D">
              <w:rPr>
                <w:sz w:val="14"/>
                <w:szCs w:val="14"/>
              </w:rPr>
              <w:t>x</w:t>
            </w:r>
          </w:p>
        </w:tc>
        <w:tc>
          <w:tcPr>
            <w:tcW w:w="178" w:type="pct"/>
            <w:vMerge w:val="restart"/>
            <w:vAlign w:val="center"/>
          </w:tcPr>
          <w:p w14:paraId="720B7A24" w14:textId="77777777" w:rsidR="005132A0" w:rsidRPr="00DA0A7D" w:rsidRDefault="005132A0" w:rsidP="003A338E">
            <w:pPr>
              <w:spacing w:after="0" w:line="240" w:lineRule="auto"/>
              <w:jc w:val="center"/>
              <w:rPr>
                <w:sz w:val="14"/>
                <w:szCs w:val="14"/>
              </w:rPr>
            </w:pPr>
            <w:r w:rsidRPr="00DA0A7D">
              <w:rPr>
                <w:sz w:val="14"/>
                <w:szCs w:val="14"/>
              </w:rPr>
              <w:t>x</w:t>
            </w:r>
          </w:p>
        </w:tc>
        <w:tc>
          <w:tcPr>
            <w:tcW w:w="154" w:type="pct"/>
            <w:vMerge w:val="restart"/>
            <w:vAlign w:val="center"/>
          </w:tcPr>
          <w:p w14:paraId="3D599DD7" w14:textId="77777777" w:rsidR="005132A0" w:rsidRPr="00DA0A7D" w:rsidRDefault="005132A0" w:rsidP="003A338E">
            <w:pPr>
              <w:spacing w:after="0" w:line="240" w:lineRule="auto"/>
              <w:jc w:val="center"/>
              <w:rPr>
                <w:sz w:val="14"/>
                <w:szCs w:val="14"/>
              </w:rPr>
            </w:pPr>
            <w:r w:rsidRPr="00DA0A7D">
              <w:rPr>
                <w:sz w:val="14"/>
                <w:szCs w:val="14"/>
              </w:rPr>
              <w:t>x</w:t>
            </w:r>
          </w:p>
        </w:tc>
        <w:tc>
          <w:tcPr>
            <w:tcW w:w="156" w:type="pct"/>
            <w:vMerge w:val="restart"/>
            <w:vAlign w:val="center"/>
          </w:tcPr>
          <w:p w14:paraId="32091BD8" w14:textId="77777777" w:rsidR="005132A0" w:rsidRPr="00DA0A7D" w:rsidRDefault="005132A0" w:rsidP="003A338E">
            <w:pPr>
              <w:spacing w:after="0" w:line="240" w:lineRule="auto"/>
              <w:jc w:val="center"/>
              <w:rPr>
                <w:rFonts w:cstheme="minorHAnsi"/>
                <w:sz w:val="14"/>
                <w:szCs w:val="14"/>
              </w:rPr>
            </w:pPr>
            <w:r w:rsidRPr="00DA0A7D">
              <w:rPr>
                <w:rFonts w:cstheme="minorHAnsi"/>
                <w:sz w:val="14"/>
                <w:szCs w:val="14"/>
              </w:rPr>
              <w:t>x</w:t>
            </w:r>
          </w:p>
        </w:tc>
        <w:tc>
          <w:tcPr>
            <w:tcW w:w="147" w:type="pct"/>
            <w:vMerge w:val="restart"/>
            <w:vAlign w:val="center"/>
          </w:tcPr>
          <w:p w14:paraId="227E0609" w14:textId="77777777" w:rsidR="005132A0" w:rsidRPr="00DA0A7D" w:rsidRDefault="005132A0" w:rsidP="003A338E">
            <w:pPr>
              <w:spacing w:after="0" w:line="240" w:lineRule="auto"/>
              <w:jc w:val="center"/>
              <w:rPr>
                <w:sz w:val="14"/>
                <w:szCs w:val="14"/>
              </w:rPr>
            </w:pPr>
            <w:r w:rsidRPr="00DA0A7D">
              <w:rPr>
                <w:sz w:val="14"/>
                <w:szCs w:val="14"/>
              </w:rPr>
              <w:t>x</w:t>
            </w:r>
          </w:p>
        </w:tc>
        <w:tc>
          <w:tcPr>
            <w:tcW w:w="160" w:type="pct"/>
            <w:vMerge w:val="restart"/>
            <w:vAlign w:val="center"/>
          </w:tcPr>
          <w:p w14:paraId="57BA5592"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Merge w:val="restart"/>
            <w:vAlign w:val="center"/>
          </w:tcPr>
          <w:p w14:paraId="227194C3" w14:textId="77777777" w:rsidR="005132A0" w:rsidRPr="00DA0A7D" w:rsidRDefault="005132A0" w:rsidP="003A338E">
            <w:pPr>
              <w:spacing w:after="0" w:line="240" w:lineRule="auto"/>
              <w:jc w:val="center"/>
              <w:rPr>
                <w:sz w:val="14"/>
                <w:szCs w:val="14"/>
              </w:rPr>
            </w:pPr>
            <w:r w:rsidRPr="00DA0A7D">
              <w:rPr>
                <w:sz w:val="14"/>
                <w:szCs w:val="14"/>
              </w:rPr>
              <w:t>x</w:t>
            </w:r>
          </w:p>
        </w:tc>
        <w:tc>
          <w:tcPr>
            <w:tcW w:w="153" w:type="pct"/>
            <w:vMerge w:val="restart"/>
            <w:vAlign w:val="center"/>
          </w:tcPr>
          <w:p w14:paraId="7A64C4B1" w14:textId="77777777" w:rsidR="005132A0" w:rsidRPr="00DA0A7D" w:rsidRDefault="005132A0" w:rsidP="003A338E">
            <w:pPr>
              <w:spacing w:after="0" w:line="240" w:lineRule="auto"/>
              <w:jc w:val="center"/>
              <w:rPr>
                <w:sz w:val="14"/>
                <w:szCs w:val="14"/>
              </w:rPr>
            </w:pPr>
          </w:p>
        </w:tc>
        <w:tc>
          <w:tcPr>
            <w:tcW w:w="158" w:type="pct"/>
            <w:vMerge w:val="restart"/>
            <w:vAlign w:val="center"/>
          </w:tcPr>
          <w:p w14:paraId="06DAC1ED"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Merge w:val="restart"/>
            <w:vAlign w:val="center"/>
          </w:tcPr>
          <w:p w14:paraId="114E4BE3" w14:textId="77777777" w:rsidR="005132A0" w:rsidRPr="00DA0A7D" w:rsidRDefault="005132A0" w:rsidP="003A338E">
            <w:pPr>
              <w:spacing w:after="0" w:line="240" w:lineRule="auto"/>
              <w:jc w:val="center"/>
              <w:rPr>
                <w:sz w:val="14"/>
                <w:szCs w:val="14"/>
              </w:rPr>
            </w:pPr>
            <w:r w:rsidRPr="00DA0A7D">
              <w:rPr>
                <w:sz w:val="14"/>
                <w:szCs w:val="14"/>
              </w:rPr>
              <w:t>x</w:t>
            </w:r>
          </w:p>
        </w:tc>
      </w:tr>
      <w:tr w:rsidR="005132A0" w:rsidRPr="00DA0A7D" w14:paraId="509AE62C" w14:textId="77777777" w:rsidTr="003A338E">
        <w:trPr>
          <w:cantSplit/>
          <w:trHeight w:val="127"/>
        </w:trPr>
        <w:tc>
          <w:tcPr>
            <w:tcW w:w="827" w:type="pct"/>
            <w:vMerge/>
            <w:shd w:val="clear" w:color="auto" w:fill="004B8D"/>
          </w:tcPr>
          <w:p w14:paraId="418A7FFA"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795C62F2" w14:textId="77777777" w:rsidR="005132A0" w:rsidRPr="00DA0A7D" w:rsidRDefault="005132A0" w:rsidP="003A338E">
            <w:pPr>
              <w:spacing w:after="0"/>
              <w:rPr>
                <w:rFonts w:cstheme="minorHAnsi"/>
                <w:sz w:val="14"/>
                <w:szCs w:val="14"/>
              </w:rPr>
            </w:pPr>
          </w:p>
        </w:tc>
        <w:tc>
          <w:tcPr>
            <w:tcW w:w="1070" w:type="pct"/>
          </w:tcPr>
          <w:p w14:paraId="684CE8E7"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Digitální ekonomika a digitální obsah</w:t>
            </w:r>
          </w:p>
        </w:tc>
        <w:tc>
          <w:tcPr>
            <w:tcW w:w="143" w:type="pct"/>
            <w:vMerge/>
          </w:tcPr>
          <w:p w14:paraId="698FE405" w14:textId="77777777" w:rsidR="005132A0" w:rsidRPr="00DA0A7D" w:rsidRDefault="005132A0" w:rsidP="003A338E">
            <w:pPr>
              <w:spacing w:after="0" w:line="240" w:lineRule="auto"/>
              <w:jc w:val="center"/>
              <w:rPr>
                <w:sz w:val="14"/>
                <w:szCs w:val="14"/>
              </w:rPr>
            </w:pPr>
          </w:p>
        </w:tc>
        <w:tc>
          <w:tcPr>
            <w:tcW w:w="159" w:type="pct"/>
            <w:vMerge/>
          </w:tcPr>
          <w:p w14:paraId="502B888E" w14:textId="77777777" w:rsidR="005132A0" w:rsidRPr="00DA0A7D" w:rsidRDefault="005132A0" w:rsidP="003A338E">
            <w:pPr>
              <w:spacing w:after="0" w:line="240" w:lineRule="auto"/>
              <w:jc w:val="center"/>
              <w:rPr>
                <w:sz w:val="14"/>
                <w:szCs w:val="14"/>
              </w:rPr>
            </w:pPr>
          </w:p>
        </w:tc>
        <w:tc>
          <w:tcPr>
            <w:tcW w:w="171" w:type="pct"/>
            <w:vMerge/>
          </w:tcPr>
          <w:p w14:paraId="31228947" w14:textId="77777777" w:rsidR="005132A0" w:rsidRPr="00DA0A7D" w:rsidRDefault="005132A0" w:rsidP="003A338E">
            <w:pPr>
              <w:spacing w:after="0" w:line="240" w:lineRule="auto"/>
              <w:jc w:val="center"/>
              <w:rPr>
                <w:sz w:val="14"/>
                <w:szCs w:val="14"/>
              </w:rPr>
            </w:pPr>
          </w:p>
        </w:tc>
        <w:tc>
          <w:tcPr>
            <w:tcW w:w="158" w:type="pct"/>
            <w:vMerge/>
          </w:tcPr>
          <w:p w14:paraId="14F92C88" w14:textId="77777777" w:rsidR="005132A0" w:rsidRPr="00DA0A7D" w:rsidRDefault="005132A0" w:rsidP="003A338E">
            <w:pPr>
              <w:spacing w:after="0" w:line="240" w:lineRule="auto"/>
              <w:jc w:val="center"/>
              <w:rPr>
                <w:sz w:val="14"/>
                <w:szCs w:val="14"/>
              </w:rPr>
            </w:pPr>
          </w:p>
        </w:tc>
        <w:tc>
          <w:tcPr>
            <w:tcW w:w="148" w:type="pct"/>
            <w:vMerge/>
          </w:tcPr>
          <w:p w14:paraId="362E18AD" w14:textId="77777777" w:rsidR="005132A0" w:rsidRPr="00DA0A7D" w:rsidRDefault="005132A0" w:rsidP="003A338E">
            <w:pPr>
              <w:spacing w:after="0" w:line="240" w:lineRule="auto"/>
              <w:jc w:val="center"/>
              <w:rPr>
                <w:sz w:val="14"/>
                <w:szCs w:val="14"/>
              </w:rPr>
            </w:pPr>
          </w:p>
        </w:tc>
        <w:tc>
          <w:tcPr>
            <w:tcW w:w="178" w:type="pct"/>
            <w:vMerge/>
          </w:tcPr>
          <w:p w14:paraId="21757253" w14:textId="77777777" w:rsidR="005132A0" w:rsidRPr="00DA0A7D" w:rsidRDefault="005132A0" w:rsidP="003A338E">
            <w:pPr>
              <w:spacing w:after="0" w:line="240" w:lineRule="auto"/>
              <w:jc w:val="center"/>
              <w:rPr>
                <w:sz w:val="14"/>
                <w:szCs w:val="14"/>
              </w:rPr>
            </w:pPr>
          </w:p>
        </w:tc>
        <w:tc>
          <w:tcPr>
            <w:tcW w:w="154" w:type="pct"/>
            <w:vMerge/>
          </w:tcPr>
          <w:p w14:paraId="31AFACF3" w14:textId="77777777" w:rsidR="005132A0" w:rsidRPr="00DA0A7D" w:rsidRDefault="005132A0" w:rsidP="003A338E">
            <w:pPr>
              <w:spacing w:after="0" w:line="240" w:lineRule="auto"/>
              <w:jc w:val="center"/>
              <w:rPr>
                <w:sz w:val="14"/>
                <w:szCs w:val="14"/>
              </w:rPr>
            </w:pPr>
          </w:p>
        </w:tc>
        <w:tc>
          <w:tcPr>
            <w:tcW w:w="156" w:type="pct"/>
            <w:vMerge/>
          </w:tcPr>
          <w:p w14:paraId="3B8AB51A" w14:textId="77777777" w:rsidR="005132A0" w:rsidRPr="00DA0A7D" w:rsidRDefault="005132A0" w:rsidP="003A338E">
            <w:pPr>
              <w:spacing w:after="0" w:line="240" w:lineRule="auto"/>
              <w:jc w:val="center"/>
              <w:rPr>
                <w:rFonts w:cstheme="minorHAnsi"/>
                <w:sz w:val="14"/>
                <w:szCs w:val="14"/>
              </w:rPr>
            </w:pPr>
          </w:p>
        </w:tc>
        <w:tc>
          <w:tcPr>
            <w:tcW w:w="147" w:type="pct"/>
            <w:vMerge/>
          </w:tcPr>
          <w:p w14:paraId="53528395" w14:textId="77777777" w:rsidR="005132A0" w:rsidRPr="00DA0A7D" w:rsidRDefault="005132A0" w:rsidP="003A338E">
            <w:pPr>
              <w:spacing w:after="0" w:line="240" w:lineRule="auto"/>
              <w:jc w:val="center"/>
              <w:rPr>
                <w:sz w:val="14"/>
                <w:szCs w:val="14"/>
              </w:rPr>
            </w:pPr>
          </w:p>
        </w:tc>
        <w:tc>
          <w:tcPr>
            <w:tcW w:w="160" w:type="pct"/>
            <w:vMerge/>
          </w:tcPr>
          <w:p w14:paraId="1F8EBC81" w14:textId="77777777" w:rsidR="005132A0" w:rsidRPr="00DA0A7D" w:rsidRDefault="005132A0" w:rsidP="003A338E">
            <w:pPr>
              <w:spacing w:after="0" w:line="240" w:lineRule="auto"/>
              <w:jc w:val="center"/>
              <w:rPr>
                <w:sz w:val="14"/>
                <w:szCs w:val="14"/>
              </w:rPr>
            </w:pPr>
          </w:p>
        </w:tc>
        <w:tc>
          <w:tcPr>
            <w:tcW w:w="147" w:type="pct"/>
            <w:vMerge/>
          </w:tcPr>
          <w:p w14:paraId="41E25E61" w14:textId="77777777" w:rsidR="005132A0" w:rsidRPr="00DA0A7D" w:rsidRDefault="005132A0" w:rsidP="003A338E">
            <w:pPr>
              <w:spacing w:after="0" w:line="240" w:lineRule="auto"/>
              <w:jc w:val="center"/>
              <w:rPr>
                <w:sz w:val="14"/>
                <w:szCs w:val="14"/>
              </w:rPr>
            </w:pPr>
          </w:p>
        </w:tc>
        <w:tc>
          <w:tcPr>
            <w:tcW w:w="153" w:type="pct"/>
            <w:vMerge/>
          </w:tcPr>
          <w:p w14:paraId="244B8DF3" w14:textId="77777777" w:rsidR="005132A0" w:rsidRPr="00DA0A7D" w:rsidRDefault="005132A0" w:rsidP="003A338E">
            <w:pPr>
              <w:spacing w:after="0" w:line="240" w:lineRule="auto"/>
              <w:jc w:val="center"/>
              <w:rPr>
                <w:sz w:val="14"/>
                <w:szCs w:val="14"/>
              </w:rPr>
            </w:pPr>
          </w:p>
        </w:tc>
        <w:tc>
          <w:tcPr>
            <w:tcW w:w="158" w:type="pct"/>
            <w:vMerge/>
          </w:tcPr>
          <w:p w14:paraId="01916D89" w14:textId="77777777" w:rsidR="005132A0" w:rsidRPr="00DA0A7D" w:rsidRDefault="005132A0" w:rsidP="003A338E">
            <w:pPr>
              <w:spacing w:after="0" w:line="240" w:lineRule="auto"/>
              <w:jc w:val="center"/>
              <w:rPr>
                <w:sz w:val="14"/>
                <w:szCs w:val="14"/>
              </w:rPr>
            </w:pPr>
          </w:p>
        </w:tc>
        <w:tc>
          <w:tcPr>
            <w:tcW w:w="147" w:type="pct"/>
            <w:vMerge/>
          </w:tcPr>
          <w:p w14:paraId="4323D478" w14:textId="77777777" w:rsidR="005132A0" w:rsidRPr="00DA0A7D" w:rsidRDefault="005132A0" w:rsidP="003A338E">
            <w:pPr>
              <w:spacing w:after="0" w:line="240" w:lineRule="auto"/>
              <w:jc w:val="center"/>
              <w:rPr>
                <w:sz w:val="14"/>
                <w:szCs w:val="14"/>
              </w:rPr>
            </w:pPr>
          </w:p>
        </w:tc>
      </w:tr>
      <w:tr w:rsidR="005132A0" w:rsidRPr="00DA0A7D" w14:paraId="70202792" w14:textId="77777777" w:rsidTr="003A338E">
        <w:trPr>
          <w:cantSplit/>
          <w:trHeight w:val="155"/>
        </w:trPr>
        <w:tc>
          <w:tcPr>
            <w:tcW w:w="827" w:type="pct"/>
            <w:vMerge w:val="restart"/>
            <w:shd w:val="clear" w:color="auto" w:fill="004B8D"/>
          </w:tcPr>
          <w:p w14:paraId="617CFE79" w14:textId="77777777" w:rsidR="005132A0" w:rsidRPr="00DA0A7D" w:rsidRDefault="005132A0" w:rsidP="003A338E">
            <w:pPr>
              <w:spacing w:after="0"/>
              <w:rPr>
                <w:rFonts w:cstheme="minorHAnsi"/>
                <w:color w:val="FFFFFF" w:themeColor="background1"/>
                <w:sz w:val="14"/>
                <w:szCs w:val="14"/>
              </w:rPr>
            </w:pPr>
            <w:r w:rsidRPr="00DA0A7D">
              <w:rPr>
                <w:rFonts w:cstheme="minorHAnsi"/>
                <w:color w:val="FFFFFF" w:themeColor="background1"/>
                <w:sz w:val="14"/>
                <w:szCs w:val="14"/>
              </w:rPr>
              <w:t>Dopravní prostředky pro 21. století</w:t>
            </w:r>
          </w:p>
        </w:tc>
        <w:tc>
          <w:tcPr>
            <w:tcW w:w="924" w:type="pct"/>
            <w:vMerge w:val="restart"/>
          </w:tcPr>
          <w:p w14:paraId="133B55A8" w14:textId="77777777" w:rsidR="005132A0" w:rsidRPr="00DA0A7D" w:rsidRDefault="005132A0" w:rsidP="003A338E">
            <w:pPr>
              <w:spacing w:after="0"/>
              <w:rPr>
                <w:rFonts w:cstheme="minorHAnsi"/>
                <w:sz w:val="14"/>
                <w:szCs w:val="14"/>
              </w:rPr>
            </w:pPr>
            <w:r w:rsidRPr="00DA0A7D">
              <w:rPr>
                <w:rFonts w:cstheme="minorHAnsi"/>
                <w:sz w:val="14"/>
                <w:szCs w:val="14"/>
              </w:rPr>
              <w:t>NIP III.</w:t>
            </w:r>
          </w:p>
          <w:p w14:paraId="6651BE82" w14:textId="77777777" w:rsidR="005132A0" w:rsidRPr="00DA0A7D" w:rsidRDefault="005132A0" w:rsidP="003A338E">
            <w:pPr>
              <w:spacing w:after="0"/>
              <w:rPr>
                <w:rFonts w:cstheme="minorHAnsi"/>
                <w:sz w:val="14"/>
                <w:szCs w:val="14"/>
              </w:rPr>
            </w:pPr>
            <w:r w:rsidRPr="00DA0A7D">
              <w:rPr>
                <w:rFonts w:cstheme="minorHAnsi"/>
                <w:sz w:val="14"/>
                <w:szCs w:val="14"/>
              </w:rPr>
              <w:t>Výroba dopravních prostředků</w:t>
            </w:r>
          </w:p>
        </w:tc>
        <w:tc>
          <w:tcPr>
            <w:tcW w:w="1070" w:type="pct"/>
          </w:tcPr>
          <w:p w14:paraId="69066F12" w14:textId="77777777" w:rsidR="005132A0" w:rsidRPr="00DA0A7D" w:rsidRDefault="005132A0" w:rsidP="003A338E">
            <w:pPr>
              <w:spacing w:after="0" w:line="240" w:lineRule="auto"/>
              <w:rPr>
                <w:rFonts w:cstheme="minorHAnsi"/>
                <w:sz w:val="14"/>
                <w:szCs w:val="14"/>
              </w:rPr>
            </w:pPr>
            <w:r>
              <w:rPr>
                <w:rFonts w:cstheme="minorHAnsi"/>
                <w:sz w:val="14"/>
                <w:szCs w:val="14"/>
              </w:rPr>
              <w:t>Automotive</w:t>
            </w:r>
          </w:p>
        </w:tc>
        <w:tc>
          <w:tcPr>
            <w:tcW w:w="143" w:type="pct"/>
            <w:vMerge w:val="restart"/>
            <w:vAlign w:val="center"/>
          </w:tcPr>
          <w:p w14:paraId="36DFEA52" w14:textId="77777777" w:rsidR="005132A0" w:rsidRPr="00DA0A7D" w:rsidRDefault="005132A0" w:rsidP="003A338E">
            <w:pPr>
              <w:spacing w:after="0" w:line="240" w:lineRule="auto"/>
              <w:jc w:val="center"/>
              <w:rPr>
                <w:sz w:val="14"/>
                <w:szCs w:val="14"/>
              </w:rPr>
            </w:pPr>
            <w:r w:rsidRPr="00DA0A7D">
              <w:rPr>
                <w:sz w:val="14"/>
                <w:szCs w:val="14"/>
              </w:rPr>
              <w:t>x</w:t>
            </w:r>
          </w:p>
        </w:tc>
        <w:tc>
          <w:tcPr>
            <w:tcW w:w="159" w:type="pct"/>
            <w:vMerge w:val="restart"/>
            <w:vAlign w:val="center"/>
          </w:tcPr>
          <w:p w14:paraId="472D0B07" w14:textId="77777777" w:rsidR="005132A0" w:rsidRPr="00DA0A7D" w:rsidRDefault="005132A0" w:rsidP="003A338E">
            <w:pPr>
              <w:spacing w:after="0" w:line="240" w:lineRule="auto"/>
              <w:jc w:val="center"/>
              <w:rPr>
                <w:sz w:val="14"/>
                <w:szCs w:val="14"/>
              </w:rPr>
            </w:pPr>
            <w:r w:rsidRPr="00DA0A7D">
              <w:rPr>
                <w:sz w:val="14"/>
                <w:szCs w:val="14"/>
              </w:rPr>
              <w:t>x</w:t>
            </w:r>
          </w:p>
        </w:tc>
        <w:tc>
          <w:tcPr>
            <w:tcW w:w="171" w:type="pct"/>
            <w:vMerge w:val="restart"/>
            <w:vAlign w:val="center"/>
          </w:tcPr>
          <w:p w14:paraId="260CF113" w14:textId="77777777" w:rsidR="005132A0" w:rsidRPr="00DA0A7D" w:rsidRDefault="005132A0" w:rsidP="003A338E">
            <w:pPr>
              <w:spacing w:after="0" w:line="240" w:lineRule="auto"/>
              <w:jc w:val="center"/>
              <w:rPr>
                <w:sz w:val="14"/>
                <w:szCs w:val="14"/>
              </w:rPr>
            </w:pPr>
            <w:r w:rsidRPr="00DA0A7D">
              <w:rPr>
                <w:sz w:val="14"/>
                <w:szCs w:val="14"/>
              </w:rPr>
              <w:t>x</w:t>
            </w:r>
          </w:p>
        </w:tc>
        <w:tc>
          <w:tcPr>
            <w:tcW w:w="158" w:type="pct"/>
            <w:vMerge w:val="restart"/>
            <w:vAlign w:val="center"/>
          </w:tcPr>
          <w:p w14:paraId="59891E19" w14:textId="77777777" w:rsidR="005132A0" w:rsidRPr="00DA0A7D" w:rsidRDefault="005132A0" w:rsidP="003A338E">
            <w:pPr>
              <w:spacing w:after="0" w:line="240" w:lineRule="auto"/>
              <w:jc w:val="center"/>
              <w:rPr>
                <w:sz w:val="14"/>
                <w:szCs w:val="14"/>
              </w:rPr>
            </w:pPr>
            <w:r w:rsidRPr="00DA0A7D">
              <w:rPr>
                <w:sz w:val="14"/>
                <w:szCs w:val="14"/>
              </w:rPr>
              <w:t>x</w:t>
            </w:r>
          </w:p>
        </w:tc>
        <w:tc>
          <w:tcPr>
            <w:tcW w:w="148" w:type="pct"/>
            <w:vMerge w:val="restart"/>
            <w:vAlign w:val="center"/>
          </w:tcPr>
          <w:p w14:paraId="7C5487C2" w14:textId="77777777" w:rsidR="005132A0" w:rsidRPr="00DA0A7D" w:rsidRDefault="005132A0" w:rsidP="003A338E">
            <w:pPr>
              <w:spacing w:after="0" w:line="240" w:lineRule="auto"/>
              <w:jc w:val="center"/>
              <w:rPr>
                <w:sz w:val="14"/>
                <w:szCs w:val="14"/>
              </w:rPr>
            </w:pPr>
            <w:r w:rsidRPr="00DA0A7D">
              <w:rPr>
                <w:sz w:val="14"/>
                <w:szCs w:val="14"/>
              </w:rPr>
              <w:t>x</w:t>
            </w:r>
          </w:p>
        </w:tc>
        <w:tc>
          <w:tcPr>
            <w:tcW w:w="178" w:type="pct"/>
            <w:vMerge w:val="restart"/>
            <w:vAlign w:val="center"/>
          </w:tcPr>
          <w:p w14:paraId="51E92625" w14:textId="77777777" w:rsidR="005132A0" w:rsidRPr="00DA0A7D" w:rsidRDefault="005132A0" w:rsidP="003A338E">
            <w:pPr>
              <w:spacing w:after="0" w:line="240" w:lineRule="auto"/>
              <w:jc w:val="center"/>
              <w:rPr>
                <w:sz w:val="14"/>
                <w:szCs w:val="14"/>
              </w:rPr>
            </w:pPr>
            <w:r w:rsidRPr="00DA0A7D">
              <w:rPr>
                <w:sz w:val="14"/>
                <w:szCs w:val="14"/>
              </w:rPr>
              <w:t>x</w:t>
            </w:r>
          </w:p>
        </w:tc>
        <w:tc>
          <w:tcPr>
            <w:tcW w:w="154" w:type="pct"/>
            <w:vMerge w:val="restart"/>
            <w:vAlign w:val="center"/>
          </w:tcPr>
          <w:p w14:paraId="78693F44" w14:textId="77777777" w:rsidR="005132A0" w:rsidRPr="00DA0A7D" w:rsidRDefault="005132A0" w:rsidP="003A338E">
            <w:pPr>
              <w:spacing w:after="0" w:line="240" w:lineRule="auto"/>
              <w:jc w:val="center"/>
              <w:rPr>
                <w:sz w:val="14"/>
                <w:szCs w:val="14"/>
              </w:rPr>
            </w:pPr>
            <w:r w:rsidRPr="00DA0A7D">
              <w:rPr>
                <w:sz w:val="14"/>
                <w:szCs w:val="14"/>
              </w:rPr>
              <w:t>x</w:t>
            </w:r>
          </w:p>
        </w:tc>
        <w:tc>
          <w:tcPr>
            <w:tcW w:w="156" w:type="pct"/>
            <w:vMerge w:val="restart"/>
            <w:vAlign w:val="center"/>
          </w:tcPr>
          <w:p w14:paraId="78AD0E22" w14:textId="77777777" w:rsidR="005132A0" w:rsidRPr="00DA0A7D" w:rsidRDefault="005132A0" w:rsidP="003A338E">
            <w:pPr>
              <w:spacing w:after="0" w:line="240" w:lineRule="auto"/>
              <w:jc w:val="center"/>
              <w:rPr>
                <w:rFonts w:cstheme="minorHAnsi"/>
                <w:sz w:val="14"/>
                <w:szCs w:val="14"/>
              </w:rPr>
            </w:pPr>
            <w:r w:rsidRPr="00DA0A7D">
              <w:rPr>
                <w:rFonts w:cstheme="minorHAnsi"/>
                <w:sz w:val="14"/>
                <w:szCs w:val="14"/>
              </w:rPr>
              <w:t>x</w:t>
            </w:r>
          </w:p>
        </w:tc>
        <w:tc>
          <w:tcPr>
            <w:tcW w:w="147" w:type="pct"/>
            <w:vMerge w:val="restart"/>
            <w:vAlign w:val="center"/>
          </w:tcPr>
          <w:p w14:paraId="22042710" w14:textId="77777777" w:rsidR="005132A0" w:rsidRPr="00DA0A7D" w:rsidRDefault="005132A0" w:rsidP="003A338E">
            <w:pPr>
              <w:spacing w:after="0" w:line="240" w:lineRule="auto"/>
              <w:jc w:val="center"/>
              <w:rPr>
                <w:sz w:val="14"/>
                <w:szCs w:val="14"/>
              </w:rPr>
            </w:pPr>
            <w:r w:rsidRPr="00DA0A7D">
              <w:rPr>
                <w:sz w:val="14"/>
                <w:szCs w:val="14"/>
              </w:rPr>
              <w:t>x</w:t>
            </w:r>
          </w:p>
        </w:tc>
        <w:tc>
          <w:tcPr>
            <w:tcW w:w="160" w:type="pct"/>
            <w:vMerge w:val="restart"/>
            <w:vAlign w:val="center"/>
          </w:tcPr>
          <w:p w14:paraId="145B5C45"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Merge w:val="restart"/>
            <w:vAlign w:val="center"/>
          </w:tcPr>
          <w:p w14:paraId="0FEF732C" w14:textId="77777777" w:rsidR="005132A0" w:rsidRPr="00DA0A7D" w:rsidRDefault="005132A0" w:rsidP="003A338E">
            <w:pPr>
              <w:spacing w:after="0" w:line="240" w:lineRule="auto"/>
              <w:jc w:val="center"/>
              <w:rPr>
                <w:sz w:val="14"/>
                <w:szCs w:val="14"/>
              </w:rPr>
            </w:pPr>
            <w:r w:rsidRPr="00DA0A7D">
              <w:rPr>
                <w:sz w:val="14"/>
                <w:szCs w:val="14"/>
              </w:rPr>
              <w:t>x</w:t>
            </w:r>
          </w:p>
        </w:tc>
        <w:tc>
          <w:tcPr>
            <w:tcW w:w="153" w:type="pct"/>
            <w:vMerge w:val="restart"/>
            <w:vAlign w:val="center"/>
          </w:tcPr>
          <w:p w14:paraId="702229FC" w14:textId="77777777" w:rsidR="005132A0" w:rsidRPr="00DA0A7D" w:rsidRDefault="005132A0" w:rsidP="003A338E">
            <w:pPr>
              <w:spacing w:after="0" w:line="240" w:lineRule="auto"/>
              <w:jc w:val="center"/>
              <w:rPr>
                <w:sz w:val="14"/>
                <w:szCs w:val="14"/>
              </w:rPr>
            </w:pPr>
            <w:r w:rsidRPr="00DA0A7D">
              <w:rPr>
                <w:sz w:val="14"/>
                <w:szCs w:val="14"/>
              </w:rPr>
              <w:t>x</w:t>
            </w:r>
          </w:p>
        </w:tc>
        <w:tc>
          <w:tcPr>
            <w:tcW w:w="158" w:type="pct"/>
            <w:vMerge w:val="restart"/>
            <w:vAlign w:val="center"/>
          </w:tcPr>
          <w:p w14:paraId="69B1A1EE"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Merge w:val="restart"/>
            <w:vAlign w:val="center"/>
          </w:tcPr>
          <w:p w14:paraId="5E9E0B30" w14:textId="77777777" w:rsidR="005132A0" w:rsidRPr="00DA0A7D" w:rsidRDefault="005132A0" w:rsidP="003A338E">
            <w:pPr>
              <w:spacing w:after="0" w:line="240" w:lineRule="auto"/>
              <w:jc w:val="center"/>
              <w:rPr>
                <w:sz w:val="14"/>
                <w:szCs w:val="14"/>
              </w:rPr>
            </w:pPr>
            <w:r w:rsidRPr="00DA0A7D">
              <w:rPr>
                <w:sz w:val="14"/>
                <w:szCs w:val="14"/>
              </w:rPr>
              <w:t>x</w:t>
            </w:r>
          </w:p>
        </w:tc>
      </w:tr>
      <w:tr w:rsidR="005132A0" w:rsidRPr="00DA0A7D" w14:paraId="103E2F51" w14:textId="77777777" w:rsidTr="003A338E">
        <w:trPr>
          <w:cantSplit/>
          <w:trHeight w:val="128"/>
        </w:trPr>
        <w:tc>
          <w:tcPr>
            <w:tcW w:w="827" w:type="pct"/>
            <w:vMerge/>
            <w:shd w:val="clear" w:color="auto" w:fill="004B8D"/>
          </w:tcPr>
          <w:p w14:paraId="1C9B04E7"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0217C4F3" w14:textId="77777777" w:rsidR="005132A0" w:rsidRPr="00DA0A7D" w:rsidRDefault="005132A0" w:rsidP="003A338E">
            <w:pPr>
              <w:spacing w:after="0"/>
              <w:rPr>
                <w:rFonts w:cstheme="minorHAnsi"/>
                <w:sz w:val="14"/>
                <w:szCs w:val="14"/>
              </w:rPr>
            </w:pPr>
          </w:p>
        </w:tc>
        <w:tc>
          <w:tcPr>
            <w:tcW w:w="1070" w:type="pct"/>
          </w:tcPr>
          <w:p w14:paraId="64EB4623"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Železniční a kolejová vozidla</w:t>
            </w:r>
          </w:p>
        </w:tc>
        <w:tc>
          <w:tcPr>
            <w:tcW w:w="143" w:type="pct"/>
            <w:vMerge/>
          </w:tcPr>
          <w:p w14:paraId="30EE9ED6" w14:textId="77777777" w:rsidR="005132A0" w:rsidRPr="00DA0A7D" w:rsidRDefault="005132A0" w:rsidP="003A338E">
            <w:pPr>
              <w:spacing w:after="0" w:line="240" w:lineRule="auto"/>
              <w:jc w:val="center"/>
              <w:rPr>
                <w:sz w:val="14"/>
                <w:szCs w:val="14"/>
              </w:rPr>
            </w:pPr>
          </w:p>
        </w:tc>
        <w:tc>
          <w:tcPr>
            <w:tcW w:w="159" w:type="pct"/>
            <w:vMerge/>
          </w:tcPr>
          <w:p w14:paraId="4D50345C" w14:textId="77777777" w:rsidR="005132A0" w:rsidRPr="00DA0A7D" w:rsidRDefault="005132A0" w:rsidP="003A338E">
            <w:pPr>
              <w:spacing w:after="0" w:line="240" w:lineRule="auto"/>
              <w:jc w:val="center"/>
              <w:rPr>
                <w:sz w:val="14"/>
                <w:szCs w:val="14"/>
              </w:rPr>
            </w:pPr>
          </w:p>
        </w:tc>
        <w:tc>
          <w:tcPr>
            <w:tcW w:w="171" w:type="pct"/>
            <w:vMerge/>
          </w:tcPr>
          <w:p w14:paraId="18F5853E" w14:textId="77777777" w:rsidR="005132A0" w:rsidRPr="00DA0A7D" w:rsidRDefault="005132A0" w:rsidP="003A338E">
            <w:pPr>
              <w:spacing w:after="0" w:line="240" w:lineRule="auto"/>
              <w:jc w:val="center"/>
              <w:rPr>
                <w:sz w:val="14"/>
                <w:szCs w:val="14"/>
              </w:rPr>
            </w:pPr>
          </w:p>
        </w:tc>
        <w:tc>
          <w:tcPr>
            <w:tcW w:w="158" w:type="pct"/>
            <w:vMerge/>
          </w:tcPr>
          <w:p w14:paraId="1E054A82" w14:textId="77777777" w:rsidR="005132A0" w:rsidRPr="00DA0A7D" w:rsidRDefault="005132A0" w:rsidP="003A338E">
            <w:pPr>
              <w:spacing w:after="0" w:line="240" w:lineRule="auto"/>
              <w:jc w:val="center"/>
              <w:rPr>
                <w:sz w:val="14"/>
                <w:szCs w:val="14"/>
              </w:rPr>
            </w:pPr>
          </w:p>
        </w:tc>
        <w:tc>
          <w:tcPr>
            <w:tcW w:w="148" w:type="pct"/>
            <w:vMerge/>
          </w:tcPr>
          <w:p w14:paraId="4C080C6E" w14:textId="77777777" w:rsidR="005132A0" w:rsidRPr="00DA0A7D" w:rsidRDefault="005132A0" w:rsidP="003A338E">
            <w:pPr>
              <w:spacing w:after="0" w:line="240" w:lineRule="auto"/>
              <w:jc w:val="center"/>
              <w:rPr>
                <w:sz w:val="14"/>
                <w:szCs w:val="14"/>
              </w:rPr>
            </w:pPr>
          </w:p>
        </w:tc>
        <w:tc>
          <w:tcPr>
            <w:tcW w:w="178" w:type="pct"/>
            <w:vMerge/>
          </w:tcPr>
          <w:p w14:paraId="6BD1C26F" w14:textId="77777777" w:rsidR="005132A0" w:rsidRPr="00DA0A7D" w:rsidRDefault="005132A0" w:rsidP="003A338E">
            <w:pPr>
              <w:spacing w:after="0" w:line="240" w:lineRule="auto"/>
              <w:jc w:val="center"/>
              <w:rPr>
                <w:sz w:val="14"/>
                <w:szCs w:val="14"/>
              </w:rPr>
            </w:pPr>
          </w:p>
        </w:tc>
        <w:tc>
          <w:tcPr>
            <w:tcW w:w="154" w:type="pct"/>
            <w:vMerge/>
          </w:tcPr>
          <w:p w14:paraId="691CFA6F" w14:textId="77777777" w:rsidR="005132A0" w:rsidRPr="00DA0A7D" w:rsidRDefault="005132A0" w:rsidP="003A338E">
            <w:pPr>
              <w:spacing w:after="0" w:line="240" w:lineRule="auto"/>
              <w:jc w:val="center"/>
              <w:rPr>
                <w:sz w:val="14"/>
                <w:szCs w:val="14"/>
              </w:rPr>
            </w:pPr>
          </w:p>
        </w:tc>
        <w:tc>
          <w:tcPr>
            <w:tcW w:w="156" w:type="pct"/>
            <w:vMerge/>
          </w:tcPr>
          <w:p w14:paraId="17C05390" w14:textId="77777777" w:rsidR="005132A0" w:rsidRPr="00DA0A7D" w:rsidRDefault="005132A0" w:rsidP="003A338E">
            <w:pPr>
              <w:spacing w:after="0" w:line="240" w:lineRule="auto"/>
              <w:jc w:val="center"/>
              <w:rPr>
                <w:rFonts w:cstheme="minorHAnsi"/>
                <w:sz w:val="14"/>
                <w:szCs w:val="14"/>
              </w:rPr>
            </w:pPr>
          </w:p>
        </w:tc>
        <w:tc>
          <w:tcPr>
            <w:tcW w:w="147" w:type="pct"/>
            <w:vMerge/>
          </w:tcPr>
          <w:p w14:paraId="4852699E" w14:textId="77777777" w:rsidR="005132A0" w:rsidRPr="00DA0A7D" w:rsidRDefault="005132A0" w:rsidP="003A338E">
            <w:pPr>
              <w:spacing w:after="0" w:line="240" w:lineRule="auto"/>
              <w:jc w:val="center"/>
              <w:rPr>
                <w:sz w:val="14"/>
                <w:szCs w:val="14"/>
              </w:rPr>
            </w:pPr>
          </w:p>
        </w:tc>
        <w:tc>
          <w:tcPr>
            <w:tcW w:w="160" w:type="pct"/>
            <w:vMerge/>
          </w:tcPr>
          <w:p w14:paraId="1CAAB5FB" w14:textId="77777777" w:rsidR="005132A0" w:rsidRPr="00DA0A7D" w:rsidRDefault="005132A0" w:rsidP="003A338E">
            <w:pPr>
              <w:spacing w:after="0" w:line="240" w:lineRule="auto"/>
              <w:jc w:val="center"/>
              <w:rPr>
                <w:sz w:val="14"/>
                <w:szCs w:val="14"/>
              </w:rPr>
            </w:pPr>
          </w:p>
        </w:tc>
        <w:tc>
          <w:tcPr>
            <w:tcW w:w="147" w:type="pct"/>
            <w:vMerge/>
          </w:tcPr>
          <w:p w14:paraId="5C142105" w14:textId="77777777" w:rsidR="005132A0" w:rsidRPr="00DA0A7D" w:rsidRDefault="005132A0" w:rsidP="003A338E">
            <w:pPr>
              <w:spacing w:after="0" w:line="240" w:lineRule="auto"/>
              <w:jc w:val="center"/>
              <w:rPr>
                <w:sz w:val="14"/>
                <w:szCs w:val="14"/>
              </w:rPr>
            </w:pPr>
          </w:p>
        </w:tc>
        <w:tc>
          <w:tcPr>
            <w:tcW w:w="153" w:type="pct"/>
            <w:vMerge/>
          </w:tcPr>
          <w:p w14:paraId="0B43978F" w14:textId="77777777" w:rsidR="005132A0" w:rsidRPr="00DA0A7D" w:rsidRDefault="005132A0" w:rsidP="003A338E">
            <w:pPr>
              <w:spacing w:after="0" w:line="240" w:lineRule="auto"/>
              <w:jc w:val="center"/>
              <w:rPr>
                <w:sz w:val="14"/>
                <w:szCs w:val="14"/>
              </w:rPr>
            </w:pPr>
          </w:p>
        </w:tc>
        <w:tc>
          <w:tcPr>
            <w:tcW w:w="158" w:type="pct"/>
            <w:vMerge/>
          </w:tcPr>
          <w:p w14:paraId="3B19FB27" w14:textId="77777777" w:rsidR="005132A0" w:rsidRPr="00DA0A7D" w:rsidRDefault="005132A0" w:rsidP="003A338E">
            <w:pPr>
              <w:spacing w:after="0" w:line="240" w:lineRule="auto"/>
              <w:jc w:val="center"/>
              <w:rPr>
                <w:sz w:val="14"/>
                <w:szCs w:val="14"/>
              </w:rPr>
            </w:pPr>
          </w:p>
        </w:tc>
        <w:tc>
          <w:tcPr>
            <w:tcW w:w="147" w:type="pct"/>
            <w:vMerge/>
          </w:tcPr>
          <w:p w14:paraId="6EC4D577" w14:textId="77777777" w:rsidR="005132A0" w:rsidRPr="00DA0A7D" w:rsidRDefault="005132A0" w:rsidP="003A338E">
            <w:pPr>
              <w:spacing w:after="0" w:line="240" w:lineRule="auto"/>
              <w:jc w:val="center"/>
              <w:rPr>
                <w:sz w:val="14"/>
                <w:szCs w:val="14"/>
              </w:rPr>
            </w:pPr>
          </w:p>
        </w:tc>
      </w:tr>
      <w:tr w:rsidR="005132A0" w:rsidRPr="00DA0A7D" w14:paraId="00560E16" w14:textId="77777777" w:rsidTr="003A338E">
        <w:trPr>
          <w:cantSplit/>
          <w:trHeight w:val="43"/>
        </w:trPr>
        <w:tc>
          <w:tcPr>
            <w:tcW w:w="827" w:type="pct"/>
            <w:vMerge/>
            <w:shd w:val="clear" w:color="auto" w:fill="004B8D"/>
          </w:tcPr>
          <w:p w14:paraId="3CA9FE48"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608CF169" w14:textId="77777777" w:rsidR="005132A0" w:rsidRPr="00DA0A7D" w:rsidRDefault="005132A0" w:rsidP="003A338E">
            <w:pPr>
              <w:spacing w:after="0"/>
              <w:rPr>
                <w:rFonts w:cstheme="minorHAnsi"/>
                <w:sz w:val="14"/>
                <w:szCs w:val="14"/>
              </w:rPr>
            </w:pPr>
          </w:p>
        </w:tc>
        <w:tc>
          <w:tcPr>
            <w:tcW w:w="1070" w:type="pct"/>
          </w:tcPr>
          <w:p w14:paraId="1A164082"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Letecký a kosmický průmysl</w:t>
            </w:r>
          </w:p>
        </w:tc>
        <w:tc>
          <w:tcPr>
            <w:tcW w:w="143" w:type="pct"/>
            <w:vMerge/>
          </w:tcPr>
          <w:p w14:paraId="62B57C43" w14:textId="77777777" w:rsidR="005132A0" w:rsidRPr="00DA0A7D" w:rsidRDefault="005132A0" w:rsidP="003A338E">
            <w:pPr>
              <w:spacing w:after="0" w:line="240" w:lineRule="auto"/>
              <w:jc w:val="center"/>
              <w:rPr>
                <w:sz w:val="14"/>
                <w:szCs w:val="14"/>
              </w:rPr>
            </w:pPr>
          </w:p>
        </w:tc>
        <w:tc>
          <w:tcPr>
            <w:tcW w:w="159" w:type="pct"/>
            <w:vMerge/>
          </w:tcPr>
          <w:p w14:paraId="676D09A7" w14:textId="77777777" w:rsidR="005132A0" w:rsidRPr="00DA0A7D" w:rsidRDefault="005132A0" w:rsidP="003A338E">
            <w:pPr>
              <w:spacing w:after="0" w:line="240" w:lineRule="auto"/>
              <w:jc w:val="center"/>
              <w:rPr>
                <w:sz w:val="14"/>
                <w:szCs w:val="14"/>
              </w:rPr>
            </w:pPr>
          </w:p>
        </w:tc>
        <w:tc>
          <w:tcPr>
            <w:tcW w:w="171" w:type="pct"/>
            <w:vMerge/>
          </w:tcPr>
          <w:p w14:paraId="5D183A69" w14:textId="77777777" w:rsidR="005132A0" w:rsidRPr="00DA0A7D" w:rsidRDefault="005132A0" w:rsidP="003A338E">
            <w:pPr>
              <w:spacing w:after="0" w:line="240" w:lineRule="auto"/>
              <w:jc w:val="center"/>
              <w:rPr>
                <w:sz w:val="14"/>
                <w:szCs w:val="14"/>
              </w:rPr>
            </w:pPr>
          </w:p>
        </w:tc>
        <w:tc>
          <w:tcPr>
            <w:tcW w:w="158" w:type="pct"/>
            <w:vMerge/>
          </w:tcPr>
          <w:p w14:paraId="0585B9D2" w14:textId="77777777" w:rsidR="005132A0" w:rsidRPr="00DA0A7D" w:rsidRDefault="005132A0" w:rsidP="003A338E">
            <w:pPr>
              <w:spacing w:after="0" w:line="240" w:lineRule="auto"/>
              <w:jc w:val="center"/>
              <w:rPr>
                <w:sz w:val="14"/>
                <w:szCs w:val="14"/>
              </w:rPr>
            </w:pPr>
          </w:p>
        </w:tc>
        <w:tc>
          <w:tcPr>
            <w:tcW w:w="148" w:type="pct"/>
            <w:vMerge/>
          </w:tcPr>
          <w:p w14:paraId="76366170" w14:textId="77777777" w:rsidR="005132A0" w:rsidRPr="00DA0A7D" w:rsidRDefault="005132A0" w:rsidP="003A338E">
            <w:pPr>
              <w:spacing w:after="0" w:line="240" w:lineRule="auto"/>
              <w:jc w:val="center"/>
              <w:rPr>
                <w:sz w:val="14"/>
                <w:szCs w:val="14"/>
              </w:rPr>
            </w:pPr>
          </w:p>
        </w:tc>
        <w:tc>
          <w:tcPr>
            <w:tcW w:w="178" w:type="pct"/>
            <w:vMerge/>
          </w:tcPr>
          <w:p w14:paraId="1F44EFB7" w14:textId="77777777" w:rsidR="005132A0" w:rsidRPr="00DA0A7D" w:rsidRDefault="005132A0" w:rsidP="003A338E">
            <w:pPr>
              <w:spacing w:after="0" w:line="240" w:lineRule="auto"/>
              <w:jc w:val="center"/>
              <w:rPr>
                <w:sz w:val="14"/>
                <w:szCs w:val="14"/>
              </w:rPr>
            </w:pPr>
          </w:p>
        </w:tc>
        <w:tc>
          <w:tcPr>
            <w:tcW w:w="154" w:type="pct"/>
            <w:vMerge/>
          </w:tcPr>
          <w:p w14:paraId="32ACF3DB" w14:textId="77777777" w:rsidR="005132A0" w:rsidRPr="00DA0A7D" w:rsidRDefault="005132A0" w:rsidP="003A338E">
            <w:pPr>
              <w:spacing w:after="0" w:line="240" w:lineRule="auto"/>
              <w:jc w:val="center"/>
              <w:rPr>
                <w:sz w:val="14"/>
                <w:szCs w:val="14"/>
              </w:rPr>
            </w:pPr>
          </w:p>
        </w:tc>
        <w:tc>
          <w:tcPr>
            <w:tcW w:w="156" w:type="pct"/>
            <w:vMerge/>
          </w:tcPr>
          <w:p w14:paraId="3013F120" w14:textId="77777777" w:rsidR="005132A0" w:rsidRPr="00DA0A7D" w:rsidRDefault="005132A0" w:rsidP="003A338E">
            <w:pPr>
              <w:spacing w:after="0" w:line="240" w:lineRule="auto"/>
              <w:jc w:val="center"/>
              <w:rPr>
                <w:rFonts w:cstheme="minorHAnsi"/>
                <w:sz w:val="14"/>
                <w:szCs w:val="14"/>
              </w:rPr>
            </w:pPr>
          </w:p>
        </w:tc>
        <w:tc>
          <w:tcPr>
            <w:tcW w:w="147" w:type="pct"/>
            <w:vMerge/>
          </w:tcPr>
          <w:p w14:paraId="081626EE" w14:textId="77777777" w:rsidR="005132A0" w:rsidRPr="00DA0A7D" w:rsidRDefault="005132A0" w:rsidP="003A338E">
            <w:pPr>
              <w:spacing w:after="0" w:line="240" w:lineRule="auto"/>
              <w:jc w:val="center"/>
              <w:rPr>
                <w:sz w:val="14"/>
                <w:szCs w:val="14"/>
              </w:rPr>
            </w:pPr>
          </w:p>
        </w:tc>
        <w:tc>
          <w:tcPr>
            <w:tcW w:w="160" w:type="pct"/>
            <w:vMerge/>
          </w:tcPr>
          <w:p w14:paraId="54E024D1" w14:textId="77777777" w:rsidR="005132A0" w:rsidRPr="00DA0A7D" w:rsidRDefault="005132A0" w:rsidP="003A338E">
            <w:pPr>
              <w:spacing w:after="0" w:line="240" w:lineRule="auto"/>
              <w:jc w:val="center"/>
              <w:rPr>
                <w:sz w:val="14"/>
                <w:szCs w:val="14"/>
              </w:rPr>
            </w:pPr>
          </w:p>
        </w:tc>
        <w:tc>
          <w:tcPr>
            <w:tcW w:w="147" w:type="pct"/>
            <w:vMerge/>
          </w:tcPr>
          <w:p w14:paraId="35F15425" w14:textId="77777777" w:rsidR="005132A0" w:rsidRPr="00DA0A7D" w:rsidRDefault="005132A0" w:rsidP="003A338E">
            <w:pPr>
              <w:spacing w:after="0" w:line="240" w:lineRule="auto"/>
              <w:jc w:val="center"/>
              <w:rPr>
                <w:sz w:val="14"/>
                <w:szCs w:val="14"/>
              </w:rPr>
            </w:pPr>
          </w:p>
        </w:tc>
        <w:tc>
          <w:tcPr>
            <w:tcW w:w="153" w:type="pct"/>
            <w:vMerge/>
          </w:tcPr>
          <w:p w14:paraId="0635F0B4" w14:textId="77777777" w:rsidR="005132A0" w:rsidRPr="00DA0A7D" w:rsidRDefault="005132A0" w:rsidP="003A338E">
            <w:pPr>
              <w:spacing w:after="0" w:line="240" w:lineRule="auto"/>
              <w:jc w:val="center"/>
              <w:rPr>
                <w:sz w:val="14"/>
                <w:szCs w:val="14"/>
              </w:rPr>
            </w:pPr>
          </w:p>
        </w:tc>
        <w:tc>
          <w:tcPr>
            <w:tcW w:w="158" w:type="pct"/>
            <w:vMerge/>
          </w:tcPr>
          <w:p w14:paraId="5E5FD406" w14:textId="77777777" w:rsidR="005132A0" w:rsidRPr="00DA0A7D" w:rsidRDefault="005132A0" w:rsidP="003A338E">
            <w:pPr>
              <w:spacing w:after="0" w:line="240" w:lineRule="auto"/>
              <w:jc w:val="center"/>
              <w:rPr>
                <w:sz w:val="14"/>
                <w:szCs w:val="14"/>
              </w:rPr>
            </w:pPr>
          </w:p>
        </w:tc>
        <w:tc>
          <w:tcPr>
            <w:tcW w:w="147" w:type="pct"/>
            <w:vMerge/>
          </w:tcPr>
          <w:p w14:paraId="1D55D195" w14:textId="77777777" w:rsidR="005132A0" w:rsidRPr="00DA0A7D" w:rsidRDefault="005132A0" w:rsidP="003A338E">
            <w:pPr>
              <w:spacing w:after="0" w:line="240" w:lineRule="auto"/>
              <w:jc w:val="center"/>
              <w:rPr>
                <w:sz w:val="14"/>
                <w:szCs w:val="14"/>
              </w:rPr>
            </w:pPr>
          </w:p>
        </w:tc>
      </w:tr>
      <w:tr w:rsidR="005132A0" w:rsidRPr="00DA0A7D" w14:paraId="6C5E2C74" w14:textId="77777777" w:rsidTr="003A338E">
        <w:trPr>
          <w:cantSplit/>
          <w:trHeight w:val="615"/>
        </w:trPr>
        <w:tc>
          <w:tcPr>
            <w:tcW w:w="827" w:type="pct"/>
            <w:shd w:val="clear" w:color="auto" w:fill="004B8D"/>
          </w:tcPr>
          <w:p w14:paraId="00670404" w14:textId="77777777" w:rsidR="005132A0" w:rsidRPr="00DA0A7D" w:rsidRDefault="005132A0" w:rsidP="003A338E">
            <w:pPr>
              <w:spacing w:after="0"/>
              <w:rPr>
                <w:rFonts w:cstheme="minorHAnsi"/>
                <w:color w:val="FFFFFF" w:themeColor="background1"/>
                <w:sz w:val="14"/>
                <w:szCs w:val="14"/>
              </w:rPr>
            </w:pPr>
            <w:r w:rsidRPr="00DA0A7D">
              <w:rPr>
                <w:rFonts w:cstheme="minorHAnsi"/>
                <w:color w:val="FFFFFF" w:themeColor="background1"/>
                <w:sz w:val="14"/>
                <w:szCs w:val="14"/>
              </w:rPr>
              <w:t xml:space="preserve">Péče o zdraví, pokročilá medicína </w:t>
            </w:r>
          </w:p>
        </w:tc>
        <w:tc>
          <w:tcPr>
            <w:tcW w:w="924" w:type="pct"/>
          </w:tcPr>
          <w:p w14:paraId="0B11AC67" w14:textId="77777777" w:rsidR="005132A0" w:rsidRPr="00DA0A7D" w:rsidRDefault="005132A0" w:rsidP="003A338E">
            <w:pPr>
              <w:spacing w:after="0"/>
              <w:rPr>
                <w:rFonts w:cstheme="minorHAnsi"/>
                <w:sz w:val="14"/>
                <w:szCs w:val="14"/>
              </w:rPr>
            </w:pPr>
            <w:r w:rsidRPr="00DA0A7D">
              <w:rPr>
                <w:rFonts w:cstheme="minorHAnsi"/>
                <w:sz w:val="14"/>
                <w:szCs w:val="14"/>
              </w:rPr>
              <w:t xml:space="preserve">NIP IV. </w:t>
            </w:r>
          </w:p>
          <w:p w14:paraId="400FADF1" w14:textId="77777777" w:rsidR="005132A0" w:rsidRPr="00DA0A7D" w:rsidRDefault="005132A0" w:rsidP="003A338E">
            <w:pPr>
              <w:spacing w:after="0"/>
              <w:rPr>
                <w:rFonts w:cstheme="minorHAnsi"/>
                <w:sz w:val="14"/>
                <w:szCs w:val="14"/>
              </w:rPr>
            </w:pPr>
            <w:r w:rsidRPr="00DA0A7D">
              <w:rPr>
                <w:rFonts w:cstheme="minorHAnsi"/>
                <w:sz w:val="14"/>
                <w:szCs w:val="14"/>
              </w:rPr>
              <w:t>Léčiva, biotechnologie, prostředky zdrav. techniky, Life Sciences</w:t>
            </w:r>
          </w:p>
        </w:tc>
        <w:tc>
          <w:tcPr>
            <w:tcW w:w="1070" w:type="pct"/>
          </w:tcPr>
          <w:p w14:paraId="3490D624"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 xml:space="preserve">Léčiva, biotechnologie, prostředky zdravotnické techniky a Life Sciences </w:t>
            </w:r>
          </w:p>
        </w:tc>
        <w:tc>
          <w:tcPr>
            <w:tcW w:w="143" w:type="pct"/>
            <w:vAlign w:val="center"/>
          </w:tcPr>
          <w:p w14:paraId="3373FC18" w14:textId="77777777" w:rsidR="005132A0" w:rsidRPr="00DA0A7D" w:rsidRDefault="005132A0" w:rsidP="003A338E">
            <w:pPr>
              <w:spacing w:after="0" w:line="240" w:lineRule="auto"/>
              <w:jc w:val="center"/>
              <w:rPr>
                <w:sz w:val="14"/>
                <w:szCs w:val="14"/>
              </w:rPr>
            </w:pPr>
            <w:r w:rsidRPr="00DA0A7D">
              <w:rPr>
                <w:sz w:val="14"/>
                <w:szCs w:val="14"/>
              </w:rPr>
              <w:t>x</w:t>
            </w:r>
          </w:p>
        </w:tc>
        <w:tc>
          <w:tcPr>
            <w:tcW w:w="159" w:type="pct"/>
            <w:vAlign w:val="center"/>
          </w:tcPr>
          <w:p w14:paraId="039AF678" w14:textId="77777777" w:rsidR="005132A0" w:rsidRPr="00DA0A7D" w:rsidRDefault="005132A0" w:rsidP="003A338E">
            <w:pPr>
              <w:spacing w:after="0" w:line="240" w:lineRule="auto"/>
              <w:jc w:val="center"/>
              <w:rPr>
                <w:sz w:val="14"/>
                <w:szCs w:val="14"/>
              </w:rPr>
            </w:pPr>
            <w:r w:rsidRPr="00DA0A7D">
              <w:rPr>
                <w:sz w:val="14"/>
                <w:szCs w:val="14"/>
              </w:rPr>
              <w:t>x</w:t>
            </w:r>
          </w:p>
        </w:tc>
        <w:tc>
          <w:tcPr>
            <w:tcW w:w="171" w:type="pct"/>
            <w:vAlign w:val="center"/>
          </w:tcPr>
          <w:p w14:paraId="6AEE1396" w14:textId="77777777" w:rsidR="005132A0" w:rsidRPr="00DA0A7D" w:rsidRDefault="005132A0" w:rsidP="003A338E">
            <w:pPr>
              <w:spacing w:after="0" w:line="240" w:lineRule="auto"/>
              <w:jc w:val="center"/>
              <w:rPr>
                <w:sz w:val="14"/>
                <w:szCs w:val="14"/>
              </w:rPr>
            </w:pPr>
          </w:p>
        </w:tc>
        <w:tc>
          <w:tcPr>
            <w:tcW w:w="158" w:type="pct"/>
            <w:vAlign w:val="center"/>
          </w:tcPr>
          <w:p w14:paraId="4A7251F6" w14:textId="77777777" w:rsidR="005132A0" w:rsidRPr="00DA0A7D" w:rsidRDefault="005132A0" w:rsidP="003A338E">
            <w:pPr>
              <w:spacing w:after="0" w:line="240" w:lineRule="auto"/>
              <w:jc w:val="center"/>
              <w:rPr>
                <w:sz w:val="14"/>
                <w:szCs w:val="14"/>
              </w:rPr>
            </w:pPr>
            <w:r w:rsidRPr="00DA0A7D">
              <w:rPr>
                <w:sz w:val="14"/>
                <w:szCs w:val="14"/>
              </w:rPr>
              <w:t>x</w:t>
            </w:r>
          </w:p>
        </w:tc>
        <w:tc>
          <w:tcPr>
            <w:tcW w:w="148" w:type="pct"/>
            <w:vAlign w:val="center"/>
          </w:tcPr>
          <w:p w14:paraId="1EBF1692" w14:textId="77777777" w:rsidR="005132A0" w:rsidRPr="00DA0A7D" w:rsidRDefault="005132A0" w:rsidP="003A338E">
            <w:pPr>
              <w:spacing w:after="0" w:line="240" w:lineRule="auto"/>
              <w:jc w:val="center"/>
              <w:rPr>
                <w:sz w:val="14"/>
                <w:szCs w:val="14"/>
              </w:rPr>
            </w:pPr>
            <w:r w:rsidRPr="00DA0A7D">
              <w:rPr>
                <w:sz w:val="14"/>
                <w:szCs w:val="14"/>
              </w:rPr>
              <w:t>x</w:t>
            </w:r>
          </w:p>
        </w:tc>
        <w:tc>
          <w:tcPr>
            <w:tcW w:w="178" w:type="pct"/>
            <w:vAlign w:val="center"/>
          </w:tcPr>
          <w:p w14:paraId="23D1AE77" w14:textId="77777777" w:rsidR="005132A0" w:rsidRPr="00DA0A7D" w:rsidRDefault="005132A0" w:rsidP="003A338E">
            <w:pPr>
              <w:spacing w:after="0" w:line="240" w:lineRule="auto"/>
              <w:jc w:val="center"/>
              <w:rPr>
                <w:sz w:val="14"/>
                <w:szCs w:val="14"/>
              </w:rPr>
            </w:pPr>
            <w:r w:rsidRPr="00DA0A7D">
              <w:rPr>
                <w:sz w:val="14"/>
                <w:szCs w:val="14"/>
              </w:rPr>
              <w:t>x</w:t>
            </w:r>
          </w:p>
        </w:tc>
        <w:tc>
          <w:tcPr>
            <w:tcW w:w="154" w:type="pct"/>
            <w:vAlign w:val="center"/>
          </w:tcPr>
          <w:p w14:paraId="3E1ED363" w14:textId="77777777" w:rsidR="005132A0" w:rsidRPr="00DA0A7D" w:rsidRDefault="005132A0" w:rsidP="003A338E">
            <w:pPr>
              <w:spacing w:after="0" w:line="240" w:lineRule="auto"/>
              <w:jc w:val="center"/>
              <w:rPr>
                <w:sz w:val="14"/>
                <w:szCs w:val="14"/>
              </w:rPr>
            </w:pPr>
            <w:r w:rsidRPr="00DA0A7D">
              <w:rPr>
                <w:sz w:val="14"/>
                <w:szCs w:val="14"/>
              </w:rPr>
              <w:t>x</w:t>
            </w:r>
          </w:p>
        </w:tc>
        <w:tc>
          <w:tcPr>
            <w:tcW w:w="156" w:type="pct"/>
            <w:vAlign w:val="center"/>
          </w:tcPr>
          <w:p w14:paraId="3FA053BB" w14:textId="77777777" w:rsidR="005132A0" w:rsidRPr="00DA0A7D" w:rsidRDefault="005132A0" w:rsidP="003A338E">
            <w:pPr>
              <w:spacing w:after="0" w:line="240" w:lineRule="auto"/>
              <w:jc w:val="center"/>
              <w:rPr>
                <w:rFonts w:cstheme="minorHAnsi"/>
                <w:sz w:val="14"/>
                <w:szCs w:val="14"/>
              </w:rPr>
            </w:pPr>
            <w:r w:rsidRPr="00DA0A7D">
              <w:rPr>
                <w:rFonts w:cstheme="minorHAnsi"/>
                <w:sz w:val="14"/>
                <w:szCs w:val="14"/>
              </w:rPr>
              <w:t>x</w:t>
            </w:r>
          </w:p>
        </w:tc>
        <w:tc>
          <w:tcPr>
            <w:tcW w:w="147" w:type="pct"/>
            <w:vAlign w:val="center"/>
          </w:tcPr>
          <w:p w14:paraId="04B913D0" w14:textId="77777777" w:rsidR="005132A0" w:rsidRPr="00DA0A7D" w:rsidRDefault="005132A0" w:rsidP="003A338E">
            <w:pPr>
              <w:spacing w:after="0" w:line="240" w:lineRule="auto"/>
              <w:jc w:val="center"/>
              <w:rPr>
                <w:sz w:val="14"/>
                <w:szCs w:val="14"/>
              </w:rPr>
            </w:pPr>
            <w:r w:rsidRPr="00DA0A7D">
              <w:rPr>
                <w:sz w:val="14"/>
                <w:szCs w:val="14"/>
              </w:rPr>
              <w:t>x</w:t>
            </w:r>
          </w:p>
        </w:tc>
        <w:tc>
          <w:tcPr>
            <w:tcW w:w="160" w:type="pct"/>
            <w:vAlign w:val="center"/>
          </w:tcPr>
          <w:p w14:paraId="4B39D519"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Align w:val="center"/>
          </w:tcPr>
          <w:p w14:paraId="04B10550" w14:textId="77777777" w:rsidR="005132A0" w:rsidRPr="00DA0A7D" w:rsidRDefault="005132A0" w:rsidP="003A338E">
            <w:pPr>
              <w:spacing w:after="0" w:line="240" w:lineRule="auto"/>
              <w:jc w:val="center"/>
              <w:rPr>
                <w:sz w:val="14"/>
                <w:szCs w:val="14"/>
              </w:rPr>
            </w:pPr>
            <w:r w:rsidRPr="00DA0A7D">
              <w:rPr>
                <w:sz w:val="14"/>
                <w:szCs w:val="14"/>
              </w:rPr>
              <w:t>x</w:t>
            </w:r>
          </w:p>
        </w:tc>
        <w:tc>
          <w:tcPr>
            <w:tcW w:w="153" w:type="pct"/>
            <w:vAlign w:val="center"/>
          </w:tcPr>
          <w:p w14:paraId="162590C0" w14:textId="77777777" w:rsidR="005132A0" w:rsidRPr="00DA0A7D" w:rsidRDefault="005132A0" w:rsidP="003A338E">
            <w:pPr>
              <w:spacing w:after="0" w:line="240" w:lineRule="auto"/>
              <w:jc w:val="center"/>
              <w:rPr>
                <w:sz w:val="14"/>
                <w:szCs w:val="14"/>
              </w:rPr>
            </w:pPr>
          </w:p>
        </w:tc>
        <w:tc>
          <w:tcPr>
            <w:tcW w:w="158" w:type="pct"/>
            <w:vAlign w:val="center"/>
          </w:tcPr>
          <w:p w14:paraId="3A2EE28D" w14:textId="77777777" w:rsidR="005132A0" w:rsidRPr="00DA0A7D" w:rsidRDefault="005132A0" w:rsidP="003A338E">
            <w:pPr>
              <w:spacing w:after="0" w:line="240" w:lineRule="auto"/>
              <w:jc w:val="center"/>
              <w:rPr>
                <w:sz w:val="14"/>
                <w:szCs w:val="14"/>
              </w:rPr>
            </w:pPr>
          </w:p>
        </w:tc>
        <w:tc>
          <w:tcPr>
            <w:tcW w:w="147" w:type="pct"/>
            <w:vAlign w:val="center"/>
          </w:tcPr>
          <w:p w14:paraId="33B61C08" w14:textId="77777777" w:rsidR="005132A0" w:rsidRPr="00DA0A7D" w:rsidRDefault="005132A0" w:rsidP="003A338E">
            <w:pPr>
              <w:spacing w:after="0" w:line="240" w:lineRule="auto"/>
              <w:jc w:val="center"/>
              <w:rPr>
                <w:sz w:val="14"/>
                <w:szCs w:val="14"/>
              </w:rPr>
            </w:pPr>
          </w:p>
        </w:tc>
      </w:tr>
      <w:tr w:rsidR="005132A0" w:rsidRPr="00DA0A7D" w14:paraId="65992389" w14:textId="77777777" w:rsidTr="003A338E">
        <w:trPr>
          <w:cantSplit/>
          <w:trHeight w:val="127"/>
        </w:trPr>
        <w:tc>
          <w:tcPr>
            <w:tcW w:w="827" w:type="pct"/>
            <w:vMerge w:val="restart"/>
            <w:shd w:val="clear" w:color="auto" w:fill="004B8D"/>
          </w:tcPr>
          <w:p w14:paraId="73DC5E44" w14:textId="77777777" w:rsidR="005132A0" w:rsidRPr="00DA0A7D" w:rsidRDefault="005132A0" w:rsidP="003A338E">
            <w:pPr>
              <w:spacing w:after="0"/>
              <w:rPr>
                <w:rFonts w:cstheme="minorHAnsi"/>
                <w:color w:val="FFFFFF" w:themeColor="background1"/>
                <w:sz w:val="14"/>
                <w:szCs w:val="14"/>
              </w:rPr>
            </w:pPr>
            <w:r w:rsidRPr="00DA0A7D">
              <w:rPr>
                <w:rFonts w:cstheme="minorHAnsi"/>
                <w:color w:val="FFFFFF" w:themeColor="background1"/>
                <w:sz w:val="14"/>
                <w:szCs w:val="14"/>
              </w:rPr>
              <w:t>Kulturní a kreativní odvětví</w:t>
            </w:r>
          </w:p>
        </w:tc>
        <w:tc>
          <w:tcPr>
            <w:tcW w:w="924" w:type="pct"/>
            <w:vMerge w:val="restart"/>
          </w:tcPr>
          <w:p w14:paraId="681947EB" w14:textId="77777777" w:rsidR="005132A0" w:rsidRPr="00DA0A7D" w:rsidRDefault="005132A0" w:rsidP="003A338E">
            <w:pPr>
              <w:spacing w:after="0"/>
              <w:rPr>
                <w:rFonts w:cstheme="minorHAnsi"/>
                <w:sz w:val="14"/>
                <w:szCs w:val="14"/>
              </w:rPr>
            </w:pPr>
            <w:r w:rsidRPr="00DA0A7D">
              <w:rPr>
                <w:rFonts w:cstheme="minorHAnsi"/>
                <w:sz w:val="14"/>
                <w:szCs w:val="14"/>
              </w:rPr>
              <w:t>NIP V.</w:t>
            </w:r>
          </w:p>
          <w:p w14:paraId="2CE8EDE5" w14:textId="688F0BB6" w:rsidR="005132A0" w:rsidRPr="00DA0A7D" w:rsidRDefault="005132A0" w:rsidP="002A6999">
            <w:pPr>
              <w:spacing w:after="0"/>
              <w:rPr>
                <w:rFonts w:cstheme="minorHAnsi"/>
                <w:sz w:val="14"/>
                <w:szCs w:val="14"/>
              </w:rPr>
            </w:pPr>
            <w:r w:rsidRPr="00DA0A7D">
              <w:rPr>
                <w:rFonts w:cstheme="minorHAnsi"/>
                <w:sz w:val="14"/>
                <w:szCs w:val="14"/>
              </w:rPr>
              <w:t xml:space="preserve">Kulturní a kreativní </w:t>
            </w:r>
            <w:r w:rsidR="002A6999">
              <w:rPr>
                <w:rFonts w:cstheme="minorHAnsi"/>
                <w:sz w:val="14"/>
                <w:szCs w:val="14"/>
              </w:rPr>
              <w:t>odvětví</w:t>
            </w:r>
          </w:p>
        </w:tc>
        <w:tc>
          <w:tcPr>
            <w:tcW w:w="1070" w:type="pct"/>
          </w:tcPr>
          <w:p w14:paraId="7EFB36C4"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Tradičn</w:t>
            </w:r>
            <w:r>
              <w:rPr>
                <w:rFonts w:cstheme="minorHAnsi"/>
                <w:sz w:val="14"/>
                <w:szCs w:val="14"/>
              </w:rPr>
              <w:t>í kulturní a kreativní odvětví</w:t>
            </w:r>
          </w:p>
        </w:tc>
        <w:tc>
          <w:tcPr>
            <w:tcW w:w="143" w:type="pct"/>
            <w:vMerge w:val="restart"/>
            <w:vAlign w:val="center"/>
          </w:tcPr>
          <w:p w14:paraId="0670EF79" w14:textId="77777777" w:rsidR="005132A0" w:rsidRPr="00DA0A7D" w:rsidRDefault="005132A0" w:rsidP="003A338E">
            <w:pPr>
              <w:spacing w:after="0" w:line="240" w:lineRule="auto"/>
              <w:jc w:val="center"/>
              <w:rPr>
                <w:sz w:val="14"/>
                <w:szCs w:val="14"/>
              </w:rPr>
            </w:pPr>
          </w:p>
        </w:tc>
        <w:tc>
          <w:tcPr>
            <w:tcW w:w="159" w:type="pct"/>
            <w:vMerge w:val="restart"/>
            <w:vAlign w:val="center"/>
          </w:tcPr>
          <w:p w14:paraId="359FA895" w14:textId="77777777" w:rsidR="005132A0" w:rsidRPr="00DA0A7D" w:rsidRDefault="005132A0" w:rsidP="003A338E">
            <w:pPr>
              <w:spacing w:after="0" w:line="240" w:lineRule="auto"/>
              <w:jc w:val="center"/>
              <w:rPr>
                <w:sz w:val="14"/>
                <w:szCs w:val="14"/>
              </w:rPr>
            </w:pPr>
          </w:p>
        </w:tc>
        <w:tc>
          <w:tcPr>
            <w:tcW w:w="171" w:type="pct"/>
            <w:vMerge w:val="restart"/>
            <w:vAlign w:val="center"/>
          </w:tcPr>
          <w:p w14:paraId="49133BBD" w14:textId="77777777" w:rsidR="005132A0" w:rsidRPr="00DA0A7D" w:rsidRDefault="005132A0" w:rsidP="003A338E">
            <w:pPr>
              <w:spacing w:after="0" w:line="240" w:lineRule="auto"/>
              <w:jc w:val="center"/>
              <w:rPr>
                <w:sz w:val="14"/>
                <w:szCs w:val="14"/>
              </w:rPr>
            </w:pPr>
          </w:p>
        </w:tc>
        <w:tc>
          <w:tcPr>
            <w:tcW w:w="158" w:type="pct"/>
            <w:vMerge w:val="restart"/>
            <w:vAlign w:val="center"/>
          </w:tcPr>
          <w:p w14:paraId="01E792D0" w14:textId="77777777" w:rsidR="005132A0" w:rsidRPr="00DA0A7D" w:rsidRDefault="005132A0" w:rsidP="003A338E">
            <w:pPr>
              <w:spacing w:after="0" w:line="240" w:lineRule="auto"/>
              <w:jc w:val="center"/>
              <w:rPr>
                <w:sz w:val="14"/>
                <w:szCs w:val="14"/>
              </w:rPr>
            </w:pPr>
            <w:r w:rsidRPr="00DA0A7D">
              <w:rPr>
                <w:sz w:val="14"/>
                <w:szCs w:val="14"/>
              </w:rPr>
              <w:t>x</w:t>
            </w:r>
          </w:p>
        </w:tc>
        <w:tc>
          <w:tcPr>
            <w:tcW w:w="148" w:type="pct"/>
            <w:vMerge w:val="restart"/>
            <w:vAlign w:val="center"/>
          </w:tcPr>
          <w:p w14:paraId="2BF7DE2D" w14:textId="77777777" w:rsidR="005132A0" w:rsidRPr="00DA0A7D" w:rsidRDefault="005132A0" w:rsidP="003A338E">
            <w:pPr>
              <w:spacing w:after="0" w:line="240" w:lineRule="auto"/>
              <w:jc w:val="center"/>
              <w:rPr>
                <w:sz w:val="14"/>
                <w:szCs w:val="14"/>
              </w:rPr>
            </w:pPr>
            <w:r w:rsidRPr="00DA0A7D">
              <w:rPr>
                <w:sz w:val="14"/>
                <w:szCs w:val="14"/>
              </w:rPr>
              <w:t>x</w:t>
            </w:r>
          </w:p>
        </w:tc>
        <w:tc>
          <w:tcPr>
            <w:tcW w:w="178" w:type="pct"/>
            <w:vMerge w:val="restart"/>
            <w:vAlign w:val="center"/>
          </w:tcPr>
          <w:p w14:paraId="5F13290F" w14:textId="77777777" w:rsidR="005132A0" w:rsidRPr="00DA0A7D" w:rsidRDefault="005132A0" w:rsidP="003A338E">
            <w:pPr>
              <w:spacing w:after="0" w:line="240" w:lineRule="auto"/>
              <w:jc w:val="center"/>
              <w:rPr>
                <w:sz w:val="14"/>
                <w:szCs w:val="14"/>
              </w:rPr>
            </w:pPr>
          </w:p>
        </w:tc>
        <w:tc>
          <w:tcPr>
            <w:tcW w:w="154" w:type="pct"/>
            <w:vMerge w:val="restart"/>
            <w:vAlign w:val="center"/>
          </w:tcPr>
          <w:p w14:paraId="7D1B0494" w14:textId="77777777" w:rsidR="005132A0" w:rsidRPr="00DA0A7D" w:rsidRDefault="005132A0" w:rsidP="003A338E">
            <w:pPr>
              <w:spacing w:after="0" w:line="240" w:lineRule="auto"/>
              <w:jc w:val="center"/>
              <w:rPr>
                <w:sz w:val="14"/>
                <w:szCs w:val="14"/>
              </w:rPr>
            </w:pPr>
          </w:p>
        </w:tc>
        <w:tc>
          <w:tcPr>
            <w:tcW w:w="156" w:type="pct"/>
            <w:vMerge w:val="restart"/>
            <w:vAlign w:val="center"/>
          </w:tcPr>
          <w:p w14:paraId="108BA3B2" w14:textId="77777777" w:rsidR="005132A0" w:rsidRPr="00DA0A7D" w:rsidRDefault="005132A0" w:rsidP="003A338E">
            <w:pPr>
              <w:spacing w:after="0" w:line="240" w:lineRule="auto"/>
              <w:jc w:val="center"/>
              <w:rPr>
                <w:rFonts w:cstheme="minorHAnsi"/>
                <w:sz w:val="14"/>
                <w:szCs w:val="14"/>
              </w:rPr>
            </w:pPr>
          </w:p>
        </w:tc>
        <w:tc>
          <w:tcPr>
            <w:tcW w:w="147" w:type="pct"/>
            <w:vMerge w:val="restart"/>
            <w:vAlign w:val="center"/>
          </w:tcPr>
          <w:p w14:paraId="581395F1" w14:textId="77777777" w:rsidR="005132A0" w:rsidRPr="00DA0A7D" w:rsidRDefault="005132A0" w:rsidP="003A338E">
            <w:pPr>
              <w:spacing w:after="0" w:line="240" w:lineRule="auto"/>
              <w:jc w:val="center"/>
              <w:rPr>
                <w:sz w:val="14"/>
                <w:szCs w:val="14"/>
              </w:rPr>
            </w:pPr>
          </w:p>
        </w:tc>
        <w:tc>
          <w:tcPr>
            <w:tcW w:w="160" w:type="pct"/>
            <w:vMerge w:val="restart"/>
            <w:vAlign w:val="center"/>
          </w:tcPr>
          <w:p w14:paraId="026C13D3"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Merge w:val="restart"/>
            <w:vAlign w:val="center"/>
          </w:tcPr>
          <w:p w14:paraId="07412DE5" w14:textId="77777777" w:rsidR="005132A0" w:rsidRPr="00DA0A7D" w:rsidRDefault="005132A0" w:rsidP="003A338E">
            <w:pPr>
              <w:spacing w:after="0" w:line="240" w:lineRule="auto"/>
              <w:jc w:val="center"/>
              <w:rPr>
                <w:sz w:val="14"/>
                <w:szCs w:val="14"/>
              </w:rPr>
            </w:pPr>
          </w:p>
        </w:tc>
        <w:tc>
          <w:tcPr>
            <w:tcW w:w="153" w:type="pct"/>
            <w:vMerge w:val="restart"/>
            <w:vAlign w:val="center"/>
          </w:tcPr>
          <w:p w14:paraId="6A8A4C0F" w14:textId="77777777" w:rsidR="005132A0" w:rsidRPr="00DA0A7D" w:rsidRDefault="005132A0" w:rsidP="003A338E">
            <w:pPr>
              <w:spacing w:after="0" w:line="240" w:lineRule="auto"/>
              <w:jc w:val="center"/>
              <w:rPr>
                <w:sz w:val="14"/>
                <w:szCs w:val="14"/>
              </w:rPr>
            </w:pPr>
          </w:p>
        </w:tc>
        <w:tc>
          <w:tcPr>
            <w:tcW w:w="158" w:type="pct"/>
            <w:vMerge w:val="restart"/>
            <w:vAlign w:val="center"/>
          </w:tcPr>
          <w:p w14:paraId="5694D02D" w14:textId="77777777" w:rsidR="005132A0" w:rsidRPr="00DA0A7D" w:rsidRDefault="005132A0" w:rsidP="003A338E">
            <w:pPr>
              <w:spacing w:after="0" w:line="240" w:lineRule="auto"/>
              <w:jc w:val="center"/>
              <w:rPr>
                <w:sz w:val="14"/>
                <w:szCs w:val="14"/>
              </w:rPr>
            </w:pPr>
          </w:p>
        </w:tc>
        <w:tc>
          <w:tcPr>
            <w:tcW w:w="147" w:type="pct"/>
            <w:vMerge w:val="restart"/>
            <w:vAlign w:val="center"/>
          </w:tcPr>
          <w:p w14:paraId="26033F1E" w14:textId="77777777" w:rsidR="005132A0" w:rsidRPr="00DA0A7D" w:rsidRDefault="005132A0" w:rsidP="003A338E">
            <w:pPr>
              <w:spacing w:after="0" w:line="240" w:lineRule="auto"/>
              <w:jc w:val="center"/>
              <w:rPr>
                <w:sz w:val="14"/>
                <w:szCs w:val="14"/>
              </w:rPr>
            </w:pPr>
            <w:r w:rsidRPr="00DA0A7D">
              <w:rPr>
                <w:sz w:val="14"/>
                <w:szCs w:val="14"/>
              </w:rPr>
              <w:t>x</w:t>
            </w:r>
          </w:p>
        </w:tc>
      </w:tr>
      <w:tr w:rsidR="005132A0" w:rsidRPr="00DA0A7D" w14:paraId="6FC58D91" w14:textId="77777777" w:rsidTr="003A338E">
        <w:trPr>
          <w:cantSplit/>
          <w:trHeight w:val="74"/>
        </w:trPr>
        <w:tc>
          <w:tcPr>
            <w:tcW w:w="827" w:type="pct"/>
            <w:vMerge/>
            <w:shd w:val="clear" w:color="auto" w:fill="004B8D"/>
          </w:tcPr>
          <w:p w14:paraId="3EF51D1B"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5C6A6295" w14:textId="77777777" w:rsidR="005132A0" w:rsidRPr="00DA0A7D" w:rsidRDefault="005132A0" w:rsidP="003A338E">
            <w:pPr>
              <w:spacing w:after="0"/>
              <w:rPr>
                <w:rFonts w:cstheme="minorHAnsi"/>
                <w:sz w:val="14"/>
                <w:szCs w:val="14"/>
              </w:rPr>
            </w:pPr>
          </w:p>
        </w:tc>
        <w:tc>
          <w:tcPr>
            <w:tcW w:w="1070" w:type="pct"/>
          </w:tcPr>
          <w:p w14:paraId="7854DCCB"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Nová kulturní a kreativní odvětví</w:t>
            </w:r>
          </w:p>
        </w:tc>
        <w:tc>
          <w:tcPr>
            <w:tcW w:w="143" w:type="pct"/>
            <w:vMerge/>
          </w:tcPr>
          <w:p w14:paraId="6AA762D0" w14:textId="77777777" w:rsidR="005132A0" w:rsidRPr="00DA0A7D" w:rsidRDefault="005132A0" w:rsidP="003A338E">
            <w:pPr>
              <w:spacing w:after="0" w:line="240" w:lineRule="auto"/>
              <w:jc w:val="center"/>
              <w:rPr>
                <w:sz w:val="14"/>
                <w:szCs w:val="14"/>
              </w:rPr>
            </w:pPr>
          </w:p>
        </w:tc>
        <w:tc>
          <w:tcPr>
            <w:tcW w:w="159" w:type="pct"/>
            <w:vMerge/>
          </w:tcPr>
          <w:p w14:paraId="3286A433" w14:textId="77777777" w:rsidR="005132A0" w:rsidRPr="00DA0A7D" w:rsidRDefault="005132A0" w:rsidP="003A338E">
            <w:pPr>
              <w:spacing w:after="0" w:line="240" w:lineRule="auto"/>
              <w:jc w:val="center"/>
              <w:rPr>
                <w:sz w:val="14"/>
                <w:szCs w:val="14"/>
              </w:rPr>
            </w:pPr>
          </w:p>
        </w:tc>
        <w:tc>
          <w:tcPr>
            <w:tcW w:w="171" w:type="pct"/>
            <w:vMerge/>
          </w:tcPr>
          <w:p w14:paraId="7255FBCF" w14:textId="77777777" w:rsidR="005132A0" w:rsidRPr="00DA0A7D" w:rsidRDefault="005132A0" w:rsidP="003A338E">
            <w:pPr>
              <w:spacing w:after="0" w:line="240" w:lineRule="auto"/>
              <w:jc w:val="center"/>
              <w:rPr>
                <w:sz w:val="14"/>
                <w:szCs w:val="14"/>
              </w:rPr>
            </w:pPr>
          </w:p>
        </w:tc>
        <w:tc>
          <w:tcPr>
            <w:tcW w:w="158" w:type="pct"/>
            <w:vMerge/>
          </w:tcPr>
          <w:p w14:paraId="67AA38BF" w14:textId="77777777" w:rsidR="005132A0" w:rsidRPr="00DA0A7D" w:rsidRDefault="005132A0" w:rsidP="003A338E">
            <w:pPr>
              <w:spacing w:after="0" w:line="240" w:lineRule="auto"/>
              <w:jc w:val="center"/>
              <w:rPr>
                <w:sz w:val="14"/>
                <w:szCs w:val="14"/>
              </w:rPr>
            </w:pPr>
          </w:p>
        </w:tc>
        <w:tc>
          <w:tcPr>
            <w:tcW w:w="148" w:type="pct"/>
            <w:vMerge/>
          </w:tcPr>
          <w:p w14:paraId="084FDDAB" w14:textId="77777777" w:rsidR="005132A0" w:rsidRPr="00DA0A7D" w:rsidRDefault="005132A0" w:rsidP="003A338E">
            <w:pPr>
              <w:spacing w:after="0" w:line="240" w:lineRule="auto"/>
              <w:jc w:val="center"/>
              <w:rPr>
                <w:sz w:val="14"/>
                <w:szCs w:val="14"/>
              </w:rPr>
            </w:pPr>
          </w:p>
        </w:tc>
        <w:tc>
          <w:tcPr>
            <w:tcW w:w="178" w:type="pct"/>
            <w:vMerge/>
          </w:tcPr>
          <w:p w14:paraId="7AF79A45" w14:textId="77777777" w:rsidR="005132A0" w:rsidRPr="00DA0A7D" w:rsidRDefault="005132A0" w:rsidP="003A338E">
            <w:pPr>
              <w:spacing w:after="0" w:line="240" w:lineRule="auto"/>
              <w:jc w:val="center"/>
              <w:rPr>
                <w:sz w:val="14"/>
                <w:szCs w:val="14"/>
              </w:rPr>
            </w:pPr>
          </w:p>
        </w:tc>
        <w:tc>
          <w:tcPr>
            <w:tcW w:w="154" w:type="pct"/>
            <w:vMerge/>
          </w:tcPr>
          <w:p w14:paraId="07E64F44" w14:textId="77777777" w:rsidR="005132A0" w:rsidRPr="00DA0A7D" w:rsidRDefault="005132A0" w:rsidP="003A338E">
            <w:pPr>
              <w:spacing w:after="0" w:line="240" w:lineRule="auto"/>
              <w:jc w:val="center"/>
              <w:rPr>
                <w:sz w:val="14"/>
                <w:szCs w:val="14"/>
              </w:rPr>
            </w:pPr>
          </w:p>
        </w:tc>
        <w:tc>
          <w:tcPr>
            <w:tcW w:w="156" w:type="pct"/>
            <w:vMerge/>
          </w:tcPr>
          <w:p w14:paraId="297BA378" w14:textId="77777777" w:rsidR="005132A0" w:rsidRPr="00DA0A7D" w:rsidRDefault="005132A0" w:rsidP="003A338E">
            <w:pPr>
              <w:spacing w:after="0" w:line="240" w:lineRule="auto"/>
              <w:jc w:val="center"/>
              <w:rPr>
                <w:rFonts w:cstheme="minorHAnsi"/>
                <w:sz w:val="14"/>
                <w:szCs w:val="14"/>
              </w:rPr>
            </w:pPr>
          </w:p>
        </w:tc>
        <w:tc>
          <w:tcPr>
            <w:tcW w:w="147" w:type="pct"/>
            <w:vMerge/>
          </w:tcPr>
          <w:p w14:paraId="073AFC2D" w14:textId="77777777" w:rsidR="005132A0" w:rsidRPr="00DA0A7D" w:rsidRDefault="005132A0" w:rsidP="003A338E">
            <w:pPr>
              <w:spacing w:after="0" w:line="240" w:lineRule="auto"/>
              <w:jc w:val="center"/>
              <w:rPr>
                <w:sz w:val="14"/>
                <w:szCs w:val="14"/>
              </w:rPr>
            </w:pPr>
          </w:p>
        </w:tc>
        <w:tc>
          <w:tcPr>
            <w:tcW w:w="160" w:type="pct"/>
            <w:vMerge/>
          </w:tcPr>
          <w:p w14:paraId="7CE90C0E" w14:textId="77777777" w:rsidR="005132A0" w:rsidRPr="00DA0A7D" w:rsidRDefault="005132A0" w:rsidP="003A338E">
            <w:pPr>
              <w:spacing w:after="0" w:line="240" w:lineRule="auto"/>
              <w:jc w:val="center"/>
              <w:rPr>
                <w:sz w:val="14"/>
                <w:szCs w:val="14"/>
              </w:rPr>
            </w:pPr>
          </w:p>
        </w:tc>
        <w:tc>
          <w:tcPr>
            <w:tcW w:w="147" w:type="pct"/>
            <w:vMerge/>
          </w:tcPr>
          <w:p w14:paraId="138080C1" w14:textId="77777777" w:rsidR="005132A0" w:rsidRPr="00DA0A7D" w:rsidRDefault="005132A0" w:rsidP="003A338E">
            <w:pPr>
              <w:spacing w:after="0" w:line="240" w:lineRule="auto"/>
              <w:jc w:val="center"/>
              <w:rPr>
                <w:sz w:val="14"/>
                <w:szCs w:val="14"/>
              </w:rPr>
            </w:pPr>
          </w:p>
        </w:tc>
        <w:tc>
          <w:tcPr>
            <w:tcW w:w="153" w:type="pct"/>
            <w:vMerge/>
          </w:tcPr>
          <w:p w14:paraId="43D835C5" w14:textId="77777777" w:rsidR="005132A0" w:rsidRPr="00DA0A7D" w:rsidRDefault="005132A0" w:rsidP="003A338E">
            <w:pPr>
              <w:spacing w:after="0" w:line="240" w:lineRule="auto"/>
              <w:jc w:val="center"/>
              <w:rPr>
                <w:sz w:val="14"/>
                <w:szCs w:val="14"/>
              </w:rPr>
            </w:pPr>
          </w:p>
        </w:tc>
        <w:tc>
          <w:tcPr>
            <w:tcW w:w="158" w:type="pct"/>
            <w:vMerge/>
          </w:tcPr>
          <w:p w14:paraId="58938F3F" w14:textId="77777777" w:rsidR="005132A0" w:rsidRPr="00DA0A7D" w:rsidRDefault="005132A0" w:rsidP="003A338E">
            <w:pPr>
              <w:spacing w:after="0" w:line="240" w:lineRule="auto"/>
              <w:jc w:val="center"/>
              <w:rPr>
                <w:sz w:val="14"/>
                <w:szCs w:val="14"/>
              </w:rPr>
            </w:pPr>
          </w:p>
        </w:tc>
        <w:tc>
          <w:tcPr>
            <w:tcW w:w="147" w:type="pct"/>
            <w:vMerge/>
          </w:tcPr>
          <w:p w14:paraId="2FEB4512" w14:textId="77777777" w:rsidR="005132A0" w:rsidRPr="00DA0A7D" w:rsidRDefault="005132A0" w:rsidP="003A338E">
            <w:pPr>
              <w:spacing w:after="0" w:line="240" w:lineRule="auto"/>
              <w:jc w:val="center"/>
              <w:rPr>
                <w:sz w:val="14"/>
                <w:szCs w:val="14"/>
              </w:rPr>
            </w:pPr>
          </w:p>
        </w:tc>
      </w:tr>
      <w:tr w:rsidR="005132A0" w:rsidRPr="00DA0A7D" w14:paraId="0F6FE113" w14:textId="77777777" w:rsidTr="003A338E">
        <w:trPr>
          <w:cantSplit/>
          <w:trHeight w:val="134"/>
        </w:trPr>
        <w:tc>
          <w:tcPr>
            <w:tcW w:w="827" w:type="pct"/>
            <w:vMerge w:val="restart"/>
            <w:shd w:val="clear" w:color="auto" w:fill="004B8D"/>
          </w:tcPr>
          <w:p w14:paraId="08D4DF34" w14:textId="77777777" w:rsidR="005132A0" w:rsidRPr="00DA0A7D" w:rsidRDefault="005132A0" w:rsidP="003A338E">
            <w:pPr>
              <w:spacing w:after="0"/>
              <w:rPr>
                <w:rFonts w:cstheme="minorHAnsi"/>
                <w:color w:val="FFFFFF" w:themeColor="background1"/>
                <w:sz w:val="14"/>
                <w:szCs w:val="14"/>
              </w:rPr>
            </w:pPr>
            <w:r w:rsidRPr="00DA0A7D">
              <w:rPr>
                <w:rFonts w:cstheme="minorHAnsi"/>
                <w:color w:val="FFFFFF" w:themeColor="background1"/>
                <w:sz w:val="14"/>
                <w:szCs w:val="14"/>
              </w:rPr>
              <w:t>Udržitelné zemědělství a environmentální aplikační odvětví</w:t>
            </w:r>
          </w:p>
        </w:tc>
        <w:tc>
          <w:tcPr>
            <w:tcW w:w="924" w:type="pct"/>
            <w:vMerge w:val="restart"/>
          </w:tcPr>
          <w:p w14:paraId="6983742D" w14:textId="77777777" w:rsidR="005132A0" w:rsidRPr="00DA0A7D" w:rsidRDefault="005132A0" w:rsidP="003A338E">
            <w:pPr>
              <w:spacing w:after="0"/>
              <w:rPr>
                <w:rFonts w:cstheme="minorHAnsi"/>
                <w:sz w:val="14"/>
                <w:szCs w:val="14"/>
              </w:rPr>
            </w:pPr>
            <w:r w:rsidRPr="00DA0A7D">
              <w:rPr>
                <w:rFonts w:cstheme="minorHAnsi"/>
                <w:sz w:val="14"/>
                <w:szCs w:val="14"/>
              </w:rPr>
              <w:t>NIP VI.</w:t>
            </w:r>
          </w:p>
        </w:tc>
        <w:tc>
          <w:tcPr>
            <w:tcW w:w="1070" w:type="pct"/>
          </w:tcPr>
          <w:p w14:paraId="730CDB94"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Udržitelné h</w:t>
            </w:r>
            <w:r>
              <w:rPr>
                <w:rFonts w:cstheme="minorHAnsi"/>
                <w:sz w:val="14"/>
                <w:szCs w:val="14"/>
              </w:rPr>
              <w:t>ospodaření s přírodními zdroji</w:t>
            </w:r>
          </w:p>
        </w:tc>
        <w:tc>
          <w:tcPr>
            <w:tcW w:w="143" w:type="pct"/>
            <w:vMerge w:val="restart"/>
            <w:vAlign w:val="center"/>
          </w:tcPr>
          <w:p w14:paraId="4F50B8EC" w14:textId="77777777" w:rsidR="005132A0" w:rsidRPr="00DA0A7D" w:rsidRDefault="005132A0" w:rsidP="003A338E">
            <w:pPr>
              <w:spacing w:after="0" w:line="240" w:lineRule="auto"/>
              <w:jc w:val="center"/>
              <w:rPr>
                <w:sz w:val="14"/>
                <w:szCs w:val="14"/>
              </w:rPr>
            </w:pPr>
            <w:r w:rsidRPr="00DA0A7D">
              <w:rPr>
                <w:sz w:val="14"/>
                <w:szCs w:val="14"/>
              </w:rPr>
              <w:t>x</w:t>
            </w:r>
          </w:p>
        </w:tc>
        <w:tc>
          <w:tcPr>
            <w:tcW w:w="159" w:type="pct"/>
            <w:vMerge w:val="restart"/>
            <w:vAlign w:val="center"/>
          </w:tcPr>
          <w:p w14:paraId="66D30ED2" w14:textId="77777777" w:rsidR="005132A0" w:rsidRPr="00DA0A7D" w:rsidRDefault="005132A0" w:rsidP="003A338E">
            <w:pPr>
              <w:spacing w:after="0" w:line="240" w:lineRule="auto"/>
              <w:jc w:val="center"/>
              <w:rPr>
                <w:sz w:val="14"/>
                <w:szCs w:val="14"/>
              </w:rPr>
            </w:pPr>
          </w:p>
        </w:tc>
        <w:tc>
          <w:tcPr>
            <w:tcW w:w="171" w:type="pct"/>
            <w:vMerge w:val="restart"/>
            <w:vAlign w:val="center"/>
          </w:tcPr>
          <w:p w14:paraId="49EC8D5E" w14:textId="77777777" w:rsidR="005132A0" w:rsidRPr="00DA0A7D" w:rsidRDefault="005132A0" w:rsidP="003A338E">
            <w:pPr>
              <w:spacing w:after="0" w:line="240" w:lineRule="auto"/>
              <w:jc w:val="center"/>
              <w:rPr>
                <w:sz w:val="14"/>
                <w:szCs w:val="14"/>
              </w:rPr>
            </w:pPr>
          </w:p>
        </w:tc>
        <w:tc>
          <w:tcPr>
            <w:tcW w:w="158" w:type="pct"/>
            <w:vMerge w:val="restart"/>
            <w:vAlign w:val="center"/>
          </w:tcPr>
          <w:p w14:paraId="12F82B63" w14:textId="77777777" w:rsidR="005132A0" w:rsidRPr="00DA0A7D" w:rsidRDefault="005132A0" w:rsidP="003A338E">
            <w:pPr>
              <w:spacing w:after="0" w:line="240" w:lineRule="auto"/>
              <w:jc w:val="center"/>
              <w:rPr>
                <w:sz w:val="14"/>
                <w:szCs w:val="14"/>
              </w:rPr>
            </w:pPr>
            <w:r w:rsidRPr="00DA0A7D">
              <w:rPr>
                <w:sz w:val="14"/>
                <w:szCs w:val="14"/>
              </w:rPr>
              <w:t>x</w:t>
            </w:r>
          </w:p>
        </w:tc>
        <w:tc>
          <w:tcPr>
            <w:tcW w:w="148" w:type="pct"/>
            <w:vMerge w:val="restart"/>
            <w:vAlign w:val="center"/>
          </w:tcPr>
          <w:p w14:paraId="55A53F71" w14:textId="77777777" w:rsidR="005132A0" w:rsidRPr="00DA0A7D" w:rsidRDefault="005132A0" w:rsidP="003A338E">
            <w:pPr>
              <w:spacing w:after="0" w:line="240" w:lineRule="auto"/>
              <w:jc w:val="center"/>
              <w:rPr>
                <w:sz w:val="14"/>
                <w:szCs w:val="14"/>
              </w:rPr>
            </w:pPr>
            <w:r w:rsidRPr="00DA0A7D">
              <w:rPr>
                <w:sz w:val="14"/>
                <w:szCs w:val="14"/>
              </w:rPr>
              <w:t>x</w:t>
            </w:r>
          </w:p>
        </w:tc>
        <w:tc>
          <w:tcPr>
            <w:tcW w:w="178" w:type="pct"/>
            <w:vMerge w:val="restart"/>
            <w:vAlign w:val="center"/>
          </w:tcPr>
          <w:p w14:paraId="3F7FC105" w14:textId="77777777" w:rsidR="005132A0" w:rsidRPr="00DA0A7D" w:rsidRDefault="005132A0" w:rsidP="003A338E">
            <w:pPr>
              <w:spacing w:after="0" w:line="240" w:lineRule="auto"/>
              <w:jc w:val="center"/>
              <w:rPr>
                <w:sz w:val="14"/>
                <w:szCs w:val="14"/>
              </w:rPr>
            </w:pPr>
            <w:r w:rsidRPr="00DA0A7D">
              <w:rPr>
                <w:sz w:val="14"/>
                <w:szCs w:val="14"/>
              </w:rPr>
              <w:t>x</w:t>
            </w:r>
          </w:p>
        </w:tc>
        <w:tc>
          <w:tcPr>
            <w:tcW w:w="154" w:type="pct"/>
            <w:vMerge w:val="restart"/>
            <w:vAlign w:val="center"/>
          </w:tcPr>
          <w:p w14:paraId="231CB708" w14:textId="77777777" w:rsidR="005132A0" w:rsidRPr="00DA0A7D" w:rsidRDefault="005132A0" w:rsidP="003A338E">
            <w:pPr>
              <w:spacing w:after="0" w:line="240" w:lineRule="auto"/>
              <w:jc w:val="center"/>
              <w:rPr>
                <w:sz w:val="14"/>
                <w:szCs w:val="14"/>
              </w:rPr>
            </w:pPr>
            <w:r w:rsidRPr="00DA0A7D">
              <w:rPr>
                <w:sz w:val="14"/>
                <w:szCs w:val="14"/>
              </w:rPr>
              <w:t>x</w:t>
            </w:r>
          </w:p>
        </w:tc>
        <w:tc>
          <w:tcPr>
            <w:tcW w:w="156" w:type="pct"/>
            <w:vMerge w:val="restart"/>
            <w:vAlign w:val="center"/>
          </w:tcPr>
          <w:p w14:paraId="1FA67C0F" w14:textId="77777777" w:rsidR="005132A0" w:rsidRPr="00DA0A7D" w:rsidRDefault="005132A0" w:rsidP="003A338E">
            <w:pPr>
              <w:spacing w:after="0" w:line="240" w:lineRule="auto"/>
              <w:jc w:val="center"/>
              <w:rPr>
                <w:rFonts w:cstheme="minorHAnsi"/>
                <w:sz w:val="14"/>
                <w:szCs w:val="14"/>
              </w:rPr>
            </w:pPr>
          </w:p>
        </w:tc>
        <w:tc>
          <w:tcPr>
            <w:tcW w:w="147" w:type="pct"/>
            <w:vMerge w:val="restart"/>
            <w:vAlign w:val="center"/>
          </w:tcPr>
          <w:p w14:paraId="50F2103C" w14:textId="77777777" w:rsidR="005132A0" w:rsidRPr="00DA0A7D" w:rsidRDefault="005132A0" w:rsidP="003A338E">
            <w:pPr>
              <w:spacing w:after="0" w:line="240" w:lineRule="auto"/>
              <w:jc w:val="center"/>
              <w:rPr>
                <w:sz w:val="14"/>
                <w:szCs w:val="14"/>
              </w:rPr>
            </w:pPr>
          </w:p>
        </w:tc>
        <w:tc>
          <w:tcPr>
            <w:tcW w:w="160" w:type="pct"/>
            <w:vMerge w:val="restart"/>
            <w:vAlign w:val="center"/>
          </w:tcPr>
          <w:p w14:paraId="71659DE4"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Merge w:val="restart"/>
            <w:vAlign w:val="center"/>
          </w:tcPr>
          <w:p w14:paraId="62673AB3" w14:textId="77777777" w:rsidR="005132A0" w:rsidRPr="00DA0A7D" w:rsidRDefault="005132A0" w:rsidP="003A338E">
            <w:pPr>
              <w:spacing w:after="0" w:line="240" w:lineRule="auto"/>
              <w:jc w:val="center"/>
              <w:rPr>
                <w:sz w:val="14"/>
                <w:szCs w:val="14"/>
              </w:rPr>
            </w:pPr>
            <w:r w:rsidRPr="00DA0A7D">
              <w:rPr>
                <w:sz w:val="14"/>
                <w:szCs w:val="14"/>
              </w:rPr>
              <w:t>x</w:t>
            </w:r>
          </w:p>
        </w:tc>
        <w:tc>
          <w:tcPr>
            <w:tcW w:w="153" w:type="pct"/>
            <w:vMerge w:val="restart"/>
            <w:vAlign w:val="center"/>
          </w:tcPr>
          <w:p w14:paraId="2D43BD12" w14:textId="77777777" w:rsidR="005132A0" w:rsidRPr="00DA0A7D" w:rsidRDefault="005132A0" w:rsidP="003A338E">
            <w:pPr>
              <w:spacing w:after="0" w:line="240" w:lineRule="auto"/>
              <w:jc w:val="center"/>
              <w:rPr>
                <w:sz w:val="14"/>
                <w:szCs w:val="14"/>
              </w:rPr>
            </w:pPr>
          </w:p>
        </w:tc>
        <w:tc>
          <w:tcPr>
            <w:tcW w:w="158" w:type="pct"/>
            <w:vMerge w:val="restart"/>
            <w:vAlign w:val="center"/>
          </w:tcPr>
          <w:p w14:paraId="1AB91F6D" w14:textId="77777777" w:rsidR="005132A0" w:rsidRPr="00DA0A7D" w:rsidRDefault="005132A0" w:rsidP="003A338E">
            <w:pPr>
              <w:spacing w:after="0" w:line="240" w:lineRule="auto"/>
              <w:jc w:val="center"/>
              <w:rPr>
                <w:sz w:val="14"/>
                <w:szCs w:val="14"/>
              </w:rPr>
            </w:pPr>
          </w:p>
        </w:tc>
        <w:tc>
          <w:tcPr>
            <w:tcW w:w="147" w:type="pct"/>
            <w:vMerge w:val="restart"/>
            <w:vAlign w:val="center"/>
          </w:tcPr>
          <w:p w14:paraId="4AF761CD" w14:textId="77777777" w:rsidR="005132A0" w:rsidRPr="00DA0A7D" w:rsidRDefault="005132A0" w:rsidP="003A338E">
            <w:pPr>
              <w:spacing w:after="0" w:line="240" w:lineRule="auto"/>
              <w:jc w:val="center"/>
              <w:rPr>
                <w:sz w:val="14"/>
                <w:szCs w:val="14"/>
              </w:rPr>
            </w:pPr>
            <w:r w:rsidRPr="00DA0A7D">
              <w:rPr>
                <w:sz w:val="14"/>
                <w:szCs w:val="14"/>
              </w:rPr>
              <w:t>x</w:t>
            </w:r>
          </w:p>
        </w:tc>
      </w:tr>
      <w:tr w:rsidR="005132A0" w:rsidRPr="00DA0A7D" w14:paraId="0E3A62BB" w14:textId="77777777" w:rsidTr="003A338E">
        <w:trPr>
          <w:cantSplit/>
          <w:trHeight w:val="133"/>
        </w:trPr>
        <w:tc>
          <w:tcPr>
            <w:tcW w:w="827" w:type="pct"/>
            <w:vMerge/>
            <w:shd w:val="clear" w:color="auto" w:fill="004B8D"/>
          </w:tcPr>
          <w:p w14:paraId="521A4315"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548C6AC6" w14:textId="77777777" w:rsidR="005132A0" w:rsidRPr="00DA0A7D" w:rsidRDefault="005132A0" w:rsidP="003A338E">
            <w:pPr>
              <w:spacing w:after="0"/>
              <w:rPr>
                <w:rFonts w:cstheme="minorHAnsi"/>
                <w:sz w:val="14"/>
                <w:szCs w:val="14"/>
              </w:rPr>
            </w:pPr>
          </w:p>
        </w:tc>
        <w:tc>
          <w:tcPr>
            <w:tcW w:w="1070" w:type="pct"/>
          </w:tcPr>
          <w:p w14:paraId="29E90838"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Udržitelné zemědělství a lesnictví</w:t>
            </w:r>
          </w:p>
        </w:tc>
        <w:tc>
          <w:tcPr>
            <w:tcW w:w="143" w:type="pct"/>
            <w:vMerge/>
          </w:tcPr>
          <w:p w14:paraId="6BED2176" w14:textId="77777777" w:rsidR="005132A0" w:rsidRPr="00DA0A7D" w:rsidRDefault="005132A0" w:rsidP="003A338E">
            <w:pPr>
              <w:spacing w:after="0" w:line="240" w:lineRule="auto"/>
              <w:jc w:val="center"/>
              <w:rPr>
                <w:sz w:val="14"/>
                <w:szCs w:val="14"/>
              </w:rPr>
            </w:pPr>
          </w:p>
        </w:tc>
        <w:tc>
          <w:tcPr>
            <w:tcW w:w="159" w:type="pct"/>
            <w:vMerge/>
          </w:tcPr>
          <w:p w14:paraId="032992E6" w14:textId="77777777" w:rsidR="005132A0" w:rsidRPr="00DA0A7D" w:rsidRDefault="005132A0" w:rsidP="003A338E">
            <w:pPr>
              <w:spacing w:after="0" w:line="240" w:lineRule="auto"/>
              <w:jc w:val="center"/>
              <w:rPr>
                <w:sz w:val="14"/>
                <w:szCs w:val="14"/>
              </w:rPr>
            </w:pPr>
          </w:p>
        </w:tc>
        <w:tc>
          <w:tcPr>
            <w:tcW w:w="171" w:type="pct"/>
            <w:vMerge/>
          </w:tcPr>
          <w:p w14:paraId="6CF52BBD" w14:textId="77777777" w:rsidR="005132A0" w:rsidRPr="00DA0A7D" w:rsidRDefault="005132A0" w:rsidP="003A338E">
            <w:pPr>
              <w:spacing w:after="0" w:line="240" w:lineRule="auto"/>
              <w:jc w:val="center"/>
              <w:rPr>
                <w:sz w:val="14"/>
                <w:szCs w:val="14"/>
              </w:rPr>
            </w:pPr>
          </w:p>
        </w:tc>
        <w:tc>
          <w:tcPr>
            <w:tcW w:w="158" w:type="pct"/>
            <w:vMerge/>
          </w:tcPr>
          <w:p w14:paraId="149BD59F" w14:textId="77777777" w:rsidR="005132A0" w:rsidRPr="00DA0A7D" w:rsidRDefault="005132A0" w:rsidP="003A338E">
            <w:pPr>
              <w:spacing w:after="0" w:line="240" w:lineRule="auto"/>
              <w:jc w:val="center"/>
              <w:rPr>
                <w:sz w:val="14"/>
                <w:szCs w:val="14"/>
              </w:rPr>
            </w:pPr>
          </w:p>
        </w:tc>
        <w:tc>
          <w:tcPr>
            <w:tcW w:w="148" w:type="pct"/>
            <w:vMerge/>
          </w:tcPr>
          <w:p w14:paraId="395EE4CB" w14:textId="77777777" w:rsidR="005132A0" w:rsidRPr="00DA0A7D" w:rsidRDefault="005132A0" w:rsidP="003A338E">
            <w:pPr>
              <w:spacing w:after="0" w:line="240" w:lineRule="auto"/>
              <w:jc w:val="center"/>
              <w:rPr>
                <w:sz w:val="14"/>
                <w:szCs w:val="14"/>
              </w:rPr>
            </w:pPr>
          </w:p>
        </w:tc>
        <w:tc>
          <w:tcPr>
            <w:tcW w:w="178" w:type="pct"/>
            <w:vMerge/>
          </w:tcPr>
          <w:p w14:paraId="087C03C9" w14:textId="77777777" w:rsidR="005132A0" w:rsidRPr="00DA0A7D" w:rsidRDefault="005132A0" w:rsidP="003A338E">
            <w:pPr>
              <w:spacing w:after="0" w:line="240" w:lineRule="auto"/>
              <w:jc w:val="center"/>
              <w:rPr>
                <w:sz w:val="14"/>
                <w:szCs w:val="14"/>
              </w:rPr>
            </w:pPr>
          </w:p>
        </w:tc>
        <w:tc>
          <w:tcPr>
            <w:tcW w:w="154" w:type="pct"/>
            <w:vMerge/>
          </w:tcPr>
          <w:p w14:paraId="18A9E6CD" w14:textId="77777777" w:rsidR="005132A0" w:rsidRPr="00DA0A7D" w:rsidRDefault="005132A0" w:rsidP="003A338E">
            <w:pPr>
              <w:spacing w:after="0" w:line="240" w:lineRule="auto"/>
              <w:jc w:val="center"/>
              <w:rPr>
                <w:sz w:val="14"/>
                <w:szCs w:val="14"/>
              </w:rPr>
            </w:pPr>
          </w:p>
        </w:tc>
        <w:tc>
          <w:tcPr>
            <w:tcW w:w="156" w:type="pct"/>
            <w:vMerge/>
          </w:tcPr>
          <w:p w14:paraId="49080377" w14:textId="77777777" w:rsidR="005132A0" w:rsidRPr="00DA0A7D" w:rsidRDefault="005132A0" w:rsidP="003A338E">
            <w:pPr>
              <w:spacing w:after="0" w:line="240" w:lineRule="auto"/>
              <w:jc w:val="center"/>
              <w:rPr>
                <w:rFonts w:cstheme="minorHAnsi"/>
                <w:sz w:val="14"/>
                <w:szCs w:val="14"/>
              </w:rPr>
            </w:pPr>
          </w:p>
        </w:tc>
        <w:tc>
          <w:tcPr>
            <w:tcW w:w="147" w:type="pct"/>
            <w:vMerge/>
          </w:tcPr>
          <w:p w14:paraId="5379C086" w14:textId="77777777" w:rsidR="005132A0" w:rsidRPr="00DA0A7D" w:rsidRDefault="005132A0" w:rsidP="003A338E">
            <w:pPr>
              <w:spacing w:after="0" w:line="240" w:lineRule="auto"/>
              <w:jc w:val="center"/>
              <w:rPr>
                <w:sz w:val="14"/>
                <w:szCs w:val="14"/>
              </w:rPr>
            </w:pPr>
          </w:p>
        </w:tc>
        <w:tc>
          <w:tcPr>
            <w:tcW w:w="160" w:type="pct"/>
            <w:vMerge/>
          </w:tcPr>
          <w:p w14:paraId="00DBBBC9" w14:textId="77777777" w:rsidR="005132A0" w:rsidRPr="00DA0A7D" w:rsidRDefault="005132A0" w:rsidP="003A338E">
            <w:pPr>
              <w:spacing w:after="0" w:line="240" w:lineRule="auto"/>
              <w:jc w:val="center"/>
              <w:rPr>
                <w:sz w:val="14"/>
                <w:szCs w:val="14"/>
              </w:rPr>
            </w:pPr>
          </w:p>
        </w:tc>
        <w:tc>
          <w:tcPr>
            <w:tcW w:w="147" w:type="pct"/>
            <w:vMerge/>
          </w:tcPr>
          <w:p w14:paraId="08BFBF1A" w14:textId="77777777" w:rsidR="005132A0" w:rsidRPr="00DA0A7D" w:rsidRDefault="005132A0" w:rsidP="003A338E">
            <w:pPr>
              <w:spacing w:after="0" w:line="240" w:lineRule="auto"/>
              <w:jc w:val="center"/>
              <w:rPr>
                <w:sz w:val="14"/>
                <w:szCs w:val="14"/>
              </w:rPr>
            </w:pPr>
          </w:p>
        </w:tc>
        <w:tc>
          <w:tcPr>
            <w:tcW w:w="153" w:type="pct"/>
            <w:vMerge/>
          </w:tcPr>
          <w:p w14:paraId="3F12FAF3" w14:textId="77777777" w:rsidR="005132A0" w:rsidRPr="00DA0A7D" w:rsidRDefault="005132A0" w:rsidP="003A338E">
            <w:pPr>
              <w:spacing w:after="0" w:line="240" w:lineRule="auto"/>
              <w:jc w:val="center"/>
              <w:rPr>
                <w:sz w:val="14"/>
                <w:szCs w:val="14"/>
              </w:rPr>
            </w:pPr>
          </w:p>
        </w:tc>
        <w:tc>
          <w:tcPr>
            <w:tcW w:w="158" w:type="pct"/>
            <w:vMerge/>
          </w:tcPr>
          <w:p w14:paraId="56320B97" w14:textId="77777777" w:rsidR="005132A0" w:rsidRPr="00DA0A7D" w:rsidRDefault="005132A0" w:rsidP="003A338E">
            <w:pPr>
              <w:spacing w:after="0" w:line="240" w:lineRule="auto"/>
              <w:jc w:val="center"/>
              <w:rPr>
                <w:sz w:val="14"/>
                <w:szCs w:val="14"/>
              </w:rPr>
            </w:pPr>
          </w:p>
        </w:tc>
        <w:tc>
          <w:tcPr>
            <w:tcW w:w="147" w:type="pct"/>
            <w:vMerge/>
          </w:tcPr>
          <w:p w14:paraId="58F370C7" w14:textId="77777777" w:rsidR="005132A0" w:rsidRPr="00DA0A7D" w:rsidRDefault="005132A0" w:rsidP="003A338E">
            <w:pPr>
              <w:spacing w:after="0" w:line="240" w:lineRule="auto"/>
              <w:jc w:val="center"/>
              <w:rPr>
                <w:sz w:val="14"/>
                <w:szCs w:val="14"/>
              </w:rPr>
            </w:pPr>
          </w:p>
        </w:tc>
      </w:tr>
      <w:tr w:rsidR="005132A0" w:rsidRPr="00DA0A7D" w14:paraId="5BDA9204" w14:textId="77777777" w:rsidTr="003A338E">
        <w:trPr>
          <w:cantSplit/>
          <w:trHeight w:val="43"/>
        </w:trPr>
        <w:tc>
          <w:tcPr>
            <w:tcW w:w="827" w:type="pct"/>
            <w:vMerge/>
            <w:shd w:val="clear" w:color="auto" w:fill="004B8D"/>
          </w:tcPr>
          <w:p w14:paraId="70EA4AA4"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673E63F2" w14:textId="77777777" w:rsidR="005132A0" w:rsidRPr="00DA0A7D" w:rsidRDefault="005132A0" w:rsidP="003A338E">
            <w:pPr>
              <w:spacing w:after="0"/>
              <w:rPr>
                <w:rFonts w:cstheme="minorHAnsi"/>
                <w:sz w:val="14"/>
                <w:szCs w:val="14"/>
              </w:rPr>
            </w:pPr>
          </w:p>
        </w:tc>
        <w:tc>
          <w:tcPr>
            <w:tcW w:w="1070" w:type="pct"/>
          </w:tcPr>
          <w:p w14:paraId="5F8D2A2E" w14:textId="77777777" w:rsidR="005132A0" w:rsidRPr="00DA0A7D" w:rsidRDefault="005132A0" w:rsidP="003A338E">
            <w:pPr>
              <w:spacing w:after="0" w:line="240" w:lineRule="auto"/>
              <w:rPr>
                <w:rFonts w:cstheme="minorHAnsi"/>
                <w:sz w:val="14"/>
                <w:szCs w:val="14"/>
              </w:rPr>
            </w:pPr>
            <w:r>
              <w:rPr>
                <w:rFonts w:cstheme="minorHAnsi"/>
                <w:sz w:val="14"/>
                <w:szCs w:val="14"/>
              </w:rPr>
              <w:t>Udržitelná produkce potravin</w:t>
            </w:r>
          </w:p>
        </w:tc>
        <w:tc>
          <w:tcPr>
            <w:tcW w:w="143" w:type="pct"/>
            <w:vMerge/>
          </w:tcPr>
          <w:p w14:paraId="45981CCC" w14:textId="77777777" w:rsidR="005132A0" w:rsidRPr="00DA0A7D" w:rsidRDefault="005132A0" w:rsidP="003A338E">
            <w:pPr>
              <w:spacing w:after="0" w:line="240" w:lineRule="auto"/>
              <w:jc w:val="center"/>
              <w:rPr>
                <w:sz w:val="14"/>
                <w:szCs w:val="14"/>
              </w:rPr>
            </w:pPr>
          </w:p>
        </w:tc>
        <w:tc>
          <w:tcPr>
            <w:tcW w:w="159" w:type="pct"/>
            <w:vMerge/>
          </w:tcPr>
          <w:p w14:paraId="7795A223" w14:textId="77777777" w:rsidR="005132A0" w:rsidRPr="00DA0A7D" w:rsidRDefault="005132A0" w:rsidP="003A338E">
            <w:pPr>
              <w:spacing w:after="0" w:line="240" w:lineRule="auto"/>
              <w:jc w:val="center"/>
              <w:rPr>
                <w:sz w:val="14"/>
                <w:szCs w:val="14"/>
              </w:rPr>
            </w:pPr>
          </w:p>
        </w:tc>
        <w:tc>
          <w:tcPr>
            <w:tcW w:w="171" w:type="pct"/>
            <w:vMerge/>
          </w:tcPr>
          <w:p w14:paraId="427A055C" w14:textId="77777777" w:rsidR="005132A0" w:rsidRPr="00DA0A7D" w:rsidRDefault="005132A0" w:rsidP="003A338E">
            <w:pPr>
              <w:spacing w:after="0" w:line="240" w:lineRule="auto"/>
              <w:jc w:val="center"/>
              <w:rPr>
                <w:sz w:val="14"/>
                <w:szCs w:val="14"/>
              </w:rPr>
            </w:pPr>
          </w:p>
        </w:tc>
        <w:tc>
          <w:tcPr>
            <w:tcW w:w="158" w:type="pct"/>
            <w:vMerge/>
          </w:tcPr>
          <w:p w14:paraId="5E2C82F2" w14:textId="77777777" w:rsidR="005132A0" w:rsidRPr="00DA0A7D" w:rsidRDefault="005132A0" w:rsidP="003A338E">
            <w:pPr>
              <w:spacing w:after="0" w:line="240" w:lineRule="auto"/>
              <w:jc w:val="center"/>
              <w:rPr>
                <w:sz w:val="14"/>
                <w:szCs w:val="14"/>
              </w:rPr>
            </w:pPr>
          </w:p>
        </w:tc>
        <w:tc>
          <w:tcPr>
            <w:tcW w:w="148" w:type="pct"/>
            <w:vMerge/>
          </w:tcPr>
          <w:p w14:paraId="6CA866A9" w14:textId="77777777" w:rsidR="005132A0" w:rsidRPr="00DA0A7D" w:rsidRDefault="005132A0" w:rsidP="003A338E">
            <w:pPr>
              <w:spacing w:after="0" w:line="240" w:lineRule="auto"/>
              <w:jc w:val="center"/>
              <w:rPr>
                <w:sz w:val="14"/>
                <w:szCs w:val="14"/>
              </w:rPr>
            </w:pPr>
          </w:p>
        </w:tc>
        <w:tc>
          <w:tcPr>
            <w:tcW w:w="178" w:type="pct"/>
            <w:vMerge/>
          </w:tcPr>
          <w:p w14:paraId="13775F0D" w14:textId="77777777" w:rsidR="005132A0" w:rsidRPr="00DA0A7D" w:rsidRDefault="005132A0" w:rsidP="003A338E">
            <w:pPr>
              <w:spacing w:after="0" w:line="240" w:lineRule="auto"/>
              <w:jc w:val="center"/>
              <w:rPr>
                <w:sz w:val="14"/>
                <w:szCs w:val="14"/>
              </w:rPr>
            </w:pPr>
          </w:p>
        </w:tc>
        <w:tc>
          <w:tcPr>
            <w:tcW w:w="154" w:type="pct"/>
            <w:vMerge/>
          </w:tcPr>
          <w:p w14:paraId="658640B9" w14:textId="77777777" w:rsidR="005132A0" w:rsidRPr="00DA0A7D" w:rsidRDefault="005132A0" w:rsidP="003A338E">
            <w:pPr>
              <w:spacing w:after="0" w:line="240" w:lineRule="auto"/>
              <w:jc w:val="center"/>
              <w:rPr>
                <w:sz w:val="14"/>
                <w:szCs w:val="14"/>
              </w:rPr>
            </w:pPr>
          </w:p>
        </w:tc>
        <w:tc>
          <w:tcPr>
            <w:tcW w:w="156" w:type="pct"/>
            <w:vMerge/>
          </w:tcPr>
          <w:p w14:paraId="6A6DF297" w14:textId="77777777" w:rsidR="005132A0" w:rsidRPr="00DA0A7D" w:rsidRDefault="005132A0" w:rsidP="003A338E">
            <w:pPr>
              <w:spacing w:after="0" w:line="240" w:lineRule="auto"/>
              <w:jc w:val="center"/>
              <w:rPr>
                <w:rFonts w:cstheme="minorHAnsi"/>
                <w:sz w:val="14"/>
                <w:szCs w:val="14"/>
              </w:rPr>
            </w:pPr>
          </w:p>
        </w:tc>
        <w:tc>
          <w:tcPr>
            <w:tcW w:w="147" w:type="pct"/>
            <w:vMerge/>
          </w:tcPr>
          <w:p w14:paraId="17006E96" w14:textId="77777777" w:rsidR="005132A0" w:rsidRPr="00DA0A7D" w:rsidRDefault="005132A0" w:rsidP="003A338E">
            <w:pPr>
              <w:spacing w:after="0" w:line="240" w:lineRule="auto"/>
              <w:jc w:val="center"/>
              <w:rPr>
                <w:sz w:val="14"/>
                <w:szCs w:val="14"/>
              </w:rPr>
            </w:pPr>
          </w:p>
        </w:tc>
        <w:tc>
          <w:tcPr>
            <w:tcW w:w="160" w:type="pct"/>
            <w:vMerge/>
          </w:tcPr>
          <w:p w14:paraId="069F4145" w14:textId="77777777" w:rsidR="005132A0" w:rsidRPr="00DA0A7D" w:rsidRDefault="005132A0" w:rsidP="003A338E">
            <w:pPr>
              <w:spacing w:after="0" w:line="240" w:lineRule="auto"/>
              <w:jc w:val="center"/>
              <w:rPr>
                <w:sz w:val="14"/>
                <w:szCs w:val="14"/>
              </w:rPr>
            </w:pPr>
          </w:p>
        </w:tc>
        <w:tc>
          <w:tcPr>
            <w:tcW w:w="147" w:type="pct"/>
            <w:vMerge/>
          </w:tcPr>
          <w:p w14:paraId="2697A033" w14:textId="77777777" w:rsidR="005132A0" w:rsidRPr="00DA0A7D" w:rsidRDefault="005132A0" w:rsidP="003A338E">
            <w:pPr>
              <w:spacing w:after="0" w:line="240" w:lineRule="auto"/>
              <w:jc w:val="center"/>
              <w:rPr>
                <w:sz w:val="14"/>
                <w:szCs w:val="14"/>
              </w:rPr>
            </w:pPr>
          </w:p>
        </w:tc>
        <w:tc>
          <w:tcPr>
            <w:tcW w:w="153" w:type="pct"/>
            <w:vMerge/>
          </w:tcPr>
          <w:p w14:paraId="21E99DD8" w14:textId="77777777" w:rsidR="005132A0" w:rsidRPr="00DA0A7D" w:rsidRDefault="005132A0" w:rsidP="003A338E">
            <w:pPr>
              <w:spacing w:after="0" w:line="240" w:lineRule="auto"/>
              <w:jc w:val="center"/>
              <w:rPr>
                <w:sz w:val="14"/>
                <w:szCs w:val="14"/>
              </w:rPr>
            </w:pPr>
          </w:p>
        </w:tc>
        <w:tc>
          <w:tcPr>
            <w:tcW w:w="158" w:type="pct"/>
            <w:vMerge/>
          </w:tcPr>
          <w:p w14:paraId="1A592EBA" w14:textId="77777777" w:rsidR="005132A0" w:rsidRPr="00DA0A7D" w:rsidRDefault="005132A0" w:rsidP="003A338E">
            <w:pPr>
              <w:spacing w:after="0" w:line="240" w:lineRule="auto"/>
              <w:jc w:val="center"/>
              <w:rPr>
                <w:sz w:val="14"/>
                <w:szCs w:val="14"/>
              </w:rPr>
            </w:pPr>
          </w:p>
        </w:tc>
        <w:tc>
          <w:tcPr>
            <w:tcW w:w="147" w:type="pct"/>
            <w:vMerge/>
          </w:tcPr>
          <w:p w14:paraId="6A626571" w14:textId="77777777" w:rsidR="005132A0" w:rsidRPr="00DA0A7D" w:rsidRDefault="005132A0" w:rsidP="003A338E">
            <w:pPr>
              <w:spacing w:after="0" w:line="240" w:lineRule="auto"/>
              <w:jc w:val="center"/>
              <w:rPr>
                <w:sz w:val="14"/>
                <w:szCs w:val="14"/>
              </w:rPr>
            </w:pPr>
          </w:p>
        </w:tc>
      </w:tr>
      <w:tr w:rsidR="005132A0" w:rsidRPr="00DA0A7D" w14:paraId="1ADEC2FC" w14:textId="77777777" w:rsidTr="003A338E">
        <w:trPr>
          <w:cantSplit/>
          <w:trHeight w:val="133"/>
        </w:trPr>
        <w:tc>
          <w:tcPr>
            <w:tcW w:w="827" w:type="pct"/>
            <w:vMerge/>
            <w:shd w:val="clear" w:color="auto" w:fill="004B8D"/>
          </w:tcPr>
          <w:p w14:paraId="6B2087DB"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5A08C5AF" w14:textId="77777777" w:rsidR="005132A0" w:rsidRPr="00DA0A7D" w:rsidRDefault="005132A0" w:rsidP="003A338E">
            <w:pPr>
              <w:spacing w:after="0"/>
              <w:rPr>
                <w:rFonts w:cstheme="minorHAnsi"/>
                <w:sz w:val="14"/>
                <w:szCs w:val="14"/>
              </w:rPr>
            </w:pPr>
          </w:p>
        </w:tc>
        <w:tc>
          <w:tcPr>
            <w:tcW w:w="1070" w:type="pct"/>
          </w:tcPr>
          <w:p w14:paraId="1D949E6C"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Zajištění zdravého a kvalitního životního prostředí, biodiverzity a </w:t>
            </w:r>
            <w:r>
              <w:rPr>
                <w:rFonts w:cstheme="minorHAnsi"/>
                <w:sz w:val="14"/>
                <w:szCs w:val="14"/>
              </w:rPr>
              <w:t>ekologie přírodních zdrojů</w:t>
            </w:r>
          </w:p>
        </w:tc>
        <w:tc>
          <w:tcPr>
            <w:tcW w:w="143" w:type="pct"/>
            <w:vMerge/>
          </w:tcPr>
          <w:p w14:paraId="698E5286" w14:textId="77777777" w:rsidR="005132A0" w:rsidRPr="00DA0A7D" w:rsidRDefault="005132A0" w:rsidP="003A338E">
            <w:pPr>
              <w:spacing w:after="0" w:line="240" w:lineRule="auto"/>
              <w:jc w:val="center"/>
              <w:rPr>
                <w:sz w:val="14"/>
                <w:szCs w:val="14"/>
              </w:rPr>
            </w:pPr>
          </w:p>
        </w:tc>
        <w:tc>
          <w:tcPr>
            <w:tcW w:w="159" w:type="pct"/>
            <w:vMerge/>
          </w:tcPr>
          <w:p w14:paraId="1400CEDA" w14:textId="77777777" w:rsidR="005132A0" w:rsidRPr="00DA0A7D" w:rsidRDefault="005132A0" w:rsidP="003A338E">
            <w:pPr>
              <w:spacing w:after="0" w:line="240" w:lineRule="auto"/>
              <w:jc w:val="center"/>
              <w:rPr>
                <w:sz w:val="14"/>
                <w:szCs w:val="14"/>
              </w:rPr>
            </w:pPr>
          </w:p>
        </w:tc>
        <w:tc>
          <w:tcPr>
            <w:tcW w:w="171" w:type="pct"/>
            <w:vMerge/>
          </w:tcPr>
          <w:p w14:paraId="7E0C3172" w14:textId="77777777" w:rsidR="005132A0" w:rsidRPr="00DA0A7D" w:rsidRDefault="005132A0" w:rsidP="003A338E">
            <w:pPr>
              <w:spacing w:after="0" w:line="240" w:lineRule="auto"/>
              <w:jc w:val="center"/>
              <w:rPr>
                <w:sz w:val="14"/>
                <w:szCs w:val="14"/>
              </w:rPr>
            </w:pPr>
          </w:p>
        </w:tc>
        <w:tc>
          <w:tcPr>
            <w:tcW w:w="158" w:type="pct"/>
            <w:vMerge/>
          </w:tcPr>
          <w:p w14:paraId="34D1E1B8" w14:textId="77777777" w:rsidR="005132A0" w:rsidRPr="00DA0A7D" w:rsidRDefault="005132A0" w:rsidP="003A338E">
            <w:pPr>
              <w:spacing w:after="0" w:line="240" w:lineRule="auto"/>
              <w:jc w:val="center"/>
              <w:rPr>
                <w:sz w:val="14"/>
                <w:szCs w:val="14"/>
              </w:rPr>
            </w:pPr>
          </w:p>
        </w:tc>
        <w:tc>
          <w:tcPr>
            <w:tcW w:w="148" w:type="pct"/>
            <w:vMerge/>
          </w:tcPr>
          <w:p w14:paraId="72CD1AB2" w14:textId="77777777" w:rsidR="005132A0" w:rsidRPr="00DA0A7D" w:rsidRDefault="005132A0" w:rsidP="003A338E">
            <w:pPr>
              <w:spacing w:after="0" w:line="240" w:lineRule="auto"/>
              <w:jc w:val="center"/>
              <w:rPr>
                <w:sz w:val="14"/>
                <w:szCs w:val="14"/>
              </w:rPr>
            </w:pPr>
          </w:p>
        </w:tc>
        <w:tc>
          <w:tcPr>
            <w:tcW w:w="178" w:type="pct"/>
            <w:vMerge/>
          </w:tcPr>
          <w:p w14:paraId="41860A1D" w14:textId="77777777" w:rsidR="005132A0" w:rsidRPr="00DA0A7D" w:rsidRDefault="005132A0" w:rsidP="003A338E">
            <w:pPr>
              <w:spacing w:after="0" w:line="240" w:lineRule="auto"/>
              <w:jc w:val="center"/>
              <w:rPr>
                <w:sz w:val="14"/>
                <w:szCs w:val="14"/>
              </w:rPr>
            </w:pPr>
          </w:p>
        </w:tc>
        <w:tc>
          <w:tcPr>
            <w:tcW w:w="154" w:type="pct"/>
            <w:vMerge/>
          </w:tcPr>
          <w:p w14:paraId="4E3EC04B" w14:textId="77777777" w:rsidR="005132A0" w:rsidRPr="00DA0A7D" w:rsidRDefault="005132A0" w:rsidP="003A338E">
            <w:pPr>
              <w:spacing w:after="0" w:line="240" w:lineRule="auto"/>
              <w:jc w:val="center"/>
              <w:rPr>
                <w:sz w:val="14"/>
                <w:szCs w:val="14"/>
              </w:rPr>
            </w:pPr>
          </w:p>
        </w:tc>
        <w:tc>
          <w:tcPr>
            <w:tcW w:w="156" w:type="pct"/>
            <w:vMerge/>
          </w:tcPr>
          <w:p w14:paraId="5863DB34" w14:textId="77777777" w:rsidR="005132A0" w:rsidRPr="00DA0A7D" w:rsidRDefault="005132A0" w:rsidP="003A338E">
            <w:pPr>
              <w:spacing w:after="0" w:line="240" w:lineRule="auto"/>
              <w:jc w:val="center"/>
              <w:rPr>
                <w:rFonts w:cstheme="minorHAnsi"/>
                <w:sz w:val="14"/>
                <w:szCs w:val="14"/>
              </w:rPr>
            </w:pPr>
          </w:p>
        </w:tc>
        <w:tc>
          <w:tcPr>
            <w:tcW w:w="147" w:type="pct"/>
            <w:vMerge/>
          </w:tcPr>
          <w:p w14:paraId="09DD518E" w14:textId="77777777" w:rsidR="005132A0" w:rsidRPr="00DA0A7D" w:rsidRDefault="005132A0" w:rsidP="003A338E">
            <w:pPr>
              <w:spacing w:after="0" w:line="240" w:lineRule="auto"/>
              <w:jc w:val="center"/>
              <w:rPr>
                <w:sz w:val="14"/>
                <w:szCs w:val="14"/>
              </w:rPr>
            </w:pPr>
          </w:p>
        </w:tc>
        <w:tc>
          <w:tcPr>
            <w:tcW w:w="160" w:type="pct"/>
            <w:vMerge/>
          </w:tcPr>
          <w:p w14:paraId="0A8E6B23" w14:textId="77777777" w:rsidR="005132A0" w:rsidRPr="00DA0A7D" w:rsidRDefault="005132A0" w:rsidP="003A338E">
            <w:pPr>
              <w:spacing w:after="0" w:line="240" w:lineRule="auto"/>
              <w:jc w:val="center"/>
              <w:rPr>
                <w:sz w:val="14"/>
                <w:szCs w:val="14"/>
              </w:rPr>
            </w:pPr>
          </w:p>
        </w:tc>
        <w:tc>
          <w:tcPr>
            <w:tcW w:w="147" w:type="pct"/>
            <w:vMerge/>
          </w:tcPr>
          <w:p w14:paraId="14B0DA2F" w14:textId="77777777" w:rsidR="005132A0" w:rsidRPr="00DA0A7D" w:rsidRDefault="005132A0" w:rsidP="003A338E">
            <w:pPr>
              <w:spacing w:after="0" w:line="240" w:lineRule="auto"/>
              <w:jc w:val="center"/>
              <w:rPr>
                <w:sz w:val="14"/>
                <w:szCs w:val="14"/>
              </w:rPr>
            </w:pPr>
          </w:p>
        </w:tc>
        <w:tc>
          <w:tcPr>
            <w:tcW w:w="153" w:type="pct"/>
            <w:vMerge/>
          </w:tcPr>
          <w:p w14:paraId="5FAF06F4" w14:textId="77777777" w:rsidR="005132A0" w:rsidRPr="00DA0A7D" w:rsidRDefault="005132A0" w:rsidP="003A338E">
            <w:pPr>
              <w:spacing w:after="0" w:line="240" w:lineRule="auto"/>
              <w:jc w:val="center"/>
              <w:rPr>
                <w:sz w:val="14"/>
                <w:szCs w:val="14"/>
              </w:rPr>
            </w:pPr>
          </w:p>
        </w:tc>
        <w:tc>
          <w:tcPr>
            <w:tcW w:w="158" w:type="pct"/>
            <w:vMerge/>
          </w:tcPr>
          <w:p w14:paraId="58AA9C3A" w14:textId="77777777" w:rsidR="005132A0" w:rsidRPr="00DA0A7D" w:rsidRDefault="005132A0" w:rsidP="003A338E">
            <w:pPr>
              <w:spacing w:after="0" w:line="240" w:lineRule="auto"/>
              <w:jc w:val="center"/>
              <w:rPr>
                <w:sz w:val="14"/>
                <w:szCs w:val="14"/>
              </w:rPr>
            </w:pPr>
          </w:p>
        </w:tc>
        <w:tc>
          <w:tcPr>
            <w:tcW w:w="147" w:type="pct"/>
            <w:vMerge/>
          </w:tcPr>
          <w:p w14:paraId="243831E4" w14:textId="77777777" w:rsidR="005132A0" w:rsidRPr="00DA0A7D" w:rsidRDefault="005132A0" w:rsidP="003A338E">
            <w:pPr>
              <w:spacing w:after="0" w:line="240" w:lineRule="auto"/>
              <w:jc w:val="center"/>
              <w:rPr>
                <w:sz w:val="14"/>
                <w:szCs w:val="14"/>
              </w:rPr>
            </w:pPr>
          </w:p>
        </w:tc>
      </w:tr>
      <w:tr w:rsidR="005132A0" w:rsidRPr="00DA0A7D" w14:paraId="56FCEE70" w14:textId="77777777" w:rsidTr="003A338E">
        <w:trPr>
          <w:cantSplit/>
          <w:trHeight w:val="133"/>
        </w:trPr>
        <w:tc>
          <w:tcPr>
            <w:tcW w:w="827" w:type="pct"/>
            <w:vMerge/>
            <w:shd w:val="clear" w:color="auto" w:fill="004B8D"/>
          </w:tcPr>
          <w:p w14:paraId="6EEAF823"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473E5891" w14:textId="77777777" w:rsidR="005132A0" w:rsidRPr="00DA0A7D" w:rsidRDefault="005132A0" w:rsidP="003A338E">
            <w:pPr>
              <w:spacing w:after="0"/>
              <w:rPr>
                <w:rFonts w:cstheme="minorHAnsi"/>
                <w:sz w:val="14"/>
                <w:szCs w:val="14"/>
              </w:rPr>
            </w:pPr>
          </w:p>
        </w:tc>
        <w:tc>
          <w:tcPr>
            <w:tcW w:w="1070" w:type="pct"/>
          </w:tcPr>
          <w:p w14:paraId="3DD88446"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Udržitelná výstavba, lidská sídla a technická ochrana životního prostředí</w:t>
            </w:r>
          </w:p>
        </w:tc>
        <w:tc>
          <w:tcPr>
            <w:tcW w:w="143" w:type="pct"/>
            <w:vMerge/>
          </w:tcPr>
          <w:p w14:paraId="365743DA" w14:textId="77777777" w:rsidR="005132A0" w:rsidRPr="00DA0A7D" w:rsidRDefault="005132A0" w:rsidP="003A338E">
            <w:pPr>
              <w:spacing w:after="0" w:line="240" w:lineRule="auto"/>
              <w:jc w:val="center"/>
              <w:rPr>
                <w:sz w:val="14"/>
                <w:szCs w:val="14"/>
              </w:rPr>
            </w:pPr>
          </w:p>
        </w:tc>
        <w:tc>
          <w:tcPr>
            <w:tcW w:w="159" w:type="pct"/>
            <w:vMerge/>
          </w:tcPr>
          <w:p w14:paraId="4CD2D48B" w14:textId="77777777" w:rsidR="005132A0" w:rsidRPr="00DA0A7D" w:rsidRDefault="005132A0" w:rsidP="003A338E">
            <w:pPr>
              <w:spacing w:after="0" w:line="240" w:lineRule="auto"/>
              <w:jc w:val="center"/>
              <w:rPr>
                <w:sz w:val="14"/>
                <w:szCs w:val="14"/>
              </w:rPr>
            </w:pPr>
          </w:p>
        </w:tc>
        <w:tc>
          <w:tcPr>
            <w:tcW w:w="171" w:type="pct"/>
            <w:vMerge/>
          </w:tcPr>
          <w:p w14:paraId="4F30A3E0" w14:textId="77777777" w:rsidR="005132A0" w:rsidRPr="00DA0A7D" w:rsidRDefault="005132A0" w:rsidP="003A338E">
            <w:pPr>
              <w:spacing w:after="0" w:line="240" w:lineRule="auto"/>
              <w:jc w:val="center"/>
              <w:rPr>
                <w:sz w:val="14"/>
                <w:szCs w:val="14"/>
              </w:rPr>
            </w:pPr>
          </w:p>
        </w:tc>
        <w:tc>
          <w:tcPr>
            <w:tcW w:w="158" w:type="pct"/>
            <w:vMerge/>
          </w:tcPr>
          <w:p w14:paraId="180B97E0" w14:textId="77777777" w:rsidR="005132A0" w:rsidRPr="00DA0A7D" w:rsidRDefault="005132A0" w:rsidP="003A338E">
            <w:pPr>
              <w:spacing w:after="0" w:line="240" w:lineRule="auto"/>
              <w:jc w:val="center"/>
              <w:rPr>
                <w:sz w:val="14"/>
                <w:szCs w:val="14"/>
              </w:rPr>
            </w:pPr>
          </w:p>
        </w:tc>
        <w:tc>
          <w:tcPr>
            <w:tcW w:w="148" w:type="pct"/>
            <w:vMerge/>
          </w:tcPr>
          <w:p w14:paraId="0FCE3B81" w14:textId="77777777" w:rsidR="005132A0" w:rsidRPr="00DA0A7D" w:rsidRDefault="005132A0" w:rsidP="003A338E">
            <w:pPr>
              <w:spacing w:after="0" w:line="240" w:lineRule="auto"/>
              <w:jc w:val="center"/>
              <w:rPr>
                <w:sz w:val="14"/>
                <w:szCs w:val="14"/>
              </w:rPr>
            </w:pPr>
          </w:p>
        </w:tc>
        <w:tc>
          <w:tcPr>
            <w:tcW w:w="178" w:type="pct"/>
            <w:vMerge/>
          </w:tcPr>
          <w:p w14:paraId="75CD7025" w14:textId="77777777" w:rsidR="005132A0" w:rsidRPr="00DA0A7D" w:rsidRDefault="005132A0" w:rsidP="003A338E">
            <w:pPr>
              <w:spacing w:after="0" w:line="240" w:lineRule="auto"/>
              <w:jc w:val="center"/>
              <w:rPr>
                <w:sz w:val="14"/>
                <w:szCs w:val="14"/>
              </w:rPr>
            </w:pPr>
          </w:p>
        </w:tc>
        <w:tc>
          <w:tcPr>
            <w:tcW w:w="154" w:type="pct"/>
            <w:vMerge/>
          </w:tcPr>
          <w:p w14:paraId="655422B1" w14:textId="77777777" w:rsidR="005132A0" w:rsidRPr="00DA0A7D" w:rsidRDefault="005132A0" w:rsidP="003A338E">
            <w:pPr>
              <w:spacing w:after="0" w:line="240" w:lineRule="auto"/>
              <w:jc w:val="center"/>
              <w:rPr>
                <w:sz w:val="14"/>
                <w:szCs w:val="14"/>
              </w:rPr>
            </w:pPr>
          </w:p>
        </w:tc>
        <w:tc>
          <w:tcPr>
            <w:tcW w:w="156" w:type="pct"/>
            <w:vMerge/>
          </w:tcPr>
          <w:p w14:paraId="67C3C5D4" w14:textId="77777777" w:rsidR="005132A0" w:rsidRPr="00DA0A7D" w:rsidRDefault="005132A0" w:rsidP="003A338E">
            <w:pPr>
              <w:spacing w:after="0" w:line="240" w:lineRule="auto"/>
              <w:jc w:val="center"/>
              <w:rPr>
                <w:rFonts w:cstheme="minorHAnsi"/>
                <w:sz w:val="14"/>
                <w:szCs w:val="14"/>
              </w:rPr>
            </w:pPr>
          </w:p>
        </w:tc>
        <w:tc>
          <w:tcPr>
            <w:tcW w:w="147" w:type="pct"/>
            <w:vMerge/>
          </w:tcPr>
          <w:p w14:paraId="5C893493" w14:textId="77777777" w:rsidR="005132A0" w:rsidRPr="00DA0A7D" w:rsidRDefault="005132A0" w:rsidP="003A338E">
            <w:pPr>
              <w:spacing w:after="0" w:line="240" w:lineRule="auto"/>
              <w:jc w:val="center"/>
              <w:rPr>
                <w:sz w:val="14"/>
                <w:szCs w:val="14"/>
              </w:rPr>
            </w:pPr>
          </w:p>
        </w:tc>
        <w:tc>
          <w:tcPr>
            <w:tcW w:w="160" w:type="pct"/>
            <w:vMerge/>
          </w:tcPr>
          <w:p w14:paraId="16B2CE16" w14:textId="77777777" w:rsidR="005132A0" w:rsidRPr="00DA0A7D" w:rsidRDefault="005132A0" w:rsidP="003A338E">
            <w:pPr>
              <w:spacing w:after="0" w:line="240" w:lineRule="auto"/>
              <w:jc w:val="center"/>
              <w:rPr>
                <w:sz w:val="14"/>
                <w:szCs w:val="14"/>
              </w:rPr>
            </w:pPr>
          </w:p>
        </w:tc>
        <w:tc>
          <w:tcPr>
            <w:tcW w:w="147" w:type="pct"/>
            <w:vMerge/>
          </w:tcPr>
          <w:p w14:paraId="6498DDEF" w14:textId="77777777" w:rsidR="005132A0" w:rsidRPr="00DA0A7D" w:rsidRDefault="005132A0" w:rsidP="003A338E">
            <w:pPr>
              <w:spacing w:after="0" w:line="240" w:lineRule="auto"/>
              <w:jc w:val="center"/>
              <w:rPr>
                <w:sz w:val="14"/>
                <w:szCs w:val="14"/>
              </w:rPr>
            </w:pPr>
          </w:p>
        </w:tc>
        <w:tc>
          <w:tcPr>
            <w:tcW w:w="153" w:type="pct"/>
            <w:vMerge/>
          </w:tcPr>
          <w:p w14:paraId="5786FFA7" w14:textId="77777777" w:rsidR="005132A0" w:rsidRPr="00DA0A7D" w:rsidRDefault="005132A0" w:rsidP="003A338E">
            <w:pPr>
              <w:spacing w:after="0" w:line="240" w:lineRule="auto"/>
              <w:jc w:val="center"/>
              <w:rPr>
                <w:sz w:val="14"/>
                <w:szCs w:val="14"/>
              </w:rPr>
            </w:pPr>
          </w:p>
        </w:tc>
        <w:tc>
          <w:tcPr>
            <w:tcW w:w="158" w:type="pct"/>
            <w:vMerge/>
          </w:tcPr>
          <w:p w14:paraId="710A7DBC" w14:textId="77777777" w:rsidR="005132A0" w:rsidRPr="00DA0A7D" w:rsidRDefault="005132A0" w:rsidP="003A338E">
            <w:pPr>
              <w:spacing w:after="0" w:line="240" w:lineRule="auto"/>
              <w:jc w:val="center"/>
              <w:rPr>
                <w:sz w:val="14"/>
                <w:szCs w:val="14"/>
              </w:rPr>
            </w:pPr>
          </w:p>
        </w:tc>
        <w:tc>
          <w:tcPr>
            <w:tcW w:w="147" w:type="pct"/>
            <w:vMerge/>
          </w:tcPr>
          <w:p w14:paraId="3A868DDB" w14:textId="77777777" w:rsidR="005132A0" w:rsidRPr="00DA0A7D" w:rsidRDefault="005132A0" w:rsidP="003A338E">
            <w:pPr>
              <w:spacing w:after="0" w:line="240" w:lineRule="auto"/>
              <w:jc w:val="center"/>
              <w:rPr>
                <w:sz w:val="14"/>
                <w:szCs w:val="14"/>
              </w:rPr>
            </w:pPr>
          </w:p>
        </w:tc>
      </w:tr>
      <w:tr w:rsidR="005132A0" w:rsidRPr="00DA0A7D" w14:paraId="5458E31F" w14:textId="77777777" w:rsidTr="003A338E">
        <w:trPr>
          <w:cantSplit/>
          <w:trHeight w:val="211"/>
        </w:trPr>
        <w:tc>
          <w:tcPr>
            <w:tcW w:w="827" w:type="pct"/>
            <w:vMerge w:val="restart"/>
            <w:shd w:val="clear" w:color="auto" w:fill="004B8D"/>
          </w:tcPr>
          <w:p w14:paraId="40541D66" w14:textId="77777777" w:rsidR="005132A0" w:rsidRPr="00DA0A7D" w:rsidRDefault="005132A0" w:rsidP="003A338E">
            <w:pPr>
              <w:spacing w:after="0"/>
              <w:rPr>
                <w:rFonts w:cstheme="minorHAnsi"/>
                <w:color w:val="FFFFFF" w:themeColor="background1"/>
                <w:sz w:val="14"/>
                <w:szCs w:val="14"/>
              </w:rPr>
            </w:pPr>
            <w:r w:rsidRPr="00DA0A7D">
              <w:rPr>
                <w:rFonts w:cstheme="minorHAnsi"/>
                <w:color w:val="FFFFFF" w:themeColor="background1"/>
                <w:sz w:val="14"/>
                <w:szCs w:val="14"/>
              </w:rPr>
              <w:t>Společenské výzvy</w:t>
            </w:r>
          </w:p>
        </w:tc>
        <w:tc>
          <w:tcPr>
            <w:tcW w:w="924" w:type="pct"/>
            <w:vMerge w:val="restart"/>
          </w:tcPr>
          <w:p w14:paraId="75F89C4E" w14:textId="77777777" w:rsidR="005132A0" w:rsidRPr="00DA0A7D" w:rsidRDefault="005132A0" w:rsidP="003A338E">
            <w:pPr>
              <w:spacing w:after="0"/>
              <w:rPr>
                <w:rFonts w:cstheme="minorHAnsi"/>
                <w:sz w:val="14"/>
                <w:szCs w:val="14"/>
              </w:rPr>
            </w:pPr>
            <w:r w:rsidRPr="00DA0A7D">
              <w:rPr>
                <w:rFonts w:cstheme="minorHAnsi"/>
                <w:sz w:val="14"/>
                <w:szCs w:val="14"/>
              </w:rPr>
              <w:t>NIP VII.</w:t>
            </w:r>
          </w:p>
        </w:tc>
        <w:tc>
          <w:tcPr>
            <w:tcW w:w="1070" w:type="pct"/>
          </w:tcPr>
          <w:p w14:paraId="5D915CC3" w14:textId="77777777" w:rsidR="005132A0" w:rsidRPr="00DA0A7D" w:rsidRDefault="005132A0" w:rsidP="003A338E">
            <w:pPr>
              <w:spacing w:after="0" w:line="240" w:lineRule="auto"/>
              <w:rPr>
                <w:sz w:val="14"/>
                <w:szCs w:val="14"/>
              </w:rPr>
            </w:pPr>
            <w:r>
              <w:rPr>
                <w:sz w:val="14"/>
                <w:szCs w:val="14"/>
              </w:rPr>
              <w:t>Bezpečnostní výzkum</w:t>
            </w:r>
          </w:p>
        </w:tc>
        <w:tc>
          <w:tcPr>
            <w:tcW w:w="143" w:type="pct"/>
            <w:vMerge w:val="restart"/>
            <w:vAlign w:val="center"/>
          </w:tcPr>
          <w:p w14:paraId="2CA08B91" w14:textId="77777777" w:rsidR="005132A0" w:rsidRPr="00DA0A7D" w:rsidRDefault="005132A0" w:rsidP="003A338E">
            <w:pPr>
              <w:spacing w:after="0" w:line="240" w:lineRule="auto"/>
              <w:jc w:val="center"/>
              <w:rPr>
                <w:sz w:val="14"/>
                <w:szCs w:val="14"/>
              </w:rPr>
            </w:pPr>
          </w:p>
        </w:tc>
        <w:tc>
          <w:tcPr>
            <w:tcW w:w="159" w:type="pct"/>
            <w:vMerge w:val="restart"/>
            <w:vAlign w:val="center"/>
          </w:tcPr>
          <w:p w14:paraId="261714A4" w14:textId="77777777" w:rsidR="005132A0" w:rsidRPr="00DA0A7D" w:rsidRDefault="005132A0" w:rsidP="003A338E">
            <w:pPr>
              <w:spacing w:after="0" w:line="240" w:lineRule="auto"/>
              <w:jc w:val="center"/>
              <w:rPr>
                <w:sz w:val="14"/>
                <w:szCs w:val="14"/>
              </w:rPr>
            </w:pPr>
          </w:p>
        </w:tc>
        <w:tc>
          <w:tcPr>
            <w:tcW w:w="171" w:type="pct"/>
            <w:vMerge w:val="restart"/>
            <w:vAlign w:val="center"/>
          </w:tcPr>
          <w:p w14:paraId="5E7F9EAF" w14:textId="77777777" w:rsidR="005132A0" w:rsidRPr="00DA0A7D" w:rsidRDefault="005132A0" w:rsidP="003A338E">
            <w:pPr>
              <w:spacing w:after="0" w:line="240" w:lineRule="auto"/>
              <w:jc w:val="center"/>
              <w:rPr>
                <w:sz w:val="14"/>
                <w:szCs w:val="14"/>
              </w:rPr>
            </w:pPr>
          </w:p>
        </w:tc>
        <w:tc>
          <w:tcPr>
            <w:tcW w:w="158" w:type="pct"/>
            <w:vMerge w:val="restart"/>
            <w:vAlign w:val="center"/>
          </w:tcPr>
          <w:p w14:paraId="60F787DF" w14:textId="77777777" w:rsidR="005132A0" w:rsidRPr="00DA0A7D" w:rsidRDefault="005132A0" w:rsidP="003A338E">
            <w:pPr>
              <w:spacing w:after="0" w:line="240" w:lineRule="auto"/>
              <w:jc w:val="center"/>
              <w:rPr>
                <w:sz w:val="14"/>
                <w:szCs w:val="14"/>
              </w:rPr>
            </w:pPr>
            <w:r w:rsidRPr="00DA0A7D">
              <w:rPr>
                <w:sz w:val="14"/>
                <w:szCs w:val="14"/>
              </w:rPr>
              <w:t>x</w:t>
            </w:r>
          </w:p>
        </w:tc>
        <w:tc>
          <w:tcPr>
            <w:tcW w:w="148" w:type="pct"/>
            <w:vMerge w:val="restart"/>
            <w:vAlign w:val="center"/>
          </w:tcPr>
          <w:p w14:paraId="13247039" w14:textId="77777777" w:rsidR="005132A0" w:rsidRPr="00DA0A7D" w:rsidRDefault="005132A0" w:rsidP="003A338E">
            <w:pPr>
              <w:spacing w:after="0" w:line="240" w:lineRule="auto"/>
              <w:jc w:val="center"/>
              <w:rPr>
                <w:sz w:val="14"/>
                <w:szCs w:val="14"/>
              </w:rPr>
            </w:pPr>
          </w:p>
        </w:tc>
        <w:tc>
          <w:tcPr>
            <w:tcW w:w="178" w:type="pct"/>
            <w:vMerge w:val="restart"/>
            <w:vAlign w:val="center"/>
          </w:tcPr>
          <w:p w14:paraId="77F1F7FF" w14:textId="77777777" w:rsidR="005132A0" w:rsidRPr="00DA0A7D" w:rsidRDefault="005132A0" w:rsidP="003A338E">
            <w:pPr>
              <w:spacing w:after="0" w:line="240" w:lineRule="auto"/>
              <w:jc w:val="center"/>
              <w:rPr>
                <w:sz w:val="14"/>
                <w:szCs w:val="14"/>
              </w:rPr>
            </w:pPr>
          </w:p>
        </w:tc>
        <w:tc>
          <w:tcPr>
            <w:tcW w:w="154" w:type="pct"/>
            <w:vMerge w:val="restart"/>
            <w:vAlign w:val="center"/>
          </w:tcPr>
          <w:p w14:paraId="18C3E1CF" w14:textId="77777777" w:rsidR="005132A0" w:rsidRPr="00DA0A7D" w:rsidRDefault="005132A0" w:rsidP="003A338E">
            <w:pPr>
              <w:spacing w:after="0" w:line="240" w:lineRule="auto"/>
              <w:jc w:val="center"/>
              <w:rPr>
                <w:sz w:val="14"/>
                <w:szCs w:val="14"/>
              </w:rPr>
            </w:pPr>
          </w:p>
        </w:tc>
        <w:tc>
          <w:tcPr>
            <w:tcW w:w="156" w:type="pct"/>
            <w:vMerge w:val="restart"/>
            <w:vAlign w:val="center"/>
          </w:tcPr>
          <w:p w14:paraId="2DBA7288" w14:textId="77777777" w:rsidR="005132A0" w:rsidRPr="00DA0A7D" w:rsidRDefault="005132A0" w:rsidP="003A338E">
            <w:pPr>
              <w:spacing w:after="0" w:line="240" w:lineRule="auto"/>
              <w:jc w:val="center"/>
              <w:rPr>
                <w:rFonts w:cstheme="minorHAnsi"/>
                <w:sz w:val="14"/>
                <w:szCs w:val="14"/>
              </w:rPr>
            </w:pPr>
          </w:p>
        </w:tc>
        <w:tc>
          <w:tcPr>
            <w:tcW w:w="147" w:type="pct"/>
            <w:vMerge w:val="restart"/>
            <w:vAlign w:val="center"/>
          </w:tcPr>
          <w:p w14:paraId="64C884F3" w14:textId="77777777" w:rsidR="005132A0" w:rsidRPr="00DA0A7D" w:rsidRDefault="005132A0" w:rsidP="003A338E">
            <w:pPr>
              <w:spacing w:after="0" w:line="240" w:lineRule="auto"/>
              <w:jc w:val="center"/>
              <w:rPr>
                <w:sz w:val="14"/>
                <w:szCs w:val="14"/>
              </w:rPr>
            </w:pPr>
          </w:p>
        </w:tc>
        <w:tc>
          <w:tcPr>
            <w:tcW w:w="160" w:type="pct"/>
            <w:vMerge w:val="restart"/>
            <w:vAlign w:val="center"/>
          </w:tcPr>
          <w:p w14:paraId="7BA14B4B" w14:textId="77777777" w:rsidR="005132A0" w:rsidRPr="00DA0A7D" w:rsidRDefault="005132A0" w:rsidP="003A338E">
            <w:pPr>
              <w:spacing w:after="0" w:line="240" w:lineRule="auto"/>
              <w:jc w:val="center"/>
              <w:rPr>
                <w:sz w:val="14"/>
                <w:szCs w:val="14"/>
              </w:rPr>
            </w:pPr>
            <w:r w:rsidRPr="00DA0A7D">
              <w:rPr>
                <w:sz w:val="14"/>
                <w:szCs w:val="14"/>
              </w:rPr>
              <w:t>x</w:t>
            </w:r>
          </w:p>
        </w:tc>
        <w:tc>
          <w:tcPr>
            <w:tcW w:w="147" w:type="pct"/>
            <w:vMerge w:val="restart"/>
            <w:vAlign w:val="center"/>
          </w:tcPr>
          <w:p w14:paraId="75D28776" w14:textId="77777777" w:rsidR="005132A0" w:rsidRPr="00DA0A7D" w:rsidRDefault="005132A0" w:rsidP="003A338E">
            <w:pPr>
              <w:spacing w:after="0" w:line="240" w:lineRule="auto"/>
              <w:jc w:val="center"/>
              <w:rPr>
                <w:sz w:val="14"/>
                <w:szCs w:val="14"/>
              </w:rPr>
            </w:pPr>
          </w:p>
        </w:tc>
        <w:tc>
          <w:tcPr>
            <w:tcW w:w="153" w:type="pct"/>
            <w:vMerge w:val="restart"/>
            <w:vAlign w:val="center"/>
          </w:tcPr>
          <w:p w14:paraId="28A3A697" w14:textId="77777777" w:rsidR="005132A0" w:rsidRPr="00DA0A7D" w:rsidRDefault="005132A0" w:rsidP="003A338E">
            <w:pPr>
              <w:spacing w:after="0" w:line="240" w:lineRule="auto"/>
              <w:jc w:val="center"/>
              <w:rPr>
                <w:sz w:val="14"/>
                <w:szCs w:val="14"/>
              </w:rPr>
            </w:pPr>
          </w:p>
        </w:tc>
        <w:tc>
          <w:tcPr>
            <w:tcW w:w="158" w:type="pct"/>
            <w:vMerge w:val="restart"/>
            <w:vAlign w:val="center"/>
          </w:tcPr>
          <w:p w14:paraId="293AB7EA" w14:textId="77777777" w:rsidR="005132A0" w:rsidRPr="00DA0A7D" w:rsidRDefault="005132A0" w:rsidP="003A338E">
            <w:pPr>
              <w:spacing w:after="0" w:line="240" w:lineRule="auto"/>
              <w:jc w:val="center"/>
              <w:rPr>
                <w:sz w:val="14"/>
                <w:szCs w:val="14"/>
              </w:rPr>
            </w:pPr>
          </w:p>
        </w:tc>
        <w:tc>
          <w:tcPr>
            <w:tcW w:w="147" w:type="pct"/>
            <w:vMerge w:val="restart"/>
            <w:vAlign w:val="center"/>
          </w:tcPr>
          <w:p w14:paraId="4CAE434E" w14:textId="77777777" w:rsidR="005132A0" w:rsidRPr="00DA0A7D" w:rsidRDefault="005132A0" w:rsidP="003A338E">
            <w:pPr>
              <w:spacing w:after="0" w:line="240" w:lineRule="auto"/>
              <w:jc w:val="center"/>
              <w:rPr>
                <w:sz w:val="14"/>
                <w:szCs w:val="14"/>
              </w:rPr>
            </w:pPr>
            <w:r w:rsidRPr="00DA0A7D">
              <w:rPr>
                <w:sz w:val="14"/>
                <w:szCs w:val="14"/>
              </w:rPr>
              <w:t>x</w:t>
            </w:r>
          </w:p>
        </w:tc>
      </w:tr>
      <w:tr w:rsidR="005132A0" w:rsidRPr="00DA0A7D" w14:paraId="5F51BED1" w14:textId="77777777" w:rsidTr="003A338E">
        <w:trPr>
          <w:cantSplit/>
          <w:trHeight w:val="211"/>
        </w:trPr>
        <w:tc>
          <w:tcPr>
            <w:tcW w:w="827" w:type="pct"/>
            <w:vMerge/>
            <w:shd w:val="clear" w:color="auto" w:fill="004B8D"/>
          </w:tcPr>
          <w:p w14:paraId="710E09A8"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4295535D" w14:textId="77777777" w:rsidR="005132A0" w:rsidRPr="00DA0A7D" w:rsidRDefault="005132A0" w:rsidP="003A338E">
            <w:pPr>
              <w:spacing w:after="0"/>
              <w:rPr>
                <w:rFonts w:cstheme="minorHAnsi"/>
                <w:sz w:val="14"/>
                <w:szCs w:val="14"/>
              </w:rPr>
            </w:pPr>
          </w:p>
        </w:tc>
        <w:tc>
          <w:tcPr>
            <w:tcW w:w="1070" w:type="pct"/>
          </w:tcPr>
          <w:p w14:paraId="75ABEED3" w14:textId="77777777" w:rsidR="005132A0" w:rsidRPr="00DA0A7D" w:rsidRDefault="005132A0" w:rsidP="003A338E">
            <w:pPr>
              <w:spacing w:after="0" w:line="240" w:lineRule="auto"/>
              <w:rPr>
                <w:sz w:val="14"/>
                <w:szCs w:val="14"/>
              </w:rPr>
            </w:pPr>
            <w:r>
              <w:rPr>
                <w:sz w:val="14"/>
                <w:szCs w:val="14"/>
              </w:rPr>
              <w:t>Výzkum ve zdravotnictví</w:t>
            </w:r>
          </w:p>
        </w:tc>
        <w:tc>
          <w:tcPr>
            <w:tcW w:w="143" w:type="pct"/>
            <w:vMerge/>
          </w:tcPr>
          <w:p w14:paraId="5FF5FEE6" w14:textId="77777777" w:rsidR="005132A0" w:rsidRPr="00DA0A7D" w:rsidRDefault="005132A0" w:rsidP="003A338E">
            <w:pPr>
              <w:spacing w:after="0" w:line="240" w:lineRule="auto"/>
              <w:jc w:val="center"/>
              <w:rPr>
                <w:sz w:val="14"/>
                <w:szCs w:val="14"/>
              </w:rPr>
            </w:pPr>
          </w:p>
        </w:tc>
        <w:tc>
          <w:tcPr>
            <w:tcW w:w="159" w:type="pct"/>
            <w:vMerge/>
          </w:tcPr>
          <w:p w14:paraId="7B40AD45" w14:textId="77777777" w:rsidR="005132A0" w:rsidRPr="00DA0A7D" w:rsidRDefault="005132A0" w:rsidP="003A338E">
            <w:pPr>
              <w:spacing w:after="0" w:line="240" w:lineRule="auto"/>
              <w:jc w:val="center"/>
              <w:rPr>
                <w:sz w:val="14"/>
                <w:szCs w:val="14"/>
              </w:rPr>
            </w:pPr>
          </w:p>
        </w:tc>
        <w:tc>
          <w:tcPr>
            <w:tcW w:w="171" w:type="pct"/>
            <w:vMerge/>
          </w:tcPr>
          <w:p w14:paraId="7B442999" w14:textId="77777777" w:rsidR="005132A0" w:rsidRPr="00DA0A7D" w:rsidRDefault="005132A0" w:rsidP="003A338E">
            <w:pPr>
              <w:spacing w:after="0" w:line="240" w:lineRule="auto"/>
              <w:jc w:val="center"/>
              <w:rPr>
                <w:sz w:val="14"/>
                <w:szCs w:val="14"/>
              </w:rPr>
            </w:pPr>
          </w:p>
        </w:tc>
        <w:tc>
          <w:tcPr>
            <w:tcW w:w="158" w:type="pct"/>
            <w:vMerge/>
          </w:tcPr>
          <w:p w14:paraId="00FCC467" w14:textId="77777777" w:rsidR="005132A0" w:rsidRPr="00DA0A7D" w:rsidRDefault="005132A0" w:rsidP="003A338E">
            <w:pPr>
              <w:spacing w:after="0" w:line="240" w:lineRule="auto"/>
              <w:jc w:val="center"/>
              <w:rPr>
                <w:sz w:val="14"/>
                <w:szCs w:val="14"/>
              </w:rPr>
            </w:pPr>
          </w:p>
        </w:tc>
        <w:tc>
          <w:tcPr>
            <w:tcW w:w="148" w:type="pct"/>
            <w:vMerge/>
          </w:tcPr>
          <w:p w14:paraId="7C075398" w14:textId="77777777" w:rsidR="005132A0" w:rsidRPr="00DA0A7D" w:rsidRDefault="005132A0" w:rsidP="003A338E">
            <w:pPr>
              <w:spacing w:after="0" w:line="240" w:lineRule="auto"/>
              <w:jc w:val="center"/>
              <w:rPr>
                <w:sz w:val="14"/>
                <w:szCs w:val="14"/>
              </w:rPr>
            </w:pPr>
          </w:p>
        </w:tc>
        <w:tc>
          <w:tcPr>
            <w:tcW w:w="178" w:type="pct"/>
            <w:vMerge/>
          </w:tcPr>
          <w:p w14:paraId="401EE68E" w14:textId="77777777" w:rsidR="005132A0" w:rsidRPr="00DA0A7D" w:rsidRDefault="005132A0" w:rsidP="003A338E">
            <w:pPr>
              <w:spacing w:after="0" w:line="240" w:lineRule="auto"/>
              <w:jc w:val="center"/>
              <w:rPr>
                <w:sz w:val="14"/>
                <w:szCs w:val="14"/>
              </w:rPr>
            </w:pPr>
          </w:p>
        </w:tc>
        <w:tc>
          <w:tcPr>
            <w:tcW w:w="154" w:type="pct"/>
            <w:vMerge/>
          </w:tcPr>
          <w:p w14:paraId="7C7FB005" w14:textId="77777777" w:rsidR="005132A0" w:rsidRPr="00DA0A7D" w:rsidRDefault="005132A0" w:rsidP="003A338E">
            <w:pPr>
              <w:spacing w:after="0" w:line="240" w:lineRule="auto"/>
              <w:jc w:val="center"/>
              <w:rPr>
                <w:sz w:val="14"/>
                <w:szCs w:val="14"/>
              </w:rPr>
            </w:pPr>
          </w:p>
        </w:tc>
        <w:tc>
          <w:tcPr>
            <w:tcW w:w="156" w:type="pct"/>
            <w:vMerge/>
          </w:tcPr>
          <w:p w14:paraId="4990B93C" w14:textId="77777777" w:rsidR="005132A0" w:rsidRPr="00DA0A7D" w:rsidRDefault="005132A0" w:rsidP="003A338E">
            <w:pPr>
              <w:spacing w:after="0" w:line="240" w:lineRule="auto"/>
              <w:jc w:val="center"/>
              <w:rPr>
                <w:rFonts w:cstheme="minorHAnsi"/>
                <w:sz w:val="14"/>
                <w:szCs w:val="14"/>
              </w:rPr>
            </w:pPr>
          </w:p>
        </w:tc>
        <w:tc>
          <w:tcPr>
            <w:tcW w:w="147" w:type="pct"/>
            <w:vMerge/>
          </w:tcPr>
          <w:p w14:paraId="501F11BB" w14:textId="77777777" w:rsidR="005132A0" w:rsidRPr="00DA0A7D" w:rsidRDefault="005132A0" w:rsidP="003A338E">
            <w:pPr>
              <w:spacing w:after="0" w:line="240" w:lineRule="auto"/>
              <w:jc w:val="center"/>
              <w:rPr>
                <w:sz w:val="14"/>
                <w:szCs w:val="14"/>
              </w:rPr>
            </w:pPr>
          </w:p>
        </w:tc>
        <w:tc>
          <w:tcPr>
            <w:tcW w:w="160" w:type="pct"/>
            <w:vMerge/>
          </w:tcPr>
          <w:p w14:paraId="52F81217" w14:textId="77777777" w:rsidR="005132A0" w:rsidRPr="00DA0A7D" w:rsidRDefault="005132A0" w:rsidP="003A338E">
            <w:pPr>
              <w:spacing w:after="0" w:line="240" w:lineRule="auto"/>
              <w:jc w:val="center"/>
              <w:rPr>
                <w:sz w:val="14"/>
                <w:szCs w:val="14"/>
              </w:rPr>
            </w:pPr>
          </w:p>
        </w:tc>
        <w:tc>
          <w:tcPr>
            <w:tcW w:w="147" w:type="pct"/>
            <w:vMerge/>
          </w:tcPr>
          <w:p w14:paraId="11DAF06C" w14:textId="77777777" w:rsidR="005132A0" w:rsidRPr="00DA0A7D" w:rsidRDefault="005132A0" w:rsidP="003A338E">
            <w:pPr>
              <w:spacing w:after="0" w:line="240" w:lineRule="auto"/>
              <w:jc w:val="center"/>
              <w:rPr>
                <w:sz w:val="14"/>
                <w:szCs w:val="14"/>
              </w:rPr>
            </w:pPr>
          </w:p>
        </w:tc>
        <w:tc>
          <w:tcPr>
            <w:tcW w:w="153" w:type="pct"/>
            <w:vMerge/>
          </w:tcPr>
          <w:p w14:paraId="17462093" w14:textId="77777777" w:rsidR="005132A0" w:rsidRPr="00DA0A7D" w:rsidRDefault="005132A0" w:rsidP="003A338E">
            <w:pPr>
              <w:spacing w:after="0" w:line="240" w:lineRule="auto"/>
              <w:jc w:val="center"/>
              <w:rPr>
                <w:sz w:val="14"/>
                <w:szCs w:val="14"/>
              </w:rPr>
            </w:pPr>
          </w:p>
        </w:tc>
        <w:tc>
          <w:tcPr>
            <w:tcW w:w="158" w:type="pct"/>
            <w:vMerge/>
          </w:tcPr>
          <w:p w14:paraId="785C69DC" w14:textId="77777777" w:rsidR="005132A0" w:rsidRPr="00DA0A7D" w:rsidRDefault="005132A0" w:rsidP="003A338E">
            <w:pPr>
              <w:spacing w:after="0" w:line="240" w:lineRule="auto"/>
              <w:jc w:val="center"/>
              <w:rPr>
                <w:sz w:val="14"/>
                <w:szCs w:val="14"/>
              </w:rPr>
            </w:pPr>
          </w:p>
        </w:tc>
        <w:tc>
          <w:tcPr>
            <w:tcW w:w="147" w:type="pct"/>
            <w:vMerge/>
          </w:tcPr>
          <w:p w14:paraId="0C56218C" w14:textId="77777777" w:rsidR="005132A0" w:rsidRPr="00DA0A7D" w:rsidRDefault="005132A0" w:rsidP="003A338E">
            <w:pPr>
              <w:spacing w:after="0" w:line="240" w:lineRule="auto"/>
              <w:jc w:val="center"/>
              <w:rPr>
                <w:sz w:val="14"/>
                <w:szCs w:val="14"/>
              </w:rPr>
            </w:pPr>
          </w:p>
        </w:tc>
      </w:tr>
      <w:tr w:rsidR="005132A0" w:rsidRPr="00DA0A7D" w14:paraId="5C1998B6" w14:textId="77777777" w:rsidTr="003A338E">
        <w:trPr>
          <w:cantSplit/>
          <w:trHeight w:val="211"/>
        </w:trPr>
        <w:tc>
          <w:tcPr>
            <w:tcW w:w="827" w:type="pct"/>
            <w:vMerge/>
            <w:shd w:val="clear" w:color="auto" w:fill="004B8D"/>
          </w:tcPr>
          <w:p w14:paraId="5E12324A" w14:textId="77777777" w:rsidR="005132A0" w:rsidRPr="00DA0A7D" w:rsidRDefault="005132A0" w:rsidP="003A338E">
            <w:pPr>
              <w:spacing w:after="0"/>
              <w:rPr>
                <w:rFonts w:cstheme="minorHAnsi"/>
                <w:color w:val="FFFFFF" w:themeColor="background1"/>
                <w:sz w:val="14"/>
                <w:szCs w:val="14"/>
              </w:rPr>
            </w:pPr>
          </w:p>
        </w:tc>
        <w:tc>
          <w:tcPr>
            <w:tcW w:w="924" w:type="pct"/>
            <w:vMerge/>
          </w:tcPr>
          <w:p w14:paraId="7B201CF7" w14:textId="77777777" w:rsidR="005132A0" w:rsidRPr="00DA0A7D" w:rsidRDefault="005132A0" w:rsidP="003A338E">
            <w:pPr>
              <w:spacing w:after="0"/>
              <w:rPr>
                <w:rFonts w:cstheme="minorHAnsi"/>
                <w:sz w:val="14"/>
                <w:szCs w:val="14"/>
              </w:rPr>
            </w:pPr>
          </w:p>
        </w:tc>
        <w:tc>
          <w:tcPr>
            <w:tcW w:w="1070" w:type="pct"/>
          </w:tcPr>
          <w:p w14:paraId="1A043900" w14:textId="77777777" w:rsidR="005132A0" w:rsidRPr="00DA0A7D" w:rsidRDefault="005132A0" w:rsidP="003A338E">
            <w:pPr>
              <w:spacing w:after="0" w:line="240" w:lineRule="auto"/>
              <w:rPr>
                <w:sz w:val="14"/>
                <w:szCs w:val="14"/>
              </w:rPr>
            </w:pPr>
            <w:r w:rsidRPr="00DA0A7D">
              <w:rPr>
                <w:sz w:val="14"/>
                <w:szCs w:val="14"/>
              </w:rPr>
              <w:t>Práce, soc. služby a důchodový systém</w:t>
            </w:r>
          </w:p>
        </w:tc>
        <w:tc>
          <w:tcPr>
            <w:tcW w:w="143" w:type="pct"/>
            <w:vMerge/>
          </w:tcPr>
          <w:p w14:paraId="2F0B85D9" w14:textId="77777777" w:rsidR="005132A0" w:rsidRPr="00DA0A7D" w:rsidRDefault="005132A0" w:rsidP="003A338E">
            <w:pPr>
              <w:spacing w:after="0" w:line="240" w:lineRule="auto"/>
              <w:jc w:val="center"/>
              <w:rPr>
                <w:sz w:val="14"/>
                <w:szCs w:val="14"/>
              </w:rPr>
            </w:pPr>
          </w:p>
        </w:tc>
        <w:tc>
          <w:tcPr>
            <w:tcW w:w="159" w:type="pct"/>
            <w:vMerge/>
          </w:tcPr>
          <w:p w14:paraId="681AAF4B" w14:textId="77777777" w:rsidR="005132A0" w:rsidRPr="00DA0A7D" w:rsidRDefault="005132A0" w:rsidP="003A338E">
            <w:pPr>
              <w:spacing w:after="0" w:line="240" w:lineRule="auto"/>
              <w:jc w:val="center"/>
              <w:rPr>
                <w:sz w:val="14"/>
                <w:szCs w:val="14"/>
              </w:rPr>
            </w:pPr>
          </w:p>
        </w:tc>
        <w:tc>
          <w:tcPr>
            <w:tcW w:w="171" w:type="pct"/>
            <w:vMerge/>
          </w:tcPr>
          <w:p w14:paraId="62C3CBCD" w14:textId="77777777" w:rsidR="005132A0" w:rsidRPr="00DA0A7D" w:rsidRDefault="005132A0" w:rsidP="003A338E">
            <w:pPr>
              <w:spacing w:after="0" w:line="240" w:lineRule="auto"/>
              <w:jc w:val="center"/>
              <w:rPr>
                <w:sz w:val="14"/>
                <w:szCs w:val="14"/>
              </w:rPr>
            </w:pPr>
          </w:p>
        </w:tc>
        <w:tc>
          <w:tcPr>
            <w:tcW w:w="158" w:type="pct"/>
            <w:vMerge/>
          </w:tcPr>
          <w:p w14:paraId="0C6E6579" w14:textId="77777777" w:rsidR="005132A0" w:rsidRPr="00DA0A7D" w:rsidRDefault="005132A0" w:rsidP="003A338E">
            <w:pPr>
              <w:spacing w:after="0" w:line="240" w:lineRule="auto"/>
              <w:jc w:val="center"/>
              <w:rPr>
                <w:sz w:val="14"/>
                <w:szCs w:val="14"/>
              </w:rPr>
            </w:pPr>
          </w:p>
        </w:tc>
        <w:tc>
          <w:tcPr>
            <w:tcW w:w="148" w:type="pct"/>
            <w:vMerge/>
          </w:tcPr>
          <w:p w14:paraId="023778F3" w14:textId="77777777" w:rsidR="005132A0" w:rsidRPr="00DA0A7D" w:rsidRDefault="005132A0" w:rsidP="003A338E">
            <w:pPr>
              <w:spacing w:after="0" w:line="240" w:lineRule="auto"/>
              <w:jc w:val="center"/>
              <w:rPr>
                <w:sz w:val="14"/>
                <w:szCs w:val="14"/>
              </w:rPr>
            </w:pPr>
          </w:p>
        </w:tc>
        <w:tc>
          <w:tcPr>
            <w:tcW w:w="178" w:type="pct"/>
            <w:vMerge/>
          </w:tcPr>
          <w:p w14:paraId="2527B947" w14:textId="77777777" w:rsidR="005132A0" w:rsidRPr="00DA0A7D" w:rsidRDefault="005132A0" w:rsidP="003A338E">
            <w:pPr>
              <w:spacing w:after="0" w:line="240" w:lineRule="auto"/>
              <w:jc w:val="center"/>
              <w:rPr>
                <w:sz w:val="14"/>
                <w:szCs w:val="14"/>
              </w:rPr>
            </w:pPr>
          </w:p>
        </w:tc>
        <w:tc>
          <w:tcPr>
            <w:tcW w:w="154" w:type="pct"/>
            <w:vMerge/>
          </w:tcPr>
          <w:p w14:paraId="7FFB98B5" w14:textId="77777777" w:rsidR="005132A0" w:rsidRPr="00DA0A7D" w:rsidRDefault="005132A0" w:rsidP="003A338E">
            <w:pPr>
              <w:spacing w:after="0" w:line="240" w:lineRule="auto"/>
              <w:jc w:val="center"/>
              <w:rPr>
                <w:sz w:val="14"/>
                <w:szCs w:val="14"/>
              </w:rPr>
            </w:pPr>
          </w:p>
        </w:tc>
        <w:tc>
          <w:tcPr>
            <w:tcW w:w="156" w:type="pct"/>
            <w:vMerge/>
          </w:tcPr>
          <w:p w14:paraId="721E4645" w14:textId="77777777" w:rsidR="005132A0" w:rsidRPr="00DA0A7D" w:rsidRDefault="005132A0" w:rsidP="003A338E">
            <w:pPr>
              <w:spacing w:after="0" w:line="240" w:lineRule="auto"/>
              <w:jc w:val="center"/>
              <w:rPr>
                <w:rFonts w:cstheme="minorHAnsi"/>
                <w:sz w:val="14"/>
                <w:szCs w:val="14"/>
              </w:rPr>
            </w:pPr>
          </w:p>
        </w:tc>
        <w:tc>
          <w:tcPr>
            <w:tcW w:w="147" w:type="pct"/>
            <w:vMerge/>
          </w:tcPr>
          <w:p w14:paraId="0E7AC246" w14:textId="77777777" w:rsidR="005132A0" w:rsidRPr="00DA0A7D" w:rsidRDefault="005132A0" w:rsidP="003A338E">
            <w:pPr>
              <w:spacing w:after="0" w:line="240" w:lineRule="auto"/>
              <w:jc w:val="center"/>
              <w:rPr>
                <w:sz w:val="14"/>
                <w:szCs w:val="14"/>
              </w:rPr>
            </w:pPr>
          </w:p>
        </w:tc>
        <w:tc>
          <w:tcPr>
            <w:tcW w:w="160" w:type="pct"/>
            <w:vMerge/>
          </w:tcPr>
          <w:p w14:paraId="167BBEFD" w14:textId="77777777" w:rsidR="005132A0" w:rsidRPr="00DA0A7D" w:rsidRDefault="005132A0" w:rsidP="003A338E">
            <w:pPr>
              <w:spacing w:after="0" w:line="240" w:lineRule="auto"/>
              <w:jc w:val="center"/>
              <w:rPr>
                <w:sz w:val="14"/>
                <w:szCs w:val="14"/>
              </w:rPr>
            </w:pPr>
          </w:p>
        </w:tc>
        <w:tc>
          <w:tcPr>
            <w:tcW w:w="147" w:type="pct"/>
            <w:vMerge/>
          </w:tcPr>
          <w:p w14:paraId="245AB54C" w14:textId="77777777" w:rsidR="005132A0" w:rsidRPr="00DA0A7D" w:rsidRDefault="005132A0" w:rsidP="003A338E">
            <w:pPr>
              <w:spacing w:after="0" w:line="240" w:lineRule="auto"/>
              <w:jc w:val="center"/>
              <w:rPr>
                <w:sz w:val="14"/>
                <w:szCs w:val="14"/>
              </w:rPr>
            </w:pPr>
          </w:p>
        </w:tc>
        <w:tc>
          <w:tcPr>
            <w:tcW w:w="153" w:type="pct"/>
            <w:vMerge/>
          </w:tcPr>
          <w:p w14:paraId="46E9DFBA" w14:textId="77777777" w:rsidR="005132A0" w:rsidRPr="00DA0A7D" w:rsidRDefault="005132A0" w:rsidP="003A338E">
            <w:pPr>
              <w:spacing w:after="0" w:line="240" w:lineRule="auto"/>
              <w:jc w:val="center"/>
              <w:rPr>
                <w:sz w:val="14"/>
                <w:szCs w:val="14"/>
              </w:rPr>
            </w:pPr>
          </w:p>
        </w:tc>
        <w:tc>
          <w:tcPr>
            <w:tcW w:w="158" w:type="pct"/>
            <w:vMerge/>
          </w:tcPr>
          <w:p w14:paraId="1538C87A" w14:textId="77777777" w:rsidR="005132A0" w:rsidRPr="00DA0A7D" w:rsidRDefault="005132A0" w:rsidP="003A338E">
            <w:pPr>
              <w:spacing w:after="0" w:line="240" w:lineRule="auto"/>
              <w:jc w:val="center"/>
              <w:rPr>
                <w:sz w:val="14"/>
                <w:szCs w:val="14"/>
              </w:rPr>
            </w:pPr>
          </w:p>
        </w:tc>
        <w:tc>
          <w:tcPr>
            <w:tcW w:w="147" w:type="pct"/>
            <w:vMerge/>
          </w:tcPr>
          <w:p w14:paraId="3E6FA4FF" w14:textId="77777777" w:rsidR="005132A0" w:rsidRPr="00DA0A7D" w:rsidRDefault="005132A0" w:rsidP="003A338E">
            <w:pPr>
              <w:spacing w:after="0" w:line="240" w:lineRule="auto"/>
              <w:jc w:val="center"/>
              <w:rPr>
                <w:sz w:val="14"/>
                <w:szCs w:val="14"/>
              </w:rPr>
            </w:pPr>
          </w:p>
        </w:tc>
      </w:tr>
      <w:tr w:rsidR="005132A0" w:rsidRPr="00DA0A7D" w14:paraId="6BEDBF70" w14:textId="77777777" w:rsidTr="003A338E">
        <w:trPr>
          <w:cantSplit/>
          <w:trHeight w:val="47"/>
        </w:trPr>
        <w:tc>
          <w:tcPr>
            <w:tcW w:w="827" w:type="pct"/>
            <w:vMerge w:val="restart"/>
            <w:shd w:val="clear" w:color="auto" w:fill="004B8D"/>
            <w:vAlign w:val="center"/>
          </w:tcPr>
          <w:p w14:paraId="5D04624B" w14:textId="77777777" w:rsidR="005132A0" w:rsidRPr="00DA0A7D" w:rsidRDefault="005132A0" w:rsidP="003A338E">
            <w:pPr>
              <w:spacing w:after="0" w:line="240" w:lineRule="auto"/>
              <w:rPr>
                <w:rFonts w:cstheme="minorHAnsi"/>
                <w:color w:val="FFFFFF" w:themeColor="background1"/>
                <w:sz w:val="14"/>
                <w:szCs w:val="14"/>
              </w:rPr>
            </w:pPr>
            <w:r w:rsidRPr="00DA0A7D">
              <w:rPr>
                <w:rFonts w:cstheme="minorHAnsi"/>
                <w:color w:val="FFFFFF" w:themeColor="background1"/>
                <w:sz w:val="14"/>
                <w:szCs w:val="14"/>
              </w:rPr>
              <w:t>Krajsky specifická aplikační odvětví</w:t>
            </w:r>
          </w:p>
        </w:tc>
        <w:tc>
          <w:tcPr>
            <w:tcW w:w="924" w:type="pct"/>
            <w:vMerge w:val="restart"/>
            <w:vAlign w:val="center"/>
          </w:tcPr>
          <w:p w14:paraId="0C3BD1D5" w14:textId="77777777" w:rsidR="005132A0" w:rsidRPr="00DA0A7D" w:rsidRDefault="005132A0" w:rsidP="003A338E">
            <w:pPr>
              <w:spacing w:after="0" w:line="240" w:lineRule="auto"/>
              <w:rPr>
                <w:rFonts w:cstheme="minorHAnsi"/>
                <w:sz w:val="14"/>
                <w:szCs w:val="14"/>
              </w:rPr>
            </w:pPr>
            <w:r w:rsidRPr="00DA0A7D">
              <w:rPr>
                <w:rFonts w:cstheme="minorHAnsi"/>
                <w:sz w:val="14"/>
                <w:szCs w:val="14"/>
              </w:rPr>
              <w:t>Krajsky specifická aplikační odvětví</w:t>
            </w:r>
          </w:p>
        </w:tc>
        <w:tc>
          <w:tcPr>
            <w:tcW w:w="1070" w:type="pct"/>
          </w:tcPr>
          <w:p w14:paraId="6DED9225" w14:textId="77777777" w:rsidR="005132A0" w:rsidRPr="00DA0A7D" w:rsidRDefault="005132A0" w:rsidP="003A338E">
            <w:pPr>
              <w:spacing w:after="0" w:line="240" w:lineRule="auto"/>
              <w:rPr>
                <w:sz w:val="14"/>
                <w:szCs w:val="14"/>
              </w:rPr>
            </w:pPr>
            <w:r w:rsidRPr="00DA0A7D">
              <w:rPr>
                <w:sz w:val="14"/>
                <w:szCs w:val="14"/>
              </w:rPr>
              <w:t>Balneologie a lázeňství</w:t>
            </w:r>
          </w:p>
        </w:tc>
        <w:tc>
          <w:tcPr>
            <w:tcW w:w="143" w:type="pct"/>
          </w:tcPr>
          <w:p w14:paraId="4E0C975E" w14:textId="77777777" w:rsidR="005132A0" w:rsidRPr="00DA0A7D" w:rsidRDefault="005132A0" w:rsidP="003A338E">
            <w:pPr>
              <w:spacing w:after="0" w:line="240" w:lineRule="auto"/>
              <w:jc w:val="center"/>
              <w:rPr>
                <w:sz w:val="14"/>
                <w:szCs w:val="14"/>
              </w:rPr>
            </w:pPr>
          </w:p>
        </w:tc>
        <w:tc>
          <w:tcPr>
            <w:tcW w:w="159" w:type="pct"/>
          </w:tcPr>
          <w:p w14:paraId="5417C9CA" w14:textId="77777777" w:rsidR="005132A0" w:rsidRPr="00DA0A7D" w:rsidRDefault="005132A0" w:rsidP="003A338E">
            <w:pPr>
              <w:spacing w:after="0" w:line="240" w:lineRule="auto"/>
              <w:jc w:val="center"/>
              <w:rPr>
                <w:sz w:val="14"/>
                <w:szCs w:val="14"/>
              </w:rPr>
            </w:pPr>
          </w:p>
        </w:tc>
        <w:tc>
          <w:tcPr>
            <w:tcW w:w="171" w:type="pct"/>
          </w:tcPr>
          <w:p w14:paraId="2FA51FA7" w14:textId="77777777" w:rsidR="005132A0" w:rsidRPr="00DA0A7D" w:rsidRDefault="005132A0" w:rsidP="003A338E">
            <w:pPr>
              <w:spacing w:after="0" w:line="240" w:lineRule="auto"/>
              <w:jc w:val="center"/>
              <w:rPr>
                <w:sz w:val="14"/>
                <w:szCs w:val="14"/>
              </w:rPr>
            </w:pPr>
            <w:r w:rsidRPr="00DA0A7D">
              <w:rPr>
                <w:sz w:val="14"/>
                <w:szCs w:val="14"/>
              </w:rPr>
              <w:t>x</w:t>
            </w:r>
          </w:p>
        </w:tc>
        <w:tc>
          <w:tcPr>
            <w:tcW w:w="158" w:type="pct"/>
          </w:tcPr>
          <w:p w14:paraId="6CBC1844" w14:textId="77777777" w:rsidR="005132A0" w:rsidRPr="00DA0A7D" w:rsidRDefault="005132A0" w:rsidP="003A338E">
            <w:pPr>
              <w:spacing w:after="0" w:line="240" w:lineRule="auto"/>
              <w:jc w:val="center"/>
              <w:rPr>
                <w:sz w:val="14"/>
                <w:szCs w:val="14"/>
              </w:rPr>
            </w:pPr>
          </w:p>
        </w:tc>
        <w:tc>
          <w:tcPr>
            <w:tcW w:w="148" w:type="pct"/>
          </w:tcPr>
          <w:p w14:paraId="06FBD74D" w14:textId="77777777" w:rsidR="005132A0" w:rsidRPr="00DA0A7D" w:rsidRDefault="005132A0" w:rsidP="003A338E">
            <w:pPr>
              <w:spacing w:after="0" w:line="240" w:lineRule="auto"/>
              <w:jc w:val="center"/>
              <w:rPr>
                <w:sz w:val="14"/>
                <w:szCs w:val="14"/>
              </w:rPr>
            </w:pPr>
          </w:p>
        </w:tc>
        <w:tc>
          <w:tcPr>
            <w:tcW w:w="178" w:type="pct"/>
          </w:tcPr>
          <w:p w14:paraId="067F5C59" w14:textId="77777777" w:rsidR="005132A0" w:rsidRPr="00DA0A7D" w:rsidRDefault="005132A0" w:rsidP="003A338E">
            <w:pPr>
              <w:spacing w:after="0" w:line="240" w:lineRule="auto"/>
              <w:jc w:val="center"/>
              <w:rPr>
                <w:sz w:val="14"/>
                <w:szCs w:val="14"/>
              </w:rPr>
            </w:pPr>
          </w:p>
        </w:tc>
        <w:tc>
          <w:tcPr>
            <w:tcW w:w="154" w:type="pct"/>
          </w:tcPr>
          <w:p w14:paraId="5F067EB9" w14:textId="77777777" w:rsidR="005132A0" w:rsidRPr="00DA0A7D" w:rsidRDefault="005132A0" w:rsidP="003A338E">
            <w:pPr>
              <w:spacing w:after="0" w:line="240" w:lineRule="auto"/>
              <w:jc w:val="center"/>
              <w:rPr>
                <w:sz w:val="14"/>
                <w:szCs w:val="14"/>
              </w:rPr>
            </w:pPr>
          </w:p>
        </w:tc>
        <w:tc>
          <w:tcPr>
            <w:tcW w:w="156" w:type="pct"/>
          </w:tcPr>
          <w:p w14:paraId="1738687C" w14:textId="77777777" w:rsidR="005132A0" w:rsidRPr="00DA0A7D" w:rsidRDefault="005132A0" w:rsidP="003A338E">
            <w:pPr>
              <w:spacing w:after="0" w:line="240" w:lineRule="auto"/>
              <w:jc w:val="center"/>
              <w:rPr>
                <w:rFonts w:cstheme="minorHAnsi"/>
                <w:sz w:val="14"/>
                <w:szCs w:val="14"/>
              </w:rPr>
            </w:pPr>
          </w:p>
        </w:tc>
        <w:tc>
          <w:tcPr>
            <w:tcW w:w="147" w:type="pct"/>
          </w:tcPr>
          <w:p w14:paraId="6A0D1863" w14:textId="77777777" w:rsidR="005132A0" w:rsidRPr="00DA0A7D" w:rsidRDefault="005132A0" w:rsidP="003A338E">
            <w:pPr>
              <w:spacing w:after="0" w:line="240" w:lineRule="auto"/>
              <w:jc w:val="center"/>
              <w:rPr>
                <w:sz w:val="14"/>
                <w:szCs w:val="14"/>
              </w:rPr>
            </w:pPr>
          </w:p>
        </w:tc>
        <w:tc>
          <w:tcPr>
            <w:tcW w:w="160" w:type="pct"/>
          </w:tcPr>
          <w:p w14:paraId="136D88C6" w14:textId="77777777" w:rsidR="005132A0" w:rsidRPr="00DA0A7D" w:rsidRDefault="005132A0" w:rsidP="003A338E">
            <w:pPr>
              <w:spacing w:after="0" w:line="240" w:lineRule="auto"/>
              <w:jc w:val="center"/>
              <w:rPr>
                <w:sz w:val="14"/>
                <w:szCs w:val="14"/>
              </w:rPr>
            </w:pPr>
          </w:p>
        </w:tc>
        <w:tc>
          <w:tcPr>
            <w:tcW w:w="147" w:type="pct"/>
          </w:tcPr>
          <w:p w14:paraId="6C24E29A" w14:textId="77777777" w:rsidR="005132A0" w:rsidRPr="00DA0A7D" w:rsidRDefault="005132A0" w:rsidP="003A338E">
            <w:pPr>
              <w:spacing w:after="0" w:line="240" w:lineRule="auto"/>
              <w:jc w:val="center"/>
              <w:rPr>
                <w:sz w:val="14"/>
                <w:szCs w:val="14"/>
              </w:rPr>
            </w:pPr>
          </w:p>
        </w:tc>
        <w:tc>
          <w:tcPr>
            <w:tcW w:w="153" w:type="pct"/>
          </w:tcPr>
          <w:p w14:paraId="5E162382" w14:textId="77777777" w:rsidR="005132A0" w:rsidRPr="00DA0A7D" w:rsidRDefault="005132A0" w:rsidP="003A338E">
            <w:pPr>
              <w:spacing w:after="0" w:line="240" w:lineRule="auto"/>
              <w:jc w:val="center"/>
              <w:rPr>
                <w:sz w:val="14"/>
                <w:szCs w:val="14"/>
              </w:rPr>
            </w:pPr>
            <w:r w:rsidRPr="00DA0A7D">
              <w:rPr>
                <w:sz w:val="14"/>
                <w:szCs w:val="14"/>
              </w:rPr>
              <w:t>x</w:t>
            </w:r>
          </w:p>
        </w:tc>
        <w:tc>
          <w:tcPr>
            <w:tcW w:w="158" w:type="pct"/>
          </w:tcPr>
          <w:p w14:paraId="125D0BEB" w14:textId="77777777" w:rsidR="005132A0" w:rsidRPr="00DA0A7D" w:rsidRDefault="005132A0" w:rsidP="003A338E">
            <w:pPr>
              <w:spacing w:after="0" w:line="240" w:lineRule="auto"/>
              <w:jc w:val="center"/>
              <w:rPr>
                <w:sz w:val="14"/>
                <w:szCs w:val="14"/>
              </w:rPr>
            </w:pPr>
          </w:p>
        </w:tc>
        <w:tc>
          <w:tcPr>
            <w:tcW w:w="147" w:type="pct"/>
          </w:tcPr>
          <w:p w14:paraId="169EFA1C" w14:textId="77777777" w:rsidR="005132A0" w:rsidRPr="00DA0A7D" w:rsidRDefault="005132A0" w:rsidP="003A338E">
            <w:pPr>
              <w:spacing w:after="0" w:line="240" w:lineRule="auto"/>
              <w:jc w:val="center"/>
              <w:rPr>
                <w:sz w:val="14"/>
                <w:szCs w:val="14"/>
              </w:rPr>
            </w:pPr>
          </w:p>
        </w:tc>
      </w:tr>
      <w:tr w:rsidR="005132A0" w:rsidRPr="00DA0A7D" w14:paraId="33768F54" w14:textId="77777777" w:rsidTr="003A338E">
        <w:trPr>
          <w:cantSplit/>
          <w:trHeight w:val="150"/>
        </w:trPr>
        <w:tc>
          <w:tcPr>
            <w:tcW w:w="827" w:type="pct"/>
            <w:vMerge/>
            <w:shd w:val="clear" w:color="auto" w:fill="004B8D"/>
          </w:tcPr>
          <w:p w14:paraId="1AD61F87" w14:textId="77777777" w:rsidR="005132A0" w:rsidRPr="00DA0A7D" w:rsidRDefault="005132A0" w:rsidP="003A338E">
            <w:pPr>
              <w:spacing w:after="0"/>
              <w:rPr>
                <w:rFonts w:cstheme="minorHAnsi"/>
                <w:sz w:val="14"/>
                <w:szCs w:val="14"/>
              </w:rPr>
            </w:pPr>
          </w:p>
        </w:tc>
        <w:tc>
          <w:tcPr>
            <w:tcW w:w="924" w:type="pct"/>
            <w:vMerge/>
            <w:vAlign w:val="center"/>
          </w:tcPr>
          <w:p w14:paraId="238450FE" w14:textId="77777777" w:rsidR="005132A0" w:rsidRPr="00DA0A7D" w:rsidRDefault="005132A0" w:rsidP="003A338E">
            <w:pPr>
              <w:spacing w:after="0"/>
              <w:rPr>
                <w:rFonts w:cstheme="minorHAnsi"/>
                <w:sz w:val="14"/>
                <w:szCs w:val="14"/>
              </w:rPr>
            </w:pPr>
          </w:p>
        </w:tc>
        <w:tc>
          <w:tcPr>
            <w:tcW w:w="1070" w:type="pct"/>
          </w:tcPr>
          <w:p w14:paraId="2623D6AC" w14:textId="77777777" w:rsidR="005132A0" w:rsidRPr="00DA0A7D" w:rsidRDefault="005132A0" w:rsidP="003A338E">
            <w:pPr>
              <w:spacing w:after="0" w:line="240" w:lineRule="auto"/>
              <w:rPr>
                <w:sz w:val="14"/>
                <w:szCs w:val="14"/>
              </w:rPr>
            </w:pPr>
            <w:r w:rsidRPr="00DA0A7D">
              <w:rPr>
                <w:sz w:val="14"/>
                <w:szCs w:val="14"/>
              </w:rPr>
              <w:t>Sklářství a keramika</w:t>
            </w:r>
          </w:p>
        </w:tc>
        <w:tc>
          <w:tcPr>
            <w:tcW w:w="143" w:type="pct"/>
          </w:tcPr>
          <w:p w14:paraId="47EF5961" w14:textId="77777777" w:rsidR="005132A0" w:rsidRPr="00DA0A7D" w:rsidRDefault="005132A0" w:rsidP="003A338E">
            <w:pPr>
              <w:spacing w:after="0" w:line="240" w:lineRule="auto"/>
              <w:jc w:val="center"/>
              <w:rPr>
                <w:sz w:val="14"/>
                <w:szCs w:val="14"/>
              </w:rPr>
            </w:pPr>
          </w:p>
        </w:tc>
        <w:tc>
          <w:tcPr>
            <w:tcW w:w="159" w:type="pct"/>
          </w:tcPr>
          <w:p w14:paraId="4444B05C" w14:textId="77777777" w:rsidR="005132A0" w:rsidRPr="00DA0A7D" w:rsidRDefault="005132A0" w:rsidP="003A338E">
            <w:pPr>
              <w:spacing w:after="0" w:line="240" w:lineRule="auto"/>
              <w:jc w:val="center"/>
              <w:rPr>
                <w:sz w:val="14"/>
                <w:szCs w:val="14"/>
              </w:rPr>
            </w:pPr>
          </w:p>
        </w:tc>
        <w:tc>
          <w:tcPr>
            <w:tcW w:w="171" w:type="pct"/>
          </w:tcPr>
          <w:p w14:paraId="1A2E9643" w14:textId="77777777" w:rsidR="005132A0" w:rsidRPr="00DA0A7D" w:rsidRDefault="005132A0" w:rsidP="003A338E">
            <w:pPr>
              <w:spacing w:after="0" w:line="240" w:lineRule="auto"/>
              <w:jc w:val="center"/>
              <w:rPr>
                <w:sz w:val="14"/>
                <w:szCs w:val="14"/>
              </w:rPr>
            </w:pPr>
            <w:r w:rsidRPr="00DA0A7D">
              <w:rPr>
                <w:sz w:val="14"/>
                <w:szCs w:val="14"/>
              </w:rPr>
              <w:t>x</w:t>
            </w:r>
          </w:p>
        </w:tc>
        <w:tc>
          <w:tcPr>
            <w:tcW w:w="158" w:type="pct"/>
          </w:tcPr>
          <w:p w14:paraId="08473DD8" w14:textId="77777777" w:rsidR="005132A0" w:rsidRPr="00DA0A7D" w:rsidRDefault="005132A0" w:rsidP="003A338E">
            <w:pPr>
              <w:spacing w:after="0" w:line="240" w:lineRule="auto"/>
              <w:jc w:val="center"/>
              <w:rPr>
                <w:sz w:val="14"/>
                <w:szCs w:val="14"/>
              </w:rPr>
            </w:pPr>
          </w:p>
        </w:tc>
        <w:tc>
          <w:tcPr>
            <w:tcW w:w="148" w:type="pct"/>
          </w:tcPr>
          <w:p w14:paraId="301C2F1B" w14:textId="77777777" w:rsidR="005132A0" w:rsidRPr="00DA0A7D" w:rsidRDefault="005132A0" w:rsidP="003A338E">
            <w:pPr>
              <w:spacing w:after="0" w:line="240" w:lineRule="auto"/>
              <w:jc w:val="center"/>
              <w:rPr>
                <w:sz w:val="14"/>
                <w:szCs w:val="14"/>
              </w:rPr>
            </w:pPr>
          </w:p>
        </w:tc>
        <w:tc>
          <w:tcPr>
            <w:tcW w:w="178" w:type="pct"/>
          </w:tcPr>
          <w:p w14:paraId="4447FC05" w14:textId="77777777" w:rsidR="005132A0" w:rsidRPr="00DA0A7D" w:rsidRDefault="005132A0" w:rsidP="003A338E">
            <w:pPr>
              <w:spacing w:after="0" w:line="240" w:lineRule="auto"/>
              <w:jc w:val="center"/>
              <w:rPr>
                <w:sz w:val="14"/>
                <w:szCs w:val="14"/>
              </w:rPr>
            </w:pPr>
          </w:p>
        </w:tc>
        <w:tc>
          <w:tcPr>
            <w:tcW w:w="154" w:type="pct"/>
          </w:tcPr>
          <w:p w14:paraId="189C2429" w14:textId="77777777" w:rsidR="005132A0" w:rsidRPr="00DA0A7D" w:rsidRDefault="005132A0" w:rsidP="003A338E">
            <w:pPr>
              <w:spacing w:after="0" w:line="240" w:lineRule="auto"/>
              <w:jc w:val="center"/>
              <w:rPr>
                <w:sz w:val="14"/>
                <w:szCs w:val="14"/>
              </w:rPr>
            </w:pPr>
          </w:p>
        </w:tc>
        <w:tc>
          <w:tcPr>
            <w:tcW w:w="156" w:type="pct"/>
          </w:tcPr>
          <w:p w14:paraId="3923F24A" w14:textId="77777777" w:rsidR="005132A0" w:rsidRPr="00DA0A7D" w:rsidRDefault="005132A0" w:rsidP="003A338E">
            <w:pPr>
              <w:spacing w:after="0" w:line="240" w:lineRule="auto"/>
              <w:jc w:val="center"/>
              <w:rPr>
                <w:rFonts w:cstheme="minorHAnsi"/>
                <w:sz w:val="14"/>
                <w:szCs w:val="14"/>
              </w:rPr>
            </w:pPr>
          </w:p>
        </w:tc>
        <w:tc>
          <w:tcPr>
            <w:tcW w:w="147" w:type="pct"/>
          </w:tcPr>
          <w:p w14:paraId="3312DFF8" w14:textId="77777777" w:rsidR="005132A0" w:rsidRPr="00DA0A7D" w:rsidRDefault="005132A0" w:rsidP="003A338E">
            <w:pPr>
              <w:spacing w:after="0" w:line="240" w:lineRule="auto"/>
              <w:jc w:val="center"/>
              <w:rPr>
                <w:sz w:val="14"/>
                <w:szCs w:val="14"/>
              </w:rPr>
            </w:pPr>
          </w:p>
        </w:tc>
        <w:tc>
          <w:tcPr>
            <w:tcW w:w="160" w:type="pct"/>
          </w:tcPr>
          <w:p w14:paraId="7626F3D3" w14:textId="77777777" w:rsidR="005132A0" w:rsidRPr="00DA0A7D" w:rsidRDefault="005132A0" w:rsidP="003A338E">
            <w:pPr>
              <w:spacing w:after="0" w:line="240" w:lineRule="auto"/>
              <w:jc w:val="center"/>
              <w:rPr>
                <w:sz w:val="14"/>
                <w:szCs w:val="14"/>
              </w:rPr>
            </w:pPr>
          </w:p>
        </w:tc>
        <w:tc>
          <w:tcPr>
            <w:tcW w:w="147" w:type="pct"/>
          </w:tcPr>
          <w:p w14:paraId="4F64D179" w14:textId="77777777" w:rsidR="005132A0" w:rsidRPr="00DA0A7D" w:rsidRDefault="005132A0" w:rsidP="003A338E">
            <w:pPr>
              <w:spacing w:after="0" w:line="240" w:lineRule="auto"/>
              <w:jc w:val="center"/>
              <w:rPr>
                <w:sz w:val="14"/>
                <w:szCs w:val="14"/>
              </w:rPr>
            </w:pPr>
          </w:p>
        </w:tc>
        <w:tc>
          <w:tcPr>
            <w:tcW w:w="153" w:type="pct"/>
          </w:tcPr>
          <w:p w14:paraId="69C4F77B" w14:textId="77777777" w:rsidR="005132A0" w:rsidRPr="00DA0A7D" w:rsidRDefault="005132A0" w:rsidP="003A338E">
            <w:pPr>
              <w:spacing w:after="0" w:line="240" w:lineRule="auto"/>
              <w:jc w:val="center"/>
              <w:rPr>
                <w:sz w:val="14"/>
                <w:szCs w:val="14"/>
              </w:rPr>
            </w:pPr>
            <w:r w:rsidRPr="00DA0A7D">
              <w:rPr>
                <w:sz w:val="14"/>
                <w:szCs w:val="14"/>
              </w:rPr>
              <w:t>x</w:t>
            </w:r>
          </w:p>
        </w:tc>
        <w:tc>
          <w:tcPr>
            <w:tcW w:w="158" w:type="pct"/>
          </w:tcPr>
          <w:p w14:paraId="4457126F" w14:textId="77777777" w:rsidR="005132A0" w:rsidRPr="00DA0A7D" w:rsidRDefault="005132A0" w:rsidP="003A338E">
            <w:pPr>
              <w:spacing w:after="0" w:line="240" w:lineRule="auto"/>
              <w:jc w:val="center"/>
              <w:rPr>
                <w:sz w:val="14"/>
                <w:szCs w:val="14"/>
              </w:rPr>
            </w:pPr>
          </w:p>
        </w:tc>
        <w:tc>
          <w:tcPr>
            <w:tcW w:w="147" w:type="pct"/>
          </w:tcPr>
          <w:p w14:paraId="5B6B039D" w14:textId="77777777" w:rsidR="005132A0" w:rsidRPr="00DA0A7D" w:rsidRDefault="005132A0" w:rsidP="003A338E">
            <w:pPr>
              <w:spacing w:after="0" w:line="240" w:lineRule="auto"/>
              <w:jc w:val="center"/>
              <w:rPr>
                <w:sz w:val="14"/>
                <w:szCs w:val="14"/>
              </w:rPr>
            </w:pPr>
            <w:r w:rsidRPr="00DA0A7D">
              <w:rPr>
                <w:sz w:val="14"/>
                <w:szCs w:val="14"/>
              </w:rPr>
              <w:t>x</w:t>
            </w:r>
          </w:p>
        </w:tc>
      </w:tr>
      <w:tr w:rsidR="005132A0" w:rsidRPr="00DA0A7D" w14:paraId="78871A60" w14:textId="77777777" w:rsidTr="003A338E">
        <w:trPr>
          <w:cantSplit/>
          <w:trHeight w:val="110"/>
        </w:trPr>
        <w:tc>
          <w:tcPr>
            <w:tcW w:w="827" w:type="pct"/>
            <w:vMerge/>
            <w:shd w:val="clear" w:color="auto" w:fill="004B8D"/>
          </w:tcPr>
          <w:p w14:paraId="66655591" w14:textId="77777777" w:rsidR="005132A0" w:rsidRPr="00DA0A7D" w:rsidRDefault="005132A0" w:rsidP="003A338E">
            <w:pPr>
              <w:spacing w:after="0"/>
              <w:rPr>
                <w:rFonts w:cstheme="minorHAnsi"/>
                <w:sz w:val="14"/>
                <w:szCs w:val="14"/>
              </w:rPr>
            </w:pPr>
          </w:p>
        </w:tc>
        <w:tc>
          <w:tcPr>
            <w:tcW w:w="924" w:type="pct"/>
            <w:vMerge/>
            <w:vAlign w:val="center"/>
          </w:tcPr>
          <w:p w14:paraId="58908386" w14:textId="77777777" w:rsidR="005132A0" w:rsidRPr="00DA0A7D" w:rsidRDefault="005132A0" w:rsidP="003A338E">
            <w:pPr>
              <w:spacing w:after="0"/>
              <w:rPr>
                <w:rFonts w:cstheme="minorHAnsi"/>
                <w:sz w:val="14"/>
                <w:szCs w:val="14"/>
              </w:rPr>
            </w:pPr>
          </w:p>
        </w:tc>
        <w:tc>
          <w:tcPr>
            <w:tcW w:w="1070" w:type="pct"/>
          </w:tcPr>
          <w:p w14:paraId="3B12A271" w14:textId="77777777" w:rsidR="005132A0" w:rsidRPr="00DA0A7D" w:rsidRDefault="005132A0" w:rsidP="003A338E">
            <w:pPr>
              <w:spacing w:after="0" w:line="240" w:lineRule="auto"/>
              <w:rPr>
                <w:rFonts w:cstheme="minorHAnsi"/>
                <w:sz w:val="14"/>
                <w:szCs w:val="14"/>
              </w:rPr>
            </w:pPr>
            <w:r w:rsidRPr="00DA0A7D">
              <w:rPr>
                <w:sz w:val="14"/>
                <w:szCs w:val="14"/>
              </w:rPr>
              <w:t>Textil</w:t>
            </w:r>
          </w:p>
        </w:tc>
        <w:tc>
          <w:tcPr>
            <w:tcW w:w="143" w:type="pct"/>
          </w:tcPr>
          <w:p w14:paraId="54EE9F11" w14:textId="77777777" w:rsidR="005132A0" w:rsidRPr="00DA0A7D" w:rsidRDefault="005132A0" w:rsidP="003A338E">
            <w:pPr>
              <w:spacing w:after="0" w:line="240" w:lineRule="auto"/>
              <w:jc w:val="center"/>
              <w:rPr>
                <w:sz w:val="14"/>
                <w:szCs w:val="14"/>
              </w:rPr>
            </w:pPr>
            <w:r w:rsidRPr="00DA0A7D">
              <w:rPr>
                <w:sz w:val="14"/>
                <w:szCs w:val="14"/>
              </w:rPr>
              <w:t>x</w:t>
            </w:r>
          </w:p>
        </w:tc>
        <w:tc>
          <w:tcPr>
            <w:tcW w:w="159" w:type="pct"/>
          </w:tcPr>
          <w:p w14:paraId="61593D18" w14:textId="77777777" w:rsidR="005132A0" w:rsidRPr="00DA0A7D" w:rsidRDefault="005132A0" w:rsidP="003A338E">
            <w:pPr>
              <w:spacing w:after="0" w:line="240" w:lineRule="auto"/>
              <w:jc w:val="center"/>
              <w:rPr>
                <w:sz w:val="14"/>
                <w:szCs w:val="14"/>
              </w:rPr>
            </w:pPr>
          </w:p>
        </w:tc>
        <w:tc>
          <w:tcPr>
            <w:tcW w:w="171" w:type="pct"/>
          </w:tcPr>
          <w:p w14:paraId="3789AD77" w14:textId="77777777" w:rsidR="005132A0" w:rsidRPr="00DA0A7D" w:rsidRDefault="005132A0" w:rsidP="003A338E">
            <w:pPr>
              <w:spacing w:after="0" w:line="240" w:lineRule="auto"/>
              <w:jc w:val="center"/>
              <w:rPr>
                <w:sz w:val="14"/>
                <w:szCs w:val="14"/>
              </w:rPr>
            </w:pPr>
          </w:p>
        </w:tc>
        <w:tc>
          <w:tcPr>
            <w:tcW w:w="158" w:type="pct"/>
          </w:tcPr>
          <w:p w14:paraId="37D08FB7" w14:textId="77777777" w:rsidR="005132A0" w:rsidRPr="00DA0A7D" w:rsidRDefault="005132A0" w:rsidP="003A338E">
            <w:pPr>
              <w:spacing w:after="0" w:line="240" w:lineRule="auto"/>
              <w:jc w:val="center"/>
              <w:rPr>
                <w:sz w:val="14"/>
                <w:szCs w:val="14"/>
              </w:rPr>
            </w:pPr>
            <w:r w:rsidRPr="00DA0A7D">
              <w:rPr>
                <w:sz w:val="14"/>
                <w:szCs w:val="14"/>
              </w:rPr>
              <w:t>x</w:t>
            </w:r>
          </w:p>
        </w:tc>
        <w:tc>
          <w:tcPr>
            <w:tcW w:w="148" w:type="pct"/>
          </w:tcPr>
          <w:p w14:paraId="57261F05" w14:textId="77777777" w:rsidR="005132A0" w:rsidRPr="00DA0A7D" w:rsidRDefault="005132A0" w:rsidP="003A338E">
            <w:pPr>
              <w:spacing w:after="0" w:line="240" w:lineRule="auto"/>
              <w:jc w:val="center"/>
              <w:rPr>
                <w:sz w:val="14"/>
                <w:szCs w:val="14"/>
              </w:rPr>
            </w:pPr>
            <w:r w:rsidRPr="00DA0A7D">
              <w:rPr>
                <w:sz w:val="14"/>
                <w:szCs w:val="14"/>
              </w:rPr>
              <w:t>x</w:t>
            </w:r>
          </w:p>
        </w:tc>
        <w:tc>
          <w:tcPr>
            <w:tcW w:w="178" w:type="pct"/>
          </w:tcPr>
          <w:p w14:paraId="6C80DDDA" w14:textId="77777777" w:rsidR="005132A0" w:rsidRPr="00DA0A7D" w:rsidRDefault="005132A0" w:rsidP="003A338E">
            <w:pPr>
              <w:spacing w:after="0" w:line="240" w:lineRule="auto"/>
              <w:jc w:val="center"/>
              <w:rPr>
                <w:sz w:val="14"/>
                <w:szCs w:val="14"/>
              </w:rPr>
            </w:pPr>
          </w:p>
        </w:tc>
        <w:tc>
          <w:tcPr>
            <w:tcW w:w="154" w:type="pct"/>
          </w:tcPr>
          <w:p w14:paraId="26CBE8A3" w14:textId="77777777" w:rsidR="005132A0" w:rsidRPr="00DA0A7D" w:rsidRDefault="005132A0" w:rsidP="003A338E">
            <w:pPr>
              <w:spacing w:after="0" w:line="240" w:lineRule="auto"/>
              <w:jc w:val="center"/>
              <w:rPr>
                <w:sz w:val="14"/>
                <w:szCs w:val="14"/>
              </w:rPr>
            </w:pPr>
          </w:p>
        </w:tc>
        <w:tc>
          <w:tcPr>
            <w:tcW w:w="156" w:type="pct"/>
          </w:tcPr>
          <w:p w14:paraId="77A8732D" w14:textId="77777777" w:rsidR="005132A0" w:rsidRPr="00DA0A7D" w:rsidRDefault="005132A0" w:rsidP="003A338E">
            <w:pPr>
              <w:spacing w:after="0" w:line="240" w:lineRule="auto"/>
              <w:jc w:val="center"/>
              <w:rPr>
                <w:rFonts w:cstheme="minorHAnsi"/>
                <w:sz w:val="14"/>
                <w:szCs w:val="14"/>
              </w:rPr>
            </w:pPr>
            <w:r w:rsidRPr="00DA0A7D">
              <w:rPr>
                <w:rFonts w:cstheme="minorHAnsi"/>
                <w:sz w:val="14"/>
                <w:szCs w:val="14"/>
              </w:rPr>
              <w:t>x</w:t>
            </w:r>
          </w:p>
        </w:tc>
        <w:tc>
          <w:tcPr>
            <w:tcW w:w="147" w:type="pct"/>
          </w:tcPr>
          <w:p w14:paraId="14578DDF" w14:textId="77777777" w:rsidR="005132A0" w:rsidRPr="00DA0A7D" w:rsidRDefault="005132A0" w:rsidP="003A338E">
            <w:pPr>
              <w:spacing w:after="0" w:line="240" w:lineRule="auto"/>
              <w:jc w:val="center"/>
              <w:rPr>
                <w:sz w:val="14"/>
                <w:szCs w:val="14"/>
              </w:rPr>
            </w:pPr>
          </w:p>
        </w:tc>
        <w:tc>
          <w:tcPr>
            <w:tcW w:w="160" w:type="pct"/>
          </w:tcPr>
          <w:p w14:paraId="7DEA55B0" w14:textId="77777777" w:rsidR="005132A0" w:rsidRPr="00DA0A7D" w:rsidRDefault="005132A0" w:rsidP="003A338E">
            <w:pPr>
              <w:spacing w:after="0" w:line="240" w:lineRule="auto"/>
              <w:jc w:val="center"/>
              <w:rPr>
                <w:sz w:val="14"/>
                <w:szCs w:val="14"/>
              </w:rPr>
            </w:pPr>
          </w:p>
        </w:tc>
        <w:tc>
          <w:tcPr>
            <w:tcW w:w="147" w:type="pct"/>
          </w:tcPr>
          <w:p w14:paraId="21E62B30" w14:textId="77777777" w:rsidR="005132A0" w:rsidRPr="00DA0A7D" w:rsidRDefault="005132A0" w:rsidP="003A338E">
            <w:pPr>
              <w:spacing w:after="0" w:line="240" w:lineRule="auto"/>
              <w:jc w:val="center"/>
              <w:rPr>
                <w:sz w:val="14"/>
                <w:szCs w:val="14"/>
              </w:rPr>
            </w:pPr>
          </w:p>
        </w:tc>
        <w:tc>
          <w:tcPr>
            <w:tcW w:w="153" w:type="pct"/>
          </w:tcPr>
          <w:p w14:paraId="161399CC" w14:textId="77777777" w:rsidR="005132A0" w:rsidRPr="00DA0A7D" w:rsidRDefault="005132A0" w:rsidP="003A338E">
            <w:pPr>
              <w:spacing w:after="0" w:line="240" w:lineRule="auto"/>
              <w:jc w:val="center"/>
              <w:rPr>
                <w:sz w:val="14"/>
                <w:szCs w:val="14"/>
              </w:rPr>
            </w:pPr>
          </w:p>
        </w:tc>
        <w:tc>
          <w:tcPr>
            <w:tcW w:w="158" w:type="pct"/>
          </w:tcPr>
          <w:p w14:paraId="08FFD3EC" w14:textId="77777777" w:rsidR="005132A0" w:rsidRPr="00DA0A7D" w:rsidRDefault="005132A0" w:rsidP="003A338E">
            <w:pPr>
              <w:spacing w:after="0" w:line="240" w:lineRule="auto"/>
              <w:jc w:val="center"/>
              <w:rPr>
                <w:sz w:val="14"/>
                <w:szCs w:val="14"/>
              </w:rPr>
            </w:pPr>
          </w:p>
        </w:tc>
        <w:tc>
          <w:tcPr>
            <w:tcW w:w="147" w:type="pct"/>
          </w:tcPr>
          <w:p w14:paraId="5971A9AC" w14:textId="77777777" w:rsidR="005132A0" w:rsidRPr="00DA0A7D" w:rsidRDefault="005132A0" w:rsidP="003A338E">
            <w:pPr>
              <w:spacing w:after="0" w:line="240" w:lineRule="auto"/>
              <w:jc w:val="center"/>
              <w:rPr>
                <w:sz w:val="14"/>
                <w:szCs w:val="14"/>
              </w:rPr>
            </w:pPr>
          </w:p>
        </w:tc>
      </w:tr>
    </w:tbl>
    <w:p w14:paraId="1BD02CEF" w14:textId="77777777" w:rsidR="00CC6436" w:rsidRPr="00CC6436" w:rsidRDefault="00CC6436" w:rsidP="00CC6436">
      <w:pPr>
        <w:rPr>
          <w:lang w:eastAsia="cs-CZ"/>
        </w:rPr>
      </w:pPr>
    </w:p>
    <w:p w14:paraId="4ED41CFB" w14:textId="235445ED" w:rsidR="00790C59" w:rsidRPr="008023C8" w:rsidRDefault="008023C8" w:rsidP="00790C59">
      <w:pPr>
        <w:rPr>
          <w:i/>
          <w:color w:val="000000" w:themeColor="text1"/>
          <w:sz w:val="18"/>
          <w:szCs w:val="18"/>
        </w:rPr>
      </w:pPr>
      <w:r w:rsidRPr="008023C8">
        <w:rPr>
          <w:i/>
          <w:color w:val="000000" w:themeColor="text1"/>
          <w:sz w:val="18"/>
          <w:szCs w:val="18"/>
        </w:rPr>
        <w:t>Zdroj: Kraje ČR</w:t>
      </w:r>
    </w:p>
    <w:p w14:paraId="49FD3D65" w14:textId="77777777" w:rsidR="005132A0" w:rsidRDefault="005132A0" w:rsidP="00790C59">
      <w:pPr>
        <w:rPr>
          <w:color w:val="000000" w:themeColor="text1"/>
        </w:rPr>
        <w:sectPr w:rsidR="005132A0" w:rsidSect="00AB0797">
          <w:pgSz w:w="16838" w:h="11906" w:orient="landscape"/>
          <w:pgMar w:top="1417" w:right="1417" w:bottom="1417" w:left="1417" w:header="708" w:footer="708" w:gutter="0"/>
          <w:cols w:space="708"/>
          <w:docGrid w:linePitch="360"/>
        </w:sectPr>
      </w:pPr>
    </w:p>
    <w:p w14:paraId="69E10ADB" w14:textId="75E29F57" w:rsidR="006E3CC5" w:rsidRPr="00F76546" w:rsidRDefault="006E3CC5" w:rsidP="00F76546">
      <w:pPr>
        <w:pStyle w:val="Nadpis3"/>
      </w:pPr>
      <w:bookmarkStart w:id="90" w:name="_Ref521660964"/>
      <w:bookmarkStart w:id="91" w:name="_Ref521663753"/>
      <w:bookmarkStart w:id="92" w:name="_Toc525716197"/>
      <w:r w:rsidRPr="00F76546">
        <w:lastRenderedPageBreak/>
        <w:t>Výzkumná specializace</w:t>
      </w:r>
      <w:bookmarkEnd w:id="90"/>
      <w:bookmarkEnd w:id="91"/>
      <w:bookmarkEnd w:id="92"/>
    </w:p>
    <w:p w14:paraId="3C314DDF" w14:textId="77777777" w:rsidR="002C0707" w:rsidRPr="002C0707" w:rsidRDefault="002C0707" w:rsidP="000216FA">
      <w:pPr>
        <w:spacing w:before="240" w:after="0" w:line="360" w:lineRule="auto"/>
        <w:ind w:firstLine="709"/>
        <w:jc w:val="both"/>
      </w:pPr>
      <w:r w:rsidRPr="002C0707">
        <w:t>Na základě ekonomických analýz tržních trendů</w:t>
      </w:r>
      <w:r w:rsidRPr="002C0707">
        <w:rPr>
          <w:rFonts w:cs="Arial"/>
        </w:rPr>
        <w:t xml:space="preserve"> zařazuje EK v roce 2012 </w:t>
      </w:r>
      <w:r w:rsidRPr="002C0707">
        <w:t xml:space="preserve">mezi klíčové technologie EU </w:t>
      </w:r>
      <w:r w:rsidRPr="002C0707">
        <w:rPr>
          <w:rFonts w:cs="Arial"/>
        </w:rPr>
        <w:t>(KETs)</w:t>
      </w:r>
      <w:r w:rsidRPr="00BA4F8E">
        <w:rPr>
          <w:rFonts w:cs="Arial"/>
          <w:vertAlign w:val="superscript"/>
        </w:rPr>
        <w:footnoteReference w:id="67"/>
      </w:r>
      <w:r w:rsidRPr="002C0707">
        <w:rPr>
          <w:rFonts w:cs="Arial"/>
        </w:rPr>
        <w:t xml:space="preserve"> </w:t>
      </w:r>
      <w:r w:rsidRPr="002C0707">
        <w:rPr>
          <w:rFonts w:cs="Arial"/>
          <w:i/>
        </w:rPr>
        <w:t xml:space="preserve">(i) </w:t>
      </w:r>
      <w:r w:rsidRPr="002C0707">
        <w:rPr>
          <w:i/>
        </w:rPr>
        <w:t>mikro a nanoelektroniku</w:t>
      </w:r>
      <w:r w:rsidRPr="002C0707">
        <w:t xml:space="preserve">, </w:t>
      </w:r>
      <w:r w:rsidRPr="002C0707">
        <w:rPr>
          <w:i/>
        </w:rPr>
        <w:t>(ii) nanotechnologie</w:t>
      </w:r>
      <w:r w:rsidRPr="002C0707">
        <w:t xml:space="preserve">, </w:t>
      </w:r>
      <w:r w:rsidRPr="002C0707">
        <w:rPr>
          <w:i/>
        </w:rPr>
        <w:t>(iii) fotoniku</w:t>
      </w:r>
      <w:r w:rsidRPr="002C0707">
        <w:t xml:space="preserve">, </w:t>
      </w:r>
      <w:r w:rsidRPr="002C0707">
        <w:rPr>
          <w:i/>
        </w:rPr>
        <w:t>(iv) pokročilé materiály</w:t>
      </w:r>
      <w:r w:rsidRPr="002C0707">
        <w:t xml:space="preserve">, </w:t>
      </w:r>
      <w:r w:rsidRPr="002C0707">
        <w:rPr>
          <w:i/>
        </w:rPr>
        <w:t>(v) průmyslovou biotechnologii</w:t>
      </w:r>
      <w:r w:rsidRPr="002C0707">
        <w:t xml:space="preserve"> a </w:t>
      </w:r>
      <w:r w:rsidRPr="002C0707">
        <w:rPr>
          <w:i/>
        </w:rPr>
        <w:t>(vi) pokročilé výrobní technologie</w:t>
      </w:r>
      <w:r w:rsidRPr="002C0707">
        <w:t>. Jednotlivé klíčové technologie definuje EK jako technologie „</w:t>
      </w:r>
      <w:r w:rsidRPr="002C0707">
        <w:rPr>
          <w:i/>
        </w:rPr>
        <w:t>náročné na znalosti a spojené s intenzivním VaV, rychlými inovačními cykly, vysokými kapitálovými náklady a vysoce kvalifikovanými pracovními místy. KETs umožňují inovace výrobních postupů, zboží a služeb v rámci celého hospodářství a mají systémový význam. Jsou multidisciplinární povahy a zasahují do mnohých oblastí technologií s tendencí ke konvergenci a integraci. Klíčové technologie mohou těm, kdo jsou v čele dalších odvětví technologií, pomoci těžit z jejich úsilí v oblasti výzkumu</w:t>
      </w:r>
      <w:r w:rsidRPr="002C0707">
        <w:t>“.</w:t>
      </w:r>
    </w:p>
    <w:p w14:paraId="58D9A854" w14:textId="77777777" w:rsidR="00580DE3" w:rsidRDefault="00580DE3" w:rsidP="00E61157">
      <w:pPr>
        <w:spacing w:after="0" w:line="360" w:lineRule="auto"/>
        <w:ind w:firstLine="709"/>
        <w:jc w:val="both"/>
        <w:rPr>
          <w:rFonts w:cs="Arial"/>
        </w:rPr>
      </w:pPr>
    </w:p>
    <w:p w14:paraId="4A85377B" w14:textId="77777777" w:rsidR="002C0707" w:rsidRDefault="002C0707" w:rsidP="00E61157">
      <w:pPr>
        <w:spacing w:after="0" w:line="360" w:lineRule="auto"/>
        <w:ind w:firstLine="709"/>
        <w:jc w:val="both"/>
        <w:rPr>
          <w:rFonts w:cs="Arial"/>
        </w:rPr>
      </w:pPr>
      <w:r w:rsidRPr="002C0707">
        <w:rPr>
          <w:rFonts w:cs="Arial"/>
        </w:rPr>
        <w:t>V roce 2014 vytváří Technologické centrum AV ČR základní charakteristiky KETs</w:t>
      </w:r>
      <w:r w:rsidRPr="00BA4F8E">
        <w:rPr>
          <w:rFonts w:cs="Arial"/>
          <w:vertAlign w:val="superscript"/>
        </w:rPr>
        <w:t xml:space="preserve"> </w:t>
      </w:r>
      <w:r w:rsidRPr="00BA4F8E">
        <w:rPr>
          <w:rFonts w:cs="Arial"/>
          <w:vertAlign w:val="superscript"/>
        </w:rPr>
        <w:footnoteReference w:id="68"/>
      </w:r>
      <w:r w:rsidRPr="002C0707">
        <w:rPr>
          <w:rFonts w:cs="Arial"/>
        </w:rPr>
        <w:t>:</w:t>
      </w:r>
    </w:p>
    <w:p w14:paraId="311B7BA7" w14:textId="77777777" w:rsidR="00580DE3" w:rsidRDefault="00580DE3" w:rsidP="00E61157">
      <w:pPr>
        <w:spacing w:after="0" w:line="360" w:lineRule="auto"/>
        <w:ind w:firstLine="709"/>
        <w:jc w:val="both"/>
        <w:rPr>
          <w:rFonts w:cs="Arial"/>
        </w:rPr>
      </w:pPr>
    </w:p>
    <w:p w14:paraId="73AE50DB" w14:textId="77777777" w:rsidR="002C0707" w:rsidRPr="002C0707" w:rsidRDefault="002C0707" w:rsidP="00543C1B">
      <w:pPr>
        <w:numPr>
          <w:ilvl w:val="0"/>
          <w:numId w:val="76"/>
        </w:numPr>
        <w:spacing w:after="0" w:line="360" w:lineRule="auto"/>
        <w:contextualSpacing/>
        <w:jc w:val="both"/>
        <w:rPr>
          <w:rFonts w:cs="Arial"/>
          <w:i/>
        </w:rPr>
      </w:pPr>
      <w:r w:rsidRPr="002C0707">
        <w:rPr>
          <w:rFonts w:cs="Arial"/>
          <w:i/>
        </w:rPr>
        <w:t>Mikro a nanoelektronika</w:t>
      </w:r>
    </w:p>
    <w:p w14:paraId="0160E656" w14:textId="77777777" w:rsidR="002C0707" w:rsidRDefault="002C0707" w:rsidP="000216FA">
      <w:pPr>
        <w:spacing w:after="0" w:line="360" w:lineRule="auto"/>
        <w:ind w:firstLine="709"/>
        <w:jc w:val="both"/>
        <w:rPr>
          <w:rFonts w:cs="Arial"/>
        </w:rPr>
      </w:pPr>
      <w:r w:rsidRPr="002C0707">
        <w:rPr>
          <w:rFonts w:cs="Arial"/>
        </w:rPr>
        <w:t xml:space="preserve">Pod pojmem mikro a nanoelektronika jsou chápány jak polovodičové komponenty, tak i vysoce miniaturizované elektronické subsystémy a jejich integrace do větších systémů a produktů, jako jsou například čipy, mikroprocesory (resp. komponenty pro zpracování informace), počítačové paměti, mikro-elektro-mechanické systémy (MEMS) apod. Termín nanoelektronika je široce definován a lze do něho zahrnout všechny oblasti elektroniky se strukturou na úrovni nanometrů. V užším smyslu lze nanoelektroniku omezit na technologie založené na křemíku (resp. polovodičích) a na struktury s rozměry menšími než 100 nm. Do nanoelektroniky lze zařadit i transistorové součástky s takovými rozměry, kdy se uplatňují jejich kvantově-mechanické vlastnosti. Mezi mikroelektronikou a nanoelektronikou není pevná hranice. </w:t>
      </w:r>
    </w:p>
    <w:p w14:paraId="14FEDC62" w14:textId="77777777" w:rsidR="000216FA" w:rsidRPr="002C0707" w:rsidRDefault="000216FA" w:rsidP="000216FA">
      <w:pPr>
        <w:spacing w:after="0" w:line="360" w:lineRule="auto"/>
        <w:ind w:firstLine="709"/>
        <w:jc w:val="both"/>
        <w:rPr>
          <w:rFonts w:cs="Arial"/>
        </w:rPr>
      </w:pPr>
    </w:p>
    <w:p w14:paraId="7D711F9F" w14:textId="77777777" w:rsidR="002C0707" w:rsidRPr="002C0707" w:rsidRDefault="002C0707" w:rsidP="00543C1B">
      <w:pPr>
        <w:numPr>
          <w:ilvl w:val="0"/>
          <w:numId w:val="76"/>
        </w:numPr>
        <w:spacing w:after="0" w:line="360" w:lineRule="auto"/>
        <w:contextualSpacing/>
        <w:jc w:val="both"/>
        <w:rPr>
          <w:rFonts w:cs="Arial"/>
          <w:i/>
        </w:rPr>
      </w:pPr>
      <w:r w:rsidRPr="002C0707">
        <w:rPr>
          <w:rFonts w:cs="Arial"/>
          <w:i/>
        </w:rPr>
        <w:t>Nanotechnologie</w:t>
      </w:r>
    </w:p>
    <w:p w14:paraId="77D7014F" w14:textId="77777777" w:rsidR="002C0707" w:rsidRDefault="002C0707" w:rsidP="000216FA">
      <w:pPr>
        <w:spacing w:after="0" w:line="360" w:lineRule="auto"/>
        <w:ind w:firstLine="709"/>
        <w:jc w:val="both"/>
        <w:rPr>
          <w:rFonts w:cs="Arial"/>
        </w:rPr>
      </w:pPr>
      <w:r w:rsidRPr="002C0707">
        <w:rPr>
          <w:rFonts w:cs="Arial"/>
        </w:rPr>
        <w:t xml:space="preserve">Za nanotechnologie lze považovat technologie pro struktury s rozměry do 100 nanometrů alespoň v jednom rozměru. Jedná se o vysoce multidisciplinární a průřezovou technologii využívající nové techniky zaměřené například na vývoj nových materiálů, struktur se specifickými vlastnostmi, komponent a zařízení v této velikosti, které jsou využitelné v řadě oborů, jako je například elektronika, lékařství, materiálové vědy, energetika, transport a další odvětví. Mezi typické příklady nanotechnologií patří například uhlíková nanovlákna, grafeny a kvantové tečky. </w:t>
      </w:r>
    </w:p>
    <w:p w14:paraId="0E5A2452" w14:textId="77777777" w:rsidR="002C0707" w:rsidRPr="002C0707" w:rsidRDefault="002C0707" w:rsidP="00543C1B">
      <w:pPr>
        <w:numPr>
          <w:ilvl w:val="0"/>
          <w:numId w:val="76"/>
        </w:numPr>
        <w:spacing w:after="0" w:line="360" w:lineRule="auto"/>
        <w:contextualSpacing/>
        <w:jc w:val="both"/>
        <w:rPr>
          <w:rFonts w:cs="Arial"/>
          <w:i/>
        </w:rPr>
      </w:pPr>
      <w:r w:rsidRPr="002C0707">
        <w:rPr>
          <w:rFonts w:cs="Arial"/>
          <w:i/>
        </w:rPr>
        <w:lastRenderedPageBreak/>
        <w:t xml:space="preserve">Fotonika  </w:t>
      </w:r>
    </w:p>
    <w:p w14:paraId="33301191" w14:textId="77777777" w:rsidR="002C0707" w:rsidRPr="002C0707" w:rsidRDefault="002C0707" w:rsidP="00580DE3">
      <w:pPr>
        <w:spacing w:after="200" w:line="360" w:lineRule="auto"/>
        <w:ind w:firstLine="709"/>
        <w:jc w:val="both"/>
        <w:rPr>
          <w:rFonts w:cs="Arial"/>
        </w:rPr>
      </w:pPr>
      <w:r w:rsidRPr="002C0707">
        <w:rPr>
          <w:rFonts w:cs="Arial"/>
        </w:rPr>
        <w:t>Fotonika je považována za průřezovou technologii zahrnující generaci světla, jeho vedení, manipulaci se světlem, detekci světla, zesilování světla a jeho využívání v aplikacích. Za „světlo“ je chápáno nejen viditelné světlo, ale i mikrovlnná část spektra, ultrafialová část spektra a rentgenové záření (paprsky X). Fotonika je využitelná v řadě aplikačních sektorů, jako jsou například:</w:t>
      </w:r>
    </w:p>
    <w:p w14:paraId="561EAEDB" w14:textId="77777777" w:rsidR="002C0707" w:rsidRPr="002C0707" w:rsidRDefault="002C0707" w:rsidP="00543C1B">
      <w:pPr>
        <w:numPr>
          <w:ilvl w:val="0"/>
          <w:numId w:val="77"/>
        </w:numPr>
        <w:spacing w:before="240" w:after="200" w:line="360" w:lineRule="auto"/>
        <w:contextualSpacing/>
        <w:jc w:val="both"/>
        <w:rPr>
          <w:rFonts w:cs="Arial"/>
        </w:rPr>
      </w:pPr>
      <w:r w:rsidRPr="002C0707">
        <w:rPr>
          <w:rFonts w:cs="Arial"/>
        </w:rPr>
        <w:t xml:space="preserve">Průmyslová výroba / zpracovatelský průmysl – světlo (lasery) jako přesný a rychlý nástroj ve výrobě (sváření, řezání, vrtání …) apod.; </w:t>
      </w:r>
    </w:p>
    <w:p w14:paraId="7226F6D3" w14:textId="77777777" w:rsidR="002C0707" w:rsidRPr="002C0707" w:rsidRDefault="002C0707" w:rsidP="00543C1B">
      <w:pPr>
        <w:numPr>
          <w:ilvl w:val="0"/>
          <w:numId w:val="77"/>
        </w:numPr>
        <w:spacing w:before="240" w:after="200" w:line="360" w:lineRule="auto"/>
        <w:contextualSpacing/>
        <w:jc w:val="both"/>
        <w:rPr>
          <w:rFonts w:cs="Arial"/>
        </w:rPr>
      </w:pPr>
      <w:r w:rsidRPr="002C0707">
        <w:rPr>
          <w:rFonts w:cs="Arial"/>
        </w:rPr>
        <w:t xml:space="preserve">Optická měření a systémy pro vidění (například sensory, spektrometry, měřící systémy pro různé aplikace apod.); </w:t>
      </w:r>
    </w:p>
    <w:p w14:paraId="5BD7F2BD" w14:textId="77777777" w:rsidR="002C0707" w:rsidRPr="002C0707" w:rsidRDefault="002C0707" w:rsidP="00543C1B">
      <w:pPr>
        <w:numPr>
          <w:ilvl w:val="0"/>
          <w:numId w:val="77"/>
        </w:numPr>
        <w:spacing w:before="240" w:after="200" w:line="360" w:lineRule="auto"/>
        <w:contextualSpacing/>
        <w:jc w:val="both"/>
        <w:rPr>
          <w:rFonts w:cs="Arial"/>
        </w:rPr>
      </w:pPr>
      <w:r w:rsidRPr="002C0707">
        <w:rPr>
          <w:rFonts w:cs="Arial"/>
        </w:rPr>
        <w:t xml:space="preserve">Lékařské technologie a přírodní vědy (mikroskopie, počítačová tomografie, využití světla v testování, monitorování a diagnostice, využití světla v terapii, při operacích, v dermatologii apod.); </w:t>
      </w:r>
    </w:p>
    <w:p w14:paraId="068820B1" w14:textId="77777777" w:rsidR="002C0707" w:rsidRPr="002C0707" w:rsidRDefault="002C0707" w:rsidP="00543C1B">
      <w:pPr>
        <w:numPr>
          <w:ilvl w:val="0"/>
          <w:numId w:val="77"/>
        </w:numPr>
        <w:spacing w:before="240" w:after="200" w:line="360" w:lineRule="auto"/>
        <w:contextualSpacing/>
        <w:jc w:val="both"/>
        <w:rPr>
          <w:rFonts w:cs="Arial"/>
        </w:rPr>
      </w:pPr>
      <w:r w:rsidRPr="002C0707">
        <w:rPr>
          <w:rFonts w:cs="Arial"/>
        </w:rPr>
        <w:t xml:space="preserve">Optické komunikace (optické sítě a prvky); </w:t>
      </w:r>
    </w:p>
    <w:p w14:paraId="2F5AEC96" w14:textId="77777777" w:rsidR="002C0707" w:rsidRPr="002C0707" w:rsidRDefault="002C0707" w:rsidP="00543C1B">
      <w:pPr>
        <w:numPr>
          <w:ilvl w:val="0"/>
          <w:numId w:val="77"/>
        </w:numPr>
        <w:spacing w:before="240" w:after="200" w:line="360" w:lineRule="auto"/>
        <w:contextualSpacing/>
        <w:jc w:val="both"/>
        <w:rPr>
          <w:rFonts w:cs="Arial"/>
        </w:rPr>
      </w:pPr>
      <w:r w:rsidRPr="002C0707">
        <w:rPr>
          <w:rFonts w:cs="Arial"/>
        </w:rPr>
        <w:t xml:space="preserve">Informační technologie (zpracování, ukládání, přenos a vizualizace dat, tisk apod.); </w:t>
      </w:r>
    </w:p>
    <w:p w14:paraId="4E32F881" w14:textId="77777777" w:rsidR="002C0707" w:rsidRPr="002C0707" w:rsidRDefault="002C0707" w:rsidP="00543C1B">
      <w:pPr>
        <w:numPr>
          <w:ilvl w:val="0"/>
          <w:numId w:val="77"/>
        </w:numPr>
        <w:spacing w:before="240" w:after="200" w:line="360" w:lineRule="auto"/>
        <w:contextualSpacing/>
        <w:jc w:val="both"/>
        <w:rPr>
          <w:rFonts w:cs="Arial"/>
        </w:rPr>
      </w:pPr>
      <w:r w:rsidRPr="002C0707">
        <w:rPr>
          <w:rFonts w:cs="Arial"/>
        </w:rPr>
        <w:t xml:space="preserve">Osvětlení a displeje – osvětlovací systémy, lampy, polovodičové světelné zdroje (LED, OLED); </w:t>
      </w:r>
    </w:p>
    <w:p w14:paraId="147447AE" w14:textId="77777777" w:rsidR="002C0707" w:rsidRPr="002C0707" w:rsidRDefault="002C0707" w:rsidP="00543C1B">
      <w:pPr>
        <w:numPr>
          <w:ilvl w:val="0"/>
          <w:numId w:val="77"/>
        </w:numPr>
        <w:spacing w:before="240" w:after="200" w:line="360" w:lineRule="auto"/>
        <w:contextualSpacing/>
        <w:jc w:val="both"/>
        <w:rPr>
          <w:rFonts w:cs="Arial"/>
        </w:rPr>
      </w:pPr>
      <w:r w:rsidRPr="002C0707">
        <w:rPr>
          <w:rFonts w:cs="Arial"/>
        </w:rPr>
        <w:t xml:space="preserve">Energetika (solární články a panely); </w:t>
      </w:r>
    </w:p>
    <w:p w14:paraId="4BEE9761" w14:textId="77777777" w:rsidR="002C0707" w:rsidRPr="002C0707" w:rsidRDefault="002C0707" w:rsidP="00543C1B">
      <w:pPr>
        <w:numPr>
          <w:ilvl w:val="0"/>
          <w:numId w:val="77"/>
        </w:numPr>
        <w:spacing w:before="240" w:after="200" w:line="360" w:lineRule="auto"/>
        <w:contextualSpacing/>
        <w:jc w:val="both"/>
        <w:rPr>
          <w:rFonts w:cs="Arial"/>
        </w:rPr>
      </w:pPr>
      <w:r w:rsidRPr="002C0707">
        <w:rPr>
          <w:rFonts w:cs="Arial"/>
        </w:rPr>
        <w:t>Obranné systémy (vidění a zobrazování, zaměřování, navádění apod.).</w:t>
      </w:r>
    </w:p>
    <w:p w14:paraId="1B3254C8" w14:textId="77777777" w:rsidR="002C0707" w:rsidRPr="002C0707" w:rsidRDefault="002C0707" w:rsidP="00340E4D">
      <w:pPr>
        <w:spacing w:after="200" w:line="360" w:lineRule="auto"/>
        <w:ind w:left="720"/>
        <w:contextualSpacing/>
        <w:jc w:val="both"/>
        <w:rPr>
          <w:rFonts w:cs="Arial"/>
        </w:rPr>
      </w:pPr>
    </w:p>
    <w:p w14:paraId="74EB4FC0" w14:textId="77777777" w:rsidR="002C0707" w:rsidRPr="002C0707" w:rsidRDefault="002C0707" w:rsidP="00543C1B">
      <w:pPr>
        <w:numPr>
          <w:ilvl w:val="0"/>
          <w:numId w:val="76"/>
        </w:numPr>
        <w:spacing w:before="240" w:after="200" w:line="360" w:lineRule="auto"/>
        <w:contextualSpacing/>
        <w:jc w:val="both"/>
        <w:rPr>
          <w:rFonts w:cs="Arial"/>
          <w:i/>
        </w:rPr>
      </w:pPr>
      <w:r w:rsidRPr="002C0707">
        <w:rPr>
          <w:rFonts w:cs="Arial"/>
          <w:i/>
        </w:rPr>
        <w:t>Pokročilé materiály</w:t>
      </w:r>
    </w:p>
    <w:p w14:paraId="025F6374" w14:textId="77777777" w:rsidR="002C0707" w:rsidRPr="002C0707" w:rsidRDefault="002C0707" w:rsidP="00340E4D">
      <w:pPr>
        <w:spacing w:before="240" w:after="200" w:line="360" w:lineRule="auto"/>
        <w:ind w:firstLine="709"/>
        <w:jc w:val="both"/>
        <w:rPr>
          <w:rFonts w:cs="Arial"/>
        </w:rPr>
      </w:pPr>
      <w:r w:rsidRPr="002C0707">
        <w:rPr>
          <w:rFonts w:cs="Arial"/>
        </w:rPr>
        <w:t>Pokročilé materiály zahrnují velmi širokou oblast materiálů s obtížně definovatelnými hranicemi. Na obecné úrovni lze za pokročilé materiály považovat materiály s požadovanými vlastnostmi a funkcemi. Například lehké materiály, materiály pro extrémní podmínky, materiály, které slouží jako ochranné povlaky (proti různým vlivům, například proti extrémním podmínkám), nebo materiály, které mají „inteligentní funkce (inteligentní materiály). Příkladem mohou být:</w:t>
      </w:r>
    </w:p>
    <w:p w14:paraId="2076FF6E" w14:textId="77777777" w:rsidR="002C0707" w:rsidRPr="002C0707" w:rsidRDefault="002C0707" w:rsidP="00543C1B">
      <w:pPr>
        <w:numPr>
          <w:ilvl w:val="0"/>
          <w:numId w:val="78"/>
        </w:numPr>
        <w:spacing w:before="240" w:after="200" w:line="360" w:lineRule="auto"/>
        <w:contextualSpacing/>
        <w:jc w:val="both"/>
        <w:rPr>
          <w:rFonts w:cs="Arial"/>
        </w:rPr>
      </w:pPr>
      <w:r w:rsidRPr="002C0707">
        <w:rPr>
          <w:rFonts w:cs="Arial"/>
        </w:rPr>
        <w:t xml:space="preserve">pokročilé kovy, </w:t>
      </w:r>
    </w:p>
    <w:p w14:paraId="1031F1D6" w14:textId="77777777" w:rsidR="002C0707" w:rsidRPr="002C0707" w:rsidRDefault="002C0707" w:rsidP="00543C1B">
      <w:pPr>
        <w:numPr>
          <w:ilvl w:val="0"/>
          <w:numId w:val="78"/>
        </w:numPr>
        <w:spacing w:before="240" w:after="200" w:line="360" w:lineRule="auto"/>
        <w:contextualSpacing/>
        <w:jc w:val="both"/>
        <w:rPr>
          <w:rFonts w:cs="Arial"/>
        </w:rPr>
      </w:pPr>
      <w:r w:rsidRPr="002C0707">
        <w:rPr>
          <w:rFonts w:cs="Arial"/>
        </w:rPr>
        <w:t xml:space="preserve">pokročilé syntetické polymery, </w:t>
      </w:r>
    </w:p>
    <w:p w14:paraId="6717652C" w14:textId="77777777" w:rsidR="002C0707" w:rsidRPr="002C0707" w:rsidRDefault="002C0707" w:rsidP="00543C1B">
      <w:pPr>
        <w:numPr>
          <w:ilvl w:val="0"/>
          <w:numId w:val="78"/>
        </w:numPr>
        <w:spacing w:before="240" w:after="200" w:line="360" w:lineRule="auto"/>
        <w:contextualSpacing/>
        <w:jc w:val="both"/>
        <w:rPr>
          <w:rFonts w:cs="Arial"/>
        </w:rPr>
      </w:pPr>
      <w:r w:rsidRPr="002C0707">
        <w:rPr>
          <w:rFonts w:cs="Arial"/>
        </w:rPr>
        <w:t xml:space="preserve">pokročilá keramika, </w:t>
      </w:r>
    </w:p>
    <w:p w14:paraId="07913F4D" w14:textId="77777777" w:rsidR="002C0707" w:rsidRPr="002C0707" w:rsidRDefault="002C0707" w:rsidP="00543C1B">
      <w:pPr>
        <w:numPr>
          <w:ilvl w:val="0"/>
          <w:numId w:val="78"/>
        </w:numPr>
        <w:spacing w:before="240" w:after="200" w:line="360" w:lineRule="auto"/>
        <w:contextualSpacing/>
        <w:jc w:val="both"/>
        <w:rPr>
          <w:rFonts w:cs="Arial"/>
        </w:rPr>
      </w:pPr>
      <w:r w:rsidRPr="002C0707">
        <w:rPr>
          <w:rFonts w:cs="Arial"/>
        </w:rPr>
        <w:t xml:space="preserve">nové kompozity, </w:t>
      </w:r>
    </w:p>
    <w:p w14:paraId="6A36192E" w14:textId="77777777" w:rsidR="002C0707" w:rsidRPr="002C0707" w:rsidRDefault="002C0707" w:rsidP="00543C1B">
      <w:pPr>
        <w:numPr>
          <w:ilvl w:val="0"/>
          <w:numId w:val="78"/>
        </w:numPr>
        <w:spacing w:after="0" w:line="360" w:lineRule="auto"/>
        <w:contextualSpacing/>
        <w:jc w:val="both"/>
        <w:rPr>
          <w:rFonts w:cs="Arial"/>
        </w:rPr>
      </w:pPr>
      <w:r w:rsidRPr="002C0707">
        <w:rPr>
          <w:rFonts w:cs="Arial"/>
        </w:rPr>
        <w:t xml:space="preserve">pokročilé biopolymery a další materiály. </w:t>
      </w:r>
    </w:p>
    <w:p w14:paraId="0286DA7E" w14:textId="77777777" w:rsidR="00580DE3" w:rsidRDefault="00580DE3" w:rsidP="00580DE3">
      <w:pPr>
        <w:spacing w:after="0" w:line="360" w:lineRule="auto"/>
        <w:ind w:firstLine="709"/>
        <w:jc w:val="both"/>
        <w:rPr>
          <w:rFonts w:cs="Arial"/>
        </w:rPr>
      </w:pPr>
    </w:p>
    <w:p w14:paraId="3870D9FF" w14:textId="2876A4C0" w:rsidR="002C0707" w:rsidRDefault="002C0707" w:rsidP="00580DE3">
      <w:pPr>
        <w:spacing w:after="0" w:line="360" w:lineRule="auto"/>
        <w:ind w:firstLine="709"/>
        <w:jc w:val="both"/>
        <w:rPr>
          <w:rFonts w:cs="Arial"/>
        </w:rPr>
      </w:pPr>
      <w:r w:rsidRPr="002C0707">
        <w:rPr>
          <w:rFonts w:cs="Arial"/>
        </w:rPr>
        <w:t>Cílem výzkumu v oblasti pokročilých materiálů je porozumět vztahům mezi složením a</w:t>
      </w:r>
      <w:r w:rsidR="00151F3B">
        <w:rPr>
          <w:rFonts w:cs="Arial"/>
        </w:rPr>
        <w:t> </w:t>
      </w:r>
      <w:r w:rsidRPr="002C0707">
        <w:rPr>
          <w:rFonts w:cs="Arial"/>
        </w:rPr>
        <w:t xml:space="preserve">mikrostrukturou materiálů a jeho technickými vlastnostmi, tj. jak mikrostruktura ovlivňuje chování </w:t>
      </w:r>
      <w:r w:rsidRPr="002C0707">
        <w:rPr>
          <w:rFonts w:cs="Arial"/>
        </w:rPr>
        <w:lastRenderedPageBreak/>
        <w:t>v</w:t>
      </w:r>
      <w:r w:rsidR="00151F3B">
        <w:rPr>
          <w:rFonts w:cs="Arial"/>
        </w:rPr>
        <w:t> </w:t>
      </w:r>
      <w:r w:rsidRPr="002C0707">
        <w:rPr>
          <w:rFonts w:cs="Arial"/>
        </w:rPr>
        <w:t>různých aplikacích, jak je toho možné dosáhnout a jak modifikovat chování materiálů různými výrobními technologiemi.</w:t>
      </w:r>
    </w:p>
    <w:p w14:paraId="13996080" w14:textId="77777777" w:rsidR="00DB00C8" w:rsidRPr="002C0707" w:rsidRDefault="00DB00C8" w:rsidP="00DB00C8">
      <w:pPr>
        <w:spacing w:before="240" w:after="0" w:line="360" w:lineRule="auto"/>
        <w:ind w:firstLine="709"/>
        <w:jc w:val="both"/>
        <w:rPr>
          <w:rFonts w:cs="Arial"/>
        </w:rPr>
      </w:pPr>
    </w:p>
    <w:p w14:paraId="5C67CEC5" w14:textId="77777777" w:rsidR="002C0707" w:rsidRPr="002C0707" w:rsidRDefault="002C0707" w:rsidP="00543C1B">
      <w:pPr>
        <w:numPr>
          <w:ilvl w:val="0"/>
          <w:numId w:val="76"/>
        </w:numPr>
        <w:spacing w:before="240" w:after="0" w:line="360" w:lineRule="auto"/>
        <w:contextualSpacing/>
        <w:jc w:val="both"/>
        <w:rPr>
          <w:rFonts w:cs="Arial"/>
          <w:i/>
        </w:rPr>
      </w:pPr>
      <w:r w:rsidRPr="002C0707">
        <w:rPr>
          <w:rFonts w:cs="Arial"/>
          <w:i/>
        </w:rPr>
        <w:t>Průmyslové biotechnologie</w:t>
      </w:r>
    </w:p>
    <w:p w14:paraId="1574522E" w14:textId="77777777" w:rsidR="002C0707" w:rsidRPr="002C0707" w:rsidRDefault="002C0707" w:rsidP="00340E4D">
      <w:pPr>
        <w:spacing w:before="240" w:after="200" w:line="360" w:lineRule="auto"/>
        <w:ind w:firstLine="709"/>
        <w:jc w:val="both"/>
        <w:rPr>
          <w:rFonts w:cs="Arial"/>
        </w:rPr>
      </w:pPr>
      <w:r w:rsidRPr="002C0707">
        <w:rPr>
          <w:rFonts w:cs="Arial"/>
        </w:rPr>
        <w:t>Za průmyslové biotechnologie (též „bílé“ biotechnologie) lze považovat aplikace biotechnologií pro průmyslové zpracování a výrobu bioproduktů, chemikálií, materiálů a paliv, které využívají mikroorganismy nebo enzymy, v sektorech, jako je chemický průmysl, materiálová výroba, energetika (biopaliva), potravinářství/výživa, zdravotní péče, textilní průmysl, papírenský průmysl apod. Mezi techniky/technologie využívané v biotechnologiích (a tedy i v průmyslových biotechnologiích) patří:</w:t>
      </w:r>
    </w:p>
    <w:p w14:paraId="2A8176CB" w14:textId="77777777" w:rsidR="002C0707" w:rsidRPr="002C0707" w:rsidRDefault="002C0707" w:rsidP="00543C1B">
      <w:pPr>
        <w:numPr>
          <w:ilvl w:val="0"/>
          <w:numId w:val="79"/>
        </w:numPr>
        <w:spacing w:before="240" w:after="200" w:line="360" w:lineRule="auto"/>
        <w:contextualSpacing/>
        <w:jc w:val="both"/>
        <w:rPr>
          <w:rFonts w:cs="Arial"/>
        </w:rPr>
      </w:pPr>
      <w:r w:rsidRPr="002C0707">
        <w:rPr>
          <w:rFonts w:cs="Arial"/>
        </w:rPr>
        <w:t>DNA/RNA;</w:t>
      </w:r>
    </w:p>
    <w:p w14:paraId="43B7198B" w14:textId="77777777" w:rsidR="002C0707" w:rsidRPr="002C0707" w:rsidRDefault="002C0707" w:rsidP="00543C1B">
      <w:pPr>
        <w:numPr>
          <w:ilvl w:val="0"/>
          <w:numId w:val="79"/>
        </w:numPr>
        <w:spacing w:before="240" w:after="200" w:line="360" w:lineRule="auto"/>
        <w:contextualSpacing/>
        <w:jc w:val="both"/>
        <w:rPr>
          <w:rFonts w:cs="Arial"/>
        </w:rPr>
      </w:pPr>
      <w:r w:rsidRPr="002C0707">
        <w:rPr>
          <w:rFonts w:cs="Arial"/>
        </w:rPr>
        <w:t>Proteiny a další molekuly;</w:t>
      </w:r>
    </w:p>
    <w:p w14:paraId="625BD47E" w14:textId="77777777" w:rsidR="002C0707" w:rsidRPr="002C0707" w:rsidRDefault="002C0707" w:rsidP="00543C1B">
      <w:pPr>
        <w:numPr>
          <w:ilvl w:val="0"/>
          <w:numId w:val="79"/>
        </w:numPr>
        <w:spacing w:before="240" w:after="200" w:line="360" w:lineRule="auto"/>
        <w:contextualSpacing/>
        <w:jc w:val="both"/>
        <w:rPr>
          <w:rFonts w:cs="Arial"/>
        </w:rPr>
      </w:pPr>
      <w:r w:rsidRPr="002C0707">
        <w:rPr>
          <w:rFonts w:cs="Arial"/>
        </w:rPr>
        <w:t>Buňky, tkáňové kultury a inženýrství;</w:t>
      </w:r>
    </w:p>
    <w:p w14:paraId="77F3CE4C" w14:textId="77777777" w:rsidR="002C0707" w:rsidRPr="002C0707" w:rsidRDefault="002C0707" w:rsidP="00543C1B">
      <w:pPr>
        <w:numPr>
          <w:ilvl w:val="0"/>
          <w:numId w:val="79"/>
        </w:numPr>
        <w:spacing w:before="240" w:after="200" w:line="360" w:lineRule="auto"/>
        <w:contextualSpacing/>
        <w:jc w:val="both"/>
        <w:rPr>
          <w:rFonts w:cs="Arial"/>
        </w:rPr>
      </w:pPr>
      <w:r w:rsidRPr="002C0707">
        <w:rPr>
          <w:rFonts w:cs="Arial"/>
        </w:rPr>
        <w:t>Procesní biotechnologie (například fermentace);</w:t>
      </w:r>
    </w:p>
    <w:p w14:paraId="5F3E225C" w14:textId="77777777" w:rsidR="002C0707" w:rsidRPr="002C0707" w:rsidRDefault="002C0707" w:rsidP="00543C1B">
      <w:pPr>
        <w:numPr>
          <w:ilvl w:val="0"/>
          <w:numId w:val="79"/>
        </w:numPr>
        <w:spacing w:before="240" w:after="200" w:line="360" w:lineRule="auto"/>
        <w:contextualSpacing/>
        <w:jc w:val="both"/>
        <w:rPr>
          <w:rFonts w:cs="Arial"/>
        </w:rPr>
      </w:pPr>
      <w:r w:rsidRPr="002C0707">
        <w:rPr>
          <w:rFonts w:cs="Arial"/>
        </w:rPr>
        <w:t>Geny a RNA vektory;</w:t>
      </w:r>
    </w:p>
    <w:p w14:paraId="6DB8FADC" w14:textId="77777777" w:rsidR="002C0707" w:rsidRPr="002C0707" w:rsidRDefault="002C0707" w:rsidP="00543C1B">
      <w:pPr>
        <w:numPr>
          <w:ilvl w:val="0"/>
          <w:numId w:val="79"/>
        </w:numPr>
        <w:spacing w:before="240" w:after="200" w:line="360" w:lineRule="auto"/>
        <w:contextualSpacing/>
        <w:jc w:val="both"/>
        <w:rPr>
          <w:rFonts w:cs="Arial"/>
        </w:rPr>
      </w:pPr>
      <w:r w:rsidRPr="002C0707">
        <w:rPr>
          <w:rFonts w:cs="Arial"/>
        </w:rPr>
        <w:t>Bioinformatika.</w:t>
      </w:r>
    </w:p>
    <w:p w14:paraId="36A609B7" w14:textId="77777777" w:rsidR="00DD3634" w:rsidRPr="002C0707" w:rsidRDefault="00DD3634" w:rsidP="00340E4D">
      <w:pPr>
        <w:spacing w:before="240" w:after="200" w:line="360" w:lineRule="auto"/>
        <w:jc w:val="both"/>
        <w:rPr>
          <w:rFonts w:cs="Arial"/>
        </w:rPr>
      </w:pPr>
    </w:p>
    <w:p w14:paraId="0A3DA122" w14:textId="77777777" w:rsidR="002C0707" w:rsidRPr="002C0707" w:rsidRDefault="002C0707" w:rsidP="00543C1B">
      <w:pPr>
        <w:numPr>
          <w:ilvl w:val="0"/>
          <w:numId w:val="76"/>
        </w:numPr>
        <w:spacing w:after="200" w:line="360" w:lineRule="auto"/>
        <w:contextualSpacing/>
        <w:jc w:val="both"/>
        <w:rPr>
          <w:rFonts w:cs="Arial"/>
          <w:i/>
        </w:rPr>
      </w:pPr>
      <w:r w:rsidRPr="002C0707">
        <w:rPr>
          <w:rFonts w:cs="Arial"/>
          <w:i/>
        </w:rPr>
        <w:t>Pokročilé výrobní technologie</w:t>
      </w:r>
    </w:p>
    <w:p w14:paraId="795B3F3C" w14:textId="77777777" w:rsidR="002C0707" w:rsidRPr="002C0707" w:rsidRDefault="002C0707" w:rsidP="00C000B3">
      <w:pPr>
        <w:spacing w:after="200" w:line="360" w:lineRule="auto"/>
        <w:ind w:firstLine="709"/>
        <w:jc w:val="both"/>
        <w:rPr>
          <w:rFonts w:cs="Arial"/>
        </w:rPr>
      </w:pPr>
      <w:r w:rsidRPr="002C0707">
        <w:rPr>
          <w:rFonts w:cs="Arial"/>
        </w:rPr>
        <w:t>Za pokročilé výrobní technologie lze považovat výrobní systémy a související služby, procesy, provozy a zařízení pro ostatní klíčové technologie. Pokročilé výrobní technologie zahrnují široké spektrum technologií, které lze rozdělit do několika skupin:</w:t>
      </w:r>
    </w:p>
    <w:p w14:paraId="3C95CF3E" w14:textId="77777777" w:rsidR="002C0707" w:rsidRPr="002C0707" w:rsidRDefault="002C0707" w:rsidP="00543C1B">
      <w:pPr>
        <w:numPr>
          <w:ilvl w:val="0"/>
          <w:numId w:val="80"/>
        </w:numPr>
        <w:spacing w:after="200" w:line="360" w:lineRule="auto"/>
        <w:contextualSpacing/>
        <w:jc w:val="both"/>
        <w:rPr>
          <w:rFonts w:cs="Arial"/>
        </w:rPr>
      </w:pPr>
      <w:r w:rsidRPr="002C0707">
        <w:rPr>
          <w:rFonts w:cs="Arial"/>
        </w:rPr>
        <w:t>„čisté“ výrobní technologie umožňující fyzikální konverzi materiálů do požadovaných produktů;</w:t>
      </w:r>
    </w:p>
    <w:p w14:paraId="5A3C4D78" w14:textId="77777777" w:rsidR="002C0707" w:rsidRPr="002C0707" w:rsidRDefault="002C0707" w:rsidP="00543C1B">
      <w:pPr>
        <w:numPr>
          <w:ilvl w:val="0"/>
          <w:numId w:val="80"/>
        </w:numPr>
        <w:spacing w:after="200" w:line="360" w:lineRule="auto"/>
        <w:contextualSpacing/>
        <w:jc w:val="both"/>
        <w:rPr>
          <w:rFonts w:cs="Arial"/>
        </w:rPr>
      </w:pPr>
      <w:r w:rsidRPr="002C0707">
        <w:rPr>
          <w:rFonts w:cs="Arial"/>
        </w:rPr>
        <w:t>podpůrné technologie, jako je například počítačové modelování a simulace výrobních procesů;</w:t>
      </w:r>
    </w:p>
    <w:p w14:paraId="5674ED87" w14:textId="77777777" w:rsidR="002C0707" w:rsidRPr="002C0707" w:rsidRDefault="002C0707" w:rsidP="00543C1B">
      <w:pPr>
        <w:numPr>
          <w:ilvl w:val="0"/>
          <w:numId w:val="80"/>
        </w:numPr>
        <w:spacing w:after="200" w:line="360" w:lineRule="auto"/>
        <w:contextualSpacing/>
        <w:jc w:val="both"/>
        <w:rPr>
          <w:rFonts w:cs="Arial"/>
        </w:rPr>
      </w:pPr>
      <w:r w:rsidRPr="002C0707">
        <w:rPr>
          <w:rFonts w:cs="Arial"/>
        </w:rPr>
        <w:t>„soft“ aktivity, jako jsou inovace výrobního procesu.</w:t>
      </w:r>
    </w:p>
    <w:p w14:paraId="56594C95" w14:textId="77777777" w:rsidR="00C000B3" w:rsidRPr="00BA4F8E" w:rsidRDefault="00C000B3" w:rsidP="00C5111B">
      <w:pPr>
        <w:spacing w:before="240" w:after="200" w:line="276" w:lineRule="auto"/>
        <w:jc w:val="both"/>
        <w:rPr>
          <w:rFonts w:cs="Arial"/>
        </w:rPr>
      </w:pPr>
    </w:p>
    <w:p w14:paraId="5EC93453" w14:textId="77777777" w:rsidR="002C0707" w:rsidRPr="002C0707" w:rsidRDefault="002C0707" w:rsidP="00C000B3">
      <w:pPr>
        <w:spacing w:before="240" w:after="200" w:line="360" w:lineRule="auto"/>
        <w:jc w:val="both"/>
        <w:rPr>
          <w:rFonts w:cs="Arial"/>
        </w:rPr>
      </w:pPr>
      <w:r w:rsidRPr="002C0707">
        <w:rPr>
          <w:rFonts w:cs="Arial"/>
        </w:rPr>
        <w:t>Mezi pokročilé výrobní technologie lze například zařadit:</w:t>
      </w:r>
    </w:p>
    <w:p w14:paraId="67E93DA6" w14:textId="77777777" w:rsidR="002C0707" w:rsidRPr="002C0707" w:rsidRDefault="002C0707" w:rsidP="00543C1B">
      <w:pPr>
        <w:numPr>
          <w:ilvl w:val="0"/>
          <w:numId w:val="81"/>
        </w:numPr>
        <w:spacing w:before="240" w:after="200" w:line="360" w:lineRule="auto"/>
        <w:contextualSpacing/>
        <w:jc w:val="both"/>
        <w:rPr>
          <w:rFonts w:cs="Arial"/>
        </w:rPr>
      </w:pPr>
      <w:r w:rsidRPr="002C0707">
        <w:rPr>
          <w:rFonts w:cs="Arial"/>
        </w:rPr>
        <w:t xml:space="preserve">aditivní výrobu (například 3D tisk), </w:t>
      </w:r>
    </w:p>
    <w:p w14:paraId="79EEFFEA" w14:textId="77777777" w:rsidR="002C0707" w:rsidRPr="002C0707" w:rsidRDefault="002C0707" w:rsidP="00543C1B">
      <w:pPr>
        <w:numPr>
          <w:ilvl w:val="0"/>
          <w:numId w:val="81"/>
        </w:numPr>
        <w:spacing w:before="240" w:after="200" w:line="360" w:lineRule="auto"/>
        <w:contextualSpacing/>
        <w:jc w:val="both"/>
        <w:rPr>
          <w:rFonts w:cs="Arial"/>
        </w:rPr>
      </w:pPr>
      <w:r w:rsidRPr="002C0707">
        <w:rPr>
          <w:rFonts w:cs="Arial"/>
        </w:rPr>
        <w:t xml:space="preserve">litografii, </w:t>
      </w:r>
    </w:p>
    <w:p w14:paraId="60DCA273" w14:textId="77777777" w:rsidR="002C0707" w:rsidRPr="002C0707" w:rsidRDefault="002C0707" w:rsidP="00543C1B">
      <w:pPr>
        <w:numPr>
          <w:ilvl w:val="0"/>
          <w:numId w:val="81"/>
        </w:numPr>
        <w:spacing w:before="240" w:after="200" w:line="360" w:lineRule="auto"/>
        <w:contextualSpacing/>
        <w:jc w:val="both"/>
        <w:rPr>
          <w:rFonts w:cs="Arial"/>
        </w:rPr>
      </w:pPr>
      <w:r w:rsidRPr="002C0707">
        <w:rPr>
          <w:rFonts w:cs="Arial"/>
        </w:rPr>
        <w:t xml:space="preserve">technologie umožňující zvyšování rozměrů křemíkových desek při výrobě čipů, </w:t>
      </w:r>
    </w:p>
    <w:p w14:paraId="0B510C18" w14:textId="77777777" w:rsidR="002C0707" w:rsidRPr="002C0707" w:rsidRDefault="002C0707" w:rsidP="00543C1B">
      <w:pPr>
        <w:numPr>
          <w:ilvl w:val="0"/>
          <w:numId w:val="81"/>
        </w:numPr>
        <w:spacing w:before="240" w:after="200" w:line="360" w:lineRule="auto"/>
        <w:contextualSpacing/>
        <w:jc w:val="both"/>
        <w:rPr>
          <w:rFonts w:cs="Arial"/>
        </w:rPr>
      </w:pPr>
      <w:r w:rsidRPr="002C0707">
        <w:rPr>
          <w:rFonts w:cs="Arial"/>
        </w:rPr>
        <w:t xml:space="preserve">automatizaci, </w:t>
      </w:r>
    </w:p>
    <w:p w14:paraId="3F49A0ED" w14:textId="77777777" w:rsidR="002C0707" w:rsidRPr="002C0707" w:rsidRDefault="002C0707" w:rsidP="00543C1B">
      <w:pPr>
        <w:numPr>
          <w:ilvl w:val="0"/>
          <w:numId w:val="81"/>
        </w:numPr>
        <w:spacing w:before="240" w:after="200" w:line="360" w:lineRule="auto"/>
        <w:contextualSpacing/>
        <w:jc w:val="both"/>
        <w:rPr>
          <w:rFonts w:cs="Arial"/>
        </w:rPr>
      </w:pPr>
      <w:r w:rsidRPr="002C0707">
        <w:rPr>
          <w:rFonts w:cs="Arial"/>
        </w:rPr>
        <w:lastRenderedPageBreak/>
        <w:t xml:space="preserve">robotiku, </w:t>
      </w:r>
    </w:p>
    <w:p w14:paraId="06AF8462" w14:textId="77777777" w:rsidR="002C0707" w:rsidRPr="002C0707" w:rsidRDefault="002C0707" w:rsidP="00543C1B">
      <w:pPr>
        <w:numPr>
          <w:ilvl w:val="0"/>
          <w:numId w:val="81"/>
        </w:numPr>
        <w:spacing w:before="240" w:after="200" w:line="360" w:lineRule="auto"/>
        <w:contextualSpacing/>
        <w:jc w:val="both"/>
        <w:rPr>
          <w:rFonts w:cs="Arial"/>
        </w:rPr>
      </w:pPr>
      <w:r w:rsidRPr="002C0707">
        <w:rPr>
          <w:rFonts w:cs="Arial"/>
        </w:rPr>
        <w:t xml:space="preserve">měřící systémy, </w:t>
      </w:r>
    </w:p>
    <w:p w14:paraId="167666BD" w14:textId="77777777" w:rsidR="002C0707" w:rsidRPr="002C0707" w:rsidRDefault="002C0707" w:rsidP="00543C1B">
      <w:pPr>
        <w:numPr>
          <w:ilvl w:val="0"/>
          <w:numId w:val="81"/>
        </w:numPr>
        <w:spacing w:before="240" w:after="200" w:line="360" w:lineRule="auto"/>
        <w:contextualSpacing/>
        <w:jc w:val="both"/>
        <w:rPr>
          <w:rFonts w:cs="Arial"/>
        </w:rPr>
      </w:pPr>
      <w:r w:rsidRPr="002C0707">
        <w:rPr>
          <w:rFonts w:cs="Arial"/>
        </w:rPr>
        <w:t xml:space="preserve">zpracování signálu a informace, </w:t>
      </w:r>
    </w:p>
    <w:p w14:paraId="575030E8" w14:textId="77777777" w:rsidR="002C0707" w:rsidRPr="002C0707" w:rsidRDefault="002C0707" w:rsidP="00543C1B">
      <w:pPr>
        <w:numPr>
          <w:ilvl w:val="0"/>
          <w:numId w:val="81"/>
        </w:numPr>
        <w:spacing w:before="240" w:after="200" w:line="360" w:lineRule="auto"/>
        <w:contextualSpacing/>
        <w:jc w:val="both"/>
        <w:rPr>
          <w:rFonts w:cs="Arial"/>
        </w:rPr>
      </w:pPr>
      <w:r w:rsidRPr="002C0707">
        <w:rPr>
          <w:rFonts w:cs="Arial"/>
        </w:rPr>
        <w:t>kontrolu výroby a další procesy.</w:t>
      </w:r>
    </w:p>
    <w:p w14:paraId="3A7122BA" w14:textId="77777777" w:rsidR="002C0707" w:rsidRPr="002C0707" w:rsidRDefault="002C0707" w:rsidP="00C000B3">
      <w:pPr>
        <w:spacing w:before="240" w:after="200" w:line="360" w:lineRule="auto"/>
        <w:jc w:val="both"/>
      </w:pPr>
    </w:p>
    <w:p w14:paraId="5AACF029" w14:textId="77777777" w:rsidR="00F81A24" w:rsidRDefault="002C0707" w:rsidP="00F81A24">
      <w:pPr>
        <w:spacing w:before="240" w:after="0" w:line="360" w:lineRule="auto"/>
        <w:ind w:firstLine="709"/>
        <w:jc w:val="both"/>
      </w:pPr>
      <w:r w:rsidRPr="002C0707">
        <w:t xml:space="preserve">Výzkumné aktivity v ČR pokrývají široké spektrum směrů a v určitém rozsahu pokrývají všechny klíčové technologie – materiálový výzkum, nanotechnologie, mikro a nanoelektronika, fotonika, pokročilé výrobní technologie a průmyslové biotechnologie. Ve většině technologií disponuje ČR výzkumnou základnou, která je schopná produkovat mezinárodně atraktivní výsledky a být kvalitním partnerem aplikační sféře při identifikaci nových aplikačních směrů a technologických řešení. </w:t>
      </w:r>
    </w:p>
    <w:p w14:paraId="0A41938D" w14:textId="43BE3BC4" w:rsidR="00D04CA0" w:rsidRPr="00D04CA0" w:rsidRDefault="00D04CA0" w:rsidP="00D04CA0">
      <w:pPr>
        <w:spacing w:line="360" w:lineRule="auto"/>
        <w:ind w:firstLine="708"/>
        <w:jc w:val="both"/>
        <w:rPr>
          <w:rFonts w:cs="Arial"/>
          <w:color w:val="000000" w:themeColor="text1"/>
        </w:rPr>
      </w:pPr>
      <w:r>
        <w:rPr>
          <w:rFonts w:cs="Arial"/>
          <w:color w:val="000000" w:themeColor="text1"/>
        </w:rPr>
        <w:t>Indikativní rozložení národní výzkumné specializace v rámci kr</w:t>
      </w:r>
      <w:r w:rsidRPr="001F1DD6">
        <w:rPr>
          <w:rFonts w:cs="Arial"/>
        </w:rPr>
        <w:t xml:space="preserve">ajů přibližuje </w:t>
      </w:r>
      <w:r w:rsidR="00B047D4" w:rsidRPr="001F1DD6">
        <w:rPr>
          <w:rFonts w:cs="Arial"/>
          <w:highlight w:val="yellow"/>
        </w:rPr>
        <w:fldChar w:fldCharType="begin"/>
      </w:r>
      <w:r w:rsidR="00B047D4" w:rsidRPr="001F1DD6">
        <w:rPr>
          <w:rFonts w:cs="Arial"/>
        </w:rPr>
        <w:instrText xml:space="preserve"> REF _Ref523146932 \h </w:instrText>
      </w:r>
      <w:r w:rsidR="00B047D4" w:rsidRPr="001F1DD6">
        <w:rPr>
          <w:rFonts w:cs="Arial"/>
          <w:highlight w:val="yellow"/>
        </w:rPr>
      </w:r>
      <w:r w:rsidR="00B047D4" w:rsidRPr="001F1DD6">
        <w:rPr>
          <w:rFonts w:cs="Arial"/>
          <w:highlight w:val="yellow"/>
        </w:rPr>
        <w:fldChar w:fldCharType="separate"/>
      </w:r>
      <w:r w:rsidR="00DE40D4">
        <w:t xml:space="preserve">Tabulka </w:t>
      </w:r>
      <w:r w:rsidR="00DE40D4">
        <w:rPr>
          <w:noProof/>
        </w:rPr>
        <w:t>8</w:t>
      </w:r>
      <w:r w:rsidR="00B047D4" w:rsidRPr="001F1DD6">
        <w:rPr>
          <w:rFonts w:cs="Arial"/>
          <w:highlight w:val="yellow"/>
        </w:rPr>
        <w:fldChar w:fldCharType="end"/>
      </w:r>
      <w:r w:rsidRPr="001F1DD6">
        <w:rPr>
          <w:rFonts w:cs="Arial"/>
        </w:rPr>
        <w:t>.</w:t>
      </w:r>
    </w:p>
    <w:p w14:paraId="3CD85366" w14:textId="77777777" w:rsidR="002C0707" w:rsidRPr="002C0707" w:rsidRDefault="002C0707" w:rsidP="002C0707">
      <w:pPr>
        <w:spacing w:after="120" w:line="276" w:lineRule="auto"/>
        <w:jc w:val="both"/>
      </w:pPr>
    </w:p>
    <w:p w14:paraId="4DE7DB2D" w14:textId="0306BF1E" w:rsidR="009F1516" w:rsidRDefault="00B047D4" w:rsidP="00580DE3">
      <w:pPr>
        <w:pStyle w:val="Titulek"/>
      </w:pPr>
      <w:bookmarkStart w:id="93" w:name="_Toc397001019"/>
      <w:bookmarkStart w:id="94" w:name="_Toc455143643"/>
      <w:bookmarkStart w:id="95" w:name="_Ref523146932"/>
      <w:bookmarkStart w:id="96" w:name="_Toc524677668"/>
      <w:r>
        <w:t xml:space="preserve">Tabulka </w:t>
      </w:r>
      <w:r w:rsidR="00BE65D6">
        <w:rPr>
          <w:noProof/>
        </w:rPr>
        <w:fldChar w:fldCharType="begin"/>
      </w:r>
      <w:r w:rsidR="00BE65D6">
        <w:rPr>
          <w:noProof/>
        </w:rPr>
        <w:instrText xml:space="preserve"> SEQ Tabulka \* ARABIC </w:instrText>
      </w:r>
      <w:r w:rsidR="00BE65D6">
        <w:rPr>
          <w:noProof/>
        </w:rPr>
        <w:fldChar w:fldCharType="separate"/>
      </w:r>
      <w:r w:rsidR="00DE40D4">
        <w:rPr>
          <w:noProof/>
        </w:rPr>
        <w:t>8</w:t>
      </w:r>
      <w:r w:rsidR="00BE65D6">
        <w:rPr>
          <w:noProof/>
        </w:rPr>
        <w:fldChar w:fldCharType="end"/>
      </w:r>
      <w:bookmarkStart w:id="97" w:name="_Toc397001017"/>
      <w:bookmarkStart w:id="98" w:name="_Toc455143641"/>
      <w:bookmarkEnd w:id="93"/>
      <w:bookmarkEnd w:id="94"/>
      <w:bookmarkEnd w:id="95"/>
      <w:r>
        <w:t xml:space="preserve"> - </w:t>
      </w:r>
      <w:bookmarkEnd w:id="97"/>
      <w:bookmarkEnd w:id="98"/>
      <w:r w:rsidR="009F1516" w:rsidRPr="00212844">
        <w:t xml:space="preserve">Zastoupení znalostních domén </w:t>
      </w:r>
      <w:r w:rsidR="009F1516">
        <w:t>(výzkumných specializací) v krajích</w:t>
      </w:r>
      <w:r w:rsidR="009F1516" w:rsidRPr="00212844">
        <w:t xml:space="preserve"> ČR</w:t>
      </w:r>
      <w:r w:rsidR="008857B9">
        <w:rPr>
          <w:rStyle w:val="Znakapoznpodarou"/>
        </w:rPr>
        <w:footnoteReference w:id="69"/>
      </w:r>
      <w:bookmarkEnd w:id="96"/>
    </w:p>
    <w:tbl>
      <w:tblPr>
        <w:tblW w:w="48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1383"/>
        <w:gridCol w:w="442"/>
        <w:gridCol w:w="497"/>
        <w:gridCol w:w="486"/>
        <w:gridCol w:w="492"/>
        <w:gridCol w:w="461"/>
        <w:gridCol w:w="519"/>
        <w:gridCol w:w="480"/>
        <w:gridCol w:w="486"/>
        <w:gridCol w:w="457"/>
        <w:gridCol w:w="500"/>
        <w:gridCol w:w="456"/>
        <w:gridCol w:w="476"/>
        <w:gridCol w:w="470"/>
        <w:gridCol w:w="450"/>
      </w:tblGrid>
      <w:tr w:rsidR="009F1516" w:rsidRPr="00212844" w14:paraId="15E00670" w14:textId="77777777" w:rsidTr="00DD3634">
        <w:trPr>
          <w:tblHeader/>
          <w:jc w:val="center"/>
        </w:trPr>
        <w:tc>
          <w:tcPr>
            <w:tcW w:w="1192" w:type="pct"/>
            <w:gridSpan w:val="2"/>
            <w:vMerge w:val="restart"/>
            <w:shd w:val="clear" w:color="auto" w:fill="004B8D"/>
          </w:tcPr>
          <w:p w14:paraId="4E7657B4" w14:textId="77777777" w:rsidR="009F1516" w:rsidRPr="00EB0104" w:rsidRDefault="009F1516" w:rsidP="005F762C">
            <w:pPr>
              <w:spacing w:after="0" w:line="240" w:lineRule="auto"/>
              <w:rPr>
                <w:rFonts w:cstheme="minorHAnsi"/>
                <w:b/>
                <w:color w:val="FFFFFF" w:themeColor="background1"/>
                <w:sz w:val="16"/>
                <w:szCs w:val="16"/>
              </w:rPr>
            </w:pPr>
            <w:r w:rsidRPr="00EB0104">
              <w:rPr>
                <w:rFonts w:cstheme="minorHAnsi"/>
                <w:b/>
                <w:color w:val="FFFFFF" w:themeColor="background1"/>
                <w:sz w:val="16"/>
                <w:szCs w:val="16"/>
              </w:rPr>
              <w:t>Znalostní doména</w:t>
            </w:r>
          </w:p>
          <w:p w14:paraId="2D0F738D" w14:textId="77777777" w:rsidR="009F1516" w:rsidRPr="00EB0104" w:rsidRDefault="009F1516" w:rsidP="005F762C">
            <w:pPr>
              <w:spacing w:after="0" w:line="240" w:lineRule="auto"/>
              <w:rPr>
                <w:rFonts w:cstheme="minorHAnsi"/>
                <w:b/>
                <w:color w:val="FFFFFF" w:themeColor="background1"/>
                <w:sz w:val="16"/>
                <w:szCs w:val="16"/>
              </w:rPr>
            </w:pPr>
            <w:r w:rsidRPr="00EB0104">
              <w:rPr>
                <w:rFonts w:cstheme="minorHAnsi"/>
                <w:b/>
                <w:color w:val="FFFFFF" w:themeColor="background1"/>
                <w:sz w:val="16"/>
                <w:szCs w:val="16"/>
              </w:rPr>
              <w:t>(Výzkumná specializace)</w:t>
            </w:r>
          </w:p>
        </w:tc>
        <w:tc>
          <w:tcPr>
            <w:tcW w:w="3808" w:type="pct"/>
            <w:gridSpan w:val="14"/>
            <w:shd w:val="clear" w:color="auto" w:fill="004B8D"/>
          </w:tcPr>
          <w:p w14:paraId="44D0B5EC" w14:textId="77777777" w:rsidR="009F1516" w:rsidRPr="00EB0104" w:rsidRDefault="009F1516" w:rsidP="005F762C">
            <w:pPr>
              <w:spacing w:after="0" w:line="240" w:lineRule="auto"/>
              <w:jc w:val="center"/>
              <w:rPr>
                <w:rFonts w:cstheme="minorHAnsi"/>
                <w:b/>
                <w:color w:val="FFFFFF" w:themeColor="background1"/>
                <w:sz w:val="16"/>
                <w:szCs w:val="16"/>
              </w:rPr>
            </w:pPr>
            <w:r w:rsidRPr="00EB0104">
              <w:rPr>
                <w:rFonts w:cstheme="minorHAnsi"/>
                <w:b/>
                <w:color w:val="FFFFFF" w:themeColor="background1"/>
                <w:sz w:val="16"/>
                <w:szCs w:val="16"/>
              </w:rPr>
              <w:t>Kraj</w:t>
            </w:r>
          </w:p>
        </w:tc>
      </w:tr>
      <w:tr w:rsidR="009F1516" w:rsidRPr="00212844" w14:paraId="48408131" w14:textId="77777777" w:rsidTr="00DD3634">
        <w:trPr>
          <w:tblHeader/>
          <w:jc w:val="center"/>
        </w:trPr>
        <w:tc>
          <w:tcPr>
            <w:tcW w:w="1192" w:type="pct"/>
            <w:gridSpan w:val="2"/>
            <w:vMerge/>
            <w:shd w:val="clear" w:color="auto" w:fill="004B8D"/>
          </w:tcPr>
          <w:p w14:paraId="4E63B926" w14:textId="77777777" w:rsidR="009F1516" w:rsidRPr="00EB0104" w:rsidRDefault="009F1516" w:rsidP="005F762C">
            <w:pPr>
              <w:spacing w:after="0" w:line="240" w:lineRule="auto"/>
              <w:rPr>
                <w:rFonts w:cstheme="minorHAnsi"/>
                <w:b/>
                <w:color w:val="FFFFFF" w:themeColor="background1"/>
                <w:sz w:val="16"/>
                <w:szCs w:val="16"/>
              </w:rPr>
            </w:pPr>
          </w:p>
        </w:tc>
        <w:tc>
          <w:tcPr>
            <w:tcW w:w="252" w:type="pct"/>
            <w:shd w:val="clear" w:color="auto" w:fill="004B8D"/>
          </w:tcPr>
          <w:p w14:paraId="62C2C510"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JČK</w:t>
            </w:r>
          </w:p>
        </w:tc>
        <w:tc>
          <w:tcPr>
            <w:tcW w:w="284" w:type="pct"/>
            <w:shd w:val="clear" w:color="auto" w:fill="004B8D"/>
          </w:tcPr>
          <w:p w14:paraId="650EE3FB"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JMK</w:t>
            </w:r>
          </w:p>
        </w:tc>
        <w:tc>
          <w:tcPr>
            <w:tcW w:w="277" w:type="pct"/>
            <w:shd w:val="clear" w:color="auto" w:fill="004B8D"/>
          </w:tcPr>
          <w:p w14:paraId="074D06FA"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KVK</w:t>
            </w:r>
          </w:p>
        </w:tc>
        <w:tc>
          <w:tcPr>
            <w:tcW w:w="281" w:type="pct"/>
            <w:shd w:val="clear" w:color="auto" w:fill="004B8D"/>
          </w:tcPr>
          <w:p w14:paraId="311162CA"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KHK</w:t>
            </w:r>
          </w:p>
        </w:tc>
        <w:tc>
          <w:tcPr>
            <w:tcW w:w="263" w:type="pct"/>
            <w:shd w:val="clear" w:color="auto" w:fill="004B8D"/>
          </w:tcPr>
          <w:p w14:paraId="03079B2E"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LBK</w:t>
            </w:r>
          </w:p>
        </w:tc>
        <w:tc>
          <w:tcPr>
            <w:tcW w:w="296" w:type="pct"/>
            <w:shd w:val="clear" w:color="auto" w:fill="004B8D"/>
          </w:tcPr>
          <w:p w14:paraId="55D8E53D"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MSK</w:t>
            </w:r>
          </w:p>
        </w:tc>
        <w:tc>
          <w:tcPr>
            <w:tcW w:w="274" w:type="pct"/>
            <w:shd w:val="clear" w:color="auto" w:fill="004B8D"/>
          </w:tcPr>
          <w:p w14:paraId="7CDF3179"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OLK</w:t>
            </w:r>
          </w:p>
        </w:tc>
        <w:tc>
          <w:tcPr>
            <w:tcW w:w="277" w:type="pct"/>
            <w:shd w:val="clear" w:color="auto" w:fill="004B8D"/>
          </w:tcPr>
          <w:p w14:paraId="1979D769"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PAK</w:t>
            </w:r>
          </w:p>
        </w:tc>
        <w:tc>
          <w:tcPr>
            <w:tcW w:w="261" w:type="pct"/>
            <w:shd w:val="clear" w:color="auto" w:fill="004B8D"/>
          </w:tcPr>
          <w:p w14:paraId="724992B6" w14:textId="77777777" w:rsidR="009F1516" w:rsidRPr="00EB0104" w:rsidRDefault="009F1516" w:rsidP="005F762C">
            <w:pPr>
              <w:spacing w:after="0"/>
              <w:jc w:val="center"/>
              <w:rPr>
                <w:rFonts w:cstheme="minorHAnsi"/>
                <w:color w:val="FFFFFF" w:themeColor="background1"/>
                <w:sz w:val="16"/>
                <w:szCs w:val="16"/>
              </w:rPr>
            </w:pPr>
            <w:r w:rsidRPr="00EB0104">
              <w:rPr>
                <w:rFonts w:cstheme="minorHAnsi"/>
                <w:b/>
                <w:color w:val="FFFFFF" w:themeColor="background1"/>
                <w:sz w:val="16"/>
                <w:szCs w:val="16"/>
              </w:rPr>
              <w:t>PLK</w:t>
            </w:r>
          </w:p>
        </w:tc>
        <w:tc>
          <w:tcPr>
            <w:tcW w:w="285" w:type="pct"/>
            <w:shd w:val="clear" w:color="auto" w:fill="004B8D"/>
          </w:tcPr>
          <w:p w14:paraId="0B8E3978"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PHA</w:t>
            </w:r>
          </w:p>
        </w:tc>
        <w:tc>
          <w:tcPr>
            <w:tcW w:w="260" w:type="pct"/>
            <w:shd w:val="clear" w:color="auto" w:fill="004B8D"/>
          </w:tcPr>
          <w:p w14:paraId="6A3F730E"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STČ</w:t>
            </w:r>
          </w:p>
        </w:tc>
        <w:tc>
          <w:tcPr>
            <w:tcW w:w="272" w:type="pct"/>
            <w:shd w:val="clear" w:color="auto" w:fill="004B8D"/>
          </w:tcPr>
          <w:p w14:paraId="1F2DBE59"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ULK</w:t>
            </w:r>
          </w:p>
        </w:tc>
        <w:tc>
          <w:tcPr>
            <w:tcW w:w="268" w:type="pct"/>
            <w:shd w:val="clear" w:color="auto" w:fill="004B8D"/>
          </w:tcPr>
          <w:p w14:paraId="38EC2324"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VYS</w:t>
            </w:r>
          </w:p>
        </w:tc>
        <w:tc>
          <w:tcPr>
            <w:tcW w:w="256" w:type="pct"/>
            <w:shd w:val="clear" w:color="auto" w:fill="004B8D"/>
          </w:tcPr>
          <w:p w14:paraId="560CE881" w14:textId="77777777" w:rsidR="009F1516" w:rsidRPr="00EB0104" w:rsidRDefault="009F1516" w:rsidP="005F762C">
            <w:pPr>
              <w:spacing w:after="0"/>
              <w:jc w:val="center"/>
              <w:rPr>
                <w:rFonts w:cstheme="minorHAnsi"/>
                <w:b/>
                <w:color w:val="FFFFFF" w:themeColor="background1"/>
                <w:sz w:val="16"/>
                <w:szCs w:val="16"/>
              </w:rPr>
            </w:pPr>
            <w:r w:rsidRPr="00EB0104">
              <w:rPr>
                <w:rFonts w:cstheme="minorHAnsi"/>
                <w:b/>
                <w:color w:val="FFFFFF" w:themeColor="background1"/>
                <w:sz w:val="16"/>
                <w:szCs w:val="16"/>
              </w:rPr>
              <w:t>ZLK</w:t>
            </w:r>
          </w:p>
        </w:tc>
      </w:tr>
      <w:tr w:rsidR="006E2FFF" w:rsidRPr="00212844" w14:paraId="69970E6B" w14:textId="77777777" w:rsidTr="00DD3634">
        <w:trPr>
          <w:trHeight w:val="383"/>
          <w:jc w:val="center"/>
        </w:trPr>
        <w:tc>
          <w:tcPr>
            <w:tcW w:w="403" w:type="pct"/>
            <w:vMerge w:val="restart"/>
            <w:shd w:val="clear" w:color="auto" w:fill="004B8D"/>
            <w:textDirection w:val="btLr"/>
          </w:tcPr>
          <w:p w14:paraId="6DA916F4" w14:textId="77777777" w:rsidR="009F1516" w:rsidRPr="00EB0104" w:rsidRDefault="009F1516" w:rsidP="005F762C">
            <w:pPr>
              <w:spacing w:after="0" w:line="240" w:lineRule="auto"/>
              <w:ind w:left="113" w:right="113"/>
              <w:jc w:val="center"/>
              <w:rPr>
                <w:rFonts w:cstheme="minorHAnsi"/>
                <w:color w:val="FFFFFF" w:themeColor="background1"/>
                <w:sz w:val="16"/>
                <w:szCs w:val="16"/>
              </w:rPr>
            </w:pPr>
            <w:r w:rsidRPr="00EB0104">
              <w:rPr>
                <w:rFonts w:cstheme="minorHAnsi"/>
                <w:color w:val="FFFFFF" w:themeColor="background1"/>
                <w:sz w:val="16"/>
                <w:szCs w:val="16"/>
              </w:rPr>
              <w:t>Key enabling technologies (KETs)</w:t>
            </w:r>
          </w:p>
        </w:tc>
        <w:tc>
          <w:tcPr>
            <w:tcW w:w="789" w:type="pct"/>
            <w:shd w:val="clear" w:color="auto" w:fill="004B8D"/>
          </w:tcPr>
          <w:p w14:paraId="0AE28CE6" w14:textId="77777777" w:rsidR="009F1516" w:rsidRPr="00EB0104" w:rsidRDefault="009F1516" w:rsidP="005F762C">
            <w:pPr>
              <w:spacing w:after="0" w:line="240" w:lineRule="auto"/>
              <w:rPr>
                <w:rFonts w:cstheme="minorHAnsi"/>
                <w:color w:val="FFFFFF" w:themeColor="background1"/>
                <w:sz w:val="16"/>
                <w:szCs w:val="16"/>
              </w:rPr>
            </w:pPr>
            <w:r w:rsidRPr="00EB0104">
              <w:rPr>
                <w:rFonts w:cstheme="minorHAnsi"/>
                <w:color w:val="FFFFFF" w:themeColor="background1"/>
                <w:sz w:val="16"/>
                <w:szCs w:val="16"/>
              </w:rPr>
              <w:t>Pokročilé materiály</w:t>
            </w:r>
          </w:p>
        </w:tc>
        <w:tc>
          <w:tcPr>
            <w:tcW w:w="252" w:type="pct"/>
          </w:tcPr>
          <w:p w14:paraId="30440994" w14:textId="77777777" w:rsidR="009F1516" w:rsidRPr="00212844" w:rsidRDefault="009F1516" w:rsidP="005F762C">
            <w:pPr>
              <w:spacing w:after="0" w:line="240" w:lineRule="auto"/>
              <w:jc w:val="center"/>
              <w:rPr>
                <w:rFonts w:cstheme="minorHAnsi"/>
                <w:sz w:val="16"/>
                <w:szCs w:val="16"/>
              </w:rPr>
            </w:pPr>
          </w:p>
        </w:tc>
        <w:tc>
          <w:tcPr>
            <w:tcW w:w="284" w:type="pct"/>
          </w:tcPr>
          <w:p w14:paraId="3D304B2E"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00C10A71" w14:textId="77777777" w:rsidR="009F1516" w:rsidRPr="00212844" w:rsidRDefault="009F1516" w:rsidP="005F762C">
            <w:pPr>
              <w:spacing w:after="0" w:line="240" w:lineRule="auto"/>
              <w:jc w:val="center"/>
              <w:rPr>
                <w:rFonts w:cstheme="minorHAnsi"/>
                <w:sz w:val="16"/>
                <w:szCs w:val="16"/>
              </w:rPr>
            </w:pPr>
          </w:p>
        </w:tc>
        <w:tc>
          <w:tcPr>
            <w:tcW w:w="281" w:type="pct"/>
          </w:tcPr>
          <w:p w14:paraId="08BA45A7"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3" w:type="pct"/>
          </w:tcPr>
          <w:p w14:paraId="6D0EDEC6"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96" w:type="pct"/>
          </w:tcPr>
          <w:p w14:paraId="6E8545BB"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4" w:type="pct"/>
          </w:tcPr>
          <w:p w14:paraId="09D0F978"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30FF1EAD"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1" w:type="pct"/>
          </w:tcPr>
          <w:p w14:paraId="4648A186"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85" w:type="pct"/>
          </w:tcPr>
          <w:p w14:paraId="6B6960E0"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0" w:type="pct"/>
          </w:tcPr>
          <w:p w14:paraId="44B6715A"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2" w:type="pct"/>
          </w:tcPr>
          <w:p w14:paraId="26276CD4" w14:textId="77777777" w:rsidR="009F1516" w:rsidRPr="00212844" w:rsidRDefault="009F1516" w:rsidP="005F762C">
            <w:pPr>
              <w:spacing w:after="0" w:line="240" w:lineRule="auto"/>
              <w:jc w:val="center"/>
              <w:rPr>
                <w:rFonts w:cstheme="minorHAnsi"/>
                <w:sz w:val="16"/>
                <w:szCs w:val="16"/>
              </w:rPr>
            </w:pPr>
          </w:p>
        </w:tc>
        <w:tc>
          <w:tcPr>
            <w:tcW w:w="268" w:type="pct"/>
          </w:tcPr>
          <w:p w14:paraId="5186C067" w14:textId="77777777" w:rsidR="009F1516" w:rsidRPr="00212844" w:rsidRDefault="009F1516" w:rsidP="005F762C">
            <w:pPr>
              <w:spacing w:after="0" w:line="240" w:lineRule="auto"/>
              <w:jc w:val="center"/>
              <w:rPr>
                <w:rFonts w:cstheme="minorHAnsi"/>
                <w:sz w:val="16"/>
                <w:szCs w:val="16"/>
              </w:rPr>
            </w:pPr>
          </w:p>
        </w:tc>
        <w:tc>
          <w:tcPr>
            <w:tcW w:w="256" w:type="pct"/>
          </w:tcPr>
          <w:p w14:paraId="399022E2"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r>
      <w:tr w:rsidR="006E2FFF" w:rsidRPr="00212844" w14:paraId="2DC75AB6" w14:textId="77777777" w:rsidTr="00DD3634">
        <w:trPr>
          <w:trHeight w:val="416"/>
          <w:jc w:val="center"/>
        </w:trPr>
        <w:tc>
          <w:tcPr>
            <w:tcW w:w="403" w:type="pct"/>
            <w:vMerge/>
            <w:shd w:val="clear" w:color="auto" w:fill="004B8D"/>
          </w:tcPr>
          <w:p w14:paraId="6311024D" w14:textId="77777777" w:rsidR="009F1516" w:rsidRPr="00EB0104" w:rsidRDefault="009F1516" w:rsidP="005F762C">
            <w:pPr>
              <w:spacing w:after="0" w:line="240" w:lineRule="auto"/>
              <w:jc w:val="center"/>
              <w:rPr>
                <w:rFonts w:cstheme="minorHAnsi"/>
                <w:color w:val="FFFFFF" w:themeColor="background1"/>
                <w:sz w:val="16"/>
                <w:szCs w:val="16"/>
              </w:rPr>
            </w:pPr>
          </w:p>
        </w:tc>
        <w:tc>
          <w:tcPr>
            <w:tcW w:w="789" w:type="pct"/>
            <w:shd w:val="clear" w:color="auto" w:fill="004B8D"/>
          </w:tcPr>
          <w:p w14:paraId="1E921F3D" w14:textId="77777777" w:rsidR="009F1516" w:rsidRPr="00EB0104" w:rsidRDefault="009F1516" w:rsidP="005F762C">
            <w:pPr>
              <w:spacing w:after="0" w:line="240" w:lineRule="auto"/>
              <w:rPr>
                <w:rFonts w:cstheme="minorHAnsi"/>
                <w:color w:val="FFFFFF" w:themeColor="background1"/>
                <w:sz w:val="16"/>
                <w:szCs w:val="16"/>
              </w:rPr>
            </w:pPr>
            <w:r w:rsidRPr="00EB0104">
              <w:rPr>
                <w:rFonts w:cstheme="minorHAnsi"/>
                <w:color w:val="FFFFFF" w:themeColor="background1"/>
                <w:sz w:val="16"/>
                <w:szCs w:val="16"/>
              </w:rPr>
              <w:t>Nanotechnologie</w:t>
            </w:r>
          </w:p>
        </w:tc>
        <w:tc>
          <w:tcPr>
            <w:tcW w:w="252" w:type="pct"/>
          </w:tcPr>
          <w:p w14:paraId="66C523C6" w14:textId="77777777" w:rsidR="009F1516" w:rsidRPr="00212844" w:rsidRDefault="009F1516" w:rsidP="005F762C">
            <w:pPr>
              <w:spacing w:after="0" w:line="240" w:lineRule="auto"/>
              <w:jc w:val="center"/>
              <w:rPr>
                <w:rFonts w:cstheme="minorHAnsi"/>
                <w:sz w:val="16"/>
                <w:szCs w:val="16"/>
              </w:rPr>
            </w:pPr>
          </w:p>
        </w:tc>
        <w:tc>
          <w:tcPr>
            <w:tcW w:w="284" w:type="pct"/>
          </w:tcPr>
          <w:p w14:paraId="33FA611C"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276C4484" w14:textId="77777777" w:rsidR="009F1516" w:rsidRPr="00212844" w:rsidRDefault="009F1516" w:rsidP="005F762C">
            <w:pPr>
              <w:spacing w:after="0" w:line="240" w:lineRule="auto"/>
              <w:jc w:val="center"/>
              <w:rPr>
                <w:rFonts w:cstheme="minorHAnsi"/>
                <w:sz w:val="16"/>
                <w:szCs w:val="16"/>
              </w:rPr>
            </w:pPr>
          </w:p>
        </w:tc>
        <w:tc>
          <w:tcPr>
            <w:tcW w:w="281" w:type="pct"/>
          </w:tcPr>
          <w:p w14:paraId="7F8D5185"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3" w:type="pct"/>
          </w:tcPr>
          <w:p w14:paraId="6B7D45CA"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96" w:type="pct"/>
          </w:tcPr>
          <w:p w14:paraId="3FEB3491"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4" w:type="pct"/>
          </w:tcPr>
          <w:p w14:paraId="3D4C84F4"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3B955C28"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1" w:type="pct"/>
          </w:tcPr>
          <w:p w14:paraId="6BFD4A5D" w14:textId="77777777" w:rsidR="009F1516" w:rsidRPr="00212844" w:rsidRDefault="009F1516" w:rsidP="005F762C">
            <w:pPr>
              <w:spacing w:after="0" w:line="240" w:lineRule="auto"/>
              <w:jc w:val="center"/>
              <w:rPr>
                <w:rFonts w:cstheme="minorHAnsi"/>
                <w:sz w:val="16"/>
                <w:szCs w:val="16"/>
              </w:rPr>
            </w:pPr>
          </w:p>
        </w:tc>
        <w:tc>
          <w:tcPr>
            <w:tcW w:w="285" w:type="pct"/>
          </w:tcPr>
          <w:p w14:paraId="6F1AB7D6"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0" w:type="pct"/>
          </w:tcPr>
          <w:p w14:paraId="6F0B75DD" w14:textId="77777777" w:rsidR="009F1516" w:rsidRPr="00212844" w:rsidRDefault="009F1516" w:rsidP="005F762C">
            <w:pPr>
              <w:spacing w:after="0" w:line="240" w:lineRule="auto"/>
              <w:jc w:val="center"/>
              <w:rPr>
                <w:rFonts w:cstheme="minorHAnsi"/>
                <w:sz w:val="16"/>
                <w:szCs w:val="16"/>
              </w:rPr>
            </w:pPr>
          </w:p>
        </w:tc>
        <w:tc>
          <w:tcPr>
            <w:tcW w:w="272" w:type="pct"/>
          </w:tcPr>
          <w:p w14:paraId="25B5997F"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8" w:type="pct"/>
          </w:tcPr>
          <w:p w14:paraId="42CE5A81" w14:textId="77777777" w:rsidR="009F1516" w:rsidRPr="00212844" w:rsidRDefault="009F1516" w:rsidP="005F762C">
            <w:pPr>
              <w:spacing w:after="0" w:line="240" w:lineRule="auto"/>
              <w:jc w:val="center"/>
              <w:rPr>
                <w:rFonts w:cstheme="minorHAnsi"/>
                <w:sz w:val="16"/>
                <w:szCs w:val="16"/>
              </w:rPr>
            </w:pPr>
          </w:p>
        </w:tc>
        <w:tc>
          <w:tcPr>
            <w:tcW w:w="256" w:type="pct"/>
          </w:tcPr>
          <w:p w14:paraId="0172D7A4"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r>
      <w:tr w:rsidR="006E2FFF" w:rsidRPr="00212844" w14:paraId="32E28083" w14:textId="77777777" w:rsidTr="00DD3634">
        <w:trPr>
          <w:trHeight w:val="421"/>
          <w:jc w:val="center"/>
        </w:trPr>
        <w:tc>
          <w:tcPr>
            <w:tcW w:w="403" w:type="pct"/>
            <w:vMerge/>
            <w:shd w:val="clear" w:color="auto" w:fill="004B8D"/>
          </w:tcPr>
          <w:p w14:paraId="53EFD16F" w14:textId="77777777" w:rsidR="009F1516" w:rsidRPr="00EB0104" w:rsidRDefault="009F1516" w:rsidP="005F762C">
            <w:pPr>
              <w:spacing w:after="0" w:line="240" w:lineRule="auto"/>
              <w:jc w:val="center"/>
              <w:rPr>
                <w:rFonts w:cstheme="minorHAnsi"/>
                <w:color w:val="FFFFFF" w:themeColor="background1"/>
                <w:sz w:val="16"/>
                <w:szCs w:val="16"/>
              </w:rPr>
            </w:pPr>
          </w:p>
        </w:tc>
        <w:tc>
          <w:tcPr>
            <w:tcW w:w="789" w:type="pct"/>
            <w:shd w:val="clear" w:color="auto" w:fill="004B8D"/>
          </w:tcPr>
          <w:p w14:paraId="32426215" w14:textId="77777777" w:rsidR="009F1516" w:rsidRPr="00EB0104" w:rsidRDefault="009F1516" w:rsidP="005F762C">
            <w:pPr>
              <w:spacing w:after="0" w:line="240" w:lineRule="auto"/>
              <w:rPr>
                <w:rFonts w:cstheme="minorHAnsi"/>
                <w:color w:val="FFFFFF" w:themeColor="background1"/>
                <w:sz w:val="16"/>
                <w:szCs w:val="16"/>
              </w:rPr>
            </w:pPr>
            <w:r w:rsidRPr="00EB0104">
              <w:rPr>
                <w:rFonts w:cstheme="minorHAnsi"/>
                <w:color w:val="FFFFFF" w:themeColor="background1"/>
                <w:sz w:val="16"/>
                <w:szCs w:val="16"/>
              </w:rPr>
              <w:t xml:space="preserve">Mikro a nanoelektronika </w:t>
            </w:r>
          </w:p>
        </w:tc>
        <w:tc>
          <w:tcPr>
            <w:tcW w:w="252" w:type="pct"/>
          </w:tcPr>
          <w:p w14:paraId="37B99E30" w14:textId="77777777" w:rsidR="009F1516" w:rsidRPr="00212844" w:rsidRDefault="009F1516" w:rsidP="005F762C">
            <w:pPr>
              <w:spacing w:after="0" w:line="240" w:lineRule="auto"/>
              <w:jc w:val="center"/>
              <w:rPr>
                <w:rFonts w:cstheme="minorHAnsi"/>
                <w:sz w:val="16"/>
                <w:szCs w:val="16"/>
              </w:rPr>
            </w:pPr>
          </w:p>
        </w:tc>
        <w:tc>
          <w:tcPr>
            <w:tcW w:w="284" w:type="pct"/>
          </w:tcPr>
          <w:p w14:paraId="66F67A1E"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18B7B335" w14:textId="77777777" w:rsidR="009F1516" w:rsidRPr="00212844" w:rsidRDefault="009F1516" w:rsidP="005F762C">
            <w:pPr>
              <w:spacing w:after="0" w:line="240" w:lineRule="auto"/>
              <w:jc w:val="center"/>
              <w:rPr>
                <w:rFonts w:cstheme="minorHAnsi"/>
                <w:sz w:val="16"/>
                <w:szCs w:val="16"/>
              </w:rPr>
            </w:pPr>
          </w:p>
        </w:tc>
        <w:tc>
          <w:tcPr>
            <w:tcW w:w="281" w:type="pct"/>
          </w:tcPr>
          <w:p w14:paraId="5A62B7B8" w14:textId="77777777" w:rsidR="009F1516" w:rsidRPr="00212844" w:rsidRDefault="009F1516" w:rsidP="005F762C">
            <w:pPr>
              <w:spacing w:after="0" w:line="240" w:lineRule="auto"/>
              <w:jc w:val="center"/>
              <w:rPr>
                <w:rFonts w:cstheme="minorHAnsi"/>
                <w:sz w:val="16"/>
                <w:szCs w:val="16"/>
              </w:rPr>
            </w:pPr>
          </w:p>
        </w:tc>
        <w:tc>
          <w:tcPr>
            <w:tcW w:w="263" w:type="pct"/>
          </w:tcPr>
          <w:p w14:paraId="182EE1EB"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96" w:type="pct"/>
          </w:tcPr>
          <w:p w14:paraId="599DA034"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4" w:type="pct"/>
          </w:tcPr>
          <w:p w14:paraId="0F17CEB3"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1F615A68"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1" w:type="pct"/>
          </w:tcPr>
          <w:p w14:paraId="74D61627" w14:textId="77777777" w:rsidR="009F1516" w:rsidRPr="00212844" w:rsidRDefault="009F1516" w:rsidP="005F762C">
            <w:pPr>
              <w:spacing w:after="0" w:line="240" w:lineRule="auto"/>
              <w:jc w:val="center"/>
              <w:rPr>
                <w:rFonts w:cstheme="minorHAnsi"/>
                <w:sz w:val="16"/>
                <w:szCs w:val="16"/>
              </w:rPr>
            </w:pPr>
          </w:p>
        </w:tc>
        <w:tc>
          <w:tcPr>
            <w:tcW w:w="285" w:type="pct"/>
          </w:tcPr>
          <w:p w14:paraId="541CD638"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0" w:type="pct"/>
          </w:tcPr>
          <w:p w14:paraId="71530C84" w14:textId="77777777" w:rsidR="009F1516" w:rsidRPr="00212844" w:rsidRDefault="009F1516" w:rsidP="005F762C">
            <w:pPr>
              <w:spacing w:after="0" w:line="240" w:lineRule="auto"/>
              <w:jc w:val="center"/>
              <w:rPr>
                <w:rFonts w:cstheme="minorHAnsi"/>
                <w:sz w:val="16"/>
                <w:szCs w:val="16"/>
              </w:rPr>
            </w:pPr>
          </w:p>
        </w:tc>
        <w:tc>
          <w:tcPr>
            <w:tcW w:w="272" w:type="pct"/>
          </w:tcPr>
          <w:p w14:paraId="1A140C8E" w14:textId="77777777" w:rsidR="009F1516" w:rsidRPr="00212844" w:rsidRDefault="009F1516" w:rsidP="005F762C">
            <w:pPr>
              <w:spacing w:after="0" w:line="240" w:lineRule="auto"/>
              <w:jc w:val="center"/>
              <w:rPr>
                <w:rFonts w:cstheme="minorHAnsi"/>
                <w:sz w:val="16"/>
                <w:szCs w:val="16"/>
              </w:rPr>
            </w:pPr>
          </w:p>
        </w:tc>
        <w:tc>
          <w:tcPr>
            <w:tcW w:w="268" w:type="pct"/>
          </w:tcPr>
          <w:p w14:paraId="0E326CF2" w14:textId="77777777" w:rsidR="009F1516" w:rsidRPr="00212844" w:rsidRDefault="009F1516" w:rsidP="005F762C">
            <w:pPr>
              <w:spacing w:after="0" w:line="240" w:lineRule="auto"/>
              <w:jc w:val="center"/>
              <w:rPr>
                <w:rFonts w:cstheme="minorHAnsi"/>
                <w:sz w:val="16"/>
                <w:szCs w:val="16"/>
              </w:rPr>
            </w:pPr>
          </w:p>
        </w:tc>
        <w:tc>
          <w:tcPr>
            <w:tcW w:w="256" w:type="pct"/>
          </w:tcPr>
          <w:p w14:paraId="3F8A2CB9"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r>
      <w:tr w:rsidR="006E2FFF" w:rsidRPr="00212844" w14:paraId="086B4BD3" w14:textId="77777777" w:rsidTr="00DD3634">
        <w:trPr>
          <w:trHeight w:val="413"/>
          <w:jc w:val="center"/>
        </w:trPr>
        <w:tc>
          <w:tcPr>
            <w:tcW w:w="403" w:type="pct"/>
            <w:vMerge/>
            <w:shd w:val="clear" w:color="auto" w:fill="004B8D"/>
          </w:tcPr>
          <w:p w14:paraId="3668EA1F" w14:textId="77777777" w:rsidR="009F1516" w:rsidRPr="00EB0104" w:rsidRDefault="009F1516" w:rsidP="005F762C">
            <w:pPr>
              <w:spacing w:after="0" w:line="240" w:lineRule="auto"/>
              <w:jc w:val="center"/>
              <w:rPr>
                <w:rFonts w:cstheme="minorHAnsi"/>
                <w:color w:val="FFFFFF" w:themeColor="background1"/>
                <w:sz w:val="16"/>
                <w:szCs w:val="16"/>
              </w:rPr>
            </w:pPr>
          </w:p>
        </w:tc>
        <w:tc>
          <w:tcPr>
            <w:tcW w:w="789" w:type="pct"/>
            <w:shd w:val="clear" w:color="auto" w:fill="004B8D"/>
          </w:tcPr>
          <w:p w14:paraId="71EA7A81" w14:textId="77777777" w:rsidR="009F1516" w:rsidRPr="00EB0104" w:rsidRDefault="009F1516" w:rsidP="005F762C">
            <w:pPr>
              <w:spacing w:after="0" w:line="240" w:lineRule="auto"/>
              <w:rPr>
                <w:rFonts w:cstheme="minorHAnsi"/>
                <w:color w:val="FFFFFF" w:themeColor="background1"/>
                <w:sz w:val="16"/>
                <w:szCs w:val="16"/>
              </w:rPr>
            </w:pPr>
            <w:r w:rsidRPr="00EB0104">
              <w:rPr>
                <w:rFonts w:cstheme="minorHAnsi"/>
                <w:color w:val="FFFFFF" w:themeColor="background1"/>
                <w:sz w:val="16"/>
                <w:szCs w:val="16"/>
              </w:rPr>
              <w:t>Pokročilé výrobní technologie</w:t>
            </w:r>
          </w:p>
        </w:tc>
        <w:tc>
          <w:tcPr>
            <w:tcW w:w="252" w:type="pct"/>
          </w:tcPr>
          <w:p w14:paraId="4B6A9F7F"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84" w:type="pct"/>
          </w:tcPr>
          <w:p w14:paraId="5475B60F"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42D63F02" w14:textId="77777777" w:rsidR="009F1516" w:rsidRPr="00212844" w:rsidRDefault="009F1516" w:rsidP="005F762C">
            <w:pPr>
              <w:spacing w:after="0" w:line="240" w:lineRule="auto"/>
              <w:jc w:val="center"/>
              <w:rPr>
                <w:rFonts w:cstheme="minorHAnsi"/>
                <w:sz w:val="16"/>
                <w:szCs w:val="16"/>
              </w:rPr>
            </w:pPr>
          </w:p>
        </w:tc>
        <w:tc>
          <w:tcPr>
            <w:tcW w:w="281" w:type="pct"/>
          </w:tcPr>
          <w:p w14:paraId="303BF63C" w14:textId="77777777" w:rsidR="009F1516" w:rsidRPr="00212844" w:rsidRDefault="009F1516" w:rsidP="005F762C">
            <w:pPr>
              <w:spacing w:after="0" w:line="240" w:lineRule="auto"/>
              <w:jc w:val="center"/>
              <w:rPr>
                <w:rStyle w:val="Odkaznakoment"/>
                <w:rFonts w:cstheme="minorHAnsi"/>
              </w:rPr>
            </w:pPr>
            <w:r w:rsidRPr="00212844">
              <w:rPr>
                <w:rStyle w:val="Odkaznakoment"/>
                <w:rFonts w:cstheme="minorHAnsi"/>
              </w:rPr>
              <w:t>x</w:t>
            </w:r>
          </w:p>
        </w:tc>
        <w:tc>
          <w:tcPr>
            <w:tcW w:w="263" w:type="pct"/>
          </w:tcPr>
          <w:p w14:paraId="076232B8"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96" w:type="pct"/>
          </w:tcPr>
          <w:p w14:paraId="5D4064EE"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4" w:type="pct"/>
          </w:tcPr>
          <w:p w14:paraId="0A6CDF1F"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0DB867E1" w14:textId="77777777" w:rsidR="009F1516" w:rsidRPr="00212844" w:rsidRDefault="009F1516" w:rsidP="005F762C">
            <w:pPr>
              <w:spacing w:after="0" w:line="240" w:lineRule="auto"/>
              <w:jc w:val="center"/>
              <w:rPr>
                <w:rFonts w:cstheme="minorHAnsi"/>
                <w:sz w:val="16"/>
                <w:szCs w:val="16"/>
              </w:rPr>
            </w:pPr>
          </w:p>
        </w:tc>
        <w:tc>
          <w:tcPr>
            <w:tcW w:w="261" w:type="pct"/>
          </w:tcPr>
          <w:p w14:paraId="7675DE61"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85" w:type="pct"/>
          </w:tcPr>
          <w:p w14:paraId="22E11F8F"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0" w:type="pct"/>
          </w:tcPr>
          <w:p w14:paraId="31846F37"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2" w:type="pct"/>
          </w:tcPr>
          <w:p w14:paraId="40AB68A6" w14:textId="77777777" w:rsidR="009F1516" w:rsidRPr="00212844" w:rsidRDefault="009F1516" w:rsidP="005F762C">
            <w:pPr>
              <w:spacing w:after="0" w:line="240" w:lineRule="auto"/>
              <w:jc w:val="center"/>
              <w:rPr>
                <w:rFonts w:cstheme="minorHAnsi"/>
                <w:sz w:val="16"/>
                <w:szCs w:val="16"/>
              </w:rPr>
            </w:pPr>
          </w:p>
        </w:tc>
        <w:tc>
          <w:tcPr>
            <w:tcW w:w="268" w:type="pct"/>
          </w:tcPr>
          <w:p w14:paraId="0ADA6FB7"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56" w:type="pct"/>
          </w:tcPr>
          <w:p w14:paraId="78FC76ED"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r>
      <w:tr w:rsidR="006E2FFF" w:rsidRPr="00212844" w14:paraId="5C50AA35" w14:textId="77777777" w:rsidTr="00DD3634">
        <w:trPr>
          <w:trHeight w:val="419"/>
          <w:jc w:val="center"/>
        </w:trPr>
        <w:tc>
          <w:tcPr>
            <w:tcW w:w="403" w:type="pct"/>
            <w:vMerge/>
            <w:shd w:val="clear" w:color="auto" w:fill="004B8D"/>
          </w:tcPr>
          <w:p w14:paraId="17489C85" w14:textId="77777777" w:rsidR="009F1516" w:rsidRPr="00EB0104" w:rsidRDefault="009F1516" w:rsidP="005F762C">
            <w:pPr>
              <w:spacing w:after="0" w:line="240" w:lineRule="auto"/>
              <w:jc w:val="center"/>
              <w:rPr>
                <w:rFonts w:cstheme="minorHAnsi"/>
                <w:color w:val="FFFFFF" w:themeColor="background1"/>
                <w:sz w:val="16"/>
                <w:szCs w:val="16"/>
              </w:rPr>
            </w:pPr>
          </w:p>
        </w:tc>
        <w:tc>
          <w:tcPr>
            <w:tcW w:w="789" w:type="pct"/>
            <w:shd w:val="clear" w:color="auto" w:fill="004B8D"/>
          </w:tcPr>
          <w:p w14:paraId="57A95D00" w14:textId="77777777" w:rsidR="009F1516" w:rsidRPr="00EB0104" w:rsidRDefault="009F1516" w:rsidP="005F762C">
            <w:pPr>
              <w:spacing w:after="0" w:line="240" w:lineRule="auto"/>
              <w:rPr>
                <w:rFonts w:cstheme="minorHAnsi"/>
                <w:color w:val="FFFFFF" w:themeColor="background1"/>
                <w:sz w:val="16"/>
                <w:szCs w:val="16"/>
              </w:rPr>
            </w:pPr>
            <w:r w:rsidRPr="00EB0104">
              <w:rPr>
                <w:rFonts w:cstheme="minorHAnsi"/>
                <w:color w:val="FFFFFF" w:themeColor="background1"/>
                <w:sz w:val="16"/>
                <w:szCs w:val="16"/>
              </w:rPr>
              <w:t>Fotonika</w:t>
            </w:r>
          </w:p>
        </w:tc>
        <w:tc>
          <w:tcPr>
            <w:tcW w:w="252" w:type="pct"/>
          </w:tcPr>
          <w:p w14:paraId="1761BC2B"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84" w:type="pct"/>
          </w:tcPr>
          <w:p w14:paraId="1B7C7811"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1116F1BB" w14:textId="77777777" w:rsidR="009F1516" w:rsidRPr="00212844" w:rsidRDefault="009F1516" w:rsidP="005F762C">
            <w:pPr>
              <w:spacing w:after="0" w:line="240" w:lineRule="auto"/>
              <w:jc w:val="center"/>
              <w:rPr>
                <w:rFonts w:cstheme="minorHAnsi"/>
                <w:sz w:val="16"/>
                <w:szCs w:val="16"/>
              </w:rPr>
            </w:pPr>
          </w:p>
        </w:tc>
        <w:tc>
          <w:tcPr>
            <w:tcW w:w="281" w:type="pct"/>
          </w:tcPr>
          <w:p w14:paraId="38444656" w14:textId="77777777" w:rsidR="009F1516" w:rsidRPr="00212844" w:rsidRDefault="009F1516" w:rsidP="005F762C">
            <w:pPr>
              <w:spacing w:after="0" w:line="240" w:lineRule="auto"/>
              <w:jc w:val="center"/>
              <w:rPr>
                <w:rStyle w:val="Odkaznakoment"/>
                <w:rFonts w:cstheme="minorHAnsi"/>
              </w:rPr>
            </w:pPr>
          </w:p>
        </w:tc>
        <w:tc>
          <w:tcPr>
            <w:tcW w:w="263" w:type="pct"/>
          </w:tcPr>
          <w:p w14:paraId="2E4B1BF2"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96" w:type="pct"/>
          </w:tcPr>
          <w:p w14:paraId="127BF06D"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4" w:type="pct"/>
          </w:tcPr>
          <w:p w14:paraId="37C35373"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5B65320D" w14:textId="77777777" w:rsidR="009F1516" w:rsidRPr="00212844" w:rsidRDefault="009F1516" w:rsidP="005F762C">
            <w:pPr>
              <w:spacing w:after="0" w:line="240" w:lineRule="auto"/>
              <w:jc w:val="center"/>
              <w:rPr>
                <w:rFonts w:cstheme="minorHAnsi"/>
                <w:sz w:val="16"/>
                <w:szCs w:val="16"/>
              </w:rPr>
            </w:pPr>
          </w:p>
        </w:tc>
        <w:tc>
          <w:tcPr>
            <w:tcW w:w="261" w:type="pct"/>
          </w:tcPr>
          <w:p w14:paraId="543DFD4E" w14:textId="77777777" w:rsidR="009F1516" w:rsidRPr="00212844" w:rsidRDefault="009F1516" w:rsidP="005F762C">
            <w:pPr>
              <w:spacing w:after="0" w:line="240" w:lineRule="auto"/>
              <w:jc w:val="center"/>
              <w:rPr>
                <w:rFonts w:cstheme="minorHAnsi"/>
                <w:sz w:val="16"/>
                <w:szCs w:val="16"/>
              </w:rPr>
            </w:pPr>
          </w:p>
        </w:tc>
        <w:tc>
          <w:tcPr>
            <w:tcW w:w="285" w:type="pct"/>
          </w:tcPr>
          <w:p w14:paraId="692B7858"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0" w:type="pct"/>
          </w:tcPr>
          <w:p w14:paraId="43B4AE19"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2" w:type="pct"/>
          </w:tcPr>
          <w:p w14:paraId="0587BEAA" w14:textId="77777777" w:rsidR="009F1516" w:rsidRPr="00212844" w:rsidRDefault="009F1516" w:rsidP="005F762C">
            <w:pPr>
              <w:spacing w:after="0" w:line="240" w:lineRule="auto"/>
              <w:jc w:val="center"/>
              <w:rPr>
                <w:rFonts w:cstheme="minorHAnsi"/>
                <w:sz w:val="16"/>
                <w:szCs w:val="16"/>
              </w:rPr>
            </w:pPr>
          </w:p>
        </w:tc>
        <w:tc>
          <w:tcPr>
            <w:tcW w:w="268" w:type="pct"/>
          </w:tcPr>
          <w:p w14:paraId="43AA4178" w14:textId="77777777" w:rsidR="009F1516" w:rsidRPr="00212844" w:rsidRDefault="009F1516" w:rsidP="005F762C">
            <w:pPr>
              <w:spacing w:after="0" w:line="240" w:lineRule="auto"/>
              <w:jc w:val="center"/>
              <w:rPr>
                <w:rFonts w:cstheme="minorHAnsi"/>
                <w:sz w:val="16"/>
                <w:szCs w:val="16"/>
              </w:rPr>
            </w:pPr>
          </w:p>
        </w:tc>
        <w:tc>
          <w:tcPr>
            <w:tcW w:w="256" w:type="pct"/>
          </w:tcPr>
          <w:p w14:paraId="759E7DE5"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r>
      <w:tr w:rsidR="006E2FFF" w:rsidRPr="00212844" w14:paraId="3C1C7143" w14:textId="77777777" w:rsidTr="00DD3634">
        <w:trPr>
          <w:trHeight w:val="412"/>
          <w:jc w:val="center"/>
        </w:trPr>
        <w:tc>
          <w:tcPr>
            <w:tcW w:w="403" w:type="pct"/>
            <w:vMerge/>
            <w:shd w:val="clear" w:color="auto" w:fill="004B8D"/>
          </w:tcPr>
          <w:p w14:paraId="1D9EA260" w14:textId="77777777" w:rsidR="009F1516" w:rsidRPr="00EB0104" w:rsidRDefault="009F1516" w:rsidP="005F762C">
            <w:pPr>
              <w:spacing w:after="0" w:line="240" w:lineRule="auto"/>
              <w:jc w:val="center"/>
              <w:rPr>
                <w:rFonts w:cstheme="minorHAnsi"/>
                <w:color w:val="FFFFFF" w:themeColor="background1"/>
                <w:sz w:val="16"/>
                <w:szCs w:val="16"/>
              </w:rPr>
            </w:pPr>
          </w:p>
        </w:tc>
        <w:tc>
          <w:tcPr>
            <w:tcW w:w="789" w:type="pct"/>
            <w:shd w:val="clear" w:color="auto" w:fill="004B8D"/>
          </w:tcPr>
          <w:p w14:paraId="69C7FEA9" w14:textId="77777777" w:rsidR="009F1516" w:rsidRPr="00EB0104" w:rsidRDefault="009F1516" w:rsidP="005F762C">
            <w:pPr>
              <w:spacing w:after="0" w:line="240" w:lineRule="auto"/>
              <w:rPr>
                <w:rFonts w:cstheme="minorHAnsi"/>
                <w:color w:val="FFFFFF" w:themeColor="background1"/>
                <w:sz w:val="16"/>
                <w:szCs w:val="16"/>
              </w:rPr>
            </w:pPr>
            <w:r w:rsidRPr="00EB0104">
              <w:rPr>
                <w:rFonts w:cstheme="minorHAnsi"/>
                <w:color w:val="FFFFFF" w:themeColor="background1"/>
                <w:sz w:val="16"/>
                <w:szCs w:val="16"/>
              </w:rPr>
              <w:t xml:space="preserve">Průmyslové biotechnologie </w:t>
            </w:r>
          </w:p>
        </w:tc>
        <w:tc>
          <w:tcPr>
            <w:tcW w:w="252" w:type="pct"/>
          </w:tcPr>
          <w:p w14:paraId="388185AB"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84" w:type="pct"/>
          </w:tcPr>
          <w:p w14:paraId="5BF1B6A7"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62F91416" w14:textId="77777777" w:rsidR="009F1516" w:rsidRPr="00212844" w:rsidRDefault="009F1516" w:rsidP="005F762C">
            <w:pPr>
              <w:spacing w:after="0" w:line="240" w:lineRule="auto"/>
              <w:jc w:val="center"/>
              <w:rPr>
                <w:rFonts w:cstheme="minorHAnsi"/>
                <w:sz w:val="16"/>
                <w:szCs w:val="16"/>
              </w:rPr>
            </w:pPr>
          </w:p>
        </w:tc>
        <w:tc>
          <w:tcPr>
            <w:tcW w:w="281" w:type="pct"/>
          </w:tcPr>
          <w:p w14:paraId="08846DA8"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3" w:type="pct"/>
          </w:tcPr>
          <w:p w14:paraId="5B6F7B74"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96" w:type="pct"/>
          </w:tcPr>
          <w:p w14:paraId="5EDFFE89" w14:textId="77777777" w:rsidR="009F1516" w:rsidRPr="00212844" w:rsidRDefault="009F1516" w:rsidP="005F762C">
            <w:pPr>
              <w:spacing w:after="0" w:line="240" w:lineRule="auto"/>
              <w:jc w:val="center"/>
              <w:rPr>
                <w:rFonts w:cstheme="minorHAnsi"/>
                <w:sz w:val="16"/>
                <w:szCs w:val="16"/>
              </w:rPr>
            </w:pPr>
          </w:p>
        </w:tc>
        <w:tc>
          <w:tcPr>
            <w:tcW w:w="274" w:type="pct"/>
          </w:tcPr>
          <w:p w14:paraId="5234AF1A"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4A2E5069"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1" w:type="pct"/>
          </w:tcPr>
          <w:p w14:paraId="6DCFAF6C" w14:textId="77777777" w:rsidR="009F1516" w:rsidRPr="00212844" w:rsidRDefault="009F1516" w:rsidP="005F762C">
            <w:pPr>
              <w:spacing w:after="0" w:line="240" w:lineRule="auto"/>
              <w:jc w:val="center"/>
              <w:rPr>
                <w:rFonts w:cstheme="minorHAnsi"/>
                <w:sz w:val="16"/>
                <w:szCs w:val="16"/>
              </w:rPr>
            </w:pPr>
          </w:p>
        </w:tc>
        <w:tc>
          <w:tcPr>
            <w:tcW w:w="285" w:type="pct"/>
          </w:tcPr>
          <w:p w14:paraId="5389B5EC"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0" w:type="pct"/>
          </w:tcPr>
          <w:p w14:paraId="651509F4"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2" w:type="pct"/>
          </w:tcPr>
          <w:p w14:paraId="732BD311" w14:textId="77777777" w:rsidR="009F1516" w:rsidRPr="00212844" w:rsidRDefault="009F1516" w:rsidP="005F762C">
            <w:pPr>
              <w:spacing w:after="0" w:line="240" w:lineRule="auto"/>
              <w:jc w:val="center"/>
              <w:rPr>
                <w:rFonts w:cstheme="minorHAnsi"/>
                <w:sz w:val="16"/>
                <w:szCs w:val="16"/>
              </w:rPr>
            </w:pPr>
          </w:p>
        </w:tc>
        <w:tc>
          <w:tcPr>
            <w:tcW w:w="268" w:type="pct"/>
          </w:tcPr>
          <w:p w14:paraId="734D35EC" w14:textId="77777777" w:rsidR="009F1516" w:rsidRPr="00212844" w:rsidRDefault="009F1516" w:rsidP="005F762C">
            <w:pPr>
              <w:spacing w:after="0" w:line="240" w:lineRule="auto"/>
              <w:jc w:val="center"/>
              <w:rPr>
                <w:rFonts w:cstheme="minorHAnsi"/>
                <w:sz w:val="16"/>
                <w:szCs w:val="16"/>
              </w:rPr>
            </w:pPr>
          </w:p>
        </w:tc>
        <w:tc>
          <w:tcPr>
            <w:tcW w:w="256" w:type="pct"/>
          </w:tcPr>
          <w:p w14:paraId="741A9D96"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r>
      <w:tr w:rsidR="006E2FFF" w:rsidRPr="00212844" w14:paraId="5C453779" w14:textId="77777777" w:rsidTr="00DD3634">
        <w:trPr>
          <w:trHeight w:val="842"/>
          <w:jc w:val="center"/>
        </w:trPr>
        <w:tc>
          <w:tcPr>
            <w:tcW w:w="403" w:type="pct"/>
            <w:vMerge w:val="restart"/>
            <w:shd w:val="clear" w:color="auto" w:fill="004B8D"/>
            <w:textDirection w:val="btLr"/>
          </w:tcPr>
          <w:p w14:paraId="2A31F53A" w14:textId="77777777" w:rsidR="009F1516" w:rsidRPr="00EB0104" w:rsidRDefault="009F1516" w:rsidP="005F762C">
            <w:pPr>
              <w:spacing w:after="0" w:line="240" w:lineRule="auto"/>
              <w:ind w:left="113" w:right="113"/>
              <w:jc w:val="center"/>
              <w:rPr>
                <w:color w:val="FFFFFF" w:themeColor="background1"/>
                <w:sz w:val="16"/>
                <w:szCs w:val="16"/>
              </w:rPr>
            </w:pPr>
            <w:r w:rsidRPr="00EB0104">
              <w:rPr>
                <w:color w:val="FFFFFF" w:themeColor="background1"/>
                <w:sz w:val="16"/>
                <w:szCs w:val="16"/>
              </w:rPr>
              <w:t>Netechnologické znalostní domény</w:t>
            </w:r>
          </w:p>
        </w:tc>
        <w:tc>
          <w:tcPr>
            <w:tcW w:w="789" w:type="pct"/>
            <w:shd w:val="clear" w:color="auto" w:fill="004B8D"/>
          </w:tcPr>
          <w:p w14:paraId="59997C66" w14:textId="27D6AE99" w:rsidR="009F1516" w:rsidRPr="00EB0104" w:rsidRDefault="009F1516" w:rsidP="00977C84">
            <w:pPr>
              <w:spacing w:after="0" w:line="240" w:lineRule="auto"/>
              <w:rPr>
                <w:rFonts w:cstheme="minorHAnsi"/>
                <w:color w:val="FFFFFF" w:themeColor="background1"/>
                <w:sz w:val="16"/>
                <w:szCs w:val="16"/>
              </w:rPr>
            </w:pPr>
            <w:r w:rsidRPr="00EB0104">
              <w:rPr>
                <w:color w:val="FFFFFF" w:themeColor="background1"/>
                <w:sz w:val="16"/>
                <w:szCs w:val="16"/>
              </w:rPr>
              <w:t>Znalosti pro digitální ekonomik</w:t>
            </w:r>
            <w:r w:rsidR="00977C84">
              <w:rPr>
                <w:color w:val="FFFFFF" w:themeColor="background1"/>
                <w:sz w:val="16"/>
                <w:szCs w:val="16"/>
              </w:rPr>
              <w:t>u, kulturní a kreativní odvětví</w:t>
            </w:r>
            <w:r w:rsidRPr="00EB0104">
              <w:rPr>
                <w:color w:val="FFFFFF" w:themeColor="background1"/>
                <w:sz w:val="16"/>
                <w:szCs w:val="16"/>
              </w:rPr>
              <w:t>l</w:t>
            </w:r>
          </w:p>
        </w:tc>
        <w:tc>
          <w:tcPr>
            <w:tcW w:w="252" w:type="pct"/>
          </w:tcPr>
          <w:p w14:paraId="70463616" w14:textId="77777777" w:rsidR="009F1516" w:rsidRPr="00212844" w:rsidRDefault="009F1516" w:rsidP="005F762C">
            <w:pPr>
              <w:spacing w:after="0" w:line="240" w:lineRule="auto"/>
              <w:jc w:val="center"/>
              <w:rPr>
                <w:rFonts w:cstheme="minorHAnsi"/>
                <w:sz w:val="16"/>
                <w:szCs w:val="16"/>
              </w:rPr>
            </w:pPr>
          </w:p>
        </w:tc>
        <w:tc>
          <w:tcPr>
            <w:tcW w:w="284" w:type="pct"/>
          </w:tcPr>
          <w:p w14:paraId="5095CC73"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1DD12555" w14:textId="77777777" w:rsidR="009F1516" w:rsidRPr="00212844" w:rsidRDefault="009F1516" w:rsidP="005F762C">
            <w:pPr>
              <w:spacing w:after="0" w:line="240" w:lineRule="auto"/>
              <w:jc w:val="center"/>
              <w:rPr>
                <w:rFonts w:cstheme="minorHAnsi"/>
                <w:sz w:val="16"/>
                <w:szCs w:val="16"/>
              </w:rPr>
            </w:pPr>
          </w:p>
        </w:tc>
        <w:tc>
          <w:tcPr>
            <w:tcW w:w="281" w:type="pct"/>
          </w:tcPr>
          <w:p w14:paraId="7B91E147"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3" w:type="pct"/>
          </w:tcPr>
          <w:p w14:paraId="267C51DD"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96" w:type="pct"/>
          </w:tcPr>
          <w:p w14:paraId="0A5D4283" w14:textId="77777777" w:rsidR="009F1516" w:rsidRPr="00212844" w:rsidRDefault="009F1516" w:rsidP="005F762C">
            <w:pPr>
              <w:spacing w:after="0" w:line="240" w:lineRule="auto"/>
              <w:jc w:val="center"/>
              <w:rPr>
                <w:rFonts w:cstheme="minorHAnsi"/>
                <w:sz w:val="16"/>
                <w:szCs w:val="16"/>
              </w:rPr>
            </w:pPr>
          </w:p>
        </w:tc>
        <w:tc>
          <w:tcPr>
            <w:tcW w:w="274" w:type="pct"/>
          </w:tcPr>
          <w:p w14:paraId="36CD4A0C"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7" w:type="pct"/>
          </w:tcPr>
          <w:p w14:paraId="7C9E7982" w14:textId="77777777" w:rsidR="009F1516" w:rsidRPr="00212844" w:rsidRDefault="009F1516" w:rsidP="005F762C">
            <w:pPr>
              <w:spacing w:after="0" w:line="240" w:lineRule="auto"/>
              <w:jc w:val="center"/>
              <w:rPr>
                <w:rFonts w:cstheme="minorHAnsi"/>
                <w:sz w:val="16"/>
                <w:szCs w:val="16"/>
              </w:rPr>
            </w:pPr>
          </w:p>
        </w:tc>
        <w:tc>
          <w:tcPr>
            <w:tcW w:w="261" w:type="pct"/>
          </w:tcPr>
          <w:p w14:paraId="66A8778C"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85" w:type="pct"/>
          </w:tcPr>
          <w:p w14:paraId="67FF117F"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0" w:type="pct"/>
          </w:tcPr>
          <w:p w14:paraId="3F4F1499" w14:textId="77777777" w:rsidR="009F1516" w:rsidRPr="00212844" w:rsidRDefault="009F1516" w:rsidP="005F762C">
            <w:pPr>
              <w:spacing w:after="0" w:line="240" w:lineRule="auto"/>
              <w:jc w:val="center"/>
              <w:rPr>
                <w:rFonts w:cstheme="minorHAnsi"/>
                <w:sz w:val="16"/>
                <w:szCs w:val="16"/>
              </w:rPr>
            </w:pPr>
          </w:p>
        </w:tc>
        <w:tc>
          <w:tcPr>
            <w:tcW w:w="272" w:type="pct"/>
          </w:tcPr>
          <w:p w14:paraId="57D5F4CB"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8" w:type="pct"/>
          </w:tcPr>
          <w:p w14:paraId="461CE6F6" w14:textId="77777777" w:rsidR="009F1516" w:rsidRPr="00212844" w:rsidRDefault="009F1516" w:rsidP="005F762C">
            <w:pPr>
              <w:spacing w:after="0" w:line="240" w:lineRule="auto"/>
              <w:jc w:val="center"/>
              <w:rPr>
                <w:rFonts w:cstheme="minorHAnsi"/>
                <w:sz w:val="16"/>
                <w:szCs w:val="16"/>
              </w:rPr>
            </w:pPr>
          </w:p>
        </w:tc>
        <w:tc>
          <w:tcPr>
            <w:tcW w:w="256" w:type="pct"/>
          </w:tcPr>
          <w:p w14:paraId="5DD555B0"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r>
      <w:tr w:rsidR="006E2FFF" w:rsidRPr="00212844" w14:paraId="3094A8B6" w14:textId="77777777" w:rsidTr="00DD3634">
        <w:trPr>
          <w:trHeight w:val="699"/>
          <w:jc w:val="center"/>
        </w:trPr>
        <w:tc>
          <w:tcPr>
            <w:tcW w:w="403" w:type="pct"/>
            <w:vMerge/>
            <w:shd w:val="clear" w:color="auto" w:fill="004B8D"/>
          </w:tcPr>
          <w:p w14:paraId="666E046E" w14:textId="77777777" w:rsidR="009F1516" w:rsidRPr="00EB0104" w:rsidRDefault="009F1516" w:rsidP="005F762C">
            <w:pPr>
              <w:spacing w:after="0" w:line="240" w:lineRule="auto"/>
              <w:rPr>
                <w:rFonts w:cstheme="minorHAnsi"/>
                <w:color w:val="FFFFFF" w:themeColor="background1"/>
                <w:sz w:val="16"/>
                <w:szCs w:val="16"/>
              </w:rPr>
            </w:pPr>
          </w:p>
        </w:tc>
        <w:tc>
          <w:tcPr>
            <w:tcW w:w="789" w:type="pct"/>
            <w:shd w:val="clear" w:color="auto" w:fill="004B8D"/>
          </w:tcPr>
          <w:p w14:paraId="25ACEA3F" w14:textId="77777777" w:rsidR="009F1516" w:rsidRPr="00EB0104" w:rsidRDefault="009F1516" w:rsidP="005F762C">
            <w:pPr>
              <w:spacing w:after="0" w:line="240" w:lineRule="auto"/>
              <w:rPr>
                <w:rFonts w:cstheme="minorHAnsi"/>
                <w:color w:val="FFFFFF" w:themeColor="background1"/>
                <w:sz w:val="16"/>
                <w:szCs w:val="16"/>
              </w:rPr>
            </w:pPr>
            <w:r w:rsidRPr="00EB0104">
              <w:rPr>
                <w:rFonts w:cstheme="minorHAnsi"/>
                <w:color w:val="FFFFFF" w:themeColor="background1"/>
                <w:sz w:val="16"/>
                <w:szCs w:val="16"/>
              </w:rPr>
              <w:t xml:space="preserve">Společenskovědní znalosti pro netechnické inovace </w:t>
            </w:r>
          </w:p>
        </w:tc>
        <w:tc>
          <w:tcPr>
            <w:tcW w:w="252" w:type="pct"/>
          </w:tcPr>
          <w:p w14:paraId="75A33725"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84" w:type="pct"/>
          </w:tcPr>
          <w:p w14:paraId="1187727E" w14:textId="77777777" w:rsidR="009F1516" w:rsidRPr="00212844" w:rsidRDefault="009F1516" w:rsidP="005F762C">
            <w:pPr>
              <w:spacing w:after="0" w:line="240" w:lineRule="auto"/>
              <w:jc w:val="center"/>
              <w:rPr>
                <w:rFonts w:cstheme="minorHAnsi"/>
                <w:sz w:val="16"/>
                <w:szCs w:val="16"/>
              </w:rPr>
            </w:pPr>
          </w:p>
        </w:tc>
        <w:tc>
          <w:tcPr>
            <w:tcW w:w="277" w:type="pct"/>
          </w:tcPr>
          <w:p w14:paraId="143FFC8E" w14:textId="77777777" w:rsidR="009F1516" w:rsidRPr="00212844" w:rsidRDefault="009F1516" w:rsidP="005F762C">
            <w:pPr>
              <w:spacing w:after="0" w:line="240" w:lineRule="auto"/>
              <w:jc w:val="center"/>
              <w:rPr>
                <w:rFonts w:cstheme="minorHAnsi"/>
                <w:sz w:val="16"/>
                <w:szCs w:val="16"/>
              </w:rPr>
            </w:pPr>
          </w:p>
        </w:tc>
        <w:tc>
          <w:tcPr>
            <w:tcW w:w="281" w:type="pct"/>
          </w:tcPr>
          <w:p w14:paraId="75C89093"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3" w:type="pct"/>
          </w:tcPr>
          <w:p w14:paraId="2A5F5210" w14:textId="77777777" w:rsidR="009F1516" w:rsidRPr="00212844" w:rsidRDefault="009F1516" w:rsidP="005F762C">
            <w:pPr>
              <w:spacing w:after="0" w:line="240" w:lineRule="auto"/>
              <w:jc w:val="center"/>
              <w:rPr>
                <w:rFonts w:cstheme="minorHAnsi"/>
                <w:sz w:val="16"/>
                <w:szCs w:val="16"/>
              </w:rPr>
            </w:pPr>
          </w:p>
        </w:tc>
        <w:tc>
          <w:tcPr>
            <w:tcW w:w="296" w:type="pct"/>
          </w:tcPr>
          <w:p w14:paraId="25DBF0A1"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4" w:type="pct"/>
          </w:tcPr>
          <w:p w14:paraId="01AB088A" w14:textId="77777777" w:rsidR="009F1516" w:rsidRPr="00212844" w:rsidRDefault="009F1516" w:rsidP="005F762C">
            <w:pPr>
              <w:spacing w:after="0" w:line="240" w:lineRule="auto"/>
              <w:jc w:val="center"/>
              <w:rPr>
                <w:rFonts w:cstheme="minorHAnsi"/>
                <w:sz w:val="16"/>
                <w:szCs w:val="16"/>
              </w:rPr>
            </w:pPr>
          </w:p>
        </w:tc>
        <w:tc>
          <w:tcPr>
            <w:tcW w:w="277" w:type="pct"/>
          </w:tcPr>
          <w:p w14:paraId="19734484" w14:textId="77777777" w:rsidR="009F1516" w:rsidRPr="00212844" w:rsidRDefault="009F1516" w:rsidP="005F762C">
            <w:pPr>
              <w:spacing w:after="0" w:line="240" w:lineRule="auto"/>
              <w:jc w:val="center"/>
              <w:rPr>
                <w:rFonts w:cstheme="minorHAnsi"/>
                <w:sz w:val="16"/>
                <w:szCs w:val="16"/>
              </w:rPr>
            </w:pPr>
          </w:p>
        </w:tc>
        <w:tc>
          <w:tcPr>
            <w:tcW w:w="261" w:type="pct"/>
          </w:tcPr>
          <w:p w14:paraId="76184023" w14:textId="77777777" w:rsidR="009F1516" w:rsidRPr="00212844" w:rsidRDefault="009F1516" w:rsidP="005F762C">
            <w:pPr>
              <w:spacing w:after="0" w:line="240" w:lineRule="auto"/>
              <w:jc w:val="center"/>
              <w:rPr>
                <w:rFonts w:cstheme="minorHAnsi"/>
                <w:sz w:val="16"/>
                <w:szCs w:val="16"/>
              </w:rPr>
            </w:pPr>
          </w:p>
        </w:tc>
        <w:tc>
          <w:tcPr>
            <w:tcW w:w="285" w:type="pct"/>
          </w:tcPr>
          <w:p w14:paraId="1B617ACC"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60" w:type="pct"/>
          </w:tcPr>
          <w:p w14:paraId="05B0B629"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c>
          <w:tcPr>
            <w:tcW w:w="272" w:type="pct"/>
          </w:tcPr>
          <w:p w14:paraId="6748F266" w14:textId="77777777" w:rsidR="009F1516" w:rsidRPr="00212844" w:rsidRDefault="009F1516" w:rsidP="005F762C">
            <w:pPr>
              <w:spacing w:after="0" w:line="240" w:lineRule="auto"/>
              <w:jc w:val="center"/>
              <w:rPr>
                <w:rFonts w:cstheme="minorHAnsi"/>
                <w:sz w:val="16"/>
                <w:szCs w:val="16"/>
              </w:rPr>
            </w:pPr>
          </w:p>
        </w:tc>
        <w:tc>
          <w:tcPr>
            <w:tcW w:w="268" w:type="pct"/>
          </w:tcPr>
          <w:p w14:paraId="74881309" w14:textId="77777777" w:rsidR="009F1516" w:rsidRPr="00212844" w:rsidRDefault="009F1516" w:rsidP="005F762C">
            <w:pPr>
              <w:spacing w:after="0" w:line="240" w:lineRule="auto"/>
              <w:jc w:val="center"/>
              <w:rPr>
                <w:rFonts w:cstheme="minorHAnsi"/>
                <w:sz w:val="16"/>
                <w:szCs w:val="16"/>
              </w:rPr>
            </w:pPr>
          </w:p>
        </w:tc>
        <w:tc>
          <w:tcPr>
            <w:tcW w:w="256" w:type="pct"/>
          </w:tcPr>
          <w:p w14:paraId="234F3443" w14:textId="77777777" w:rsidR="009F1516" w:rsidRPr="00212844" w:rsidRDefault="009F1516" w:rsidP="005F762C">
            <w:pPr>
              <w:spacing w:after="0" w:line="240" w:lineRule="auto"/>
              <w:jc w:val="center"/>
              <w:rPr>
                <w:rFonts w:cstheme="minorHAnsi"/>
                <w:sz w:val="16"/>
                <w:szCs w:val="16"/>
              </w:rPr>
            </w:pPr>
            <w:r w:rsidRPr="00212844">
              <w:rPr>
                <w:rFonts w:cstheme="minorHAnsi"/>
                <w:sz w:val="16"/>
                <w:szCs w:val="16"/>
              </w:rPr>
              <w:t>x</w:t>
            </w:r>
          </w:p>
        </w:tc>
      </w:tr>
    </w:tbl>
    <w:p w14:paraId="0300BFEE" w14:textId="77777777" w:rsidR="0046300C" w:rsidRPr="0053607D" w:rsidRDefault="007C7F28" w:rsidP="0053607D">
      <w:pPr>
        <w:rPr>
          <w:i/>
          <w:sz w:val="18"/>
          <w:szCs w:val="18"/>
        </w:rPr>
      </w:pPr>
      <w:r>
        <w:rPr>
          <w:i/>
          <w:sz w:val="18"/>
          <w:szCs w:val="18"/>
        </w:rPr>
        <w:t xml:space="preserve"> </w:t>
      </w:r>
      <w:r w:rsidRPr="0053607D">
        <w:t xml:space="preserve">  </w:t>
      </w:r>
      <w:r w:rsidR="008A5757" w:rsidRPr="0053607D">
        <w:rPr>
          <w:i/>
          <w:sz w:val="18"/>
          <w:szCs w:val="18"/>
        </w:rPr>
        <w:t>Zdroj: Kraje ČR</w:t>
      </w:r>
    </w:p>
    <w:p w14:paraId="26E802EF" w14:textId="77777777" w:rsidR="00EB0104" w:rsidRPr="00EB0104" w:rsidRDefault="00EB0104" w:rsidP="00EB0104"/>
    <w:p w14:paraId="57E61119" w14:textId="3311B600" w:rsidR="004D2CED" w:rsidRPr="00BA4F8E" w:rsidRDefault="004D2CED" w:rsidP="004D2CED">
      <w:pPr>
        <w:pStyle w:val="Nadpis4"/>
        <w:rPr>
          <w:rFonts w:asciiTheme="minorHAnsi" w:hAnsiTheme="minorHAnsi"/>
          <w:sz w:val="22"/>
        </w:rPr>
      </w:pPr>
      <w:bookmarkStart w:id="99" w:name="_Toc525716198"/>
      <w:r w:rsidRPr="00BA4F8E">
        <w:rPr>
          <w:rFonts w:asciiTheme="minorHAnsi" w:hAnsiTheme="minorHAnsi"/>
          <w:sz w:val="22"/>
        </w:rPr>
        <w:lastRenderedPageBreak/>
        <w:t>Megatrendy v oblasti vědy, technologií a inovací</w:t>
      </w:r>
      <w:r w:rsidRPr="00BA4F8E">
        <w:rPr>
          <w:rStyle w:val="Znakapoznpodarou"/>
          <w:rFonts w:asciiTheme="minorHAnsi" w:hAnsiTheme="minorHAnsi"/>
          <w:sz w:val="22"/>
        </w:rPr>
        <w:footnoteReference w:id="70"/>
      </w:r>
      <w:bookmarkEnd w:id="99"/>
    </w:p>
    <w:p w14:paraId="2229FDD2" w14:textId="089C56D3" w:rsidR="00664CCF" w:rsidRDefault="00664CCF" w:rsidP="00776C68">
      <w:pPr>
        <w:spacing w:before="240" w:after="0" w:line="360" w:lineRule="auto"/>
        <w:ind w:firstLine="708"/>
        <w:jc w:val="both"/>
      </w:pPr>
      <w:r>
        <w:t xml:space="preserve">Pro formování Národní RIS3 strategie 2021+ bude mít velký význam vazba jejích znalostních domén na foresight globálních megatrendů v oblasti VaVaI, a to především megatrendů technologických. </w:t>
      </w:r>
    </w:p>
    <w:p w14:paraId="53E9B866" w14:textId="4E0346A2" w:rsidR="00822F2B" w:rsidRPr="00BA4F8E" w:rsidRDefault="00822F2B" w:rsidP="00776C68">
      <w:pPr>
        <w:spacing w:after="0" w:line="360" w:lineRule="auto"/>
        <w:ind w:firstLine="708"/>
        <w:jc w:val="both"/>
      </w:pPr>
      <w:r w:rsidRPr="00BA4F8E">
        <w:t>Budoucnost oblasti výzkumu, vývoje a inovací bude výrazně ovlivněna hlubokými změnami v socioekonomické, environmentální, technologické a politické oblasti. Mezi nejvýznamnější megatrendy můžeme zařadit: stárnutí populace, klimatické změny, výzvy v oblasti zdravotnictví či digitalizaci. Nové profese, které budou v důsledku těchto změn vznikat, budou vyžadovat nové dovednosti. Zrychlená přeshraniční výměna v rámci nadnárodních řetězců a rozvoj tranzitivních ekonomik dále umocní rozptýlení činností v oblasti vědy, technologií a inovací po celém světě. Dále se zintenzivní boj o zdroje a talenty napříč zeměmi. Při zachycení nových trendů z toho mohou nejvíce vytěžit stávající centra excelence. Oblast výzkumu, vývoje a inovací má potenciál nabídnout řešení současných problémů světa. Globalizace ještě více ovlivní oblasti komunikací a dopravy. V socioekonomické oblasti bude růst příjmů a přerozdělování příjmů stále více závislé na vývoji v technologiích. Čisté zdroje energie mají potenciál snížit emise CO2, poznatky v medicíně a rozvoj zdravotnické techniky prodlouží dobu dožití. Na druhou stranu sebou další rozvoj přináší i rizika v oblasti ochrany soukromí, kybernetické bezpečnosti, duševního vlastnictví, biologické bezpečnosti a</w:t>
      </w:r>
      <w:r w:rsidR="007C03EB">
        <w:t> </w:t>
      </w:r>
      <w:r w:rsidRPr="00BA4F8E">
        <w:t xml:space="preserve">lidské důstojnosti.   </w:t>
      </w:r>
    </w:p>
    <w:p w14:paraId="1ACF9357" w14:textId="77777777" w:rsidR="00DD3634" w:rsidRPr="00BA4F8E" w:rsidRDefault="00DD3634" w:rsidP="00822F2B"/>
    <w:p w14:paraId="5AF7BBE7" w14:textId="77777777" w:rsidR="00822F2B" w:rsidRPr="00BA4F8E" w:rsidRDefault="00822F2B" w:rsidP="00FC4838">
      <w:pPr>
        <w:spacing w:before="240" w:line="360" w:lineRule="auto"/>
        <w:rPr>
          <w:b/>
          <w:i/>
        </w:rPr>
      </w:pPr>
      <w:r w:rsidRPr="00BA4F8E">
        <w:rPr>
          <w:b/>
          <w:i/>
        </w:rPr>
        <w:t>Hlavní megatrendy ovlivňující budoucí obraz světa</w:t>
      </w:r>
    </w:p>
    <w:p w14:paraId="6CF07092" w14:textId="77777777" w:rsidR="00822F2B" w:rsidRPr="00BA4F8E" w:rsidRDefault="00822F2B" w:rsidP="00FC4838">
      <w:pPr>
        <w:spacing w:before="240" w:line="360" w:lineRule="auto"/>
        <w:ind w:firstLine="709"/>
        <w:jc w:val="both"/>
      </w:pPr>
      <w:r w:rsidRPr="00BA4F8E">
        <w:t xml:space="preserve">Na jedné straně může technologický pokrok posílit destabilizující účinky mnoha níže popsaných megatrendů. Na druhé straně má potenciál zlepšit reakci lidstva na mnohé globální výzvy, kterým čelí. V každém případě technologický pokrok povede k vyšší rychlosti těchto změn a často nečekaným výsledkům. </w:t>
      </w:r>
    </w:p>
    <w:p w14:paraId="5F1B8135" w14:textId="77777777" w:rsidR="00822F2B" w:rsidRPr="00BA4F8E" w:rsidRDefault="00822F2B" w:rsidP="00543C1B">
      <w:pPr>
        <w:pStyle w:val="Odstavecseseznamem"/>
        <w:numPr>
          <w:ilvl w:val="0"/>
          <w:numId w:val="82"/>
        </w:numPr>
        <w:spacing w:before="240" w:after="120" w:line="360" w:lineRule="auto"/>
        <w:jc w:val="both"/>
      </w:pPr>
      <w:r w:rsidRPr="00BA4F8E">
        <w:rPr>
          <w:b/>
        </w:rPr>
        <w:t>Demografie</w:t>
      </w:r>
      <w:r w:rsidRPr="00BA4F8E">
        <w:t xml:space="preserve">: Světová populace kontinuálně roste a předpokládá se, že do roku 2050 dosáhne světová populace 10 miliard. Afrika bude činit více než polovinu tohoto nárůstu. V ostatních zemích se bude prohlubovat proces stárnutí populace. Obyvatel dožívajících se věku přes 80 let bude v polovině století až 10 %. Sníží se tak podíl ekonomicky aktivních, kteří budou obtížně dosahovat srovnatelného životního standardu. Mezinárodní migrace může do určité míry tento problém pomoci překonat. Technologie zlepšující fyzické a kognitivní schopnosti seniorů rovněž prodlouží </w:t>
      </w:r>
      <w:r w:rsidRPr="00BA4F8E">
        <w:lastRenderedPageBreak/>
        <w:t>ekonomicky aktivní část života. Další studie</w:t>
      </w:r>
      <w:r w:rsidRPr="00BA4F8E">
        <w:rPr>
          <w:vertAlign w:val="superscript"/>
        </w:rPr>
        <w:footnoteReference w:id="71"/>
      </w:r>
      <w:r w:rsidRPr="00BA4F8E">
        <w:t xml:space="preserve"> dále uvádí, že populační růst v rozvojových zemích dosáhne více než šestinásobek rychlosti růstu v rozvinutých zemích.</w:t>
      </w:r>
    </w:p>
    <w:p w14:paraId="3D38A4F2" w14:textId="77777777" w:rsidR="00822F2B" w:rsidRPr="00BA4F8E" w:rsidRDefault="00822F2B" w:rsidP="00543C1B">
      <w:pPr>
        <w:pStyle w:val="Odstavecseseznamem"/>
        <w:numPr>
          <w:ilvl w:val="0"/>
          <w:numId w:val="82"/>
        </w:numPr>
        <w:spacing w:before="240" w:after="120" w:line="360" w:lineRule="auto"/>
        <w:jc w:val="both"/>
      </w:pPr>
      <w:r w:rsidRPr="00BA4F8E">
        <w:rPr>
          <w:b/>
        </w:rPr>
        <w:t>Přírodní zdroje a energie:</w:t>
      </w:r>
      <w:r w:rsidRPr="00BA4F8E">
        <w:t xml:space="preserve"> Rostoucí populace bude vytvářet další tlak na přírodní zdroje. Problémy s vodními zdroji, stejně jako nedostatek potravin bude pravděpodobně přetrvávat v mnoha částech země. Spotřeba energií rovněž silně poroste a bude i nadále přispívat ke klimatické změně. Celosvětová biodiverzita bude i nadále ohrožována. </w:t>
      </w:r>
    </w:p>
    <w:p w14:paraId="411CB7D3" w14:textId="77777777" w:rsidR="00822F2B" w:rsidRPr="00BA4F8E" w:rsidRDefault="00822F2B" w:rsidP="00543C1B">
      <w:pPr>
        <w:pStyle w:val="Odstavecseseznamem"/>
        <w:numPr>
          <w:ilvl w:val="0"/>
          <w:numId w:val="82"/>
        </w:numPr>
        <w:spacing w:before="240" w:after="120" w:line="360" w:lineRule="auto"/>
        <w:jc w:val="both"/>
      </w:pPr>
      <w:r w:rsidRPr="00BA4F8E">
        <w:rPr>
          <w:b/>
        </w:rPr>
        <w:t>Klimatická změna a životní prostředí:</w:t>
      </w:r>
      <w:r w:rsidRPr="00BA4F8E">
        <w:t xml:space="preserve"> Zvládnutí klimatické změny bude vyžadovat splnění náročných cílů spojených s redukcí produkce skleníkových plynů, zvýšením podílu recyklovaného odpadu a přechodu na oběhové hospodářství. Technologické inovace v této oblasti budou muset být aplikovány ve vyspělých i rozvojových zemích. </w:t>
      </w:r>
    </w:p>
    <w:p w14:paraId="05C4E050" w14:textId="77777777" w:rsidR="00822F2B" w:rsidRPr="00BA4F8E" w:rsidRDefault="00822F2B" w:rsidP="00543C1B">
      <w:pPr>
        <w:pStyle w:val="Odstavecseseznamem"/>
        <w:numPr>
          <w:ilvl w:val="0"/>
          <w:numId w:val="82"/>
        </w:numPr>
        <w:spacing w:before="240" w:after="120" w:line="360" w:lineRule="auto"/>
        <w:jc w:val="both"/>
      </w:pPr>
      <w:r w:rsidRPr="00BA4F8E">
        <w:rPr>
          <w:b/>
        </w:rPr>
        <w:t xml:space="preserve">Globalizace: </w:t>
      </w:r>
      <w:r w:rsidRPr="00BA4F8E">
        <w:t xml:space="preserve">Těžiště světové ekonomiky se bude přesouvat na východ a na jih. Přesun síly nastane jak z geopolitického pohledu, tak i z pohledu vlivu nadnárodních korporací či nevládních organizací. Zavádění digitálních technologií ovlivní toky zboží, služeb, investic, lidí a myšlenek. Politická nestabilita, ozbrojené konflikty a protekcionismus zůstanou protisměrně působícími silami. </w:t>
      </w:r>
    </w:p>
    <w:p w14:paraId="6CDE1B8D" w14:textId="77777777" w:rsidR="00822F2B" w:rsidRPr="00BA4F8E" w:rsidRDefault="00822F2B" w:rsidP="00E64D50">
      <w:pPr>
        <w:pStyle w:val="Odstavecseseznamem"/>
        <w:spacing w:before="240" w:line="360" w:lineRule="auto"/>
        <w:ind w:left="360"/>
        <w:jc w:val="both"/>
      </w:pPr>
      <w:r w:rsidRPr="00BA4F8E">
        <w:t>Aktuální studie</w:t>
      </w:r>
      <w:r w:rsidRPr="00BA4F8E">
        <w:rPr>
          <w:rStyle w:val="Znakapoznpodarou"/>
        </w:rPr>
        <w:footnoteReference w:id="72"/>
      </w:r>
      <w:r w:rsidRPr="00BA4F8E">
        <w:t xml:space="preserve"> mezi rychle se rozvíjející země zařazuje například Mexiko, Indonésii, Turecko, Jižní Koreu nebo Nigerii, které mají v důsledku vysokého růstu HDP velký potenciál do budoucna. </w:t>
      </w:r>
    </w:p>
    <w:p w14:paraId="1FD3DCCC" w14:textId="77777777" w:rsidR="00822F2B" w:rsidRPr="00BA4F8E" w:rsidRDefault="00822F2B" w:rsidP="00543C1B">
      <w:pPr>
        <w:pStyle w:val="Odstavecseseznamem"/>
        <w:numPr>
          <w:ilvl w:val="0"/>
          <w:numId w:val="82"/>
        </w:numPr>
        <w:spacing w:before="240" w:after="120" w:line="360" w:lineRule="auto"/>
        <w:jc w:val="both"/>
      </w:pPr>
      <w:r w:rsidRPr="00BA4F8E">
        <w:rPr>
          <w:b/>
        </w:rPr>
        <w:t xml:space="preserve">Role vlád: </w:t>
      </w:r>
      <w:r w:rsidRPr="00BA4F8E">
        <w:t>Vlády budou nuceny reagovat na velké výzvy, které vznikají v kontextu rostoucích fiskálních tlaků, narušené důvěry veřejnosti ve vlády a pokračujícího přechodu k multipolárnímu světu s následným potenciálem pro rostoucí nestabilitu.</w:t>
      </w:r>
    </w:p>
    <w:p w14:paraId="1DCA393B" w14:textId="77777777" w:rsidR="00822F2B" w:rsidRPr="00BA4F8E" w:rsidRDefault="00822F2B" w:rsidP="00543C1B">
      <w:pPr>
        <w:pStyle w:val="Odstavecseseznamem"/>
        <w:numPr>
          <w:ilvl w:val="0"/>
          <w:numId w:val="82"/>
        </w:numPr>
        <w:spacing w:after="120" w:line="360" w:lineRule="auto"/>
        <w:jc w:val="both"/>
      </w:pPr>
      <w:r w:rsidRPr="00BA4F8E">
        <w:rPr>
          <w:b/>
        </w:rPr>
        <w:t xml:space="preserve">Ekonomika, práce a produktivita: </w:t>
      </w:r>
      <w:r w:rsidRPr="00BA4F8E">
        <w:t xml:space="preserve">Digitální technologie budou nadále mít zásadní dopady na ekonomiku a společnost. Dále postoupí digitalizace, což umožní, aby produkty, procesy výroby a dodávky byly vysoce integrované. Náklady na pořízení ICT budou klesat, otevřené zdrojové kódy vytvoří příležitosti podnikům i jednotlivcům uspět na nových trzích. Současně snižující se náklady na výpočetní výkon a pokroky ve strojovém učení a umělé inteligenci dále promění trhy práce. </w:t>
      </w:r>
    </w:p>
    <w:p w14:paraId="72024BF8" w14:textId="77777777" w:rsidR="00822F2B" w:rsidRPr="00BA4F8E" w:rsidRDefault="00822F2B" w:rsidP="00543C1B">
      <w:pPr>
        <w:pStyle w:val="Odstavecseseznamem"/>
        <w:numPr>
          <w:ilvl w:val="0"/>
          <w:numId w:val="82"/>
        </w:numPr>
        <w:spacing w:after="120" w:line="360" w:lineRule="auto"/>
        <w:jc w:val="both"/>
      </w:pPr>
      <w:r w:rsidRPr="00BA4F8E">
        <w:rPr>
          <w:b/>
        </w:rPr>
        <w:t xml:space="preserve">Společnost: </w:t>
      </w:r>
      <w:r w:rsidRPr="00BA4F8E">
        <w:t>Promění se koncepce rodinného života a domácností. Naroste počet bezdětných rodin. Přístup ke vzdělání a získání dovedností bude jedním z nejdůležitějších klíčů pro zlepšení životních příležitostí. Růst počtu žáků na všech úrovních vzdělávání bude pokračovat a bude mít významný dopad na trhy práce a rodinný život. Celosvětová populace bude stále více městská, přičemž z 90 % k tomuto růstu přispěje Asie a Afrika. Urbanizace by mohla rozvojovým zemím přinést několik výhod, včetně lepšího přístupu k elektřině, vodě a hygienickým zařízením. Ale rozsáhlé formování slumů by mohlo vést k negativním důsledkům pro lidské zdraví a životní prostředí.</w:t>
      </w:r>
    </w:p>
    <w:p w14:paraId="5D296A7E" w14:textId="106C54EA" w:rsidR="00822F2B" w:rsidRPr="00BA4F8E" w:rsidRDefault="00822F2B" w:rsidP="00543C1B">
      <w:pPr>
        <w:pStyle w:val="Odstavecseseznamem"/>
        <w:numPr>
          <w:ilvl w:val="0"/>
          <w:numId w:val="82"/>
        </w:numPr>
        <w:spacing w:after="120" w:line="360" w:lineRule="auto"/>
        <w:jc w:val="both"/>
      </w:pPr>
      <w:r w:rsidRPr="00BA4F8E">
        <w:rPr>
          <w:b/>
        </w:rPr>
        <w:lastRenderedPageBreak/>
        <w:t xml:space="preserve">Zdraví, nerovnost a úroveň života: </w:t>
      </w:r>
      <w:r w:rsidRPr="00BA4F8E">
        <w:t>Dojde k pokroku v léčbě infekčních onemocnění postihujících rozvojový svět. Očekává se, že nepřenosná a neurologická onemocnění se budou vyskytovat častěji v souladu s demografickým stárnutím a nezdravým životním stylem. V mnoha rozvinutých zemích narůstá nerovnost, stejně jako míra chudoby a</w:t>
      </w:r>
      <w:r w:rsidR="004C7F15">
        <w:t xml:space="preserve"> množství osob </w:t>
      </w:r>
      <w:r w:rsidRPr="00BA4F8E">
        <w:t>ohrožených chudobou.</w:t>
      </w:r>
    </w:p>
    <w:p w14:paraId="18E7584A" w14:textId="77777777" w:rsidR="00822F2B" w:rsidRPr="00BA4F8E" w:rsidRDefault="00822F2B" w:rsidP="00543C1B">
      <w:pPr>
        <w:pStyle w:val="Odstavecseseznamem"/>
        <w:numPr>
          <w:ilvl w:val="0"/>
          <w:numId w:val="82"/>
        </w:numPr>
        <w:spacing w:after="120" w:line="360" w:lineRule="auto"/>
        <w:jc w:val="both"/>
      </w:pPr>
      <w:r w:rsidRPr="00BA4F8E">
        <w:rPr>
          <w:b/>
        </w:rPr>
        <w:t>Společnost globálních znalostí:</w:t>
      </w:r>
      <w:r w:rsidRPr="00BA4F8E">
        <w:t xml:space="preserve"> Kromě výše uvedených megatrendů identifikovaných OECD jsou důležité tendence v oblasti vědomosti a vzdělávacích systémů, které jsou důležitým stavebním kamenem prosperující společnosti. Nerovnosti mezi vývojem vzdělanosti v různých regionech a vyšší mobilita způsobuje boj o talenty. Rozdíly mezi vzdělaností a zaměstnaností mužů a žen prohlubují socioekonomickou problematiku. Snižování genderových nerovností přispěje k dynamice trhu práce.</w:t>
      </w:r>
      <w:r w:rsidRPr="00BA4F8E">
        <w:rPr>
          <w:rStyle w:val="Znakapoznpodarou"/>
        </w:rPr>
        <w:footnoteReference w:id="73"/>
      </w:r>
    </w:p>
    <w:p w14:paraId="7E32D3AA" w14:textId="77777777" w:rsidR="00822F2B" w:rsidRPr="00BA4F8E" w:rsidRDefault="00822F2B" w:rsidP="00822F2B">
      <w:pPr>
        <w:pStyle w:val="Odstavecseseznamem"/>
        <w:ind w:left="360"/>
      </w:pPr>
    </w:p>
    <w:p w14:paraId="7EEF1737" w14:textId="77777777" w:rsidR="00822F2B" w:rsidRPr="00BA4F8E" w:rsidRDefault="00822F2B" w:rsidP="00575DEC">
      <w:pPr>
        <w:spacing w:line="360" w:lineRule="auto"/>
        <w:jc w:val="both"/>
        <w:rPr>
          <w:b/>
          <w:i/>
        </w:rPr>
      </w:pPr>
      <w:r w:rsidRPr="00BA4F8E">
        <w:rPr>
          <w:b/>
          <w:i/>
        </w:rPr>
        <w:t>Budoucí technologické trendy</w:t>
      </w:r>
    </w:p>
    <w:p w14:paraId="355A9FED" w14:textId="14E27962" w:rsidR="00822F2B" w:rsidRPr="00360A8B" w:rsidRDefault="00822F2B" w:rsidP="00CB3DD4">
      <w:pPr>
        <w:spacing w:line="360" w:lineRule="auto"/>
        <w:ind w:firstLine="708"/>
        <w:jc w:val="both"/>
      </w:pPr>
      <w:r w:rsidRPr="00BA4F8E">
        <w:t xml:space="preserve">Výsledkem prognostických procesů realizovaných v několika zemích OECD a Rusku bylo k roku 2016 identifikováno přes čtyřicet slibných technologií, které budou na horizontu příštích deseti až dvaceti let silně ovlivňovat vývoj společnosti. OECD zmapovalo tyto technologie a přehledně je </w:t>
      </w:r>
      <w:r w:rsidRPr="00360A8B">
        <w:t xml:space="preserve">prezentuje na </w:t>
      </w:r>
      <w:r w:rsidR="009E2772" w:rsidRPr="00360A8B">
        <w:rPr>
          <w:highlight w:val="yellow"/>
        </w:rPr>
        <w:fldChar w:fldCharType="begin"/>
      </w:r>
      <w:r w:rsidR="009E2772" w:rsidRPr="00360A8B">
        <w:instrText xml:space="preserve"> REF _Ref523307095 \h </w:instrText>
      </w:r>
      <w:r w:rsidR="009E2772" w:rsidRPr="00360A8B">
        <w:rPr>
          <w:highlight w:val="yellow"/>
        </w:rPr>
      </w:r>
      <w:r w:rsidR="009E2772" w:rsidRPr="00360A8B">
        <w:rPr>
          <w:highlight w:val="yellow"/>
        </w:rPr>
        <w:fldChar w:fldCharType="separate"/>
      </w:r>
      <w:r w:rsidR="00124CC6">
        <w:t>Obráz</w:t>
      </w:r>
      <w:r w:rsidR="00DE40D4">
        <w:t>k</w:t>
      </w:r>
      <w:r w:rsidR="00124CC6">
        <w:t>u</w:t>
      </w:r>
      <w:r w:rsidR="00DE40D4">
        <w:t xml:space="preserve"> </w:t>
      </w:r>
      <w:r w:rsidR="00DE40D4">
        <w:rPr>
          <w:noProof/>
        </w:rPr>
        <w:t>1</w:t>
      </w:r>
      <w:r w:rsidR="009E2772" w:rsidRPr="00360A8B">
        <w:rPr>
          <w:highlight w:val="yellow"/>
        </w:rPr>
        <w:fldChar w:fldCharType="end"/>
      </w:r>
      <w:r w:rsidRPr="00360A8B">
        <w:t xml:space="preserve">. </w:t>
      </w:r>
    </w:p>
    <w:p w14:paraId="65E4AC78" w14:textId="10B97314" w:rsidR="003103DE" w:rsidRDefault="003103DE">
      <w:pPr>
        <w:spacing w:after="200" w:line="276" w:lineRule="auto"/>
      </w:pPr>
      <w:r>
        <w:br w:type="page"/>
      </w:r>
    </w:p>
    <w:p w14:paraId="49CF595F" w14:textId="33DFE924" w:rsidR="00822F2B" w:rsidRPr="00BA4F8E" w:rsidRDefault="009E2772" w:rsidP="009E2772">
      <w:pPr>
        <w:pStyle w:val="Titulek"/>
      </w:pPr>
      <w:bookmarkStart w:id="100" w:name="_Ref523307095"/>
      <w:bookmarkStart w:id="101" w:name="_Toc524677688"/>
      <w:r>
        <w:lastRenderedPageBreak/>
        <w:t xml:space="preserve">Obrázek </w:t>
      </w:r>
      <w:r w:rsidR="00E42ECD">
        <w:rPr>
          <w:noProof/>
        </w:rPr>
        <w:fldChar w:fldCharType="begin"/>
      </w:r>
      <w:r w:rsidR="00E42ECD">
        <w:rPr>
          <w:noProof/>
        </w:rPr>
        <w:instrText xml:space="preserve"> SEQ Obrázek \* ARABIC </w:instrText>
      </w:r>
      <w:r w:rsidR="00E42ECD">
        <w:rPr>
          <w:noProof/>
        </w:rPr>
        <w:fldChar w:fldCharType="separate"/>
      </w:r>
      <w:r w:rsidR="00DE40D4">
        <w:rPr>
          <w:noProof/>
        </w:rPr>
        <w:t>1</w:t>
      </w:r>
      <w:r w:rsidR="00E42ECD">
        <w:rPr>
          <w:noProof/>
        </w:rPr>
        <w:fldChar w:fldCharType="end"/>
      </w:r>
      <w:bookmarkEnd w:id="100"/>
      <w:r w:rsidR="00575DEC" w:rsidRPr="00BA4F8E">
        <w:t xml:space="preserve"> – Čtyřicet klíčových a vznikajících technologií pro budoucnost</w:t>
      </w:r>
      <w:bookmarkEnd w:id="101"/>
    </w:p>
    <w:p w14:paraId="1EB5B538" w14:textId="2FFFCDBD" w:rsidR="00626A69" w:rsidRPr="00BA4F8E" w:rsidRDefault="00260E43" w:rsidP="00626A69">
      <w:pPr>
        <w:rPr>
          <w:lang w:eastAsia="cs-CZ"/>
        </w:rPr>
      </w:pPr>
      <w:r>
        <w:rPr>
          <w:noProof/>
          <w:lang w:eastAsia="cs-CZ"/>
        </w:rPr>
        <w:drawing>
          <wp:anchor distT="0" distB="0" distL="114300" distR="114300" simplePos="0" relativeHeight="251694080" behindDoc="0" locked="0" layoutInCell="1" allowOverlap="1" wp14:anchorId="65F08D08" wp14:editId="2598B9B4">
            <wp:simplePos x="0" y="0"/>
            <wp:positionH relativeFrom="margin">
              <wp:align>left</wp:align>
            </wp:positionH>
            <wp:positionV relativeFrom="paragraph">
              <wp:posOffset>3810</wp:posOffset>
            </wp:positionV>
            <wp:extent cx="5619750" cy="4424330"/>
            <wp:effectExtent l="0" t="0" r="0" b="0"/>
            <wp:wrapNone/>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29036" t="18544" r="17535" b="7016"/>
                    <a:stretch/>
                  </pic:blipFill>
                  <pic:spPr bwMode="auto">
                    <a:xfrm>
                      <a:off x="0" y="0"/>
                      <a:ext cx="5619750" cy="44243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D37046B" w14:textId="224B158E" w:rsidR="00626A69" w:rsidRDefault="00626A69" w:rsidP="00626A69">
      <w:pPr>
        <w:rPr>
          <w:lang w:eastAsia="cs-CZ"/>
        </w:rPr>
      </w:pPr>
    </w:p>
    <w:p w14:paraId="44C8DFCD" w14:textId="77777777" w:rsidR="00687F37" w:rsidRDefault="00687F37" w:rsidP="00626A69">
      <w:pPr>
        <w:rPr>
          <w:lang w:eastAsia="cs-CZ"/>
        </w:rPr>
      </w:pPr>
    </w:p>
    <w:p w14:paraId="6B78389A" w14:textId="77777777" w:rsidR="000E11F5" w:rsidRDefault="000E11F5" w:rsidP="00626A69">
      <w:pPr>
        <w:rPr>
          <w:lang w:eastAsia="cs-CZ"/>
        </w:rPr>
      </w:pPr>
    </w:p>
    <w:p w14:paraId="7E205BF6" w14:textId="77777777" w:rsidR="000E11F5" w:rsidRDefault="000E11F5" w:rsidP="00626A69">
      <w:pPr>
        <w:rPr>
          <w:lang w:eastAsia="cs-CZ"/>
        </w:rPr>
      </w:pPr>
    </w:p>
    <w:p w14:paraId="3A74DB7D" w14:textId="77777777" w:rsidR="000E11F5" w:rsidRDefault="000E11F5" w:rsidP="00626A69">
      <w:pPr>
        <w:rPr>
          <w:lang w:eastAsia="cs-CZ"/>
        </w:rPr>
      </w:pPr>
    </w:p>
    <w:p w14:paraId="30150C46" w14:textId="77777777" w:rsidR="000E11F5" w:rsidRDefault="000E11F5" w:rsidP="00626A69">
      <w:pPr>
        <w:rPr>
          <w:lang w:eastAsia="cs-CZ"/>
        </w:rPr>
      </w:pPr>
    </w:p>
    <w:p w14:paraId="3284A64F" w14:textId="77777777" w:rsidR="000E11F5" w:rsidRDefault="000E11F5" w:rsidP="00626A69">
      <w:pPr>
        <w:rPr>
          <w:lang w:eastAsia="cs-CZ"/>
        </w:rPr>
      </w:pPr>
    </w:p>
    <w:p w14:paraId="4AD86E34" w14:textId="77777777" w:rsidR="00260E43" w:rsidRDefault="00260E43" w:rsidP="00626A69">
      <w:pPr>
        <w:rPr>
          <w:lang w:eastAsia="cs-CZ"/>
        </w:rPr>
      </w:pPr>
    </w:p>
    <w:p w14:paraId="1BB47019" w14:textId="77777777" w:rsidR="00260E43" w:rsidRDefault="00260E43" w:rsidP="00626A69">
      <w:pPr>
        <w:rPr>
          <w:lang w:eastAsia="cs-CZ"/>
        </w:rPr>
      </w:pPr>
    </w:p>
    <w:p w14:paraId="743D2195" w14:textId="77777777" w:rsidR="00260E43" w:rsidRDefault="00260E43" w:rsidP="00626A69">
      <w:pPr>
        <w:rPr>
          <w:lang w:eastAsia="cs-CZ"/>
        </w:rPr>
      </w:pPr>
    </w:p>
    <w:p w14:paraId="25ECE61D" w14:textId="77777777" w:rsidR="000E11F5" w:rsidRDefault="000E11F5" w:rsidP="00626A69">
      <w:pPr>
        <w:rPr>
          <w:lang w:eastAsia="cs-CZ"/>
        </w:rPr>
      </w:pPr>
    </w:p>
    <w:p w14:paraId="0C44AFF8" w14:textId="77777777" w:rsidR="000E11F5" w:rsidRDefault="000E11F5" w:rsidP="00626A69">
      <w:pPr>
        <w:rPr>
          <w:lang w:eastAsia="cs-CZ"/>
        </w:rPr>
      </w:pPr>
    </w:p>
    <w:p w14:paraId="421F70DF" w14:textId="77777777" w:rsidR="000E11F5" w:rsidRDefault="000E11F5" w:rsidP="00626A69">
      <w:pPr>
        <w:rPr>
          <w:lang w:eastAsia="cs-CZ"/>
        </w:rPr>
      </w:pPr>
    </w:p>
    <w:p w14:paraId="4B39E231" w14:textId="77777777" w:rsidR="000E11F5" w:rsidRDefault="000E11F5" w:rsidP="00626A69">
      <w:pPr>
        <w:rPr>
          <w:lang w:eastAsia="cs-CZ"/>
        </w:rPr>
      </w:pPr>
    </w:p>
    <w:p w14:paraId="177C2352" w14:textId="6A6155EA" w:rsidR="00626A69" w:rsidRPr="00BA6A89" w:rsidRDefault="00626A69" w:rsidP="006D0806">
      <w:pPr>
        <w:rPr>
          <w:i/>
          <w:sz w:val="18"/>
          <w:szCs w:val="18"/>
        </w:rPr>
      </w:pPr>
      <w:r w:rsidRPr="00BA6A89">
        <w:rPr>
          <w:i/>
          <w:sz w:val="18"/>
          <w:szCs w:val="18"/>
        </w:rPr>
        <w:t>Zdroj: OECD Science, Technology and Innovation Outlook 2016</w:t>
      </w:r>
    </w:p>
    <w:p w14:paraId="5D8F451F" w14:textId="77777777" w:rsidR="00DA6B0C" w:rsidRPr="00BA4F8E" w:rsidRDefault="00DA6B0C" w:rsidP="00DA6B0C">
      <w:pPr>
        <w:rPr>
          <w:i/>
        </w:rPr>
      </w:pPr>
    </w:p>
    <w:p w14:paraId="40D4F1FB" w14:textId="77777777" w:rsidR="00DA6B0C" w:rsidRPr="00BA4F8E" w:rsidRDefault="00DA6B0C" w:rsidP="00543C1B">
      <w:pPr>
        <w:pStyle w:val="Odstavecseseznamem"/>
        <w:numPr>
          <w:ilvl w:val="0"/>
          <w:numId w:val="83"/>
        </w:numPr>
        <w:spacing w:line="360" w:lineRule="auto"/>
        <w:jc w:val="both"/>
      </w:pPr>
      <w:r w:rsidRPr="00BA4F8E">
        <w:rPr>
          <w:b/>
        </w:rPr>
        <w:t>Internet věcí</w:t>
      </w:r>
      <w:r w:rsidRPr="00BA4F8E">
        <w:t xml:space="preserve">: Internet věcí zahrnuje předměty a zařízení, jejichž stav lze měnit prostřednictvím internetu, iniciovaný člověkem nebo bez něj. Klíčovou roli v internetu věcí hraje rozšíření propojených senzorů. Jedná se o skutečné propojení všeho a vzájemné interakce všeho. Klíčovou roli hraje analýza velkých dat a cloud-computing. Má veliký potenciál posunout lidstvo dále, ale zároveň vyžaduje zavedení ochranných a bezpečnostních opatření. Zásadní dopady bude mít na oblast zdravotní péče, průmysl, energetické systémy, dopravu, města a státní správu. </w:t>
      </w:r>
    </w:p>
    <w:p w14:paraId="4453F244" w14:textId="0A525495" w:rsidR="00DA6B0C" w:rsidRPr="00BA4F8E" w:rsidRDefault="00DA6B0C" w:rsidP="00543C1B">
      <w:pPr>
        <w:pStyle w:val="Odstavecseseznamem"/>
        <w:numPr>
          <w:ilvl w:val="0"/>
          <w:numId w:val="83"/>
        </w:numPr>
        <w:spacing w:line="360" w:lineRule="auto"/>
        <w:jc w:val="both"/>
      </w:pPr>
      <w:r w:rsidRPr="00BA4F8E">
        <w:rPr>
          <w:b/>
        </w:rPr>
        <w:t>Analýza velkých dat</w:t>
      </w:r>
      <w:r w:rsidRPr="00BA4F8E">
        <w:t>: K porozumění enormnímu množství dat generovaného a nahromaděného pomocí rozšiřujícího se internetu věcí je třeba vyvíjet a používat analytické techniky a nástroje. Tzv.</w:t>
      </w:r>
      <w:r w:rsidR="00F112B7" w:rsidRPr="00BA4F8E">
        <w:t> </w:t>
      </w:r>
      <w:r w:rsidRPr="00BA4F8E">
        <w:t xml:space="preserve">„dolování dat“ využívá několik technik na získávání relevantních informací, např. profilovací techniky, nástroje business intelligence, strojové učení nebo techniky vizuální analýzy. Analýza velkých dat bude klíčovým faktorem pro inovativnost a konkurenceschopnost podniků, efektivitu veřejného sektoru a širokou škálu využití nalezneme také v oblasti zdravotní péče. Zvýšení dostupnosti vědeckých dat umožní efektivnější a produktivnější výzkum. Potřeba analýzy velkých </w:t>
      </w:r>
      <w:r w:rsidRPr="00BA4F8E">
        <w:lastRenderedPageBreak/>
        <w:t>dat klade rostoucí nároky na vychování a zaškolení pracovníků-specialistů, modernizaci vzdělávacího systému, vývoj nových superpočítačů a skladovacích zařízení, zavedení rychlého a dostupného internetu a v neposlední řadě zákonných ustanovení na mezinárodní úrovni. Velká výzva této oblasti spočívá v nalezení rovnováhy mezi potřebou otevřenosti a hrozbou pro soukromí, bezpečnost, rovnost a morální zásadovost vyplývající z digitalizace společenského života.</w:t>
      </w:r>
    </w:p>
    <w:p w14:paraId="73EDD8EE" w14:textId="77777777" w:rsidR="001B648E" w:rsidRPr="00BA4F8E" w:rsidRDefault="001B648E" w:rsidP="00543C1B">
      <w:pPr>
        <w:pStyle w:val="Odstavecseseznamem"/>
        <w:numPr>
          <w:ilvl w:val="0"/>
          <w:numId w:val="83"/>
        </w:numPr>
        <w:spacing w:line="360" w:lineRule="auto"/>
        <w:jc w:val="both"/>
      </w:pPr>
      <w:r w:rsidRPr="00BA4F8E">
        <w:rPr>
          <w:b/>
        </w:rPr>
        <w:t>Umělá inteligence</w:t>
      </w:r>
      <w:r w:rsidRPr="00BA4F8E">
        <w:t xml:space="preserve">: Účelem umělé inteligence je vybavit stroje a zařízení schopností uvažovat, což v budoucnu může překonat schopnosti člověka. I když je konečný dopad těžké zhodnotit, inteligentní systémy pravděpodobně přinesou značný posun v produktivitě. Systémy vybavené umělou inteligencí využívají ke svému provozu prvky analýzy velkých dat, cloud-computingu, komunikaci mezi zařízeními a internet věcí. Systémy jsou schopny sbírat data, vyhodnocovat je pomocí statistických metod a spočítat pravděpodobnosti jednotlivých jevů. Na základě vlastních zkušeností dokáží přizpůsobit své algoritmy a postupy a zkvalitňovat tím výstupy. </w:t>
      </w:r>
    </w:p>
    <w:p w14:paraId="06A80BD0" w14:textId="77777777" w:rsidR="001B648E" w:rsidRPr="00BA4F8E" w:rsidRDefault="001B648E" w:rsidP="001B648E">
      <w:pPr>
        <w:pStyle w:val="Odstavecseseznamem"/>
        <w:spacing w:line="360" w:lineRule="auto"/>
        <w:ind w:left="360"/>
        <w:jc w:val="both"/>
      </w:pPr>
      <w:r w:rsidRPr="00BA4F8E">
        <w:t>Dle Mezinárodní telekomunikační unie (ITU, z angl. International Telecommunication Union) bude umělá inteligence (AI) hlavním klíčem k dosažení 17 cílů udržitelného rozvoje, vedených Organizací spojených národů</w:t>
      </w:r>
      <w:r w:rsidRPr="00BA4F8E">
        <w:rPr>
          <w:rStyle w:val="Znakapoznpodarou"/>
        </w:rPr>
        <w:footnoteReference w:id="74"/>
      </w:r>
      <w:r w:rsidRPr="00BA4F8E">
        <w:t>. AI ovšem může také rozšířit rozdíly mezi rozvinutými státy a rozvíjejícími se regiony, kde není v současnosti vybudována (širokopásmová) internetová infrastruktura. AI se využívá například při zkvalitňování zdraví, sledování hygieny a výživy, jaderných testech, v autonomních automobilech, pro jazykové překladače, při využití satelitů, v zemědělství nebo vzdělávání. AI nachází využití také ve zbrojném průmyslu (autonomní zbraňové systémy), což může s rozšířením IT způsobit bezpečnostní hrozbu v případe kybernetických útoků. Ty mohou narušit nejen bezpečnost, ale také lidská práva a soukromí. Vývoj AI bude mít také velký vliv na trh práce, kde bude mnoho lidí nahrazeních automatizací. AI naráží v současnosti na mnohé překážky, kdy je v některých případech stále nutná asistence člověka na vyhodnocení situace. AI rovněž naráží na etické a sociálně-právní nedostatky současnosti.</w:t>
      </w:r>
    </w:p>
    <w:p w14:paraId="39EB7824" w14:textId="77777777" w:rsidR="00295272" w:rsidRPr="00BA4F8E" w:rsidRDefault="00295272" w:rsidP="00543C1B">
      <w:pPr>
        <w:pStyle w:val="Odstavecseseznamem"/>
        <w:numPr>
          <w:ilvl w:val="0"/>
          <w:numId w:val="83"/>
        </w:numPr>
        <w:spacing w:line="360" w:lineRule="auto"/>
        <w:jc w:val="both"/>
      </w:pPr>
      <w:r w:rsidRPr="00BA4F8E">
        <w:rPr>
          <w:b/>
        </w:rPr>
        <w:t>Neurotechnologie</w:t>
      </w:r>
      <w:r w:rsidRPr="00BA4F8E">
        <w:t>: Neurotechnologie jsou aplikované technologie v oblasti diagnózy a terapie pro zdravé stárnutí a obecné zlepšování funkčnosti lidského těla. Neurotechnologie vyšetřují, vstupují a manipulují se strukturou a funkcionalitou nervového systému. Zkoumání mozku může přinést výrazný pokrok v oblasti medicíny. Příklady ve výzkumu a využití těchto technologií najdeme v oblasti optogenetiky, neuromodulačních technologií, propojování mozku s počítačem a nanorobotiky. Ovšem některé neurotechnologie vyvolávají etické, právní, sociální a kulturní problémy, které vyžadují pozornost.</w:t>
      </w:r>
    </w:p>
    <w:p w14:paraId="196CCB15" w14:textId="77777777" w:rsidR="00295272" w:rsidRPr="00BA4F8E" w:rsidRDefault="00295272" w:rsidP="00543C1B">
      <w:pPr>
        <w:pStyle w:val="Odstavecseseznamem"/>
        <w:numPr>
          <w:ilvl w:val="0"/>
          <w:numId w:val="83"/>
        </w:numPr>
        <w:spacing w:line="360" w:lineRule="auto"/>
        <w:jc w:val="both"/>
      </w:pPr>
      <w:r w:rsidRPr="00BA4F8E">
        <w:rPr>
          <w:b/>
        </w:rPr>
        <w:lastRenderedPageBreak/>
        <w:t>Nano/mikrosatelity</w:t>
      </w:r>
      <w:r w:rsidRPr="00BA4F8E">
        <w:t>: Roste vývoj a produkce satelitů menších rozměrů (do 50 kg), které jsou kvůli nižší velkosti materiálně méně náročné a rychleji sestavitelné. Tyto malé satelity, které se mohou kombinovat do větších uskupení, mají civilní i obranné využití. Výzvou pro budoucí vývoj je nacházení kompromisu mezi velkostí a funkcionalitou a prodlužováním doby funkčnosti. S vypouštěním dalších satelitů zároveň roste přeplněnost na oběžné dráze a tím i riziko kolize satelitů.</w:t>
      </w:r>
    </w:p>
    <w:p w14:paraId="7DB79B79" w14:textId="77777777" w:rsidR="00295272" w:rsidRPr="00BA4F8E" w:rsidRDefault="00295272" w:rsidP="00543C1B">
      <w:pPr>
        <w:pStyle w:val="Odstavecseseznamem"/>
        <w:numPr>
          <w:ilvl w:val="0"/>
          <w:numId w:val="83"/>
        </w:numPr>
        <w:spacing w:line="360" w:lineRule="auto"/>
        <w:jc w:val="both"/>
      </w:pPr>
      <w:r w:rsidRPr="00BA4F8E">
        <w:rPr>
          <w:b/>
        </w:rPr>
        <w:t>Nanomateriály</w:t>
      </w:r>
      <w:r w:rsidRPr="00BA4F8E">
        <w:t xml:space="preserve">: Nanomateriály projevují jedinečné optické, magnetické a elektrické vlastnosti, které mohou najít uplatnění v různých oblastech, např. ve zdravotní péči, stavebnictví, chemickém a textilním průmyslu či oblasti energetických technologií. V současnosti nanomateriály vyvíjejí a vyrábějí převážně nadnárodní podniky. Nicméně technické omezení a nejistota ohledně možného nebezpečí jejich dopadu na lidi a životní prostředí překáží v jejich širším využití. </w:t>
      </w:r>
    </w:p>
    <w:p w14:paraId="4093F827" w14:textId="5816DF4A" w:rsidR="00295272" w:rsidRPr="00BA4F8E" w:rsidRDefault="00295272" w:rsidP="00543C1B">
      <w:pPr>
        <w:pStyle w:val="Odstavecseseznamem"/>
        <w:numPr>
          <w:ilvl w:val="0"/>
          <w:numId w:val="83"/>
        </w:numPr>
        <w:spacing w:line="360" w:lineRule="auto"/>
        <w:jc w:val="both"/>
      </w:pPr>
      <w:r w:rsidRPr="00BA4F8E">
        <w:rPr>
          <w:b/>
        </w:rPr>
        <w:t>Aditivní výroba</w:t>
      </w:r>
      <w:r w:rsidRPr="00BA4F8E">
        <w:t xml:space="preserve">: Aditivní výroba (také 3D tisk) je, na rozdíl od subtraktivní a formativní výroby, metoda, kdy se produkt vyrábí přidáváním vrstev často s pomocí počítačového designového programu. V minulosti se aditivní výroba využívala zejména při sestavování prototypů a v současnosti z velké části na produkci funkčních součástek z umělé hmoty, kovů, keramiky a skla. Budoucí vývoj produktů vyráběných aditivní metodou směruje k uplatnění ve zdravotnictví, medicíně a biotechnologiích (v oblasti zubních a jiných protéz nebo exoskeletů), nebo ke zpracování kovů. Aditivní výroba umožňuje prodej návrhu namísto fyzických produktů, čímž se sníží náklady na přepravu. Zároveň dochází ke snižování odpadu, který vzniká při běžné výrobě. Překážky ve využití této technologie jsou v omezenosti použitelných materiálů, nižší kvalitě a rychlosti zpracování a neexistenci zákonných ustanovení, zejména z hlediska vlastnických práv. </w:t>
      </w:r>
    </w:p>
    <w:p w14:paraId="07A3CD3C" w14:textId="77777777" w:rsidR="00295272" w:rsidRPr="00BA4F8E" w:rsidRDefault="00295272" w:rsidP="00543C1B">
      <w:pPr>
        <w:pStyle w:val="Odstavecseseznamem"/>
        <w:numPr>
          <w:ilvl w:val="0"/>
          <w:numId w:val="83"/>
        </w:numPr>
        <w:spacing w:line="360" w:lineRule="auto"/>
        <w:jc w:val="both"/>
      </w:pPr>
      <w:r w:rsidRPr="00BA4F8E">
        <w:rPr>
          <w:b/>
        </w:rPr>
        <w:t>Pokročilé technologie na uchování energie</w:t>
      </w:r>
      <w:r w:rsidRPr="00BA4F8E">
        <w:t xml:space="preserve">: Technologie uchovávající energie jsou systémy, které jsou schopny absorbovat a uchovat energii a na vyžádání ji opět uvolnit. Je nutné vyvíjet nové technologie v této oblasti, které mají větší výkonnost a jsou integrovány do systému s obnovitelnými zdroji energie, které dodávají energii často nepředvídatelně a přerušovaně. Technologie na uchování energie velkých rozměrů jsou tedy využívány na vyrovnání výkyvů energie. Malé, přenosné uchovatele energie mají komerční využití, např. v elektromobilech. Od pokročilých systémů uchování energie se očekává snížení emisí skleníkových plynů. </w:t>
      </w:r>
    </w:p>
    <w:p w14:paraId="32051AD7" w14:textId="77777777" w:rsidR="00295272" w:rsidRPr="00BA4F8E" w:rsidRDefault="00295272" w:rsidP="00543C1B">
      <w:pPr>
        <w:pStyle w:val="Odstavecseseznamem"/>
        <w:numPr>
          <w:ilvl w:val="0"/>
          <w:numId w:val="83"/>
        </w:numPr>
        <w:spacing w:line="360" w:lineRule="auto"/>
        <w:jc w:val="both"/>
      </w:pPr>
      <w:r w:rsidRPr="00BA4F8E">
        <w:rPr>
          <w:b/>
        </w:rPr>
        <w:t>Syntetická biologie</w:t>
      </w:r>
      <w:r w:rsidRPr="00BA4F8E">
        <w:t xml:space="preserve">: Syntetická biologie je nové odvětví biotechnologie, které je schopné manipulovat s DNA. Umožnuje vytváření a modifikaci přírodních biologických systémů a využitelná je zejména v oblasti zdravotnictví, zemědělství, průmyslu i energetice. Tato technologie ovšem naráží na technické, právní a etické překážky a biologická rizika. </w:t>
      </w:r>
    </w:p>
    <w:p w14:paraId="08E36BBF" w14:textId="77777777" w:rsidR="00295272" w:rsidRPr="00BA4F8E" w:rsidRDefault="00295272" w:rsidP="00543C1B">
      <w:pPr>
        <w:pStyle w:val="Odstavecseseznamem"/>
        <w:numPr>
          <w:ilvl w:val="0"/>
          <w:numId w:val="83"/>
        </w:numPr>
        <w:spacing w:line="360" w:lineRule="auto"/>
        <w:jc w:val="both"/>
      </w:pPr>
      <w:r w:rsidRPr="00BA4F8E">
        <w:rPr>
          <w:b/>
        </w:rPr>
        <w:t>Blockchain</w:t>
      </w:r>
      <w:r w:rsidRPr="00BA4F8E">
        <w:t xml:space="preserve">: Blockchain je distribuovaná databáze uchovávající neustále se rozšiřující počet záznamů, které jsou chráněny proti neoprávněnému zásahu. Nejznámější využití technologie </w:t>
      </w:r>
      <w:r w:rsidRPr="00BA4F8E">
        <w:lastRenderedPageBreak/>
        <w:t xml:space="preserve">blockchain je pro finanční transakce v podobě kryptoměn, potenciální využití má při vytváření decentralizovaného internetu, v oblasti smluvních vztahů, decentralizované sociální sítě, šifrování zpráv, ověřování vlastnictví, uchovávání medicínských záznamů, notářské praxi, sběru daní a další aplikace. Udržitelnost této technologie je kvůli vzniklým technickým nedostatkům otázkou budoucnosti. </w:t>
      </w:r>
    </w:p>
    <w:p w14:paraId="5901E769" w14:textId="77777777" w:rsidR="00C36BA0" w:rsidRPr="00BA4F8E" w:rsidRDefault="00C36BA0" w:rsidP="00C36BA0">
      <w:pPr>
        <w:spacing w:line="360" w:lineRule="auto"/>
        <w:jc w:val="both"/>
        <w:rPr>
          <w:b/>
          <w:i/>
        </w:rPr>
      </w:pPr>
      <w:r w:rsidRPr="00BA4F8E">
        <w:rPr>
          <w:b/>
          <w:i/>
        </w:rPr>
        <w:t>Implikace pro hospodářskou politiku</w:t>
      </w:r>
    </w:p>
    <w:p w14:paraId="39179B95" w14:textId="77777777" w:rsidR="00C36BA0" w:rsidRPr="00BA4F8E" w:rsidRDefault="00C36BA0" w:rsidP="00C36BA0">
      <w:pPr>
        <w:spacing w:line="360" w:lineRule="auto"/>
        <w:ind w:firstLine="709"/>
        <w:jc w:val="both"/>
      </w:pPr>
      <w:r w:rsidRPr="00BA4F8E">
        <w:t xml:space="preserve">Přestože existuje vysoká různorodost mezi nově vznikajícími technologiemi, vykazují několik společných vlastností, které mají přímý dopad na hospodářskou politiku. </w:t>
      </w:r>
    </w:p>
    <w:p w14:paraId="59B8874F" w14:textId="77777777" w:rsidR="00C36BA0" w:rsidRPr="00BA4F8E" w:rsidRDefault="00C36BA0" w:rsidP="00543C1B">
      <w:pPr>
        <w:pStyle w:val="Odstavecseseznamem"/>
        <w:numPr>
          <w:ilvl w:val="0"/>
          <w:numId w:val="84"/>
        </w:numPr>
        <w:spacing w:after="120" w:line="360" w:lineRule="auto"/>
        <w:jc w:val="both"/>
      </w:pPr>
      <w:r w:rsidRPr="00BA4F8E">
        <w:t xml:space="preserve">Technologie budoucnosti budou mít dopad na širokou škálu oborů a některé vlivy není možné předvídat. Ovšem tyto dopady budou formovány také netechnologickými faktory, kam lze zařadit výše zmíněné megatrendy. Nepředvídatelnost vlivů by měla přijmout společnost politiky k diverzifikaci vývoje a využití technologií, která nejen že snižuje rizika, ale také rozšiřuje možnosti využitelnosti vzniklých technologií. </w:t>
      </w:r>
    </w:p>
    <w:p w14:paraId="172BB5EC" w14:textId="77777777" w:rsidR="00C36BA0" w:rsidRPr="00BA4F8E" w:rsidRDefault="00C36BA0" w:rsidP="00543C1B">
      <w:pPr>
        <w:pStyle w:val="Odstavecseseznamem"/>
        <w:numPr>
          <w:ilvl w:val="0"/>
          <w:numId w:val="84"/>
        </w:numPr>
        <w:spacing w:after="120" w:line="360" w:lineRule="auto"/>
        <w:jc w:val="both"/>
      </w:pPr>
      <w:r w:rsidRPr="00BA4F8E">
        <w:t>Technologie budoucnosti jsou závislé na výzkumu a vývoji současných technologií, ze kterých jsou nejvýznamnější informační a komunikační technologie (ICT). ICT jsou do jisté míry základem vyjmenovaných budoucích technologických trendů, a proto je sbližování a kombinace technologií klíčovou vlastností vývoje, která by měla být podpořena vytvořením potřebného zázemí.</w:t>
      </w:r>
    </w:p>
    <w:p w14:paraId="02EED882" w14:textId="77777777" w:rsidR="00C36BA0" w:rsidRPr="00BA4F8E" w:rsidRDefault="00C36BA0" w:rsidP="00543C1B">
      <w:pPr>
        <w:pStyle w:val="Odstavecseseznamem"/>
        <w:numPr>
          <w:ilvl w:val="0"/>
          <w:numId w:val="84"/>
        </w:numPr>
        <w:spacing w:after="120" w:line="360" w:lineRule="auto"/>
        <w:jc w:val="both"/>
      </w:pPr>
      <w:r w:rsidRPr="00BA4F8E">
        <w:t>Výzkum ve veřejném sektoru sehrál klíčovou roli při vývoji formujících se technologií, a proto je důležité jej dostatečně podporovat i do budoucna.</w:t>
      </w:r>
    </w:p>
    <w:p w14:paraId="1FF4A86E" w14:textId="77777777" w:rsidR="00C36BA0" w:rsidRPr="00BA4F8E" w:rsidRDefault="00C36BA0" w:rsidP="00543C1B">
      <w:pPr>
        <w:pStyle w:val="Odstavecseseznamem"/>
        <w:numPr>
          <w:ilvl w:val="0"/>
          <w:numId w:val="84"/>
        </w:numPr>
        <w:spacing w:after="120" w:line="360" w:lineRule="auto"/>
        <w:jc w:val="both"/>
      </w:pPr>
      <w:r w:rsidRPr="00BA4F8E">
        <w:t>Vlády musí aktivně sledovat dění v oblasti výzkumu a vývoje a přizpůsobit nebo vytvářet adekvátní legislativní prostředí. Rychlost vývoje nových technologií předkládá výzvu pro vládu a zároveň ji pobízí k vytvoření předvídavého rámce pro budoucí regulační otázky.</w:t>
      </w:r>
    </w:p>
    <w:p w14:paraId="07EE3618" w14:textId="77777777" w:rsidR="00C36BA0" w:rsidRPr="00BA4F8E" w:rsidRDefault="00C36BA0" w:rsidP="00543C1B">
      <w:pPr>
        <w:pStyle w:val="Odstavecseseznamem"/>
        <w:numPr>
          <w:ilvl w:val="0"/>
          <w:numId w:val="84"/>
        </w:numPr>
        <w:spacing w:after="120" w:line="360" w:lineRule="auto"/>
        <w:jc w:val="both"/>
      </w:pPr>
      <w:r w:rsidRPr="00BA4F8E">
        <w:t xml:space="preserve">Rizika a nejistoty ohledně dopadů technologií budoucnosti zahrnují také morální a etické problémy, které vytváří půdu pro zavedení odpovídajících vládních opatření, například ve formě zodpovědného výzkumu a inovací (RRI, z angl. responsible research and innovation). </w:t>
      </w:r>
    </w:p>
    <w:p w14:paraId="589DEEB0" w14:textId="77777777" w:rsidR="00C36BA0" w:rsidRPr="00BA4F8E" w:rsidRDefault="00C36BA0" w:rsidP="00543C1B">
      <w:pPr>
        <w:pStyle w:val="Odstavecseseznamem"/>
        <w:numPr>
          <w:ilvl w:val="0"/>
          <w:numId w:val="84"/>
        </w:numPr>
        <w:spacing w:after="120" w:line="360" w:lineRule="auto"/>
        <w:jc w:val="both"/>
      </w:pPr>
      <w:r w:rsidRPr="00BA4F8E">
        <w:t>Výzkum a inovace technologií budoucnosti jsou vysoce závislé na mezinárodní spolupráci, a proto je nezbytné zvýšit také mezinárodní koordinaci. Zároveň platí, že technologický vývoj je vysoce konkurenční nejen v oblasti technologických řešení, ale také v oblastech obchodních modelů, platforem a standardů. Vlády by tedy měly podporovat podniky nejen z hlediska výzkumného, ale také obchodního.</w:t>
      </w:r>
    </w:p>
    <w:p w14:paraId="3DDACA14" w14:textId="77777777" w:rsidR="00C36BA0" w:rsidRPr="00BA4F8E" w:rsidRDefault="00C36BA0" w:rsidP="00C36BA0">
      <w:pPr>
        <w:spacing w:line="360" w:lineRule="auto"/>
        <w:jc w:val="both"/>
      </w:pPr>
    </w:p>
    <w:p w14:paraId="0D214040" w14:textId="50F9CAF2" w:rsidR="00881F2C" w:rsidRPr="00BA4F8E" w:rsidRDefault="00881F2C" w:rsidP="00881F2C">
      <w:pPr>
        <w:pStyle w:val="Nadpis4"/>
        <w:rPr>
          <w:rFonts w:asciiTheme="minorHAnsi" w:hAnsiTheme="minorHAnsi"/>
          <w:sz w:val="22"/>
        </w:rPr>
      </w:pPr>
      <w:bookmarkStart w:id="102" w:name="_Toc525716199"/>
      <w:r w:rsidRPr="00BA4F8E">
        <w:rPr>
          <w:rFonts w:asciiTheme="minorHAnsi" w:hAnsiTheme="minorHAnsi"/>
          <w:sz w:val="22"/>
        </w:rPr>
        <w:lastRenderedPageBreak/>
        <w:t>Nové klíčové technologie pro země EU</w:t>
      </w:r>
      <w:bookmarkEnd w:id="102"/>
    </w:p>
    <w:p w14:paraId="380A64EB" w14:textId="04218CA3" w:rsidR="00881F2C" w:rsidRPr="00676342" w:rsidRDefault="00881F2C" w:rsidP="00881F2C">
      <w:pPr>
        <w:spacing w:after="200" w:line="360" w:lineRule="auto"/>
        <w:ind w:firstLine="709"/>
        <w:jc w:val="both"/>
        <w:rPr>
          <w:rFonts w:cs="Arial"/>
        </w:rPr>
      </w:pPr>
      <w:r w:rsidRPr="00BA4F8E">
        <w:rPr>
          <w:rFonts w:cs="Arial"/>
        </w:rPr>
        <w:t>Directorate-General for Research and Innovation (EK) připravuje v roce 2018 aktualizaci klíčových technologií</w:t>
      </w:r>
      <w:r w:rsidRPr="00BA4F8E">
        <w:rPr>
          <w:rStyle w:val="Znakapoznpodarou"/>
          <w:rFonts w:cs="Arial"/>
          <w:b/>
        </w:rPr>
        <w:footnoteReference w:id="75"/>
      </w:r>
      <w:r w:rsidRPr="00BA4F8E">
        <w:rPr>
          <w:rFonts w:cs="Arial"/>
        </w:rPr>
        <w:t>, která navrhuje zatřídit klíčové technologie do tří technologických oblastí (viz</w:t>
      </w:r>
      <w:r w:rsidR="00676342">
        <w:rPr>
          <w:rFonts w:cs="Arial"/>
        </w:rPr>
        <w:t> </w:t>
      </w:r>
      <w:r w:rsidRPr="00676342">
        <w:rPr>
          <w:rFonts w:cs="Arial"/>
          <w:highlight w:val="yellow"/>
        </w:rPr>
        <w:fldChar w:fldCharType="begin"/>
      </w:r>
      <w:r w:rsidRPr="00676342">
        <w:rPr>
          <w:rFonts w:cs="Arial"/>
        </w:rPr>
        <w:instrText xml:space="preserve"> REF _Ref521400342 \h </w:instrText>
      </w:r>
      <w:r w:rsidR="00BA4F8E" w:rsidRPr="00676342">
        <w:rPr>
          <w:rFonts w:cs="Arial"/>
          <w:highlight w:val="yellow"/>
        </w:rPr>
        <w:instrText xml:space="preserve"> \* MERGEFORMAT </w:instrText>
      </w:r>
      <w:r w:rsidRPr="00676342">
        <w:rPr>
          <w:rFonts w:cs="Arial"/>
          <w:highlight w:val="yellow"/>
        </w:rPr>
      </w:r>
      <w:r w:rsidRPr="00676342">
        <w:rPr>
          <w:rFonts w:cs="Arial"/>
          <w:highlight w:val="yellow"/>
        </w:rPr>
        <w:fldChar w:fldCharType="separate"/>
      </w:r>
      <w:r w:rsidR="00DE40D4" w:rsidRPr="00BA4F8E">
        <w:t xml:space="preserve">Tabulka </w:t>
      </w:r>
      <w:r w:rsidR="00DE40D4">
        <w:rPr>
          <w:noProof/>
        </w:rPr>
        <w:t>9</w:t>
      </w:r>
      <w:r w:rsidRPr="00676342">
        <w:rPr>
          <w:rFonts w:cs="Arial"/>
          <w:highlight w:val="yellow"/>
        </w:rPr>
        <w:fldChar w:fldCharType="end"/>
      </w:r>
      <w:r w:rsidRPr="00676342">
        <w:rPr>
          <w:rFonts w:cs="Arial"/>
        </w:rPr>
        <w:t>):</w:t>
      </w:r>
    </w:p>
    <w:p w14:paraId="01CE6105" w14:textId="2BD3BE19" w:rsidR="00881F2C" w:rsidRPr="00BA4F8E" w:rsidRDefault="00ED4C46" w:rsidP="00543C1B">
      <w:pPr>
        <w:pStyle w:val="Odstavecseseznamem"/>
        <w:numPr>
          <w:ilvl w:val="0"/>
          <w:numId w:val="85"/>
        </w:numPr>
        <w:spacing w:after="200" w:line="360" w:lineRule="auto"/>
        <w:jc w:val="both"/>
        <w:rPr>
          <w:rFonts w:cs="Arial"/>
        </w:rPr>
      </w:pPr>
      <w:r>
        <w:rPr>
          <w:rFonts w:cs="Arial"/>
          <w:i/>
        </w:rPr>
        <w:t xml:space="preserve">Výrobní </w:t>
      </w:r>
      <w:r w:rsidR="00881F2C" w:rsidRPr="00BA4F8E">
        <w:rPr>
          <w:rFonts w:cs="Arial"/>
          <w:i/>
        </w:rPr>
        <w:t>technologi</w:t>
      </w:r>
      <w:r>
        <w:rPr>
          <w:rFonts w:cs="Arial"/>
          <w:i/>
        </w:rPr>
        <w:t xml:space="preserve">e </w:t>
      </w:r>
      <w:r w:rsidR="00881F2C" w:rsidRPr="00BA4F8E">
        <w:rPr>
          <w:rFonts w:cs="Arial"/>
        </w:rPr>
        <w:t xml:space="preserve">(Production Technologies), </w:t>
      </w:r>
    </w:p>
    <w:p w14:paraId="656CA188" w14:textId="6D4341F7" w:rsidR="00881F2C" w:rsidRPr="00BA4F8E" w:rsidRDefault="00ED4C46" w:rsidP="00543C1B">
      <w:pPr>
        <w:pStyle w:val="Odstavecseseznamem"/>
        <w:numPr>
          <w:ilvl w:val="0"/>
          <w:numId w:val="85"/>
        </w:numPr>
        <w:spacing w:after="200" w:line="360" w:lineRule="auto"/>
        <w:jc w:val="both"/>
        <w:rPr>
          <w:rFonts w:cs="Arial"/>
        </w:rPr>
      </w:pPr>
      <w:r>
        <w:rPr>
          <w:rFonts w:cs="Arial"/>
          <w:i/>
        </w:rPr>
        <w:t>Digitální</w:t>
      </w:r>
      <w:r w:rsidR="00881F2C" w:rsidRPr="00BA4F8E">
        <w:rPr>
          <w:rFonts w:cs="Arial"/>
          <w:i/>
        </w:rPr>
        <w:t xml:space="preserve"> technologi</w:t>
      </w:r>
      <w:r>
        <w:rPr>
          <w:rFonts w:cs="Arial"/>
          <w:i/>
        </w:rPr>
        <w:t xml:space="preserve">e </w:t>
      </w:r>
      <w:r w:rsidR="00881F2C" w:rsidRPr="00BA4F8E">
        <w:rPr>
          <w:rFonts w:cs="Arial"/>
        </w:rPr>
        <w:t>(Digital technologies),</w:t>
      </w:r>
    </w:p>
    <w:p w14:paraId="137DB867" w14:textId="77777777" w:rsidR="00881F2C" w:rsidRPr="00BA4F8E" w:rsidRDefault="00881F2C" w:rsidP="00543C1B">
      <w:pPr>
        <w:pStyle w:val="Odstavecseseznamem"/>
        <w:numPr>
          <w:ilvl w:val="0"/>
          <w:numId w:val="85"/>
        </w:numPr>
        <w:spacing w:after="200" w:line="360" w:lineRule="auto"/>
        <w:jc w:val="both"/>
        <w:rPr>
          <w:rFonts w:cs="Arial"/>
        </w:rPr>
      </w:pPr>
      <w:r w:rsidRPr="00BA4F8E">
        <w:rPr>
          <w:rFonts w:cs="Arial"/>
          <w:i/>
        </w:rPr>
        <w:t xml:space="preserve">Kybernetické technologie </w:t>
      </w:r>
      <w:r w:rsidRPr="00BA4F8E">
        <w:rPr>
          <w:rFonts w:cs="Arial"/>
        </w:rPr>
        <w:t>(Cyber Technologies).</w:t>
      </w:r>
    </w:p>
    <w:p w14:paraId="5917F14D" w14:textId="473C7ECF" w:rsidR="00881F2C" w:rsidRPr="00BA4F8E" w:rsidRDefault="00881F2C" w:rsidP="00881F2C">
      <w:pPr>
        <w:spacing w:after="200" w:line="360" w:lineRule="auto"/>
        <w:ind w:firstLine="709"/>
        <w:jc w:val="both"/>
      </w:pPr>
      <w:r w:rsidRPr="00BA4F8E">
        <w:rPr>
          <w:rFonts w:cs="Arial"/>
        </w:rPr>
        <w:t xml:space="preserve">Návrh EK současně doplňuje stávající klíčové technologie o dvě nové technologie </w:t>
      </w:r>
      <w:r w:rsidRPr="00BA4F8E">
        <w:rPr>
          <w:rFonts w:cs="Arial"/>
          <w:i/>
        </w:rPr>
        <w:t xml:space="preserve">(i) </w:t>
      </w:r>
      <w:r w:rsidRPr="00BA4F8E">
        <w:rPr>
          <w:i/>
        </w:rPr>
        <w:t>Umělá inteligence</w:t>
      </w:r>
      <w:r w:rsidRPr="00BA4F8E">
        <w:t xml:space="preserve"> (Artificial Intelligence) a </w:t>
      </w:r>
      <w:r w:rsidRPr="00BA4F8E">
        <w:rPr>
          <w:i/>
        </w:rPr>
        <w:t>(ii) Zabezpečení a konektivita</w:t>
      </w:r>
      <w:r w:rsidRPr="00BA4F8E">
        <w:t xml:space="preserve"> (Security and Connectivity).</w:t>
      </w:r>
    </w:p>
    <w:p w14:paraId="0691056C" w14:textId="77777777" w:rsidR="00881F2C" w:rsidRPr="00BA4F8E" w:rsidRDefault="00881F2C" w:rsidP="00881F2C">
      <w:pPr>
        <w:spacing w:after="200" w:line="360" w:lineRule="auto"/>
        <w:ind w:firstLine="708"/>
        <w:jc w:val="both"/>
      </w:pPr>
      <w:r w:rsidRPr="00BA4F8E">
        <w:t xml:space="preserve">Digitální transformace společnosti nabízí občanům nejenom možnost prostřednictvím nových digitálních technologií efektivněji komunikovat se státní správou, ale i využit těchto pokročilých technologií v soukromém sektoru. V souvislosti s využíváním digitálních technologií se však objevuje i mnoho problematických okruhů: Kdo je zodpovědný za falešné zprávy v sociálních sítích? Jak zajistit, aby hackeři nemohli manipulovat s demokratickými volbami? Na jakém základu a v jakém rozsahu mohou být použity informace o věku, pohlaví a nemoci občanů? Uvedené otázky (a řada dalších) vyvolávají požadavek na rozsáhlý proces vedoucí k reflexi a dialogu nad uvedenými problematickými tématy a k ustavení společného, mezinárodně uznávaného etického a právního rámce. Současně musí být zachována rovnováha mezi základním právem na soukromí, na ochranu osobních údajů na jedné straně a na právo na bezpečnost, na straně druhé. Kromě regulačního rámce by měly být účinným předběžným opatřením zabraňujícím zneužívání údajů občanů EU i nové investice do kybernetické bezpečnosti. </w:t>
      </w:r>
    </w:p>
    <w:p w14:paraId="0489A9AC" w14:textId="77777777" w:rsidR="00881F2C" w:rsidRPr="00BA4F8E" w:rsidRDefault="00881F2C" w:rsidP="00881F2C">
      <w:pPr>
        <w:spacing w:after="200" w:line="360" w:lineRule="auto"/>
        <w:jc w:val="both"/>
      </w:pPr>
      <w:r w:rsidRPr="00BA4F8E">
        <w:t>Mezi příklady využití (i) Umělé inteligence lze uvést například následující oblasti:</w:t>
      </w:r>
    </w:p>
    <w:p w14:paraId="303EF01F" w14:textId="77777777" w:rsidR="00881F2C" w:rsidRPr="00BA4F8E" w:rsidRDefault="00881F2C" w:rsidP="00543C1B">
      <w:pPr>
        <w:pStyle w:val="Odstavecseseznamem"/>
        <w:numPr>
          <w:ilvl w:val="0"/>
          <w:numId w:val="86"/>
        </w:numPr>
        <w:spacing w:after="200" w:line="360" w:lineRule="auto"/>
        <w:jc w:val="both"/>
      </w:pPr>
      <w:r w:rsidRPr="00BA4F8E">
        <w:t xml:space="preserve">zabezpečená a ověřená komunikace v počítačových sítích, </w:t>
      </w:r>
    </w:p>
    <w:p w14:paraId="798E976C" w14:textId="77777777" w:rsidR="00881F2C" w:rsidRPr="00BA4F8E" w:rsidRDefault="00881F2C" w:rsidP="00543C1B">
      <w:pPr>
        <w:pStyle w:val="Odstavecseseznamem"/>
        <w:numPr>
          <w:ilvl w:val="0"/>
          <w:numId w:val="86"/>
        </w:numPr>
        <w:spacing w:after="200" w:line="360" w:lineRule="auto"/>
        <w:jc w:val="both"/>
      </w:pPr>
      <w:r w:rsidRPr="00BA4F8E">
        <w:t>identifikace pachatelů trestných činů,</w:t>
      </w:r>
    </w:p>
    <w:p w14:paraId="6E53F2FB" w14:textId="77777777" w:rsidR="00881F2C" w:rsidRPr="00BA4F8E" w:rsidRDefault="00881F2C" w:rsidP="00543C1B">
      <w:pPr>
        <w:pStyle w:val="Odstavecseseznamem"/>
        <w:numPr>
          <w:ilvl w:val="0"/>
          <w:numId w:val="86"/>
        </w:numPr>
        <w:spacing w:after="200" w:line="360" w:lineRule="auto"/>
        <w:jc w:val="both"/>
      </w:pPr>
      <w:r w:rsidRPr="00BA4F8E">
        <w:t>ochrana elektronických dat,</w:t>
      </w:r>
    </w:p>
    <w:p w14:paraId="259D84FD" w14:textId="77777777" w:rsidR="00881F2C" w:rsidRPr="00BA4F8E" w:rsidRDefault="00881F2C" w:rsidP="00543C1B">
      <w:pPr>
        <w:pStyle w:val="Odstavecseseznamem"/>
        <w:numPr>
          <w:ilvl w:val="0"/>
          <w:numId w:val="86"/>
        </w:numPr>
        <w:spacing w:after="200" w:line="360" w:lineRule="auto"/>
        <w:jc w:val="both"/>
      </w:pPr>
      <w:r w:rsidRPr="00BA4F8E">
        <w:t xml:space="preserve">interakce člověk-počítač, </w:t>
      </w:r>
    </w:p>
    <w:p w14:paraId="2703B6DA" w14:textId="77777777" w:rsidR="00881F2C" w:rsidRPr="00BA4F8E" w:rsidRDefault="00881F2C" w:rsidP="00543C1B">
      <w:pPr>
        <w:pStyle w:val="Odstavecseseznamem"/>
        <w:numPr>
          <w:ilvl w:val="0"/>
          <w:numId w:val="86"/>
        </w:numPr>
        <w:spacing w:after="200" w:line="360" w:lineRule="auto"/>
        <w:jc w:val="both"/>
      </w:pPr>
      <w:r w:rsidRPr="00BA4F8E">
        <w:t>robotika (interakce člověk-stroj).</w:t>
      </w:r>
    </w:p>
    <w:p w14:paraId="548A93F9" w14:textId="77777777" w:rsidR="00881F2C" w:rsidRPr="00BA4F8E" w:rsidRDefault="00881F2C" w:rsidP="00881F2C">
      <w:pPr>
        <w:spacing w:after="200" w:line="360" w:lineRule="auto"/>
        <w:jc w:val="both"/>
      </w:pPr>
      <w:r w:rsidRPr="00BA4F8E">
        <w:t>Do příkladů (ii) Zabezpečení a konektivity je možno zahrnout následující oblasti:</w:t>
      </w:r>
    </w:p>
    <w:p w14:paraId="635B9BEF" w14:textId="77777777" w:rsidR="00881F2C" w:rsidRPr="00BA4F8E" w:rsidRDefault="00881F2C" w:rsidP="00543C1B">
      <w:pPr>
        <w:pStyle w:val="Odstavecseseznamem"/>
        <w:numPr>
          <w:ilvl w:val="0"/>
          <w:numId w:val="87"/>
        </w:numPr>
        <w:spacing w:after="200" w:line="360" w:lineRule="auto"/>
        <w:jc w:val="both"/>
      </w:pPr>
      <w:r w:rsidRPr="00BA4F8E">
        <w:t>elektronická státní a oblastní správa,</w:t>
      </w:r>
    </w:p>
    <w:p w14:paraId="4C7A0FEB" w14:textId="77777777" w:rsidR="00881F2C" w:rsidRPr="00BA4F8E" w:rsidRDefault="00881F2C" w:rsidP="00543C1B">
      <w:pPr>
        <w:pStyle w:val="Odstavecseseznamem"/>
        <w:numPr>
          <w:ilvl w:val="0"/>
          <w:numId w:val="87"/>
        </w:numPr>
        <w:spacing w:after="200" w:line="360" w:lineRule="auto"/>
        <w:jc w:val="both"/>
      </w:pPr>
      <w:r w:rsidRPr="00BA4F8E">
        <w:lastRenderedPageBreak/>
        <w:t>elektronická administrace služeb,</w:t>
      </w:r>
    </w:p>
    <w:p w14:paraId="01C17A06" w14:textId="77777777" w:rsidR="00881F2C" w:rsidRPr="00BA4F8E" w:rsidRDefault="00881F2C" w:rsidP="00543C1B">
      <w:pPr>
        <w:pStyle w:val="Odstavecseseznamem"/>
        <w:numPr>
          <w:ilvl w:val="0"/>
          <w:numId w:val="87"/>
        </w:numPr>
        <w:spacing w:after="200" w:line="360" w:lineRule="auto"/>
        <w:jc w:val="both"/>
      </w:pPr>
      <w:r w:rsidRPr="00BA4F8E">
        <w:t xml:space="preserve">elektronické hlasování, </w:t>
      </w:r>
    </w:p>
    <w:p w14:paraId="7672EEE0" w14:textId="77777777" w:rsidR="00881F2C" w:rsidRPr="00BA4F8E" w:rsidRDefault="00881F2C" w:rsidP="00543C1B">
      <w:pPr>
        <w:pStyle w:val="Odstavecseseznamem"/>
        <w:numPr>
          <w:ilvl w:val="0"/>
          <w:numId w:val="87"/>
        </w:numPr>
        <w:spacing w:after="200" w:line="360" w:lineRule="auto"/>
        <w:jc w:val="both"/>
      </w:pPr>
      <w:r w:rsidRPr="00BA4F8E">
        <w:t xml:space="preserve">kybernetické systémy (mechanismy, které jsou řízeny nebo monitorovány počítačovými algoritmy; příklady: autonomní letecké, automobilové a železniční systémy, lékařské monitorování, autonomní robotické systémy apod.), </w:t>
      </w:r>
    </w:p>
    <w:p w14:paraId="3242F825" w14:textId="77777777" w:rsidR="00881F2C" w:rsidRPr="00BA4F8E" w:rsidRDefault="00881F2C" w:rsidP="00543C1B">
      <w:pPr>
        <w:pStyle w:val="Odstavecseseznamem"/>
        <w:numPr>
          <w:ilvl w:val="0"/>
          <w:numId w:val="87"/>
        </w:numPr>
        <w:spacing w:after="200" w:line="360" w:lineRule="auto"/>
        <w:jc w:val="both"/>
      </w:pPr>
      <w:r w:rsidRPr="00BA4F8E">
        <w:t>eSafety a eSecurity (bezpečné prostředí a bezpečný přístup k online technologiím),</w:t>
      </w:r>
    </w:p>
    <w:p w14:paraId="4E367C15" w14:textId="77777777" w:rsidR="00881F2C" w:rsidRPr="00BA4F8E" w:rsidRDefault="00881F2C" w:rsidP="00543C1B">
      <w:pPr>
        <w:pStyle w:val="Odstavecseseznamem"/>
        <w:numPr>
          <w:ilvl w:val="0"/>
          <w:numId w:val="87"/>
        </w:numPr>
        <w:spacing w:after="200" w:line="360" w:lineRule="auto"/>
        <w:jc w:val="both"/>
      </w:pPr>
      <w:r w:rsidRPr="00BA4F8E">
        <w:t>vliv vyspělých komunikačních technologií na utváření veřejného a politického názoru na společenské dění, vědu, techniku apod.,</w:t>
      </w:r>
    </w:p>
    <w:p w14:paraId="1B4306E6" w14:textId="77777777" w:rsidR="00881F2C" w:rsidRPr="00D6149E" w:rsidRDefault="00881F2C" w:rsidP="00543C1B">
      <w:pPr>
        <w:pStyle w:val="Odstavecseseznamem"/>
        <w:numPr>
          <w:ilvl w:val="0"/>
          <w:numId w:val="87"/>
        </w:numPr>
        <w:spacing w:after="200" w:line="360" w:lineRule="auto"/>
        <w:jc w:val="both"/>
        <w:rPr>
          <w:rFonts w:cs="Arial"/>
        </w:rPr>
      </w:pPr>
      <w:r w:rsidRPr="00BA4F8E">
        <w:t xml:space="preserve">Blockchain (speciální druh distribuované decentralizované databáze uchovávající neustále se rozšiřující počet záznamů/dat chráněných proti neoprávněnému zásahu).  </w:t>
      </w:r>
    </w:p>
    <w:p w14:paraId="6CDE960D" w14:textId="77777777" w:rsidR="00D6149E" w:rsidRPr="00D6149E" w:rsidRDefault="00D6149E" w:rsidP="00D6149E">
      <w:pPr>
        <w:spacing w:after="200" w:line="360" w:lineRule="auto"/>
        <w:jc w:val="both"/>
        <w:rPr>
          <w:rFonts w:cs="Arial"/>
        </w:rPr>
      </w:pPr>
    </w:p>
    <w:p w14:paraId="76D99992" w14:textId="7D3E7DFF" w:rsidR="00881F2C" w:rsidRPr="00BA4F8E" w:rsidRDefault="00881F2C" w:rsidP="00580DE3">
      <w:pPr>
        <w:pStyle w:val="Titulek"/>
      </w:pPr>
      <w:bookmarkStart w:id="103" w:name="_Ref521400342"/>
      <w:bookmarkStart w:id="104" w:name="_Toc524677669"/>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9</w:t>
      </w:r>
      <w:r w:rsidR="00EE7C52">
        <w:rPr>
          <w:noProof/>
        </w:rPr>
        <w:fldChar w:fldCharType="end"/>
      </w:r>
      <w:bookmarkEnd w:id="103"/>
      <w:r w:rsidRPr="00BA4F8E">
        <w:t xml:space="preserve"> – Aktualizace klíčových technologií 2018</w:t>
      </w:r>
      <w:bookmarkEnd w:id="104"/>
    </w:p>
    <w:tbl>
      <w:tblPr>
        <w:tblStyle w:val="Mkatabulky2"/>
        <w:tblW w:w="10201" w:type="dxa"/>
        <w:jc w:val="center"/>
        <w:tblLayout w:type="fixed"/>
        <w:tblLook w:val="04A0" w:firstRow="1" w:lastRow="0" w:firstColumn="1" w:lastColumn="0" w:noHBand="0" w:noVBand="1"/>
      </w:tblPr>
      <w:tblGrid>
        <w:gridCol w:w="1696"/>
        <w:gridCol w:w="2694"/>
        <w:gridCol w:w="5811"/>
      </w:tblGrid>
      <w:tr w:rsidR="002843E2" w:rsidRPr="00BA4F8E" w14:paraId="6128A0CC" w14:textId="77777777" w:rsidTr="000B4406">
        <w:trPr>
          <w:tblHeader/>
          <w:jc w:val="center"/>
        </w:trPr>
        <w:tc>
          <w:tcPr>
            <w:tcW w:w="4390" w:type="dxa"/>
            <w:gridSpan w:val="2"/>
            <w:shd w:val="clear" w:color="auto" w:fill="004B8D"/>
          </w:tcPr>
          <w:p w14:paraId="668389E8" w14:textId="77777777" w:rsidR="002843E2" w:rsidRPr="00BA4F8E" w:rsidRDefault="002843E2" w:rsidP="009E604A">
            <w:pPr>
              <w:jc w:val="center"/>
              <w:rPr>
                <w:b/>
                <w:caps/>
                <w:color w:val="FFFFFF" w:themeColor="background1"/>
              </w:rPr>
            </w:pPr>
            <w:r w:rsidRPr="00BA4F8E">
              <w:rPr>
                <w:b/>
                <w:caps/>
                <w:color w:val="FFFFFF" w:themeColor="background1"/>
              </w:rPr>
              <w:t>KETs</w:t>
            </w:r>
          </w:p>
        </w:tc>
        <w:tc>
          <w:tcPr>
            <w:tcW w:w="5811" w:type="dxa"/>
            <w:shd w:val="clear" w:color="auto" w:fill="004B8D"/>
          </w:tcPr>
          <w:p w14:paraId="5F4E7D45" w14:textId="77777777" w:rsidR="002843E2" w:rsidRPr="00BA4F8E" w:rsidRDefault="002843E2" w:rsidP="009E604A">
            <w:pPr>
              <w:jc w:val="center"/>
              <w:rPr>
                <w:b/>
                <w:caps/>
                <w:color w:val="FFFFFF" w:themeColor="background1"/>
              </w:rPr>
            </w:pPr>
            <w:r w:rsidRPr="00BA4F8E">
              <w:rPr>
                <w:b/>
                <w:caps/>
                <w:color w:val="FFFFFF" w:themeColor="background1"/>
              </w:rPr>
              <w:t>Examples</w:t>
            </w:r>
          </w:p>
        </w:tc>
      </w:tr>
      <w:tr w:rsidR="002843E2" w:rsidRPr="00BA4F8E" w14:paraId="3A1FEE51" w14:textId="77777777" w:rsidTr="00E61157">
        <w:trPr>
          <w:jc w:val="center"/>
        </w:trPr>
        <w:tc>
          <w:tcPr>
            <w:tcW w:w="1696" w:type="dxa"/>
            <w:vMerge w:val="restart"/>
            <w:shd w:val="clear" w:color="auto" w:fill="B9E0F7"/>
            <w:vAlign w:val="center"/>
          </w:tcPr>
          <w:p w14:paraId="6EAD9F0D" w14:textId="77777777" w:rsidR="002843E2" w:rsidRPr="00E61157" w:rsidRDefault="002843E2" w:rsidP="009C06F9">
            <w:pPr>
              <w:jc w:val="center"/>
              <w:rPr>
                <w:b/>
              </w:rPr>
            </w:pPr>
            <w:r w:rsidRPr="00E61157">
              <w:rPr>
                <w:b/>
              </w:rPr>
              <w:t>Production Technologies</w:t>
            </w:r>
          </w:p>
        </w:tc>
        <w:tc>
          <w:tcPr>
            <w:tcW w:w="2694" w:type="dxa"/>
            <w:shd w:val="clear" w:color="auto" w:fill="auto"/>
            <w:vAlign w:val="center"/>
          </w:tcPr>
          <w:p w14:paraId="15BBB9F9" w14:textId="3D6B515A" w:rsidR="002843E2" w:rsidRPr="00510423" w:rsidRDefault="002843E2" w:rsidP="009C06F9">
            <w:pPr>
              <w:spacing w:after="0"/>
              <w:jc w:val="center"/>
              <w:rPr>
                <w:b/>
              </w:rPr>
            </w:pPr>
            <w:r w:rsidRPr="00510423">
              <w:rPr>
                <w:b/>
              </w:rPr>
              <w:t>Advanced</w:t>
            </w:r>
          </w:p>
          <w:p w14:paraId="5DDA4FDC" w14:textId="591CBD50" w:rsidR="002843E2" w:rsidRPr="00510423" w:rsidRDefault="002843E2" w:rsidP="009C06F9">
            <w:pPr>
              <w:spacing w:after="0"/>
              <w:jc w:val="center"/>
              <w:rPr>
                <w:b/>
              </w:rPr>
            </w:pPr>
            <w:r w:rsidRPr="00510423">
              <w:rPr>
                <w:b/>
              </w:rPr>
              <w:t>Manufacturing</w:t>
            </w:r>
          </w:p>
          <w:p w14:paraId="1B3692ED" w14:textId="77777777" w:rsidR="002843E2" w:rsidRPr="00510423" w:rsidRDefault="002843E2" w:rsidP="009C06F9">
            <w:pPr>
              <w:spacing w:after="0"/>
              <w:jc w:val="center"/>
              <w:rPr>
                <w:b/>
              </w:rPr>
            </w:pPr>
            <w:r w:rsidRPr="00510423">
              <w:rPr>
                <w:b/>
              </w:rPr>
              <w:t>Technologies</w:t>
            </w:r>
          </w:p>
        </w:tc>
        <w:tc>
          <w:tcPr>
            <w:tcW w:w="5811" w:type="dxa"/>
            <w:shd w:val="clear" w:color="auto" w:fill="auto"/>
            <w:vAlign w:val="center"/>
          </w:tcPr>
          <w:p w14:paraId="17AF4612" w14:textId="77777777" w:rsidR="002843E2" w:rsidRPr="00510423" w:rsidRDefault="002843E2" w:rsidP="009C06F9">
            <w:r w:rsidRPr="00510423">
              <w:t>Smart, high performance, high precision and additive manufacturing and processes, Robotics, Process Industry, Green Propulsion Technologies, Integrated Bio-refineries</w:t>
            </w:r>
          </w:p>
        </w:tc>
      </w:tr>
      <w:tr w:rsidR="002843E2" w:rsidRPr="00BA4F8E" w14:paraId="6F76C8BD" w14:textId="77777777" w:rsidTr="00E61157">
        <w:trPr>
          <w:jc w:val="center"/>
        </w:trPr>
        <w:tc>
          <w:tcPr>
            <w:tcW w:w="1696" w:type="dxa"/>
            <w:vMerge/>
            <w:shd w:val="clear" w:color="auto" w:fill="B9E0F7"/>
          </w:tcPr>
          <w:p w14:paraId="760661BB" w14:textId="77777777" w:rsidR="002843E2" w:rsidRPr="00E61157" w:rsidRDefault="002843E2" w:rsidP="009E604A">
            <w:pPr>
              <w:jc w:val="center"/>
              <w:rPr>
                <w:b/>
              </w:rPr>
            </w:pPr>
          </w:p>
        </w:tc>
        <w:tc>
          <w:tcPr>
            <w:tcW w:w="2694" w:type="dxa"/>
            <w:shd w:val="clear" w:color="auto" w:fill="auto"/>
            <w:vAlign w:val="center"/>
          </w:tcPr>
          <w:p w14:paraId="6DE027A2" w14:textId="566A0409" w:rsidR="002843E2" w:rsidRPr="00510423" w:rsidRDefault="002843E2" w:rsidP="009C06F9">
            <w:pPr>
              <w:spacing w:after="0"/>
              <w:jc w:val="center"/>
              <w:rPr>
                <w:b/>
              </w:rPr>
            </w:pPr>
            <w:r w:rsidRPr="00510423">
              <w:rPr>
                <w:b/>
              </w:rPr>
              <w:t>Advanced Ma</w:t>
            </w:r>
            <w:r w:rsidR="001D092B">
              <w:rPr>
                <w:b/>
              </w:rPr>
              <w:t>t</w:t>
            </w:r>
            <w:r w:rsidRPr="00510423">
              <w:rPr>
                <w:b/>
              </w:rPr>
              <w:t>erials</w:t>
            </w:r>
          </w:p>
          <w:p w14:paraId="4B5D76D9" w14:textId="77777777" w:rsidR="002843E2" w:rsidRPr="00510423" w:rsidRDefault="002843E2" w:rsidP="009C06F9">
            <w:pPr>
              <w:spacing w:after="0"/>
              <w:jc w:val="center"/>
              <w:rPr>
                <w:b/>
              </w:rPr>
            </w:pPr>
            <w:r w:rsidRPr="00510423">
              <w:rPr>
                <w:b/>
              </w:rPr>
              <w:t>and Nanotechnologies</w:t>
            </w:r>
          </w:p>
        </w:tc>
        <w:tc>
          <w:tcPr>
            <w:tcW w:w="5811" w:type="dxa"/>
            <w:shd w:val="clear" w:color="auto" w:fill="auto"/>
            <w:vAlign w:val="center"/>
          </w:tcPr>
          <w:p w14:paraId="5BA54C8E" w14:textId="77777777" w:rsidR="002843E2" w:rsidRPr="00510423" w:rsidRDefault="002843E2" w:rsidP="009C06F9">
            <w:r w:rsidRPr="00510423">
              <w:t>High performance, smarts sustainable materials, Nanomaterials, Nanotechnology, Biomaterials, 2D Materials, Light Weight Technologies, New Chemistry</w:t>
            </w:r>
          </w:p>
        </w:tc>
      </w:tr>
      <w:tr w:rsidR="002843E2" w:rsidRPr="00BA4F8E" w14:paraId="66192610" w14:textId="77777777" w:rsidTr="00E61157">
        <w:trPr>
          <w:jc w:val="center"/>
        </w:trPr>
        <w:tc>
          <w:tcPr>
            <w:tcW w:w="1696" w:type="dxa"/>
            <w:vMerge/>
            <w:shd w:val="clear" w:color="auto" w:fill="B9E0F7"/>
          </w:tcPr>
          <w:p w14:paraId="3AFFDCBE" w14:textId="77777777" w:rsidR="002843E2" w:rsidRPr="00E61157" w:rsidRDefault="002843E2" w:rsidP="009E604A">
            <w:pPr>
              <w:jc w:val="center"/>
              <w:rPr>
                <w:b/>
              </w:rPr>
            </w:pPr>
          </w:p>
        </w:tc>
        <w:tc>
          <w:tcPr>
            <w:tcW w:w="2694" w:type="dxa"/>
            <w:shd w:val="clear" w:color="auto" w:fill="auto"/>
            <w:vAlign w:val="center"/>
          </w:tcPr>
          <w:p w14:paraId="04C43606" w14:textId="77777777" w:rsidR="002843E2" w:rsidRPr="00510423" w:rsidRDefault="002843E2" w:rsidP="009C06F9">
            <w:pPr>
              <w:spacing w:after="0"/>
              <w:jc w:val="center"/>
              <w:rPr>
                <w:b/>
              </w:rPr>
            </w:pPr>
            <w:r w:rsidRPr="00510423">
              <w:rPr>
                <w:b/>
              </w:rPr>
              <w:t>Life-Science</w:t>
            </w:r>
          </w:p>
          <w:p w14:paraId="76594537" w14:textId="77777777" w:rsidR="002843E2" w:rsidRPr="00510423" w:rsidRDefault="002843E2" w:rsidP="009C06F9">
            <w:pPr>
              <w:spacing w:after="0"/>
              <w:jc w:val="center"/>
              <w:rPr>
                <w:b/>
              </w:rPr>
            </w:pPr>
            <w:r w:rsidRPr="00510423">
              <w:rPr>
                <w:b/>
              </w:rPr>
              <w:t>Technologies</w:t>
            </w:r>
          </w:p>
        </w:tc>
        <w:tc>
          <w:tcPr>
            <w:tcW w:w="5811" w:type="dxa"/>
            <w:shd w:val="clear" w:color="auto" w:fill="auto"/>
            <w:vAlign w:val="center"/>
          </w:tcPr>
          <w:p w14:paraId="59C1424B" w14:textId="77777777" w:rsidR="002843E2" w:rsidRPr="00510423" w:rsidRDefault="002843E2" w:rsidP="009C06F9">
            <w:r w:rsidRPr="00510423">
              <w:t>Industrial Biotechnology, High throughput biology, Automation for biology, Sythetic biology, Genomics (Genome Engineering/Synthetic Genomes), Cell &amp;tissue engineering, Biologisation of manufacturing, Biosensors, Bio Activators, Bio Actuators, Lab on a Chip, New Chemistry, Neurotechnologies</w:t>
            </w:r>
          </w:p>
        </w:tc>
      </w:tr>
      <w:tr w:rsidR="002843E2" w:rsidRPr="00BA4F8E" w14:paraId="0C940ED9" w14:textId="77777777" w:rsidTr="00E61157">
        <w:trPr>
          <w:jc w:val="center"/>
        </w:trPr>
        <w:tc>
          <w:tcPr>
            <w:tcW w:w="1696" w:type="dxa"/>
            <w:vMerge w:val="restart"/>
            <w:shd w:val="clear" w:color="auto" w:fill="B9E0F7"/>
            <w:vAlign w:val="center"/>
          </w:tcPr>
          <w:p w14:paraId="6DD62673" w14:textId="77777777" w:rsidR="002843E2" w:rsidRPr="00E61157" w:rsidRDefault="002843E2" w:rsidP="009C06F9">
            <w:pPr>
              <w:jc w:val="center"/>
              <w:rPr>
                <w:b/>
              </w:rPr>
            </w:pPr>
            <w:r w:rsidRPr="00E61157">
              <w:rPr>
                <w:b/>
              </w:rPr>
              <w:t>Digital technologies</w:t>
            </w:r>
          </w:p>
        </w:tc>
        <w:tc>
          <w:tcPr>
            <w:tcW w:w="2694" w:type="dxa"/>
            <w:shd w:val="clear" w:color="auto" w:fill="auto"/>
            <w:vAlign w:val="center"/>
          </w:tcPr>
          <w:p w14:paraId="4B8E0688" w14:textId="5928E384" w:rsidR="002843E2" w:rsidRPr="00510423" w:rsidRDefault="002843E2" w:rsidP="009C06F9">
            <w:pPr>
              <w:spacing w:after="0"/>
              <w:jc w:val="center"/>
              <w:rPr>
                <w:b/>
              </w:rPr>
            </w:pPr>
            <w:r w:rsidRPr="00510423">
              <w:rPr>
                <w:b/>
              </w:rPr>
              <w:t>Micro-/Nano-</w:t>
            </w:r>
          </w:p>
          <w:p w14:paraId="229D79E2" w14:textId="10AD1473" w:rsidR="002843E2" w:rsidRPr="00510423" w:rsidRDefault="002843E2" w:rsidP="009C06F9">
            <w:pPr>
              <w:spacing w:after="0"/>
              <w:jc w:val="center"/>
              <w:rPr>
                <w:b/>
              </w:rPr>
            </w:pPr>
            <w:r w:rsidRPr="00510423">
              <w:rPr>
                <w:b/>
              </w:rPr>
              <w:t>electronics</w:t>
            </w:r>
          </w:p>
          <w:p w14:paraId="0E598ADA" w14:textId="77777777" w:rsidR="002843E2" w:rsidRPr="00510423" w:rsidRDefault="002843E2" w:rsidP="009C06F9">
            <w:pPr>
              <w:spacing w:after="0"/>
              <w:jc w:val="center"/>
              <w:rPr>
                <w:b/>
              </w:rPr>
            </w:pPr>
            <w:r w:rsidRPr="00510423">
              <w:rPr>
                <w:b/>
              </w:rPr>
              <w:t>and Photonics</w:t>
            </w:r>
          </w:p>
        </w:tc>
        <w:tc>
          <w:tcPr>
            <w:tcW w:w="5811" w:type="dxa"/>
            <w:shd w:val="clear" w:color="auto" w:fill="auto"/>
            <w:vAlign w:val="center"/>
          </w:tcPr>
          <w:p w14:paraId="1C308612" w14:textId="77777777" w:rsidR="002843E2" w:rsidRPr="00510423" w:rsidRDefault="002843E2" w:rsidP="009C06F9">
            <w:pPr>
              <w:rPr>
                <w:lang w:val="en-US"/>
              </w:rPr>
            </w:pPr>
            <w:r w:rsidRPr="00510423">
              <w:t>IoT, Smart/Intelligent sensors, Quantum technology, Supercomputing (high power, high performance, neuro-computing, beyond CMOS), Displays (LCD, Plasma) &amp; Lighting (LED, OLED), Photonics integrated circuits and Biophotonics</w:t>
            </w:r>
          </w:p>
        </w:tc>
      </w:tr>
      <w:tr w:rsidR="002843E2" w:rsidRPr="00BA4F8E" w14:paraId="126C3581" w14:textId="77777777" w:rsidTr="00E61157">
        <w:trPr>
          <w:jc w:val="center"/>
        </w:trPr>
        <w:tc>
          <w:tcPr>
            <w:tcW w:w="1696" w:type="dxa"/>
            <w:vMerge/>
            <w:shd w:val="clear" w:color="auto" w:fill="B9E0F7"/>
          </w:tcPr>
          <w:p w14:paraId="270A580D" w14:textId="77777777" w:rsidR="002843E2" w:rsidRPr="00E61157" w:rsidRDefault="002843E2" w:rsidP="009E604A">
            <w:pPr>
              <w:jc w:val="center"/>
              <w:rPr>
                <w:b/>
              </w:rPr>
            </w:pPr>
          </w:p>
        </w:tc>
        <w:tc>
          <w:tcPr>
            <w:tcW w:w="2694" w:type="dxa"/>
            <w:shd w:val="clear" w:color="auto" w:fill="auto"/>
            <w:vAlign w:val="center"/>
          </w:tcPr>
          <w:p w14:paraId="52E0AD8F" w14:textId="77777777" w:rsidR="002843E2" w:rsidRPr="00510423" w:rsidRDefault="002843E2" w:rsidP="009C06F9">
            <w:pPr>
              <w:spacing w:after="0"/>
              <w:jc w:val="center"/>
              <w:rPr>
                <w:b/>
              </w:rPr>
            </w:pPr>
            <w:r w:rsidRPr="00510423">
              <w:rPr>
                <w:b/>
              </w:rPr>
              <w:t>Artificial Intelligence</w:t>
            </w:r>
          </w:p>
        </w:tc>
        <w:tc>
          <w:tcPr>
            <w:tcW w:w="5811" w:type="dxa"/>
            <w:shd w:val="clear" w:color="auto" w:fill="auto"/>
            <w:vAlign w:val="center"/>
          </w:tcPr>
          <w:p w14:paraId="106F21B1" w14:textId="77777777" w:rsidR="002843E2" w:rsidRPr="00510423" w:rsidRDefault="002843E2" w:rsidP="009C06F9">
            <w:r w:rsidRPr="00510423">
              <w:t>Secure and Authenticated Communication, Avoiding identity thief, Data protection and privacy, IoT, Data/Connectivity Safety and Security, Human-Machine Intersfaces, Human-Computer/Robot Interaction, 5G, Baseband/processor platforms</w:t>
            </w:r>
          </w:p>
        </w:tc>
      </w:tr>
      <w:tr w:rsidR="002843E2" w:rsidRPr="00BA4F8E" w14:paraId="41EE0ECC" w14:textId="77777777" w:rsidTr="00E61157">
        <w:trPr>
          <w:jc w:val="center"/>
        </w:trPr>
        <w:tc>
          <w:tcPr>
            <w:tcW w:w="1696" w:type="dxa"/>
            <w:shd w:val="clear" w:color="auto" w:fill="B9E0F7"/>
            <w:vAlign w:val="center"/>
          </w:tcPr>
          <w:p w14:paraId="5C4D6429" w14:textId="77777777" w:rsidR="002843E2" w:rsidRPr="00E61157" w:rsidRDefault="002843E2" w:rsidP="009C06F9">
            <w:pPr>
              <w:jc w:val="center"/>
              <w:rPr>
                <w:b/>
              </w:rPr>
            </w:pPr>
            <w:r w:rsidRPr="00E61157">
              <w:rPr>
                <w:b/>
              </w:rPr>
              <w:lastRenderedPageBreak/>
              <w:t>Cyber Technologies</w:t>
            </w:r>
          </w:p>
        </w:tc>
        <w:tc>
          <w:tcPr>
            <w:tcW w:w="2694" w:type="dxa"/>
            <w:shd w:val="clear" w:color="auto" w:fill="auto"/>
            <w:vAlign w:val="center"/>
          </w:tcPr>
          <w:p w14:paraId="200871FB" w14:textId="5AF63CEB" w:rsidR="002843E2" w:rsidRPr="00510423" w:rsidRDefault="002843E2" w:rsidP="009C06F9">
            <w:pPr>
              <w:spacing w:after="0"/>
              <w:jc w:val="center"/>
              <w:rPr>
                <w:b/>
              </w:rPr>
            </w:pPr>
            <w:r w:rsidRPr="00510423">
              <w:rPr>
                <w:b/>
              </w:rPr>
              <w:t>Security</w:t>
            </w:r>
          </w:p>
          <w:p w14:paraId="7F097209" w14:textId="338BE59A" w:rsidR="002843E2" w:rsidRPr="00510423" w:rsidRDefault="002843E2" w:rsidP="009C06F9">
            <w:pPr>
              <w:spacing w:after="0"/>
              <w:jc w:val="center"/>
              <w:rPr>
                <w:b/>
              </w:rPr>
            </w:pPr>
            <w:r w:rsidRPr="00510423">
              <w:rPr>
                <w:b/>
              </w:rPr>
              <w:t>and</w:t>
            </w:r>
          </w:p>
          <w:p w14:paraId="2868CAE4" w14:textId="77777777" w:rsidR="002843E2" w:rsidRPr="00510423" w:rsidRDefault="002843E2" w:rsidP="009C06F9">
            <w:pPr>
              <w:spacing w:after="0"/>
              <w:jc w:val="center"/>
              <w:rPr>
                <w:b/>
              </w:rPr>
            </w:pPr>
            <w:r w:rsidRPr="00510423">
              <w:rPr>
                <w:b/>
              </w:rPr>
              <w:t>Connectivity</w:t>
            </w:r>
          </w:p>
        </w:tc>
        <w:tc>
          <w:tcPr>
            <w:tcW w:w="5811" w:type="dxa"/>
            <w:shd w:val="clear" w:color="auto" w:fill="auto"/>
            <w:vAlign w:val="center"/>
          </w:tcPr>
          <w:p w14:paraId="573C5DF9" w14:textId="77777777" w:rsidR="002843E2" w:rsidRPr="00510423" w:rsidRDefault="002843E2" w:rsidP="009C06F9">
            <w:r w:rsidRPr="00510423">
              <w:t>e-Governance, e-Administration, e-Voting, Cyber-Physical Systems, eSafety and eSecurity, Technology Assessment, Blockchain</w:t>
            </w:r>
          </w:p>
        </w:tc>
      </w:tr>
    </w:tbl>
    <w:p w14:paraId="32A472EB" w14:textId="3DC20068" w:rsidR="00822F2B" w:rsidRPr="00BA6A89" w:rsidRDefault="009A4DA0" w:rsidP="00FD7D0B">
      <w:pPr>
        <w:jc w:val="both"/>
        <w:rPr>
          <w:i/>
          <w:sz w:val="18"/>
          <w:szCs w:val="18"/>
        </w:rPr>
      </w:pPr>
      <w:r w:rsidRPr="00BA6A89">
        <w:rPr>
          <w:i/>
          <w:sz w:val="18"/>
          <w:szCs w:val="18"/>
        </w:rPr>
        <w:t>Zdroj:</w:t>
      </w:r>
      <w:r w:rsidR="007919B8" w:rsidRPr="00BA6A89">
        <w:rPr>
          <w:i/>
          <w:sz w:val="18"/>
          <w:szCs w:val="18"/>
        </w:rPr>
        <w:t xml:space="preserve"> EUROPEAN COMMISSION: Re-finding Industry – Defining Innovation</w:t>
      </w:r>
      <w:r w:rsidR="00FD7D0B" w:rsidRPr="00BA6A89">
        <w:rPr>
          <w:i/>
          <w:sz w:val="18"/>
          <w:szCs w:val="18"/>
        </w:rPr>
        <w:t xml:space="preserve">. Publication Office in </w:t>
      </w:r>
      <w:r w:rsidR="007919B8" w:rsidRPr="00BA6A89">
        <w:rPr>
          <w:i/>
          <w:sz w:val="18"/>
          <w:szCs w:val="18"/>
        </w:rPr>
        <w:t>Luxembourg, 2018</w:t>
      </w:r>
    </w:p>
    <w:p w14:paraId="0CFE7D5A" w14:textId="77777777" w:rsidR="00202E7F" w:rsidRPr="00BA4F8E" w:rsidRDefault="00202E7F" w:rsidP="00822F2B"/>
    <w:p w14:paraId="796A61ED" w14:textId="74529D11" w:rsidR="006821E6" w:rsidRPr="00F76546" w:rsidRDefault="006E3CC5" w:rsidP="0053607D">
      <w:pPr>
        <w:pStyle w:val="Nadpis3"/>
      </w:pPr>
      <w:bookmarkStart w:id="105" w:name="_Toc525716200"/>
      <w:r w:rsidRPr="00F76546">
        <w:t xml:space="preserve">Identifikace znalostních domén a aplikačních </w:t>
      </w:r>
      <w:r w:rsidR="00AF0676">
        <w:t xml:space="preserve">odvětví </w:t>
      </w:r>
      <w:r w:rsidRPr="00F76546">
        <w:t>inteligentní specializace</w:t>
      </w:r>
      <w:bookmarkEnd w:id="105"/>
    </w:p>
    <w:p w14:paraId="04C1EAAC" w14:textId="1F2C709B" w:rsidR="002843E2" w:rsidRPr="00BA4F8E" w:rsidRDefault="002843E2" w:rsidP="004A357F">
      <w:pPr>
        <w:spacing w:before="240" w:after="0" w:line="360" w:lineRule="auto"/>
        <w:ind w:firstLine="709"/>
        <w:jc w:val="both"/>
      </w:pPr>
      <w:r w:rsidRPr="00BA4F8E">
        <w:t xml:space="preserve">Identifikace </w:t>
      </w:r>
      <w:r w:rsidRPr="00BA4F8E">
        <w:rPr>
          <w:b/>
        </w:rPr>
        <w:t xml:space="preserve">aplikačních </w:t>
      </w:r>
      <w:r w:rsidR="00496F82">
        <w:rPr>
          <w:b/>
        </w:rPr>
        <w:t>odvětví</w:t>
      </w:r>
      <w:r w:rsidRPr="00BA4F8E">
        <w:t xml:space="preserve"> a </w:t>
      </w:r>
      <w:r w:rsidRPr="00BA4F8E">
        <w:rPr>
          <w:b/>
        </w:rPr>
        <w:t>znalostních domén</w:t>
      </w:r>
      <w:r w:rsidRPr="00BA4F8E">
        <w:rPr>
          <w:rStyle w:val="Znakapoznpodarou"/>
          <w:b/>
        </w:rPr>
        <w:footnoteReference w:id="76"/>
      </w:r>
      <w:r w:rsidRPr="00BA4F8E">
        <w:t xml:space="preserve">inteligentní specializace ČR byla zpracována na základě trojího druhu vstupů: analýzy ekonomické specializace, analýzy výzkumné specializace, a již daných a vládou ČR schválených Národních priorit orientovaného výzkumu, experimentálního vývoje a inovací do roku 2030, které v sobě zahrnují společenské změny, na jejichž řešení se má orientovaný výzkum v ČR dlouhodobě zaměřovat. </w:t>
      </w:r>
    </w:p>
    <w:p w14:paraId="1E548E78" w14:textId="77777777" w:rsidR="002843E2" w:rsidRPr="00BA4F8E" w:rsidRDefault="002843E2" w:rsidP="004A357F">
      <w:pPr>
        <w:spacing w:after="0" w:line="360" w:lineRule="auto"/>
        <w:ind w:firstLine="708"/>
        <w:jc w:val="both"/>
      </w:pPr>
      <w:r w:rsidRPr="00BA4F8E">
        <w:t xml:space="preserve">Analýza ekonomické specializace je prostředkem pro identifikaci aktérů, kteří mohou sehrát významnou roli při identifikaci budoucích technologických potřeb a nových znalostí nezbytných pro definování </w:t>
      </w:r>
      <w:r w:rsidRPr="00BA4F8E">
        <w:rPr>
          <w:b/>
        </w:rPr>
        <w:t>aplikačních odvětví</w:t>
      </w:r>
      <w:r w:rsidRPr="00BA4F8E">
        <w:t>, která mohou vést k tržně uplatnitelným inovacím. Na základě hlavních společenských výzev definovaných v Národních prioritách orientovaného výzkumu, experimentálního vývoje a inovací byly k identifikovaným perspektivním ekonomickým aplikačním odvětvím</w:t>
      </w:r>
      <w:r w:rsidRPr="00BA4F8E">
        <w:rPr>
          <w:rStyle w:val="Znakapoznpodarou"/>
        </w:rPr>
        <w:footnoteReference w:id="77"/>
      </w:r>
      <w:r w:rsidRPr="00BA4F8E">
        <w:t xml:space="preserve"> doplněny v hrubých rysech i aspekty relevantních společenských výzev. Tento průmět je zajištěn formou přívlastků charakterizujících nejvýraznější projevy společenských výzev v daném aplikačním odvětví, u nichž je možné s vysokou mírou pravděpodobnosti předpokládat, že budou do budoucna určující pro vývoj trendů v aplikačních oblastech.</w:t>
      </w:r>
    </w:p>
    <w:p w14:paraId="2CEA5E19" w14:textId="138D3E22" w:rsidR="002843E2" w:rsidRPr="00BA4F8E" w:rsidRDefault="002843E2" w:rsidP="004A357F">
      <w:pPr>
        <w:spacing w:after="0" w:line="360" w:lineRule="auto"/>
        <w:ind w:firstLine="708"/>
        <w:jc w:val="both"/>
      </w:pPr>
      <w:r w:rsidRPr="00BA4F8E">
        <w:t xml:space="preserve">Vedle analýzy ekonomické specializace vychází návrh inteligentní specializace i z analýz výzkumné specializace ČR. Ta slouží (i) jednak jako prostředek identifikace </w:t>
      </w:r>
      <w:r w:rsidRPr="00BA4F8E">
        <w:rPr>
          <w:b/>
        </w:rPr>
        <w:t>znalostních domén</w:t>
      </w:r>
      <w:r w:rsidRPr="00BA4F8E">
        <w:rPr>
          <w:rStyle w:val="Znakapoznpodarou"/>
          <w:b/>
        </w:rPr>
        <w:footnoteReference w:id="78"/>
      </w:r>
      <w:r w:rsidRPr="00BA4F8E">
        <w:t>; (ii)</w:t>
      </w:r>
      <w:r w:rsidR="00833E3D">
        <w:t> </w:t>
      </w:r>
      <w:r w:rsidRPr="00BA4F8E">
        <w:t>jednak jako prostředek identifikace výzkumných směrů, které mají historicky silné postavení v českém výzkumu a vyžadují preferenční dlouhodobou kultivaci kvality. Dosavadní analýzy</w:t>
      </w:r>
      <w:r w:rsidRPr="00BA4F8E">
        <w:rPr>
          <w:rStyle w:val="Znakapoznpodarou"/>
        </w:rPr>
        <w:footnoteReference w:id="79"/>
      </w:r>
      <w:r w:rsidRPr="00BA4F8E">
        <w:t xml:space="preserve"> se opírají o</w:t>
      </w:r>
      <w:r w:rsidR="00E13779" w:rsidRPr="00BA4F8E">
        <w:t> </w:t>
      </w:r>
      <w:r w:rsidRPr="00BA4F8E">
        <w:t xml:space="preserve">statistická data, která naznačují nadprůměrné výsledky ve znalostních doménách fotoniky, pokročilých materiálů a v menší míře také v nanotechnologiích. </w:t>
      </w:r>
    </w:p>
    <w:p w14:paraId="3628AA04" w14:textId="31146BA9" w:rsidR="002843E2" w:rsidRPr="00BA4F8E" w:rsidRDefault="002843E2" w:rsidP="002E33CB">
      <w:pPr>
        <w:spacing w:after="0" w:line="360" w:lineRule="auto"/>
        <w:ind w:firstLine="708"/>
        <w:jc w:val="both"/>
      </w:pPr>
      <w:r w:rsidRPr="00BA4F8E">
        <w:t xml:space="preserve">Výsledky analýz je možné shrnout do tzv. </w:t>
      </w:r>
      <w:r w:rsidRPr="00BA4F8E">
        <w:rPr>
          <w:b/>
          <w:i/>
        </w:rPr>
        <w:t>Vertik</w:t>
      </w:r>
      <w:r w:rsidRPr="006D0A08">
        <w:rPr>
          <w:b/>
          <w:i/>
        </w:rPr>
        <w:t>alizační matice</w:t>
      </w:r>
      <w:r w:rsidRPr="006D0A08">
        <w:rPr>
          <w:i/>
        </w:rPr>
        <w:t xml:space="preserve"> </w:t>
      </w:r>
      <w:r w:rsidRPr="006D0A08">
        <w:t xml:space="preserve">(viz </w:t>
      </w:r>
      <w:r w:rsidR="000116E6" w:rsidRPr="001203BD">
        <w:rPr>
          <w:highlight w:val="yellow"/>
        </w:rPr>
        <w:fldChar w:fldCharType="begin"/>
      </w:r>
      <w:r w:rsidR="000116E6" w:rsidRPr="001203BD">
        <w:instrText xml:space="preserve"> REF _Ref521491830 \h </w:instrText>
      </w:r>
      <w:r w:rsidR="000116E6" w:rsidRPr="001203BD">
        <w:rPr>
          <w:highlight w:val="yellow"/>
        </w:rPr>
      </w:r>
      <w:r w:rsidR="000116E6" w:rsidRPr="001203BD">
        <w:rPr>
          <w:highlight w:val="yellow"/>
        </w:rPr>
        <w:fldChar w:fldCharType="separate"/>
      </w:r>
      <w:r w:rsidR="00DE40D4">
        <w:t xml:space="preserve">Tabulka </w:t>
      </w:r>
      <w:r w:rsidR="00DE40D4">
        <w:rPr>
          <w:noProof/>
        </w:rPr>
        <w:t>12</w:t>
      </w:r>
      <w:r w:rsidR="000116E6" w:rsidRPr="001203BD">
        <w:rPr>
          <w:highlight w:val="yellow"/>
        </w:rPr>
        <w:fldChar w:fldCharType="end"/>
      </w:r>
      <w:r w:rsidRPr="001203BD">
        <w:t xml:space="preserve">, </w:t>
      </w:r>
      <w:r w:rsidRPr="006D0A08">
        <w:t>kap.</w:t>
      </w:r>
      <w:r w:rsidR="00B67EDE" w:rsidRPr="006D0A08">
        <w:t> </w:t>
      </w:r>
      <w:r w:rsidR="001E09C7" w:rsidRPr="006D0A08">
        <w:fldChar w:fldCharType="begin"/>
      </w:r>
      <w:r w:rsidR="001E09C7" w:rsidRPr="006D0A08">
        <w:instrText xml:space="preserve"> REF _Ref521489169 \r \h </w:instrText>
      </w:r>
      <w:r w:rsidR="00A6540A" w:rsidRPr="006D0A08">
        <w:instrText xml:space="preserve"> \* MERGEFORMAT </w:instrText>
      </w:r>
      <w:r w:rsidR="001E09C7" w:rsidRPr="006D0A08">
        <w:fldChar w:fldCharType="separate"/>
      </w:r>
      <w:r w:rsidR="00DE40D4">
        <w:t>7.3.1.5</w:t>
      </w:r>
      <w:r w:rsidR="001E09C7" w:rsidRPr="006D0A08">
        <w:fldChar w:fldCharType="end"/>
      </w:r>
      <w:r w:rsidR="00B3323B" w:rsidRPr="006D0A08">
        <w:t> </w:t>
      </w:r>
      <w:r w:rsidR="001E09C7" w:rsidRPr="006D0A08">
        <w:fldChar w:fldCharType="begin"/>
      </w:r>
      <w:r w:rsidR="001E09C7" w:rsidRPr="006D0A08">
        <w:instrText xml:space="preserve"> REF _Ref521489154 \h </w:instrText>
      </w:r>
      <w:r w:rsidR="00A6540A" w:rsidRPr="006D0A08">
        <w:instrText xml:space="preserve"> \* MERGEFORMAT </w:instrText>
      </w:r>
      <w:r w:rsidR="001E09C7" w:rsidRPr="006D0A08">
        <w:fldChar w:fldCharType="separate"/>
      </w:r>
      <w:r w:rsidR="00DE40D4" w:rsidRPr="00127070">
        <w:t>Aktuální stav EDP</w:t>
      </w:r>
      <w:r w:rsidR="001E09C7" w:rsidRPr="006D0A08">
        <w:fldChar w:fldCharType="end"/>
      </w:r>
      <w:r w:rsidRPr="006D0A08">
        <w:t>), která schematicky znázorňuje přehled klíčových odv</w:t>
      </w:r>
      <w:r w:rsidRPr="00A6540A">
        <w:t>ětví témat podle</w:t>
      </w:r>
      <w:r w:rsidRPr="00B3323B">
        <w:t xml:space="preserve"> odvětví </w:t>
      </w:r>
      <w:r w:rsidRPr="00BA4F8E">
        <w:t xml:space="preserve">ekonomické specializace ČR (tj. oblastí tržního uplatnění znalostí, v nichž české subjekty </w:t>
      </w:r>
      <w:r w:rsidRPr="00BA4F8E">
        <w:lastRenderedPageBreak/>
        <w:t>vykazují nadprůměrný růstový potenciál), včetně hlediska společenských výzev, a znalostních domén, které se mohou stát zdrojem nabídky nových znalostí pro řešení aplikačních problémů a/nebo vykazují nadprůměrné výzkumné výsledky v mezinárodním srovnání. Vedle témat identifikovaných jako oblasti specializace na národní úrovni jsou zařazeny i aplikační odvětví identifikovaná z regionální úrovně jako významná pro inteligentní specializaci, ovšem z pohledu celostátního nedosahují takového významu. I</w:t>
      </w:r>
      <w:r w:rsidR="001E09C7">
        <w:t> </w:t>
      </w:r>
      <w:r w:rsidRPr="00BA4F8E">
        <w:t>těmto oblastem je zapotřebí věnovat pozornost.</w:t>
      </w:r>
    </w:p>
    <w:p w14:paraId="510F397D" w14:textId="0717D0DC" w:rsidR="002843E2" w:rsidRDefault="002843E2" w:rsidP="001212EA">
      <w:pPr>
        <w:spacing w:after="0" w:line="360" w:lineRule="auto"/>
        <w:ind w:firstLine="708"/>
        <w:jc w:val="both"/>
      </w:pPr>
      <w:r w:rsidRPr="00BA4F8E">
        <w:t>Vertikalizační matice definuje témata poměrně široce, v této fázi je nutné ji chápat jako rámec pro identifikaci vertikálních intervencí, opatření a projektů na národní úrovni (resp. na regionální úrovni s následnou implementací z národní úrovně</w:t>
      </w:r>
      <w:r w:rsidRPr="00BA4F8E">
        <w:rPr>
          <w:rStyle w:val="Znakapoznpodarou"/>
        </w:rPr>
        <w:footnoteReference w:id="80"/>
      </w:r>
      <w:r w:rsidRPr="00BA4F8E">
        <w:t>). Podrobnější identifikace obsahu vlastních intervencí je předmětem inovačních platforem pro prioritní aplikační odvětví a znalostní domény na národní úrovni, a také průběžné vstupy z regionálních inovačních platforem. Vlastní proces zpřesňování významu specializace, tj. „vyplňování polí“ vertikalizační matice je předmětem EDP procesu, tedy procesu podnikatelského objevování nových příležitostí, který probíhá v interakci mezi partnery v jednotlivých inovačních platformách, v nichž jsou zastoupeni jak zástupci firemní sféry, tak výzkumných organizací, i veřejného sektoru. Touto cestou bude možné zpřesnit a prioritizovat aplikační odvětví a znalostní domény inteligentní specializace definované jako průsečík společenských výzev, základních znalostních domén a aplikačních příležitostí. Na tato vertikální témata směřuje v programovém období 2014–2020 postupně – formou konkrétních aktivit či projektů – přednostní podpora (např. tematické výzvy pro projekty aplikovaného VaV na stanovená témata, nová vysokoškolská kurikula která zajistí dostatek kvalitních absolventů schopných rozvíjet daný prioritní aplikační směr výzkumu apod.). Koncept inteligentní specializace a EDP proces jsou dále, v rámci implementace Nár</w:t>
      </w:r>
      <w:r w:rsidR="00BB296D">
        <w:t>odní RIS3 strategie, rozvíjeny.</w:t>
      </w:r>
    </w:p>
    <w:p w14:paraId="15E180D3" w14:textId="439274E9" w:rsidR="00BB296D" w:rsidRPr="00BA4F8E" w:rsidRDefault="00BB296D" w:rsidP="001212EA">
      <w:pPr>
        <w:spacing w:after="0" w:line="360" w:lineRule="auto"/>
        <w:ind w:firstLine="708"/>
        <w:jc w:val="both"/>
      </w:pPr>
      <w:r>
        <w:t xml:space="preserve">V návrhové části Strategie inteligentní specializace byly současně, ve spolupráci klíčových partnerů, identifikovány typové operace (v textu označeny </w:t>
      </w:r>
      <w:r>
        <w:rPr>
          <w:i/>
          <w:iCs/>
        </w:rPr>
        <w:t>kurzívou</w:t>
      </w:r>
      <w:r>
        <w:rPr>
          <w:iCs/>
        </w:rPr>
        <w:t>)</w:t>
      </w:r>
      <w:r>
        <w:t>, u nichž je navrhováno, aby v implementační fázi byla zohledněna vertikální dimenze intervencí. Konkrétní forma a míra „vertikalizace“</w:t>
      </w:r>
      <w:r>
        <w:rPr>
          <w:rStyle w:val="Znakapoznpodarou"/>
        </w:rPr>
        <w:footnoteReference w:id="81"/>
      </w:r>
      <w:r>
        <w:t xml:space="preserve"> typových operací bude předmětem projednání v inovačních platformách a Řídicím výboru RIS3 na národní úrovni</w:t>
      </w:r>
      <w:r w:rsidR="00BE40D8">
        <w:rPr>
          <w:rStyle w:val="Znakapoznpodarou"/>
        </w:rPr>
        <w:footnoteReference w:id="82"/>
      </w:r>
      <w:r>
        <w:t xml:space="preserve">. </w:t>
      </w:r>
    </w:p>
    <w:p w14:paraId="501D48AD" w14:textId="26FF4483" w:rsidR="002843E2" w:rsidRPr="00BA4F8E" w:rsidRDefault="002843E2" w:rsidP="001212EA">
      <w:pPr>
        <w:spacing w:after="0" w:line="360" w:lineRule="auto"/>
        <w:ind w:firstLine="708"/>
        <w:jc w:val="both"/>
      </w:pPr>
      <w:r w:rsidRPr="00BA4F8E">
        <w:t xml:space="preserve">Vedle „vertikalizace“ některých navrhovaných intervencí je nezbytné diskutovat </w:t>
      </w:r>
      <w:r w:rsidR="00B42F3A">
        <w:t xml:space="preserve">na </w:t>
      </w:r>
      <w:r w:rsidRPr="00BA4F8E">
        <w:t xml:space="preserve">národní úrovni kroky vedoucí k  zohlednění oblastí inteligentní specializace ČR v dlouhodobém finančním plánování tak, aby část prostředků státního rozpočtu na VaVaI byla postupně zaměřována na prioritní </w:t>
      </w:r>
      <w:r w:rsidR="0032220E">
        <w:lastRenderedPageBreak/>
        <w:t>oblasti</w:t>
      </w:r>
      <w:r w:rsidRPr="00BA4F8E">
        <w:t xml:space="preserve"> výzkumu a inovací. Bez tohoto kroku hrozí riziko, že vertikálně zaměřené intervence RIS3 strategie, které se převážnou měrou financují z prostředků ESIF, nebudou dostatečně provázány s hlavním proudem národních prostředků.</w:t>
      </w:r>
    </w:p>
    <w:p w14:paraId="715288E0" w14:textId="77777777" w:rsidR="00E0018F" w:rsidRDefault="001D092B" w:rsidP="00E0018F">
      <w:pPr>
        <w:spacing w:after="0" w:line="360" w:lineRule="auto"/>
        <w:ind w:firstLine="708"/>
        <w:jc w:val="both"/>
      </w:pPr>
      <w:r>
        <w:t>V roce 2018 bylo</w:t>
      </w:r>
      <w:r w:rsidRPr="00BA4F8E">
        <w:t xml:space="preserve"> v </w:t>
      </w:r>
      <w:r>
        <w:t xml:space="preserve">rámci procesu EDP identifikováno nové aplikační odvětví s názvem „Průmyslová chemie“. Dvě aplikační odvětví </w:t>
      </w:r>
      <w:r w:rsidRPr="00BA4F8E">
        <w:t>„Udržitelná výstavba, lidská sídla a technická ochrana životního prostředí“ a</w:t>
      </w:r>
      <w:r>
        <w:t> </w:t>
      </w:r>
      <w:r w:rsidRPr="00BA4F8E">
        <w:t>„Zajištění zdravého a kvalitního životního prostředí, biodiverzity a ekologie přírodních zdrojů“</w:t>
      </w:r>
      <w:r>
        <w:t xml:space="preserve">, jejichž gestorem je MŽP, vznikla rozvinutím a přeformulováním původního aplikačního odvětví </w:t>
      </w:r>
      <w:r w:rsidRPr="00BA4F8E">
        <w:t>„Zajištění zdravého a kvalitního životního prostředí</w:t>
      </w:r>
      <w:r>
        <w:t xml:space="preserve"> a využívání přírodních zdrojů“ – zapracovány byly mimo jiné návrhy z odvětví stavebnictví</w:t>
      </w:r>
      <w:r w:rsidRPr="00BA4F8E">
        <w:t>.</w:t>
      </w:r>
      <w:r w:rsidR="002843E2" w:rsidRPr="00BA4F8E">
        <w:t xml:space="preserve"> Tato aplikační odvětví byla implementována do aktualizované </w:t>
      </w:r>
      <w:r w:rsidR="002843E2" w:rsidRPr="00CE6970">
        <w:t>Vertikalizační matice Národní RIS3 strategie</w:t>
      </w:r>
      <w:r w:rsidR="00DE3F12" w:rsidRPr="00DD3634">
        <w:t xml:space="preserve"> (</w:t>
      </w:r>
      <w:r w:rsidR="00CE6970" w:rsidRPr="00DD3634">
        <w:t xml:space="preserve">viz </w:t>
      </w:r>
      <w:r w:rsidR="00CE6970" w:rsidRPr="00DD3634">
        <w:fldChar w:fldCharType="begin"/>
      </w:r>
      <w:r w:rsidR="00CE6970" w:rsidRPr="00DD3634">
        <w:instrText xml:space="preserve"> REF _Ref521491830 \h  \* MERGEFORMAT </w:instrText>
      </w:r>
      <w:r w:rsidR="00CE6970" w:rsidRPr="00DD3634">
        <w:fldChar w:fldCharType="separate"/>
      </w:r>
      <w:r w:rsidR="00DE40D4">
        <w:t xml:space="preserve">Tabulka </w:t>
      </w:r>
      <w:r w:rsidR="00DE40D4">
        <w:rPr>
          <w:noProof/>
        </w:rPr>
        <w:t>12</w:t>
      </w:r>
      <w:r w:rsidR="00CE6970" w:rsidRPr="00DD3634">
        <w:fldChar w:fldCharType="end"/>
      </w:r>
      <w:r w:rsidR="00DE3F12" w:rsidRPr="00DD3634">
        <w:t>)</w:t>
      </w:r>
      <w:r w:rsidR="002843E2" w:rsidRPr="00DD3634">
        <w:t>.</w:t>
      </w:r>
    </w:p>
    <w:p w14:paraId="769E696B" w14:textId="0659EECB" w:rsidR="002843E2" w:rsidRPr="00BA4F8E" w:rsidRDefault="002843E2" w:rsidP="00E0018F">
      <w:pPr>
        <w:spacing w:after="0" w:line="360" w:lineRule="auto"/>
        <w:ind w:firstLine="708"/>
        <w:jc w:val="both"/>
      </w:pPr>
      <w:r w:rsidRPr="00BA4F8E">
        <w:t xml:space="preserve">S ohledem na skutečnost, že implementace dvou nových klíčových technologií pro země EU z roku 2018 (Umělá inteligence / Artificial Intelligence a Zabezpečení a konektivita / Security and Connectivity) si vyžádá větší změnu struktury stávající platné Národní RIS3 strategie, je plánována tato implementace až pro připravovanou novou RIS3 strategii platnou pro období 2021+. </w:t>
      </w:r>
    </w:p>
    <w:p w14:paraId="7FA9A268" w14:textId="77777777" w:rsidR="006821E6" w:rsidRPr="00BA4F8E" w:rsidRDefault="006821E6">
      <w:pPr>
        <w:spacing w:after="200" w:line="276" w:lineRule="auto"/>
        <w:rPr>
          <w:rFonts w:eastAsiaTheme="majorEastAsia" w:cstheme="majorBidi"/>
          <w:b/>
        </w:rPr>
      </w:pPr>
      <w:r w:rsidRPr="00BA4F8E">
        <w:br w:type="page"/>
      </w:r>
    </w:p>
    <w:p w14:paraId="013BB04C" w14:textId="7E5E5523" w:rsidR="006E3CC5" w:rsidRPr="00F76546" w:rsidRDefault="006E3CC5" w:rsidP="00F76546">
      <w:pPr>
        <w:pStyle w:val="Nadpis1"/>
      </w:pPr>
      <w:bookmarkStart w:id="106" w:name="_Toc525716201"/>
      <w:r w:rsidRPr="00F76546">
        <w:lastRenderedPageBreak/>
        <w:t>Návrhová část</w:t>
      </w:r>
      <w:bookmarkEnd w:id="106"/>
    </w:p>
    <w:p w14:paraId="23A85E0A" w14:textId="77777777" w:rsidR="005A00F7" w:rsidRPr="00BA4F8E" w:rsidRDefault="005A00F7" w:rsidP="001212EA">
      <w:pPr>
        <w:spacing w:before="240" w:after="0" w:line="360" w:lineRule="auto"/>
        <w:ind w:firstLine="709"/>
        <w:jc w:val="both"/>
      </w:pPr>
      <w:r w:rsidRPr="00BA4F8E">
        <w:t xml:space="preserve">Návrhová část je strukturována podle problémových okruhů, které vycházejí z analytické části RIS3 strategie. Začíná pracovním návrhem dlouhodobé strategické vize, která obsahově vychází z vizí existujících dokumentů a následně byla projednána v partnerských strukturách. Následuje pět tematických okruhů – podnikání a inovace, výzkum a vývoj, lidské zdroje, informační a komunikační technologie a digitální agenda, sociální inovace, v nichž Česká republika musí dosáhnout změny, aby mohla vážně usilovat o dosažení vize v dlouhodobém horizontu a o reálné a změřitelné přiblížení této vizi do r. 2022. </w:t>
      </w:r>
    </w:p>
    <w:p w14:paraId="0D2C5C8F" w14:textId="0DD56D65" w:rsidR="005A00F7" w:rsidRPr="00BA4F8E" w:rsidRDefault="005A00F7" w:rsidP="001212EA">
      <w:pPr>
        <w:spacing w:after="0" w:line="360" w:lineRule="auto"/>
        <w:ind w:firstLine="708"/>
        <w:jc w:val="both"/>
      </w:pPr>
      <w:r w:rsidRPr="00BA4F8E">
        <w:t>Každý tematický okruh sestává z jedné či více klíčových oblastí změn, pro které se navrhují strategické a specifické cíle. Pro specifické cíle jsou dále navrženy typové projekty, programy či aktivity – typové operace – kterými má být specifických cílů dosaženo. Výčet typových operací není úplný a</w:t>
      </w:r>
      <w:r w:rsidR="00F1753D" w:rsidRPr="00BA4F8E">
        <w:t> </w:t>
      </w:r>
      <w:r w:rsidRPr="00BA4F8E">
        <w:t xml:space="preserve">předpokládá se, že se bude dále rozšiřovat či měnit, mimo jiné i podle toho, jak se bude realizovat RIS3 strategie konkrétními projekty z operačních programů. U jednotlivých typových operací jsou </w:t>
      </w:r>
      <w:r w:rsidRPr="00BA4F8E">
        <w:rPr>
          <w:i/>
          <w:iCs/>
        </w:rPr>
        <w:t>kurzívou</w:t>
      </w:r>
      <w:r w:rsidRPr="00BA4F8E">
        <w:t xml:space="preserve"> odlišeny ty operace, u nichž je navrhováno, aby v implementační fázi byla zohledněna tzv.</w:t>
      </w:r>
      <w:r w:rsidR="00905874" w:rsidRPr="00BA4F8E">
        <w:t> </w:t>
      </w:r>
      <w:r w:rsidRPr="00BA4F8E">
        <w:t>vertikální dimenze intervencí. Znamená to, že u těchto intervencí bude:</w:t>
      </w:r>
    </w:p>
    <w:p w14:paraId="79E792E4" w14:textId="77777777" w:rsidR="005A00F7" w:rsidRPr="00BA4F8E" w:rsidRDefault="005A00F7" w:rsidP="00543C1B">
      <w:pPr>
        <w:pStyle w:val="Odstavecseseznamem"/>
        <w:numPr>
          <w:ilvl w:val="0"/>
          <w:numId w:val="61"/>
        </w:numPr>
        <w:spacing w:before="240" w:after="60" w:line="360" w:lineRule="auto"/>
        <w:ind w:left="714" w:hanging="357"/>
        <w:jc w:val="both"/>
      </w:pPr>
      <w:r w:rsidRPr="00BA4F8E">
        <w:t>buď stanoven podíl, resp. objem, finanční alokace dané typové operace (např. nového dotačního programu či  výzvy v operačním programu), který bude směrovat na podporu aktivit definovaných jako oblast vertikální specializace,</w:t>
      </w:r>
    </w:p>
    <w:p w14:paraId="43FB36D4" w14:textId="77777777" w:rsidR="005A00F7" w:rsidRPr="00BA4F8E" w:rsidRDefault="005A00F7" w:rsidP="00543C1B">
      <w:pPr>
        <w:pStyle w:val="Odstavecseseznamem"/>
        <w:numPr>
          <w:ilvl w:val="0"/>
          <w:numId w:val="61"/>
        </w:numPr>
        <w:spacing w:before="240" w:after="60" w:line="360" w:lineRule="auto"/>
        <w:ind w:left="714" w:hanging="357"/>
        <w:jc w:val="both"/>
      </w:pPr>
      <w:r w:rsidRPr="00BA4F8E">
        <w:t>nebo bude podpora v rámci dané typové operace omezena výlučně na podporu operací, které budou přispívat  k naplňování vertikálních priorit RIS3 strategie s povinností projektů jasně doložit soulad s vertikálními prioritami národní, nebo regionální úrovně.</w:t>
      </w:r>
    </w:p>
    <w:p w14:paraId="1773428D" w14:textId="02A46FF4" w:rsidR="005A00F7" w:rsidRPr="00BA4F8E" w:rsidRDefault="005A00F7" w:rsidP="005A00F7">
      <w:pPr>
        <w:spacing w:before="240" w:line="360" w:lineRule="auto"/>
        <w:ind w:firstLine="709"/>
        <w:jc w:val="both"/>
      </w:pPr>
      <w:r w:rsidRPr="00BA4F8E">
        <w:t>Konkrétní forma a míra „vertikalizace“ typových operací bude předmětem projednání v Národních inovačních platformách</w:t>
      </w:r>
      <w:r w:rsidR="001B3B6D">
        <w:t>, projednání s poskytovateli a gestory programů</w:t>
      </w:r>
      <w:r w:rsidRPr="00BA4F8E">
        <w:t xml:space="preserve"> a následného schválení ze strany Řídicího výboru RIS3 na národní úrovni.</w:t>
      </w:r>
    </w:p>
    <w:p w14:paraId="5A440527" w14:textId="77777777" w:rsidR="00AA7E3E" w:rsidRPr="00BA4F8E" w:rsidRDefault="00AA7E3E" w:rsidP="005A00F7">
      <w:pPr>
        <w:spacing w:before="240" w:line="360" w:lineRule="auto"/>
        <w:ind w:firstLine="709"/>
        <w:jc w:val="both"/>
      </w:pPr>
    </w:p>
    <w:p w14:paraId="69E6F600" w14:textId="55B45D44" w:rsidR="006E3CC5" w:rsidRPr="00F76546" w:rsidRDefault="006E3CC5" w:rsidP="00F76546">
      <w:pPr>
        <w:pStyle w:val="Nadpis2"/>
      </w:pPr>
      <w:bookmarkStart w:id="107" w:name="_Toc525716202"/>
      <w:r w:rsidRPr="00F76546">
        <w:t>Dlouhodobá strategická vize</w:t>
      </w:r>
      <w:bookmarkEnd w:id="107"/>
    </w:p>
    <w:p w14:paraId="6A502CD5" w14:textId="77777777" w:rsidR="00AA7E3E" w:rsidRPr="00BA4F8E" w:rsidRDefault="00AA7E3E" w:rsidP="00823F6D">
      <w:pPr>
        <w:spacing w:before="240" w:after="0" w:line="360" w:lineRule="auto"/>
        <w:ind w:firstLine="709"/>
        <w:jc w:val="both"/>
      </w:pPr>
      <w:r w:rsidRPr="00BA4F8E">
        <w:t xml:space="preserve">Dlouhodobá strategická vize formuluje základní směr rozvoje České republiky s důrazem na sféru znalostní ekonomiky a s důrazem na transformaci hospodářství tak, aby rostla konkurenceschopnost založená na inovacích a Česká republika nebyla v takové míře jako nyní závislá na konkurenceschopnosti postavené na nízkých nákladech. Dlouhodobá strategická vize je zaměřena </w:t>
      </w:r>
      <w:r w:rsidRPr="00BA4F8E">
        <w:lastRenderedPageBreak/>
        <w:t xml:space="preserve">na delší období než do r. 2020 (resp. 2022). Přestože Národní RIS3 strategie se připravuje na uvedené období, dlouhodobá strategická vize má delší platnost. </w:t>
      </w:r>
    </w:p>
    <w:p w14:paraId="20D4E57C" w14:textId="29DE2FF4" w:rsidR="00AA7E3E" w:rsidRPr="00BA4F8E" w:rsidRDefault="00AA7E3E" w:rsidP="00823F6D">
      <w:pPr>
        <w:spacing w:after="0" w:line="360" w:lineRule="auto"/>
        <w:ind w:firstLine="708"/>
        <w:jc w:val="both"/>
      </w:pPr>
      <w:r w:rsidRPr="00BA4F8E">
        <w:t>Klíčové oblasti změn, které jsou popsány v samostatné kapitole, jsou nedílnou součástí návrhové části a</w:t>
      </w:r>
      <w:r w:rsidR="00A360A5" w:rsidRPr="00BA4F8E">
        <w:t> </w:t>
      </w:r>
      <w:r w:rsidRPr="00BA4F8E">
        <w:t xml:space="preserve">představují intervence, které mají níže uvedené dlouhodobé strategické vize pomoci dosáhnout. V tomto smyslu jsou klíčové oblasti změn a v nich popsané intervence operacionalizací vize, popisují způsoby a cesty, jak vizi naplnit.  </w:t>
      </w:r>
    </w:p>
    <w:p w14:paraId="2274946D" w14:textId="77777777" w:rsidR="00AA7E3E" w:rsidRPr="00BA4F8E" w:rsidRDefault="00AA7E3E" w:rsidP="00823F6D">
      <w:pPr>
        <w:spacing w:after="0" w:line="360" w:lineRule="auto"/>
        <w:ind w:firstLine="709"/>
        <w:jc w:val="both"/>
      </w:pPr>
      <w:r w:rsidRPr="00BA4F8E">
        <w:t xml:space="preserve">Dlouhodobá strategická vize se nenaplní sama o sobě. Vize se může naplnit jen společným úsilím klíčových aktérů inovačního systému na národní i na regionální úrovni. Vize je vlajkou sjednocující aktéry s různou mírou vlivu na budoucnost inovačního systému, kteří si jsou vědomi, že úspěch se nemůže dostavit bez jejich osobního a společného úsilí. </w:t>
      </w:r>
    </w:p>
    <w:p w14:paraId="08AFFFEE" w14:textId="77777777" w:rsidR="001D784B" w:rsidRPr="00BA4F8E" w:rsidRDefault="001D784B" w:rsidP="00EF697B">
      <w:pPr>
        <w:spacing w:after="0" w:line="360" w:lineRule="auto"/>
        <w:ind w:firstLine="708"/>
        <w:jc w:val="both"/>
      </w:pPr>
      <w:r w:rsidRPr="00BA4F8E">
        <w:t xml:space="preserve">Dlouhodobá strategická vize </w:t>
      </w:r>
      <w:r w:rsidRPr="00BA4F8E">
        <w:rPr>
          <w:rFonts w:cs="Times New Roman"/>
        </w:rPr>
        <w:t>rozvoje České republiky směrem ke znalostní ekonomice zní</w:t>
      </w:r>
      <w:r w:rsidRPr="00BA4F8E">
        <w:t>:</w:t>
      </w:r>
    </w:p>
    <w:p w14:paraId="088932BB" w14:textId="77777777" w:rsidR="001D784B" w:rsidRPr="00BA4F8E" w:rsidRDefault="001D784B" w:rsidP="001D784B">
      <w:pPr>
        <w:spacing w:line="360" w:lineRule="auto"/>
        <w:ind w:firstLine="283"/>
        <w:jc w:val="both"/>
      </w:pPr>
    </w:p>
    <w:p w14:paraId="62F9F805" w14:textId="77777777" w:rsidR="001D784B" w:rsidRPr="001B5FB7" w:rsidRDefault="001D784B" w:rsidP="001D784B">
      <w:pPr>
        <w:spacing w:line="360" w:lineRule="auto"/>
        <w:ind w:firstLine="283"/>
      </w:pPr>
      <w:r w:rsidRPr="001B5FB7">
        <w:rPr>
          <w:b/>
          <w:bCs/>
        </w:rPr>
        <w:t>ČESKO PODNIKAVÉ, KREATIVNÍ A PŘITAŽLIVÉ PRO TALENTY A PENÍZE</w:t>
      </w:r>
    </w:p>
    <w:p w14:paraId="2AACC3C1" w14:textId="77777777" w:rsidR="001D784B" w:rsidRPr="00BA4F8E" w:rsidRDefault="001D784B" w:rsidP="00D61619">
      <w:pPr>
        <w:ind w:firstLine="712"/>
        <w:jc w:val="both"/>
      </w:pPr>
      <w:r w:rsidRPr="00BA4F8E">
        <w:t xml:space="preserve">Obsah a dílčí části vize jsou vysvětleny a popsány níže, a to včetně způsobu, jímž se bude postup jejího naplňování sledovat a měřit. </w:t>
      </w:r>
    </w:p>
    <w:p w14:paraId="40DE7C82" w14:textId="77777777" w:rsidR="001D784B" w:rsidRPr="00BA4F8E" w:rsidRDefault="001D784B" w:rsidP="00D61619">
      <w:pPr>
        <w:ind w:firstLine="708"/>
        <w:jc w:val="both"/>
        <w:rPr>
          <w:rFonts w:cs="Times New Roman"/>
        </w:rPr>
      </w:pPr>
      <w:r w:rsidRPr="00BA4F8E">
        <w:rPr>
          <w:b/>
        </w:rPr>
        <w:t>Česko podnikavé</w:t>
      </w:r>
      <w:r w:rsidRPr="00BA4F8E">
        <w:t xml:space="preserve"> - základem prosperity ve 21. století je podnikavý člověk, který má aktivní přístup k životu, má touhu ověřit své nápady v konkurenčním prostředí a je kvůli tomu ochotný podstoupit riziko.  Podnikaví lidé uvažují v nadnárodním měřítku, jimi vedené firmy se chtějí prosadit nejen doma, ale i na evropském či globálním trhu. </w:t>
      </w:r>
    </w:p>
    <w:p w14:paraId="325B6650" w14:textId="77777777" w:rsidR="001D784B" w:rsidRPr="00BA4F8E" w:rsidRDefault="001D784B" w:rsidP="00D61619">
      <w:pPr>
        <w:ind w:firstLine="708"/>
        <w:jc w:val="both"/>
        <w:rPr>
          <w:b/>
        </w:rPr>
      </w:pPr>
      <w:r w:rsidRPr="00BA4F8E">
        <w:rPr>
          <w:b/>
        </w:rPr>
        <w:t xml:space="preserve">Jak ověříme naplnění této části vize? </w:t>
      </w:r>
    </w:p>
    <w:p w14:paraId="7770D1CB" w14:textId="77777777" w:rsidR="001D784B" w:rsidRPr="00BA4F8E" w:rsidRDefault="001D784B" w:rsidP="00543C1B">
      <w:pPr>
        <w:pStyle w:val="Odstavecseseznamem"/>
        <w:numPr>
          <w:ilvl w:val="0"/>
          <w:numId w:val="62"/>
        </w:numPr>
        <w:spacing w:after="200" w:line="276" w:lineRule="auto"/>
        <w:jc w:val="both"/>
      </w:pPr>
      <w:r w:rsidRPr="00BA4F8E">
        <w:t xml:space="preserve">ČR bude </w:t>
      </w:r>
      <w:r w:rsidRPr="00BA4F8E">
        <w:rPr>
          <w:rFonts w:cs="Times New Roman"/>
        </w:rPr>
        <w:t xml:space="preserve">zemí s rostoucí </w:t>
      </w:r>
      <w:r w:rsidRPr="00BA4F8E">
        <w:t xml:space="preserve">intenzitou podnikatelské činnosti na 1 000 obyvatel; </w:t>
      </w:r>
    </w:p>
    <w:p w14:paraId="3E2D4491" w14:textId="1F8DB4B8" w:rsidR="001D784B" w:rsidRPr="00BA4F8E" w:rsidRDefault="001D784B" w:rsidP="00543C1B">
      <w:pPr>
        <w:pStyle w:val="Odstavecseseznamem"/>
        <w:numPr>
          <w:ilvl w:val="0"/>
          <w:numId w:val="62"/>
        </w:numPr>
        <w:spacing w:after="200" w:line="276" w:lineRule="auto"/>
        <w:jc w:val="both"/>
      </w:pPr>
      <w:r w:rsidRPr="00BA4F8E">
        <w:t xml:space="preserve">ČR bude </w:t>
      </w:r>
      <w:r w:rsidRPr="00BA4F8E">
        <w:rPr>
          <w:rFonts w:cs="Times New Roman"/>
        </w:rPr>
        <w:t xml:space="preserve">zemí s rostoucím </w:t>
      </w:r>
      <w:r w:rsidRPr="00BA4F8E">
        <w:t>podíl</w:t>
      </w:r>
      <w:r w:rsidRPr="00BA4F8E">
        <w:rPr>
          <w:rFonts w:cs="Times New Roman"/>
        </w:rPr>
        <w:t>em</w:t>
      </w:r>
      <w:r w:rsidR="004E1665">
        <w:t xml:space="preserve"> mladých lidí do 39</w:t>
      </w:r>
      <w:r w:rsidRPr="00BA4F8E">
        <w:rPr>
          <w:rFonts w:cs="Times New Roman"/>
        </w:rPr>
        <w:t xml:space="preserve"> </w:t>
      </w:r>
      <w:r w:rsidRPr="00BA4F8E">
        <w:t xml:space="preserve">let, kteří se živí podnikáním; </w:t>
      </w:r>
    </w:p>
    <w:p w14:paraId="69AC5733" w14:textId="5F32913C" w:rsidR="001D784B" w:rsidRPr="00BA4F8E" w:rsidRDefault="001D784B" w:rsidP="00543C1B">
      <w:pPr>
        <w:pStyle w:val="Odstavecseseznamem"/>
        <w:numPr>
          <w:ilvl w:val="0"/>
          <w:numId w:val="62"/>
        </w:numPr>
        <w:spacing w:after="200" w:line="276" w:lineRule="auto"/>
        <w:jc w:val="both"/>
      </w:pPr>
      <w:r w:rsidRPr="00BA4F8E">
        <w:rPr>
          <w:rFonts w:cs="Times New Roman"/>
        </w:rPr>
        <w:t>ČR bude zemí se zlepšujícím se poměrem fir</w:t>
      </w:r>
      <w:r w:rsidR="009D209E">
        <w:rPr>
          <w:rFonts w:cs="Times New Roman"/>
        </w:rPr>
        <w:t>em nově zakládaných a aktivn</w:t>
      </w:r>
      <w:r w:rsidRPr="00BA4F8E">
        <w:rPr>
          <w:rFonts w:cs="Times New Roman"/>
        </w:rPr>
        <w:t xml:space="preserve">ích.  </w:t>
      </w:r>
    </w:p>
    <w:p w14:paraId="139A2848" w14:textId="48AEBFC1" w:rsidR="001D784B" w:rsidRPr="00BA4F8E" w:rsidRDefault="001D784B" w:rsidP="00D61619">
      <w:pPr>
        <w:ind w:firstLine="708"/>
        <w:jc w:val="both"/>
      </w:pPr>
      <w:r w:rsidRPr="00BA4F8E">
        <w:rPr>
          <w:b/>
        </w:rPr>
        <w:t>Česko kreativní</w:t>
      </w:r>
      <w:r w:rsidRPr="00BA4F8E">
        <w:t xml:space="preserve"> – abychom mohli dělat věci jinak, musíme je jinak i vidět; nejlepší cestou ke skvělým nápadům je mít spoustu nápadů; předpokladem originality je kreativní myšlení v kulturních, ekonomických i</w:t>
      </w:r>
      <w:r w:rsidR="00D61619" w:rsidRPr="00BA4F8E">
        <w:t> </w:t>
      </w:r>
      <w:r w:rsidRPr="00BA4F8E">
        <w:t>technologických souvislostech a základním prvkem kreativity je nebát se chyb – to je jen několik postojů charakteristických pro kreativitu. Česká společnost se naučí lépe podněcovat kreativitu a oceňovat i</w:t>
      </w:r>
      <w:r w:rsidR="00D61619" w:rsidRPr="00BA4F8E">
        <w:t> </w:t>
      </w:r>
      <w:r w:rsidRPr="00BA4F8E">
        <w:t xml:space="preserve">odměňovat úspěšné inovace. </w:t>
      </w:r>
    </w:p>
    <w:p w14:paraId="1C080316" w14:textId="77777777" w:rsidR="001D784B" w:rsidRPr="00BA4F8E" w:rsidRDefault="001D784B" w:rsidP="00D61619">
      <w:pPr>
        <w:ind w:left="360" w:firstLine="360"/>
        <w:jc w:val="both"/>
        <w:rPr>
          <w:b/>
        </w:rPr>
      </w:pPr>
      <w:r w:rsidRPr="00BA4F8E">
        <w:rPr>
          <w:b/>
        </w:rPr>
        <w:t>Jak ověříme naplnění této části vize?</w:t>
      </w:r>
    </w:p>
    <w:p w14:paraId="7A6B2DEB" w14:textId="4D1A7D75" w:rsidR="001D784B" w:rsidRPr="00BA4F8E" w:rsidRDefault="001D784B" w:rsidP="00543C1B">
      <w:pPr>
        <w:pStyle w:val="Odstavecseseznamem"/>
        <w:numPr>
          <w:ilvl w:val="0"/>
          <w:numId w:val="63"/>
        </w:numPr>
        <w:spacing w:after="200" w:line="276" w:lineRule="auto"/>
        <w:ind w:left="1080"/>
        <w:jc w:val="both"/>
      </w:pPr>
      <w:r w:rsidRPr="00BA4F8E">
        <w:t>V ČR poroste množství firem podnikajících v kulturních, kreativních a podobných odvětvích (vč.</w:t>
      </w:r>
      <w:r w:rsidR="00CC0A79" w:rsidRPr="00BA4F8E">
        <w:t> </w:t>
      </w:r>
      <w:r w:rsidRPr="00BA4F8E">
        <w:t>průmyslového designu);</w:t>
      </w:r>
    </w:p>
    <w:p w14:paraId="7CCD82C9" w14:textId="77777777" w:rsidR="001D784B" w:rsidRPr="00BA4F8E" w:rsidRDefault="001D784B" w:rsidP="00543C1B">
      <w:pPr>
        <w:pStyle w:val="Odstavecseseznamem"/>
        <w:numPr>
          <w:ilvl w:val="0"/>
          <w:numId w:val="63"/>
        </w:numPr>
        <w:spacing w:after="200" w:line="276" w:lineRule="auto"/>
        <w:ind w:left="1080"/>
        <w:jc w:val="both"/>
      </w:pPr>
      <w:r w:rsidRPr="00BA4F8E">
        <w:t xml:space="preserve">ČR bude mít ze zemí střední a východní Evropy nejvyšší podíl VaVaI aktivit umístěných zde nadnárodními společnostmi; </w:t>
      </w:r>
    </w:p>
    <w:p w14:paraId="731F40F1" w14:textId="77777777" w:rsidR="001D784B" w:rsidRPr="00BA4F8E" w:rsidRDefault="001D784B" w:rsidP="00543C1B">
      <w:pPr>
        <w:pStyle w:val="Odstavecseseznamem"/>
        <w:numPr>
          <w:ilvl w:val="0"/>
          <w:numId w:val="63"/>
        </w:numPr>
        <w:spacing w:after="200" w:line="276" w:lineRule="auto"/>
        <w:ind w:left="1080"/>
        <w:jc w:val="both"/>
      </w:pPr>
      <w:r w:rsidRPr="00BA4F8E">
        <w:t xml:space="preserve">ČR bude </w:t>
      </w:r>
      <w:r w:rsidRPr="00BA4F8E">
        <w:rPr>
          <w:rFonts w:cs="Times New Roman"/>
        </w:rPr>
        <w:t xml:space="preserve">zemí s rostoucím </w:t>
      </w:r>
      <w:r w:rsidRPr="00BA4F8E">
        <w:t>trendem technologické platební bilance – zahraničního obchodu s </w:t>
      </w:r>
      <w:r w:rsidRPr="00BA4F8E">
        <w:rPr>
          <w:rFonts w:cs="Times New Roman"/>
        </w:rPr>
        <w:t xml:space="preserve">vyspělými </w:t>
      </w:r>
      <w:r w:rsidRPr="00BA4F8E">
        <w:t>technologickými službami;</w:t>
      </w:r>
    </w:p>
    <w:p w14:paraId="110B5B5C" w14:textId="77777777" w:rsidR="001D784B" w:rsidRPr="00BA4F8E" w:rsidRDefault="001D784B" w:rsidP="00D61619">
      <w:pPr>
        <w:ind w:firstLine="708"/>
        <w:jc w:val="both"/>
      </w:pPr>
      <w:r w:rsidRPr="00BA4F8E">
        <w:rPr>
          <w:b/>
        </w:rPr>
        <w:lastRenderedPageBreak/>
        <w:t>Česko přitažlivé pro talenty</w:t>
      </w:r>
      <w:r w:rsidRPr="00BA4F8E">
        <w:t xml:space="preserve"> – talentovaný člověk je kreativní a podnikavý a má rád prostředí, kde může své nápady a aktivitu uplatnit. Podnikavá a kreativní Česká republika mu takové prostředí nabídne</w:t>
      </w:r>
      <w:r w:rsidRPr="00BA4F8E">
        <w:rPr>
          <w:rFonts w:cs="Times New Roman"/>
        </w:rPr>
        <w:t xml:space="preserve"> - </w:t>
      </w:r>
      <w:r w:rsidRPr="00BA4F8E">
        <w:t xml:space="preserve">připraví podmínky pro jeho rozvoj v „kreativním ekosystému“. </w:t>
      </w:r>
    </w:p>
    <w:p w14:paraId="7BBC8AFF" w14:textId="77777777" w:rsidR="001D784B" w:rsidRPr="00BA4F8E" w:rsidRDefault="001D784B" w:rsidP="00D61619">
      <w:pPr>
        <w:ind w:left="708"/>
        <w:jc w:val="both"/>
        <w:rPr>
          <w:b/>
        </w:rPr>
      </w:pPr>
      <w:r w:rsidRPr="00BA4F8E">
        <w:rPr>
          <w:b/>
        </w:rPr>
        <w:t>Jak ověříme naplnění této části vize?</w:t>
      </w:r>
    </w:p>
    <w:p w14:paraId="0B2D49C8" w14:textId="77777777" w:rsidR="001D784B" w:rsidRPr="00BA4F8E" w:rsidRDefault="001D784B" w:rsidP="00543C1B">
      <w:pPr>
        <w:pStyle w:val="Odstavecseseznamem"/>
        <w:numPr>
          <w:ilvl w:val="0"/>
          <w:numId w:val="64"/>
        </w:numPr>
        <w:spacing w:after="200" w:line="276" w:lineRule="auto"/>
        <w:ind w:left="1428"/>
        <w:jc w:val="both"/>
      </w:pPr>
      <w:r w:rsidRPr="00BA4F8E">
        <w:t xml:space="preserve">Česká republika vytvoří a rozvine funkční systémy ke včasné identifikaci přirozeného nadání lidí a k jejich využití pro kariérové poradenství s dopadem na lepší volbu profese mladých lidí a vyšší efektivitu výdajů na vzdělání; </w:t>
      </w:r>
    </w:p>
    <w:p w14:paraId="63743BEB" w14:textId="77777777" w:rsidR="001D784B" w:rsidRPr="00BA4F8E" w:rsidRDefault="001D784B" w:rsidP="00543C1B">
      <w:pPr>
        <w:pStyle w:val="Odstavecseseznamem"/>
        <w:numPr>
          <w:ilvl w:val="0"/>
          <w:numId w:val="64"/>
        </w:numPr>
        <w:spacing w:after="200" w:line="276" w:lineRule="auto"/>
        <w:ind w:left="1428"/>
        <w:jc w:val="both"/>
      </w:pPr>
      <w:r w:rsidRPr="00BA4F8E">
        <w:t xml:space="preserve">ČR vytvoří a rozvine funkční programy k rozvoji mimořádných talentů a kreativity lidí </w:t>
      </w:r>
      <w:r w:rsidRPr="00BA4F8E">
        <w:rPr>
          <w:rFonts w:cs="Times New Roman"/>
        </w:rPr>
        <w:t xml:space="preserve">nadaných a zapálených </w:t>
      </w:r>
      <w:r w:rsidRPr="00BA4F8E">
        <w:t>pro podnikání, technické obory, vědu a výzkum s dopadem na zvýšení jejich počtu i zlepšení jejich kompetencí při vstupu do inovačního systému;</w:t>
      </w:r>
    </w:p>
    <w:p w14:paraId="7D2BA466" w14:textId="77777777" w:rsidR="001D784B" w:rsidRPr="00BA4F8E" w:rsidRDefault="001D784B" w:rsidP="00543C1B">
      <w:pPr>
        <w:pStyle w:val="Odstavecseseznamem"/>
        <w:numPr>
          <w:ilvl w:val="0"/>
          <w:numId w:val="64"/>
        </w:numPr>
        <w:spacing w:after="200" w:line="276" w:lineRule="auto"/>
        <w:ind w:left="1428"/>
        <w:jc w:val="both"/>
      </w:pPr>
      <w:r w:rsidRPr="00BA4F8E">
        <w:t xml:space="preserve">ČR </w:t>
      </w:r>
      <w:r w:rsidRPr="00BA4F8E">
        <w:rPr>
          <w:rFonts w:cs="Times New Roman"/>
        </w:rPr>
        <w:t>vytvoří a nabídne</w:t>
      </w:r>
      <w:r w:rsidRPr="00BA4F8E">
        <w:t xml:space="preserve"> příznivé pracovní prostředí, tj. kreativní ekosystém pro podnikání (na všech úrovních)</w:t>
      </w:r>
      <w:r w:rsidRPr="00BA4F8E">
        <w:rPr>
          <w:rFonts w:cs="Times New Roman"/>
        </w:rPr>
        <w:t>;</w:t>
      </w:r>
    </w:p>
    <w:p w14:paraId="0E4ECAD4" w14:textId="77777777" w:rsidR="001D784B" w:rsidRPr="00BA4F8E" w:rsidRDefault="001D784B" w:rsidP="00543C1B">
      <w:pPr>
        <w:pStyle w:val="Odstavecseseznamem"/>
        <w:numPr>
          <w:ilvl w:val="0"/>
          <w:numId w:val="64"/>
        </w:numPr>
        <w:spacing w:after="200" w:line="276" w:lineRule="auto"/>
        <w:ind w:left="1428"/>
        <w:jc w:val="both"/>
      </w:pPr>
      <w:r w:rsidRPr="00BA4F8E">
        <w:t>ČR bude mít pozitivní „bilanci talentů“ – BRAIN GAIN</w:t>
      </w:r>
      <w:r w:rsidRPr="00BA4F8E">
        <w:rPr>
          <w:rFonts w:cs="Times New Roman"/>
        </w:rPr>
        <w:t xml:space="preserve">. </w:t>
      </w:r>
    </w:p>
    <w:p w14:paraId="7FC7DE89" w14:textId="3CE9DEFA" w:rsidR="001D784B" w:rsidRPr="00BA4F8E" w:rsidRDefault="001D784B" w:rsidP="00D61619">
      <w:pPr>
        <w:ind w:firstLine="708"/>
        <w:jc w:val="both"/>
      </w:pPr>
      <w:r w:rsidRPr="00BA4F8E">
        <w:rPr>
          <w:b/>
        </w:rPr>
        <w:t>Česko přitažlivé pro peníze</w:t>
      </w:r>
      <w:r w:rsidRPr="00BA4F8E">
        <w:t xml:space="preserve"> – prostředí, které podněcuje kreativitu (vymýšlení nových věcí), oceňuje inovace (dělání nových věcí, dělání věcí novým způsobem) a podporuje podnikavost a</w:t>
      </w:r>
      <w:r w:rsidR="00D877A0" w:rsidRPr="00BA4F8E">
        <w:t> </w:t>
      </w:r>
      <w:r w:rsidRPr="00BA4F8E">
        <w:t xml:space="preserve">podnikání (přijímání rizik tržní soutěže) je současně atraktivní pro investory, a to jak domácí tak zahraniční. </w:t>
      </w:r>
    </w:p>
    <w:p w14:paraId="31B11E76" w14:textId="77777777" w:rsidR="001D784B" w:rsidRPr="00BA4F8E" w:rsidRDefault="001D784B" w:rsidP="00D61619">
      <w:pPr>
        <w:ind w:left="708"/>
        <w:jc w:val="both"/>
        <w:rPr>
          <w:b/>
        </w:rPr>
      </w:pPr>
      <w:r w:rsidRPr="00BA4F8E">
        <w:rPr>
          <w:b/>
        </w:rPr>
        <w:t>Jak ověříme naplnění této části vize?</w:t>
      </w:r>
    </w:p>
    <w:p w14:paraId="72EA75E6" w14:textId="77777777" w:rsidR="001D784B" w:rsidRPr="00BA4F8E" w:rsidRDefault="001D784B" w:rsidP="00543C1B">
      <w:pPr>
        <w:pStyle w:val="Odstavecseseznamem"/>
        <w:numPr>
          <w:ilvl w:val="0"/>
          <w:numId w:val="65"/>
        </w:numPr>
        <w:spacing w:after="200" w:line="276" w:lineRule="auto"/>
        <w:ind w:left="1428"/>
        <w:jc w:val="both"/>
      </w:pPr>
      <w:r w:rsidRPr="00BA4F8E">
        <w:t xml:space="preserve">ČR bude mezi 10 zeměmi EU, které mají nejvyšší příliv přímých zahraničních investic v poměru k HDP; </w:t>
      </w:r>
    </w:p>
    <w:p w14:paraId="27B9DB03" w14:textId="26F29BA3" w:rsidR="001D784B" w:rsidRPr="00BA4F8E" w:rsidRDefault="001D784B" w:rsidP="00543C1B">
      <w:pPr>
        <w:pStyle w:val="Odstavecseseznamem"/>
        <w:numPr>
          <w:ilvl w:val="0"/>
          <w:numId w:val="65"/>
        </w:numPr>
        <w:spacing w:after="200" w:line="276" w:lineRule="auto"/>
        <w:ind w:left="1428"/>
        <w:jc w:val="both"/>
      </w:pPr>
      <w:r w:rsidRPr="00BA4F8E">
        <w:t>ČR bude mezi 10 zeměmi EU s největším objemem soukromých výdajů na vědu a</w:t>
      </w:r>
      <w:r w:rsidR="00004C01" w:rsidRPr="00BA4F8E">
        <w:t> </w:t>
      </w:r>
      <w:r w:rsidRPr="00BA4F8E">
        <w:t xml:space="preserve">výzkum na HDP; </w:t>
      </w:r>
    </w:p>
    <w:p w14:paraId="2013CFA5" w14:textId="77777777" w:rsidR="001D784B" w:rsidRPr="00BA4F8E" w:rsidRDefault="001D784B" w:rsidP="00543C1B">
      <w:pPr>
        <w:pStyle w:val="Odstavecseseznamem"/>
        <w:numPr>
          <w:ilvl w:val="0"/>
          <w:numId w:val="65"/>
        </w:numPr>
        <w:spacing w:after="200" w:line="276" w:lineRule="auto"/>
        <w:ind w:left="1428"/>
        <w:jc w:val="both"/>
      </w:pPr>
      <w:r w:rsidRPr="00BA4F8E">
        <w:t>Česká republika bude mezi zeměmi EU s rostoucím objemem alokovaného privátního rizikového kapitálu ve firmách vzniklých na jeho území.</w:t>
      </w:r>
    </w:p>
    <w:p w14:paraId="3311A058" w14:textId="77777777" w:rsidR="001D784B" w:rsidRPr="00BA4F8E" w:rsidRDefault="001D784B" w:rsidP="00D61619">
      <w:pPr>
        <w:keepNext/>
        <w:jc w:val="both"/>
        <w:rPr>
          <w:b/>
        </w:rPr>
      </w:pPr>
      <w:r w:rsidRPr="00BA4F8E">
        <w:rPr>
          <w:b/>
        </w:rPr>
        <w:t>Ověřování a měření vize.</w:t>
      </w:r>
    </w:p>
    <w:p w14:paraId="46411AAC" w14:textId="49492E56" w:rsidR="009E604A" w:rsidRDefault="001D784B" w:rsidP="00D61619">
      <w:pPr>
        <w:ind w:firstLine="708"/>
        <w:jc w:val="both"/>
      </w:pPr>
      <w:r w:rsidRPr="00BA4F8E">
        <w:t>Následující tabulka ukazuje přehledně výchozí a průběžné hodnoty indikátorů, které budou používány pro měření, zdali se České republice daří naplňovat vizi a postupovat směrem, jímž vize ukazuje. Pro hodnocení, zdali se vize daří nebo nedaří dosahovat, jsou důležité také trendy vývoje, nejen jednorázově změřené hodnoty v daném roce. Pro další srovnání a hodnocení vývoje jsou v kap</w:t>
      </w:r>
      <w:r w:rsidRPr="00DD3634">
        <w:t>.</w:t>
      </w:r>
      <w:r w:rsidR="00920BBE" w:rsidRPr="00DD3634">
        <w:t> </w:t>
      </w:r>
      <w:r w:rsidR="00920BBE" w:rsidRPr="00DD3634">
        <w:fldChar w:fldCharType="begin"/>
      </w:r>
      <w:r w:rsidR="00920BBE" w:rsidRPr="00DD3634">
        <w:instrText xml:space="preserve"> REF _Ref521331576 \r \h  \* MERGEFORMAT </w:instrText>
      </w:r>
      <w:r w:rsidR="00920BBE" w:rsidRPr="00DD3634">
        <w:fldChar w:fldCharType="separate"/>
      </w:r>
      <w:r w:rsidR="00DE40D4">
        <w:t>9.1</w:t>
      </w:r>
      <w:r w:rsidR="00920BBE" w:rsidRPr="00DD3634">
        <w:fldChar w:fldCharType="end"/>
      </w:r>
      <w:r w:rsidRPr="00DD3634">
        <w:t xml:space="preserve"> (</w:t>
      </w:r>
      <w:r w:rsidR="00920BBE" w:rsidRPr="00EB23B2">
        <w:fldChar w:fldCharType="begin"/>
      </w:r>
      <w:r w:rsidR="00920BBE" w:rsidRPr="00EB23B2">
        <w:instrText xml:space="preserve"> REF _Ref521331549 \h  \* MERGEFORMAT </w:instrText>
      </w:r>
      <w:r w:rsidR="00920BBE" w:rsidRPr="00EB23B2">
        <w:fldChar w:fldCharType="separate"/>
      </w:r>
      <w:r w:rsidR="00DE40D4" w:rsidRPr="00EF4A38">
        <w:t>Trendy vývoje výchozích</w:t>
      </w:r>
      <w:r w:rsidR="00DE40D4">
        <w:t xml:space="preserve"> a průběžných</w:t>
      </w:r>
      <w:r w:rsidR="00DE40D4" w:rsidRPr="00EF4A38">
        <w:t xml:space="preserve"> hodnot pro měření vize</w:t>
      </w:r>
      <w:r w:rsidR="00920BBE" w:rsidRPr="00EB23B2">
        <w:fldChar w:fldCharType="end"/>
      </w:r>
      <w:r w:rsidRPr="00EB23B2">
        <w:t xml:space="preserve">) </w:t>
      </w:r>
      <w:r w:rsidRPr="00BA4F8E">
        <w:t xml:space="preserve">uvedeny časové řady či podrobnější (strukturální) údaje pro níže použité ukazatele. </w:t>
      </w:r>
    </w:p>
    <w:p w14:paraId="17837B2D" w14:textId="77777777" w:rsidR="009E604A" w:rsidRDefault="009E604A">
      <w:pPr>
        <w:spacing w:after="200" w:line="276" w:lineRule="auto"/>
      </w:pPr>
      <w:r>
        <w:br w:type="page"/>
      </w:r>
    </w:p>
    <w:p w14:paraId="4AA915FF" w14:textId="03688350" w:rsidR="001D784B" w:rsidRPr="00BA4F8E" w:rsidRDefault="0038245E" w:rsidP="00580DE3">
      <w:pPr>
        <w:pStyle w:val="Titulek"/>
      </w:pPr>
      <w:bookmarkStart w:id="108" w:name="_Toc524677670"/>
      <w:r>
        <w:lastRenderedPageBreak/>
        <w:t>Tabul</w:t>
      </w:r>
      <w:r w:rsidRPr="001870BC">
        <w:t xml:space="preserve">ka </w:t>
      </w:r>
      <w:r w:rsidR="00B034E9">
        <w:rPr>
          <w:noProof/>
        </w:rPr>
        <w:fldChar w:fldCharType="begin"/>
      </w:r>
      <w:r w:rsidR="00B034E9">
        <w:rPr>
          <w:noProof/>
        </w:rPr>
        <w:instrText xml:space="preserve"> SEQ Tabulka \* ARABIC </w:instrText>
      </w:r>
      <w:r w:rsidR="00B034E9">
        <w:rPr>
          <w:noProof/>
        </w:rPr>
        <w:fldChar w:fldCharType="separate"/>
      </w:r>
      <w:r w:rsidR="00DE40D4">
        <w:rPr>
          <w:noProof/>
        </w:rPr>
        <w:t>10</w:t>
      </w:r>
      <w:r w:rsidR="00B034E9">
        <w:rPr>
          <w:noProof/>
        </w:rPr>
        <w:fldChar w:fldCharType="end"/>
      </w:r>
      <w:r w:rsidRPr="001870BC">
        <w:t xml:space="preserve"> - </w:t>
      </w:r>
      <w:r w:rsidR="001D784B" w:rsidRPr="001870BC">
        <w:t xml:space="preserve">Ukazatele pro měření vize a jejích dílčích aspektů  - výchozí </w:t>
      </w:r>
      <w:r w:rsidR="00A508E4" w:rsidRPr="001870BC">
        <w:t xml:space="preserve">a průběžné </w:t>
      </w:r>
      <w:r w:rsidR="001D784B" w:rsidRPr="001870BC">
        <w:t>hodnoty.</w:t>
      </w:r>
      <w:bookmarkEnd w:id="108"/>
      <w:r w:rsidR="001D784B" w:rsidRPr="001870BC">
        <w:t xml:space="preserve"> </w:t>
      </w:r>
    </w:p>
    <w:tbl>
      <w:tblPr>
        <w:tblW w:w="5000" w:type="pct"/>
        <w:jc w:val="center"/>
        <w:tblCellMar>
          <w:left w:w="70" w:type="dxa"/>
          <w:right w:w="70" w:type="dxa"/>
        </w:tblCellMar>
        <w:tblLook w:val="04A0" w:firstRow="1" w:lastRow="0" w:firstColumn="1" w:lastColumn="0" w:noHBand="0" w:noVBand="1"/>
      </w:tblPr>
      <w:tblGrid>
        <w:gridCol w:w="6315"/>
        <w:gridCol w:w="1773"/>
        <w:gridCol w:w="89"/>
        <w:gridCol w:w="885"/>
      </w:tblGrid>
      <w:tr w:rsidR="001D784B" w:rsidRPr="00BA4F8E" w14:paraId="2D827BB0"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53BDA57D" w14:textId="77777777" w:rsidR="001D784B" w:rsidRPr="00BA4F8E" w:rsidRDefault="001D784B">
            <w:pPr>
              <w:spacing w:after="0" w:line="240" w:lineRule="auto"/>
              <w:rPr>
                <w:rFonts w:eastAsia="Times New Roman" w:cs="Times New Roman"/>
                <w:b/>
                <w:bCs/>
                <w:i/>
                <w:lang w:eastAsia="cs-CZ"/>
              </w:rPr>
            </w:pPr>
            <w:r w:rsidRPr="00970A75">
              <w:rPr>
                <w:rFonts w:eastAsia="Times New Roman" w:cs="Times New Roman"/>
                <w:b/>
                <w:bCs/>
                <w:i/>
                <w:color w:val="FFFFFF" w:themeColor="background1"/>
                <w:lang w:eastAsia="cs-CZ"/>
              </w:rPr>
              <w:t>Charakteristika ověření vize</w:t>
            </w:r>
          </w:p>
        </w:tc>
      </w:tr>
      <w:tr w:rsidR="001D784B" w:rsidRPr="00BA4F8E" w14:paraId="0853AE44" w14:textId="77777777" w:rsidTr="00B74B5A">
        <w:trPr>
          <w:trHeight w:val="308"/>
          <w:jc w:val="center"/>
        </w:trPr>
        <w:tc>
          <w:tcPr>
            <w:tcW w:w="3664" w:type="pct"/>
            <w:vMerge w:val="restart"/>
            <w:tcBorders>
              <w:top w:val="single" w:sz="4" w:space="0" w:color="auto"/>
              <w:left w:val="single" w:sz="4" w:space="0" w:color="auto"/>
              <w:bottom w:val="nil"/>
              <w:right w:val="single" w:sz="4" w:space="0" w:color="auto"/>
            </w:tcBorders>
            <w:vAlign w:val="center"/>
            <w:hideMark/>
          </w:tcPr>
          <w:p w14:paraId="01CFC929" w14:textId="77777777" w:rsidR="001D784B" w:rsidRPr="00BA4F8E" w:rsidRDefault="001D784B">
            <w:pPr>
              <w:spacing w:after="0" w:line="240" w:lineRule="auto"/>
              <w:rPr>
                <w:rFonts w:eastAsia="Times New Roman" w:cs="Times New Roman"/>
                <w:i/>
                <w:lang w:eastAsia="cs-CZ"/>
              </w:rPr>
            </w:pPr>
            <w:r w:rsidRPr="00BA4F8E">
              <w:rPr>
                <w:rFonts w:eastAsia="Times New Roman" w:cs="Times New Roman"/>
                <w:i/>
                <w:lang w:eastAsia="cs-CZ"/>
              </w:rPr>
              <w:t>Indikátor použitý pro ověření*</w:t>
            </w:r>
          </w:p>
        </w:tc>
        <w:tc>
          <w:tcPr>
            <w:tcW w:w="1336" w:type="pct"/>
            <w:gridSpan w:val="3"/>
            <w:tcBorders>
              <w:top w:val="single" w:sz="4" w:space="0" w:color="auto"/>
              <w:left w:val="single" w:sz="4" w:space="0" w:color="auto"/>
              <w:bottom w:val="nil"/>
              <w:right w:val="single" w:sz="4" w:space="0" w:color="auto"/>
            </w:tcBorders>
            <w:vAlign w:val="bottom"/>
            <w:hideMark/>
          </w:tcPr>
          <w:p w14:paraId="1B64E28B" w14:textId="77777777" w:rsidR="001D784B" w:rsidRPr="00BA4F8E" w:rsidRDefault="001D784B">
            <w:pPr>
              <w:spacing w:after="0" w:line="240" w:lineRule="auto"/>
              <w:rPr>
                <w:rFonts w:eastAsia="Times New Roman" w:cs="Times New Roman"/>
                <w:bCs/>
                <w:i/>
                <w:lang w:eastAsia="cs-CZ"/>
              </w:rPr>
            </w:pPr>
            <w:r w:rsidRPr="00BA4F8E">
              <w:rPr>
                <w:rFonts w:eastAsia="Times New Roman" w:cs="Times New Roman"/>
                <w:bCs/>
                <w:i/>
                <w:lang w:eastAsia="cs-CZ"/>
              </w:rPr>
              <w:t>Rok</w:t>
            </w:r>
          </w:p>
        </w:tc>
      </w:tr>
      <w:tr w:rsidR="001D784B" w:rsidRPr="00BA4F8E" w14:paraId="5DE94B26" w14:textId="77777777" w:rsidTr="00B74B5A">
        <w:trPr>
          <w:trHeight w:val="307"/>
          <w:jc w:val="center"/>
        </w:trPr>
        <w:tc>
          <w:tcPr>
            <w:tcW w:w="0" w:type="auto"/>
            <w:vMerge/>
            <w:tcBorders>
              <w:top w:val="single" w:sz="4" w:space="0" w:color="auto"/>
              <w:left w:val="single" w:sz="4" w:space="0" w:color="auto"/>
              <w:bottom w:val="nil"/>
              <w:right w:val="single" w:sz="4" w:space="0" w:color="auto"/>
            </w:tcBorders>
            <w:vAlign w:val="center"/>
            <w:hideMark/>
          </w:tcPr>
          <w:p w14:paraId="0D5120ED" w14:textId="77777777" w:rsidR="001D784B" w:rsidRPr="00BA4F8E" w:rsidRDefault="001D784B">
            <w:pPr>
              <w:spacing w:after="0" w:line="256" w:lineRule="auto"/>
              <w:rPr>
                <w:rFonts w:eastAsia="Times New Roman" w:cs="Times New Roman"/>
                <w:i/>
                <w:lang w:eastAsia="cs-CZ"/>
              </w:rPr>
            </w:pPr>
          </w:p>
        </w:tc>
        <w:tc>
          <w:tcPr>
            <w:tcW w:w="1336" w:type="pct"/>
            <w:gridSpan w:val="3"/>
            <w:tcBorders>
              <w:top w:val="single" w:sz="4" w:space="0" w:color="auto"/>
              <w:left w:val="single" w:sz="4" w:space="0" w:color="auto"/>
              <w:bottom w:val="nil"/>
              <w:right w:val="single" w:sz="4" w:space="0" w:color="auto"/>
            </w:tcBorders>
            <w:vAlign w:val="bottom"/>
            <w:hideMark/>
          </w:tcPr>
          <w:p w14:paraId="7C68DCBD" w14:textId="77777777" w:rsidR="001D784B" w:rsidRPr="00BA4F8E" w:rsidRDefault="001D784B">
            <w:pPr>
              <w:spacing w:after="0" w:line="240" w:lineRule="auto"/>
              <w:rPr>
                <w:rFonts w:eastAsia="Times New Roman" w:cs="Times New Roman"/>
                <w:bCs/>
                <w:i/>
                <w:lang w:eastAsia="cs-CZ"/>
              </w:rPr>
            </w:pPr>
            <w:r w:rsidRPr="00BA4F8E">
              <w:rPr>
                <w:rFonts w:eastAsia="Times New Roman" w:cs="Times New Roman"/>
                <w:bCs/>
                <w:i/>
                <w:lang w:eastAsia="cs-CZ"/>
              </w:rPr>
              <w:t>hodnota</w:t>
            </w:r>
          </w:p>
        </w:tc>
      </w:tr>
      <w:tr w:rsidR="001D784B" w:rsidRPr="00BA4F8E" w14:paraId="2261C756"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59F4E0D2" w14:textId="77777777" w:rsidR="001D784B" w:rsidRPr="00BA4F8E" w:rsidRDefault="001D784B">
            <w:pPr>
              <w:spacing w:after="0" w:line="240" w:lineRule="auto"/>
              <w:rPr>
                <w:rFonts w:eastAsia="Times New Roman" w:cs="Times New Roman"/>
                <w:b/>
                <w:bCs/>
                <w:lang w:eastAsia="cs-CZ"/>
              </w:rPr>
            </w:pPr>
            <w:r w:rsidRPr="00970A75">
              <w:rPr>
                <w:rFonts w:eastAsia="Times New Roman" w:cs="Times New Roman"/>
                <w:b/>
                <w:bCs/>
                <w:color w:val="FFFFFF" w:themeColor="background1"/>
                <w:lang w:eastAsia="cs-CZ"/>
              </w:rPr>
              <w:t>ČR bude zemí s rostoucí intenzitou podnikatelské činnosti na 1000 obyvatel</w:t>
            </w:r>
          </w:p>
        </w:tc>
      </w:tr>
      <w:tr w:rsidR="001D784B" w:rsidRPr="00BA4F8E" w14:paraId="41301811" w14:textId="77777777" w:rsidTr="00B74B5A">
        <w:trPr>
          <w:trHeight w:val="300"/>
          <w:jc w:val="center"/>
        </w:trPr>
        <w:tc>
          <w:tcPr>
            <w:tcW w:w="3664" w:type="pct"/>
            <w:vMerge w:val="restart"/>
            <w:tcBorders>
              <w:top w:val="nil"/>
              <w:left w:val="single" w:sz="4" w:space="0" w:color="auto"/>
              <w:bottom w:val="single" w:sz="4" w:space="0" w:color="auto"/>
              <w:right w:val="single" w:sz="4" w:space="0" w:color="auto"/>
            </w:tcBorders>
            <w:vAlign w:val="center"/>
            <w:hideMark/>
          </w:tcPr>
          <w:p w14:paraId="1C28E910"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Počet nově vzniklých firem na 1 000 obyvatel</w:t>
            </w:r>
          </w:p>
        </w:tc>
        <w:tc>
          <w:tcPr>
            <w:tcW w:w="636" w:type="pct"/>
            <w:tcBorders>
              <w:top w:val="nil"/>
              <w:left w:val="nil"/>
              <w:bottom w:val="single" w:sz="4" w:space="0" w:color="auto"/>
              <w:right w:val="single" w:sz="4" w:space="0" w:color="auto"/>
            </w:tcBorders>
            <w:noWrap/>
            <w:vAlign w:val="bottom"/>
            <w:hideMark/>
          </w:tcPr>
          <w:p w14:paraId="6881D4D7"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2013</w:t>
            </w:r>
          </w:p>
        </w:tc>
        <w:tc>
          <w:tcPr>
            <w:tcW w:w="700" w:type="pct"/>
            <w:gridSpan w:val="2"/>
            <w:tcBorders>
              <w:top w:val="nil"/>
              <w:left w:val="nil"/>
              <w:bottom w:val="single" w:sz="4" w:space="0" w:color="auto"/>
              <w:right w:val="single" w:sz="4" w:space="0" w:color="auto"/>
            </w:tcBorders>
            <w:vAlign w:val="bottom"/>
            <w:hideMark/>
          </w:tcPr>
          <w:p w14:paraId="57CF27A0"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2017</w:t>
            </w:r>
          </w:p>
        </w:tc>
      </w:tr>
      <w:tr w:rsidR="001D784B" w:rsidRPr="00BA4F8E" w14:paraId="56F2ABF6" w14:textId="77777777" w:rsidTr="00B74B5A">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6D181013" w14:textId="77777777" w:rsidR="001D784B" w:rsidRPr="00BA4F8E" w:rsidRDefault="001D784B">
            <w:pPr>
              <w:spacing w:after="0" w:line="256" w:lineRule="auto"/>
              <w:rPr>
                <w:rFonts w:eastAsia="Times New Roman" w:cs="Times New Roman"/>
                <w:lang w:eastAsia="cs-CZ"/>
              </w:rPr>
            </w:pPr>
          </w:p>
        </w:tc>
        <w:tc>
          <w:tcPr>
            <w:tcW w:w="636" w:type="pct"/>
            <w:tcBorders>
              <w:top w:val="nil"/>
              <w:left w:val="nil"/>
              <w:bottom w:val="single" w:sz="4" w:space="0" w:color="auto"/>
              <w:right w:val="single" w:sz="4" w:space="0" w:color="auto"/>
            </w:tcBorders>
            <w:noWrap/>
            <w:vAlign w:val="bottom"/>
            <w:hideMark/>
          </w:tcPr>
          <w:p w14:paraId="4F2DA92E"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9,45</w:t>
            </w:r>
          </w:p>
        </w:tc>
        <w:tc>
          <w:tcPr>
            <w:tcW w:w="700" w:type="pct"/>
            <w:gridSpan w:val="2"/>
            <w:tcBorders>
              <w:top w:val="nil"/>
              <w:left w:val="nil"/>
              <w:bottom w:val="single" w:sz="4" w:space="0" w:color="auto"/>
              <w:right w:val="single" w:sz="4" w:space="0" w:color="auto"/>
            </w:tcBorders>
            <w:vAlign w:val="bottom"/>
            <w:hideMark/>
          </w:tcPr>
          <w:p w14:paraId="25C0225A"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9,60</w:t>
            </w:r>
          </w:p>
        </w:tc>
      </w:tr>
      <w:tr w:rsidR="001D784B" w:rsidRPr="00BA4F8E" w14:paraId="6326121C"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36BBF155" w14:textId="77777777" w:rsidR="001D784B" w:rsidRPr="00BA4F8E" w:rsidRDefault="001D784B">
            <w:pPr>
              <w:spacing w:after="0" w:line="240" w:lineRule="auto"/>
              <w:rPr>
                <w:rFonts w:eastAsia="Times New Roman" w:cs="Times New Roman"/>
                <w:b/>
                <w:bCs/>
                <w:lang w:eastAsia="cs-CZ"/>
              </w:rPr>
            </w:pPr>
            <w:r w:rsidRPr="00BA4F8E">
              <w:rPr>
                <w:rFonts w:eastAsia="Times New Roman" w:cs="Times New Roman"/>
                <w:b/>
                <w:bCs/>
                <w:lang w:eastAsia="cs-CZ"/>
              </w:rPr>
              <w:t>ČR bude zemí s rostoucím podílem mladých lidí do 39 let, kteří se živí podnikáním</w:t>
            </w:r>
          </w:p>
        </w:tc>
      </w:tr>
      <w:tr w:rsidR="001D784B" w:rsidRPr="00BA4F8E" w14:paraId="6830CC33" w14:textId="77777777" w:rsidTr="00B74B5A">
        <w:trPr>
          <w:trHeight w:val="300"/>
          <w:jc w:val="center"/>
        </w:trPr>
        <w:tc>
          <w:tcPr>
            <w:tcW w:w="3664" w:type="pct"/>
            <w:vMerge w:val="restart"/>
            <w:tcBorders>
              <w:top w:val="nil"/>
              <w:left w:val="single" w:sz="4" w:space="0" w:color="auto"/>
              <w:bottom w:val="single" w:sz="4" w:space="0" w:color="auto"/>
              <w:right w:val="single" w:sz="4" w:space="0" w:color="auto"/>
            </w:tcBorders>
            <w:vAlign w:val="center"/>
            <w:hideMark/>
          </w:tcPr>
          <w:p w14:paraId="469199E8"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Podíl podnikajících do 39 let</w:t>
            </w:r>
          </w:p>
        </w:tc>
        <w:tc>
          <w:tcPr>
            <w:tcW w:w="636" w:type="pct"/>
            <w:tcBorders>
              <w:top w:val="nil"/>
              <w:left w:val="nil"/>
              <w:bottom w:val="single" w:sz="4" w:space="0" w:color="auto"/>
              <w:right w:val="single" w:sz="4" w:space="0" w:color="auto"/>
            </w:tcBorders>
            <w:noWrap/>
            <w:vAlign w:val="bottom"/>
            <w:hideMark/>
          </w:tcPr>
          <w:p w14:paraId="5ACA3C09"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2013</w:t>
            </w:r>
          </w:p>
        </w:tc>
        <w:tc>
          <w:tcPr>
            <w:tcW w:w="700" w:type="pct"/>
            <w:gridSpan w:val="2"/>
            <w:tcBorders>
              <w:top w:val="nil"/>
              <w:left w:val="nil"/>
              <w:bottom w:val="single" w:sz="4" w:space="0" w:color="auto"/>
              <w:right w:val="single" w:sz="4" w:space="0" w:color="auto"/>
            </w:tcBorders>
            <w:vAlign w:val="bottom"/>
            <w:hideMark/>
          </w:tcPr>
          <w:p w14:paraId="1B6E0E8C"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2017</w:t>
            </w:r>
          </w:p>
        </w:tc>
      </w:tr>
      <w:tr w:rsidR="001D784B" w:rsidRPr="00BA4F8E" w14:paraId="4CDB88A7" w14:textId="77777777" w:rsidTr="00B74B5A">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3316BB56" w14:textId="77777777" w:rsidR="001D784B" w:rsidRPr="00BA4F8E" w:rsidRDefault="001D784B">
            <w:pPr>
              <w:spacing w:after="0" w:line="256" w:lineRule="auto"/>
              <w:rPr>
                <w:rFonts w:eastAsia="Times New Roman" w:cs="Times New Roman"/>
                <w:lang w:eastAsia="cs-CZ"/>
              </w:rPr>
            </w:pPr>
          </w:p>
        </w:tc>
        <w:tc>
          <w:tcPr>
            <w:tcW w:w="636" w:type="pct"/>
            <w:tcBorders>
              <w:top w:val="nil"/>
              <w:left w:val="nil"/>
              <w:bottom w:val="single" w:sz="4" w:space="0" w:color="auto"/>
              <w:right w:val="single" w:sz="4" w:space="0" w:color="auto"/>
            </w:tcBorders>
            <w:noWrap/>
            <w:vAlign w:val="bottom"/>
            <w:hideMark/>
          </w:tcPr>
          <w:p w14:paraId="0A1DA0EC"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12,5 %</w:t>
            </w:r>
          </w:p>
        </w:tc>
        <w:tc>
          <w:tcPr>
            <w:tcW w:w="700" w:type="pct"/>
            <w:gridSpan w:val="2"/>
            <w:tcBorders>
              <w:top w:val="nil"/>
              <w:left w:val="nil"/>
              <w:bottom w:val="single" w:sz="4" w:space="0" w:color="auto"/>
              <w:right w:val="single" w:sz="4" w:space="0" w:color="auto"/>
            </w:tcBorders>
            <w:vAlign w:val="bottom"/>
            <w:hideMark/>
          </w:tcPr>
          <w:p w14:paraId="2DB32692"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12,4 %</w:t>
            </w:r>
          </w:p>
        </w:tc>
      </w:tr>
      <w:tr w:rsidR="001D784B" w:rsidRPr="00BA4F8E" w14:paraId="7C4CE4DC"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1D1651CD" w14:textId="72B69346" w:rsidR="001D784B" w:rsidRPr="00BA4F8E" w:rsidRDefault="001D784B">
            <w:pPr>
              <w:spacing w:after="0" w:line="240" w:lineRule="auto"/>
              <w:rPr>
                <w:rFonts w:eastAsia="Times New Roman" w:cs="Times New Roman"/>
                <w:b/>
                <w:bCs/>
                <w:lang w:eastAsia="cs-CZ"/>
              </w:rPr>
            </w:pPr>
            <w:r w:rsidRPr="00BA4F8E">
              <w:rPr>
                <w:rFonts w:eastAsia="Times New Roman" w:cs="Times New Roman"/>
                <w:b/>
                <w:bCs/>
                <w:lang w:eastAsia="cs-CZ"/>
              </w:rPr>
              <w:t>ČR bude zemí se zlepšujícím se poměrem fir</w:t>
            </w:r>
            <w:r w:rsidR="009D209E">
              <w:rPr>
                <w:rFonts w:eastAsia="Times New Roman" w:cs="Times New Roman"/>
                <w:b/>
                <w:bCs/>
                <w:lang w:eastAsia="cs-CZ"/>
              </w:rPr>
              <w:t>em nově zakládaných a aktivn</w:t>
            </w:r>
            <w:r w:rsidRPr="00BA4F8E">
              <w:rPr>
                <w:rFonts w:eastAsia="Times New Roman" w:cs="Times New Roman"/>
                <w:b/>
                <w:bCs/>
                <w:lang w:eastAsia="cs-CZ"/>
              </w:rPr>
              <w:t>ích</w:t>
            </w:r>
          </w:p>
        </w:tc>
      </w:tr>
      <w:tr w:rsidR="001D784B" w:rsidRPr="00BA4F8E" w14:paraId="72675FA5" w14:textId="77777777" w:rsidTr="00B74B5A">
        <w:trPr>
          <w:trHeight w:val="300"/>
          <w:jc w:val="center"/>
        </w:trPr>
        <w:tc>
          <w:tcPr>
            <w:tcW w:w="3664" w:type="pct"/>
            <w:vMerge w:val="restart"/>
            <w:tcBorders>
              <w:top w:val="nil"/>
              <w:left w:val="single" w:sz="4" w:space="0" w:color="auto"/>
              <w:bottom w:val="single" w:sz="4" w:space="0" w:color="auto"/>
              <w:right w:val="single" w:sz="4" w:space="0" w:color="auto"/>
            </w:tcBorders>
            <w:vAlign w:val="center"/>
            <w:hideMark/>
          </w:tcPr>
          <w:p w14:paraId="2CF4BF63"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Nově vzniklé firmy v % všech aktivních ek. subjektů</w:t>
            </w:r>
          </w:p>
        </w:tc>
        <w:tc>
          <w:tcPr>
            <w:tcW w:w="636" w:type="pct"/>
            <w:tcBorders>
              <w:top w:val="nil"/>
              <w:left w:val="nil"/>
              <w:bottom w:val="single" w:sz="4" w:space="0" w:color="auto"/>
              <w:right w:val="single" w:sz="4" w:space="0" w:color="auto"/>
            </w:tcBorders>
            <w:noWrap/>
            <w:vAlign w:val="bottom"/>
            <w:hideMark/>
          </w:tcPr>
          <w:p w14:paraId="445F0F5B"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2013</w:t>
            </w:r>
          </w:p>
        </w:tc>
        <w:tc>
          <w:tcPr>
            <w:tcW w:w="700" w:type="pct"/>
            <w:gridSpan w:val="2"/>
            <w:tcBorders>
              <w:top w:val="nil"/>
              <w:left w:val="nil"/>
              <w:bottom w:val="single" w:sz="4" w:space="0" w:color="auto"/>
              <w:right w:val="single" w:sz="4" w:space="0" w:color="auto"/>
            </w:tcBorders>
            <w:vAlign w:val="bottom"/>
            <w:hideMark/>
          </w:tcPr>
          <w:p w14:paraId="0DDD0076"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2017</w:t>
            </w:r>
          </w:p>
        </w:tc>
      </w:tr>
      <w:tr w:rsidR="001D784B" w:rsidRPr="00BA4F8E" w14:paraId="443BA20B" w14:textId="77777777" w:rsidTr="00B74B5A">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02CD204D" w14:textId="77777777" w:rsidR="001D784B" w:rsidRPr="00BA4F8E" w:rsidRDefault="001D784B">
            <w:pPr>
              <w:spacing w:after="0" w:line="256" w:lineRule="auto"/>
              <w:rPr>
                <w:rFonts w:eastAsia="Times New Roman" w:cs="Times New Roman"/>
                <w:lang w:eastAsia="cs-CZ"/>
              </w:rPr>
            </w:pPr>
          </w:p>
        </w:tc>
        <w:tc>
          <w:tcPr>
            <w:tcW w:w="636" w:type="pct"/>
            <w:tcBorders>
              <w:top w:val="nil"/>
              <w:left w:val="nil"/>
              <w:bottom w:val="single" w:sz="4" w:space="0" w:color="auto"/>
              <w:right w:val="single" w:sz="4" w:space="0" w:color="auto"/>
            </w:tcBorders>
            <w:noWrap/>
            <w:vAlign w:val="bottom"/>
            <w:hideMark/>
          </w:tcPr>
          <w:p w14:paraId="125CD80F"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6,7 %</w:t>
            </w:r>
          </w:p>
        </w:tc>
        <w:tc>
          <w:tcPr>
            <w:tcW w:w="700" w:type="pct"/>
            <w:gridSpan w:val="2"/>
            <w:tcBorders>
              <w:top w:val="nil"/>
              <w:left w:val="nil"/>
              <w:bottom w:val="single" w:sz="4" w:space="0" w:color="auto"/>
              <w:right w:val="single" w:sz="4" w:space="0" w:color="auto"/>
            </w:tcBorders>
            <w:vAlign w:val="bottom"/>
            <w:hideMark/>
          </w:tcPr>
          <w:p w14:paraId="0ED95FC4"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6,9 %</w:t>
            </w:r>
          </w:p>
        </w:tc>
      </w:tr>
      <w:tr w:rsidR="001D784B" w:rsidRPr="00BA4F8E" w14:paraId="0C52C874"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3EC4508B" w14:textId="77777777" w:rsidR="001D784B" w:rsidRPr="00BA4F8E" w:rsidRDefault="001D784B">
            <w:pPr>
              <w:spacing w:after="0" w:line="240" w:lineRule="auto"/>
              <w:rPr>
                <w:rFonts w:eastAsia="Times New Roman" w:cs="Times New Roman"/>
                <w:b/>
                <w:bCs/>
                <w:lang w:eastAsia="cs-CZ"/>
              </w:rPr>
            </w:pPr>
            <w:r w:rsidRPr="00BA4F8E">
              <w:rPr>
                <w:rFonts w:eastAsia="Times New Roman" w:cs="Times New Roman"/>
                <w:b/>
                <w:bCs/>
                <w:lang w:eastAsia="cs-CZ"/>
              </w:rPr>
              <w:t>V ČR poroste množství firem podnikajících v kulturních, kreativních a podobných odvětvích (např. vč. průmyslového designu)</w:t>
            </w:r>
          </w:p>
        </w:tc>
      </w:tr>
      <w:tr w:rsidR="001D784B" w:rsidRPr="00BA4F8E" w14:paraId="7F07DFCB" w14:textId="77777777" w:rsidTr="00B74B5A">
        <w:trPr>
          <w:trHeight w:val="300"/>
          <w:jc w:val="center"/>
        </w:trPr>
        <w:tc>
          <w:tcPr>
            <w:tcW w:w="3664" w:type="pct"/>
            <w:vMerge w:val="restart"/>
            <w:tcBorders>
              <w:top w:val="nil"/>
              <w:left w:val="single" w:sz="4" w:space="0" w:color="auto"/>
              <w:bottom w:val="single" w:sz="4" w:space="0" w:color="auto"/>
              <w:right w:val="single" w:sz="4" w:space="0" w:color="auto"/>
            </w:tcBorders>
            <w:vAlign w:val="center"/>
            <w:hideMark/>
          </w:tcPr>
          <w:p w14:paraId="5EE0C974"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Počet právnických a fyzických osob</w:t>
            </w:r>
          </w:p>
        </w:tc>
        <w:tc>
          <w:tcPr>
            <w:tcW w:w="636" w:type="pct"/>
            <w:tcBorders>
              <w:top w:val="nil"/>
              <w:left w:val="nil"/>
              <w:bottom w:val="single" w:sz="4" w:space="0" w:color="auto"/>
              <w:right w:val="single" w:sz="4" w:space="0" w:color="auto"/>
            </w:tcBorders>
            <w:noWrap/>
            <w:vAlign w:val="bottom"/>
            <w:hideMark/>
          </w:tcPr>
          <w:p w14:paraId="709D53A2"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2010</w:t>
            </w:r>
          </w:p>
        </w:tc>
        <w:tc>
          <w:tcPr>
            <w:tcW w:w="700" w:type="pct"/>
            <w:gridSpan w:val="2"/>
            <w:tcBorders>
              <w:top w:val="nil"/>
              <w:left w:val="nil"/>
              <w:bottom w:val="single" w:sz="4" w:space="0" w:color="auto"/>
              <w:right w:val="single" w:sz="4" w:space="0" w:color="auto"/>
            </w:tcBorders>
            <w:vAlign w:val="bottom"/>
            <w:hideMark/>
          </w:tcPr>
          <w:p w14:paraId="5E9E6EA7"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2016</w:t>
            </w:r>
          </w:p>
        </w:tc>
      </w:tr>
      <w:tr w:rsidR="001D784B" w:rsidRPr="00BA4F8E" w14:paraId="50C0C23D" w14:textId="77777777" w:rsidTr="00B74B5A">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6C217ADC" w14:textId="77777777" w:rsidR="001D784B" w:rsidRPr="00BA4F8E" w:rsidRDefault="001D784B">
            <w:pPr>
              <w:spacing w:after="0" w:line="256" w:lineRule="auto"/>
              <w:rPr>
                <w:rFonts w:eastAsia="Times New Roman" w:cs="Times New Roman"/>
                <w:lang w:eastAsia="cs-CZ"/>
              </w:rPr>
            </w:pPr>
          </w:p>
        </w:tc>
        <w:tc>
          <w:tcPr>
            <w:tcW w:w="636" w:type="pct"/>
            <w:tcBorders>
              <w:top w:val="nil"/>
              <w:left w:val="nil"/>
              <w:bottom w:val="single" w:sz="4" w:space="0" w:color="auto"/>
              <w:right w:val="single" w:sz="4" w:space="0" w:color="auto"/>
            </w:tcBorders>
            <w:noWrap/>
            <w:vAlign w:val="bottom"/>
            <w:hideMark/>
          </w:tcPr>
          <w:p w14:paraId="5B733D89"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63 260</w:t>
            </w:r>
          </w:p>
        </w:tc>
        <w:tc>
          <w:tcPr>
            <w:tcW w:w="700" w:type="pct"/>
            <w:gridSpan w:val="2"/>
            <w:tcBorders>
              <w:top w:val="nil"/>
              <w:left w:val="nil"/>
              <w:bottom w:val="single" w:sz="4" w:space="0" w:color="auto"/>
              <w:right w:val="single" w:sz="4" w:space="0" w:color="auto"/>
            </w:tcBorders>
            <w:vAlign w:val="bottom"/>
            <w:hideMark/>
          </w:tcPr>
          <w:p w14:paraId="6F0C9519"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105 496</w:t>
            </w:r>
          </w:p>
        </w:tc>
      </w:tr>
      <w:tr w:rsidR="001D784B" w:rsidRPr="00BA4F8E" w14:paraId="2A0B6CC7"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0DE87634" w14:textId="43C442B9" w:rsidR="001D784B" w:rsidRPr="00BA4F8E" w:rsidRDefault="001D784B">
            <w:pPr>
              <w:spacing w:after="0" w:line="240" w:lineRule="auto"/>
              <w:rPr>
                <w:rFonts w:eastAsia="Times New Roman" w:cs="Times New Roman"/>
                <w:b/>
                <w:bCs/>
                <w:lang w:eastAsia="cs-CZ"/>
              </w:rPr>
            </w:pPr>
            <w:r w:rsidRPr="00BA4F8E">
              <w:rPr>
                <w:rFonts w:eastAsia="Times New Roman" w:cs="Times New Roman"/>
                <w:b/>
                <w:bCs/>
                <w:lang w:eastAsia="cs-CZ"/>
              </w:rPr>
              <w:t>ČR bude zemí s rostoucím pozitivním trendem t</w:t>
            </w:r>
            <w:r w:rsidR="00031559">
              <w:rPr>
                <w:rFonts w:eastAsia="Times New Roman" w:cs="Times New Roman"/>
                <w:b/>
                <w:bCs/>
                <w:lang w:eastAsia="cs-CZ"/>
              </w:rPr>
              <w:t xml:space="preserve">echnologické platební bilance </w:t>
            </w:r>
            <w:r w:rsidRPr="00BA4F8E">
              <w:rPr>
                <w:rFonts w:eastAsia="Times New Roman" w:cs="Times New Roman"/>
                <w:b/>
                <w:bCs/>
                <w:lang w:eastAsia="cs-CZ"/>
              </w:rPr>
              <w:t>zahraničního obchodu s vyspělými technologickými službami</w:t>
            </w:r>
          </w:p>
        </w:tc>
      </w:tr>
      <w:tr w:rsidR="001D784B" w:rsidRPr="00BA4F8E" w14:paraId="3C1CC740" w14:textId="77777777" w:rsidTr="00B74B5A">
        <w:trPr>
          <w:trHeight w:val="300"/>
          <w:jc w:val="center"/>
        </w:trPr>
        <w:tc>
          <w:tcPr>
            <w:tcW w:w="3664" w:type="pct"/>
            <w:tcBorders>
              <w:top w:val="nil"/>
              <w:left w:val="single" w:sz="4" w:space="0" w:color="auto"/>
              <w:bottom w:val="single" w:sz="4" w:space="0" w:color="auto"/>
              <w:right w:val="single" w:sz="4" w:space="0" w:color="auto"/>
            </w:tcBorders>
            <w:noWrap/>
            <w:vAlign w:val="bottom"/>
            <w:hideMark/>
          </w:tcPr>
          <w:p w14:paraId="1358D780"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 </w:t>
            </w:r>
          </w:p>
        </w:tc>
        <w:tc>
          <w:tcPr>
            <w:tcW w:w="636" w:type="pct"/>
            <w:tcBorders>
              <w:top w:val="nil"/>
              <w:left w:val="nil"/>
              <w:bottom w:val="single" w:sz="4" w:space="0" w:color="auto"/>
              <w:right w:val="single" w:sz="4" w:space="0" w:color="auto"/>
            </w:tcBorders>
            <w:noWrap/>
            <w:vAlign w:val="bottom"/>
            <w:hideMark/>
          </w:tcPr>
          <w:p w14:paraId="52500EBC"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2012</w:t>
            </w:r>
          </w:p>
        </w:tc>
        <w:tc>
          <w:tcPr>
            <w:tcW w:w="700" w:type="pct"/>
            <w:gridSpan w:val="2"/>
            <w:tcBorders>
              <w:top w:val="nil"/>
              <w:left w:val="nil"/>
              <w:bottom w:val="single" w:sz="4" w:space="0" w:color="auto"/>
              <w:right w:val="single" w:sz="4" w:space="0" w:color="auto"/>
            </w:tcBorders>
            <w:vAlign w:val="bottom"/>
            <w:hideMark/>
          </w:tcPr>
          <w:p w14:paraId="645215D7"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2017</w:t>
            </w:r>
          </w:p>
        </w:tc>
      </w:tr>
      <w:tr w:rsidR="001D784B" w:rsidRPr="00BA4F8E" w14:paraId="4B45C144" w14:textId="77777777" w:rsidTr="00B74B5A">
        <w:trPr>
          <w:trHeight w:val="300"/>
          <w:jc w:val="center"/>
        </w:trPr>
        <w:tc>
          <w:tcPr>
            <w:tcW w:w="3664" w:type="pct"/>
            <w:tcBorders>
              <w:top w:val="nil"/>
              <w:left w:val="single" w:sz="4" w:space="0" w:color="auto"/>
              <w:bottom w:val="single" w:sz="4" w:space="0" w:color="auto"/>
              <w:right w:val="single" w:sz="4" w:space="0" w:color="auto"/>
            </w:tcBorders>
            <w:noWrap/>
            <w:vAlign w:val="bottom"/>
            <w:hideMark/>
          </w:tcPr>
          <w:p w14:paraId="3714BC8A"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Technologická platební bilance, služby (mil. Kč)</w:t>
            </w:r>
          </w:p>
        </w:tc>
        <w:tc>
          <w:tcPr>
            <w:tcW w:w="636" w:type="pct"/>
            <w:tcBorders>
              <w:top w:val="nil"/>
              <w:left w:val="nil"/>
              <w:bottom w:val="single" w:sz="4" w:space="0" w:color="auto"/>
              <w:right w:val="single" w:sz="4" w:space="0" w:color="auto"/>
            </w:tcBorders>
            <w:noWrap/>
            <w:vAlign w:val="bottom"/>
            <w:hideMark/>
          </w:tcPr>
          <w:p w14:paraId="3191CF41"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1339</w:t>
            </w:r>
          </w:p>
        </w:tc>
        <w:tc>
          <w:tcPr>
            <w:tcW w:w="700" w:type="pct"/>
            <w:gridSpan w:val="2"/>
            <w:tcBorders>
              <w:top w:val="nil"/>
              <w:left w:val="nil"/>
              <w:bottom w:val="single" w:sz="4" w:space="0" w:color="auto"/>
              <w:right w:val="single" w:sz="4" w:space="0" w:color="auto"/>
            </w:tcBorders>
            <w:vAlign w:val="bottom"/>
            <w:hideMark/>
          </w:tcPr>
          <w:p w14:paraId="41C8B147"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27 992</w:t>
            </w:r>
          </w:p>
        </w:tc>
      </w:tr>
      <w:tr w:rsidR="001D784B" w:rsidRPr="00BA4F8E" w14:paraId="418CC1E8" w14:textId="77777777" w:rsidTr="00B74B5A">
        <w:trPr>
          <w:trHeight w:val="300"/>
          <w:jc w:val="center"/>
        </w:trPr>
        <w:tc>
          <w:tcPr>
            <w:tcW w:w="3664" w:type="pct"/>
            <w:tcBorders>
              <w:top w:val="nil"/>
              <w:left w:val="single" w:sz="4" w:space="0" w:color="auto"/>
              <w:bottom w:val="single" w:sz="4" w:space="0" w:color="auto"/>
              <w:right w:val="single" w:sz="4" w:space="0" w:color="auto"/>
            </w:tcBorders>
            <w:noWrap/>
            <w:vAlign w:val="bottom"/>
            <w:hideMark/>
          </w:tcPr>
          <w:p w14:paraId="4E142AB0"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Technologická platební bilance, % celkových příjmů za vývoz služeb</w:t>
            </w:r>
          </w:p>
        </w:tc>
        <w:tc>
          <w:tcPr>
            <w:tcW w:w="636" w:type="pct"/>
            <w:tcBorders>
              <w:top w:val="nil"/>
              <w:left w:val="nil"/>
              <w:bottom w:val="single" w:sz="4" w:space="0" w:color="auto"/>
              <w:right w:val="single" w:sz="4" w:space="0" w:color="auto"/>
            </w:tcBorders>
            <w:noWrap/>
            <w:vAlign w:val="bottom"/>
            <w:hideMark/>
          </w:tcPr>
          <w:p w14:paraId="76B68BBC"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1,72 %</w:t>
            </w:r>
          </w:p>
        </w:tc>
        <w:tc>
          <w:tcPr>
            <w:tcW w:w="700" w:type="pct"/>
            <w:gridSpan w:val="2"/>
            <w:tcBorders>
              <w:top w:val="nil"/>
              <w:left w:val="nil"/>
              <w:bottom w:val="single" w:sz="4" w:space="0" w:color="auto"/>
              <w:right w:val="single" w:sz="4" w:space="0" w:color="auto"/>
            </w:tcBorders>
            <w:vAlign w:val="bottom"/>
            <w:hideMark/>
          </w:tcPr>
          <w:p w14:paraId="541B976B"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22.95 %</w:t>
            </w:r>
          </w:p>
        </w:tc>
      </w:tr>
      <w:tr w:rsidR="001D784B" w:rsidRPr="00BA4F8E" w14:paraId="6D9608A6"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4FF7B98C" w14:textId="77777777" w:rsidR="001D784B" w:rsidRPr="00BA4F8E" w:rsidRDefault="001D784B">
            <w:pPr>
              <w:spacing w:after="0" w:line="240" w:lineRule="auto"/>
              <w:rPr>
                <w:rFonts w:eastAsia="Times New Roman" w:cs="Times New Roman"/>
                <w:b/>
                <w:bCs/>
                <w:lang w:eastAsia="cs-CZ"/>
              </w:rPr>
            </w:pPr>
            <w:r w:rsidRPr="00BA4F8E">
              <w:rPr>
                <w:rFonts w:eastAsia="Times New Roman" w:cs="Times New Roman"/>
                <w:b/>
                <w:bCs/>
                <w:lang w:eastAsia="cs-CZ"/>
              </w:rPr>
              <w:t>ČR vytvoří a nabídne příznivé pracovní prostředí, tj. kreativní ekosystém pro podnikání (na všech úrovních)</w:t>
            </w:r>
          </w:p>
        </w:tc>
      </w:tr>
      <w:tr w:rsidR="001D784B" w:rsidRPr="00BA4F8E" w14:paraId="70CD77AA" w14:textId="77777777" w:rsidTr="00B74B5A">
        <w:trPr>
          <w:trHeight w:val="300"/>
          <w:jc w:val="center"/>
        </w:trPr>
        <w:tc>
          <w:tcPr>
            <w:tcW w:w="3664" w:type="pct"/>
            <w:vMerge w:val="restart"/>
            <w:tcBorders>
              <w:top w:val="nil"/>
              <w:left w:val="single" w:sz="4" w:space="0" w:color="auto"/>
              <w:bottom w:val="single" w:sz="4" w:space="0" w:color="auto"/>
              <w:right w:val="single" w:sz="4" w:space="0" w:color="auto"/>
            </w:tcBorders>
            <w:vAlign w:val="center"/>
            <w:hideMark/>
          </w:tcPr>
          <w:p w14:paraId="2FD6AB83"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Celkový index - easy of doing business**</w:t>
            </w:r>
          </w:p>
        </w:tc>
        <w:tc>
          <w:tcPr>
            <w:tcW w:w="636" w:type="pct"/>
            <w:tcBorders>
              <w:top w:val="nil"/>
              <w:left w:val="nil"/>
              <w:bottom w:val="single" w:sz="4" w:space="0" w:color="auto"/>
              <w:right w:val="single" w:sz="4" w:space="0" w:color="auto"/>
            </w:tcBorders>
            <w:noWrap/>
            <w:vAlign w:val="bottom"/>
            <w:hideMark/>
          </w:tcPr>
          <w:p w14:paraId="597E86F2"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pořadí ČR 2014</w:t>
            </w:r>
          </w:p>
        </w:tc>
        <w:tc>
          <w:tcPr>
            <w:tcW w:w="700" w:type="pct"/>
            <w:gridSpan w:val="2"/>
            <w:tcBorders>
              <w:top w:val="nil"/>
              <w:left w:val="nil"/>
              <w:bottom w:val="single" w:sz="4" w:space="0" w:color="auto"/>
              <w:right w:val="single" w:sz="4" w:space="0" w:color="auto"/>
            </w:tcBorders>
            <w:vAlign w:val="bottom"/>
            <w:hideMark/>
          </w:tcPr>
          <w:p w14:paraId="660BE141"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pořadí ČR 2018</w:t>
            </w:r>
          </w:p>
        </w:tc>
      </w:tr>
      <w:tr w:rsidR="001D784B" w:rsidRPr="00BA4F8E" w14:paraId="28BC54D5" w14:textId="77777777" w:rsidTr="00B74B5A">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1574BB08" w14:textId="77777777" w:rsidR="001D784B" w:rsidRPr="00BA4F8E" w:rsidRDefault="001D784B">
            <w:pPr>
              <w:spacing w:after="0" w:line="256" w:lineRule="auto"/>
              <w:rPr>
                <w:rFonts w:eastAsia="Times New Roman" w:cs="Times New Roman"/>
                <w:lang w:eastAsia="cs-CZ"/>
              </w:rPr>
            </w:pPr>
          </w:p>
        </w:tc>
        <w:tc>
          <w:tcPr>
            <w:tcW w:w="636" w:type="pct"/>
            <w:tcBorders>
              <w:top w:val="nil"/>
              <w:left w:val="nil"/>
              <w:bottom w:val="single" w:sz="4" w:space="0" w:color="auto"/>
              <w:right w:val="single" w:sz="4" w:space="0" w:color="auto"/>
            </w:tcBorders>
            <w:noWrap/>
            <w:vAlign w:val="bottom"/>
            <w:hideMark/>
          </w:tcPr>
          <w:p w14:paraId="3A37E890"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75</w:t>
            </w:r>
          </w:p>
        </w:tc>
        <w:tc>
          <w:tcPr>
            <w:tcW w:w="700" w:type="pct"/>
            <w:gridSpan w:val="2"/>
            <w:tcBorders>
              <w:top w:val="nil"/>
              <w:left w:val="nil"/>
              <w:bottom w:val="single" w:sz="4" w:space="0" w:color="auto"/>
              <w:right w:val="single" w:sz="4" w:space="0" w:color="auto"/>
            </w:tcBorders>
            <w:vAlign w:val="bottom"/>
            <w:hideMark/>
          </w:tcPr>
          <w:p w14:paraId="0DE1C12B"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30</w:t>
            </w:r>
          </w:p>
        </w:tc>
      </w:tr>
      <w:tr w:rsidR="001D784B" w:rsidRPr="00BA4F8E" w14:paraId="4CDB502B"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5C0F2A6C" w14:textId="77777777" w:rsidR="001D784B" w:rsidRPr="00BA4F8E" w:rsidRDefault="001D784B">
            <w:pPr>
              <w:spacing w:after="0" w:line="240" w:lineRule="auto"/>
              <w:rPr>
                <w:rFonts w:eastAsia="Times New Roman" w:cs="Times New Roman"/>
                <w:b/>
                <w:bCs/>
                <w:lang w:eastAsia="cs-CZ"/>
              </w:rPr>
            </w:pPr>
            <w:r w:rsidRPr="00BA4F8E">
              <w:rPr>
                <w:rFonts w:eastAsia="Times New Roman" w:cs="Times New Roman"/>
                <w:b/>
                <w:bCs/>
                <w:lang w:eastAsia="cs-CZ"/>
              </w:rPr>
              <w:t>ČR bude mít pozitivní „bilanci talentů“ – BRAIN GAIN</w:t>
            </w:r>
          </w:p>
        </w:tc>
      </w:tr>
      <w:tr w:rsidR="001D784B" w:rsidRPr="00BA4F8E" w14:paraId="112A734E" w14:textId="77777777" w:rsidTr="00B74B5A">
        <w:trPr>
          <w:trHeight w:val="300"/>
          <w:jc w:val="center"/>
        </w:trPr>
        <w:tc>
          <w:tcPr>
            <w:tcW w:w="3664" w:type="pct"/>
            <w:tcBorders>
              <w:top w:val="nil"/>
              <w:left w:val="single" w:sz="4" w:space="0" w:color="auto"/>
              <w:bottom w:val="single" w:sz="4" w:space="0" w:color="auto"/>
              <w:right w:val="single" w:sz="4" w:space="0" w:color="auto"/>
            </w:tcBorders>
            <w:noWrap/>
            <w:vAlign w:val="bottom"/>
            <w:hideMark/>
          </w:tcPr>
          <w:p w14:paraId="149F60C8"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 </w:t>
            </w:r>
          </w:p>
        </w:tc>
        <w:tc>
          <w:tcPr>
            <w:tcW w:w="668" w:type="pct"/>
            <w:gridSpan w:val="2"/>
            <w:tcBorders>
              <w:top w:val="nil"/>
              <w:left w:val="nil"/>
              <w:bottom w:val="single" w:sz="4" w:space="0" w:color="auto"/>
              <w:right w:val="single" w:sz="4" w:space="0" w:color="auto"/>
            </w:tcBorders>
            <w:noWrap/>
            <w:vAlign w:val="bottom"/>
            <w:hideMark/>
          </w:tcPr>
          <w:p w14:paraId="4150A65B"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pořadí ČR 2014–15</w:t>
            </w:r>
          </w:p>
        </w:tc>
        <w:tc>
          <w:tcPr>
            <w:tcW w:w="668" w:type="pct"/>
            <w:tcBorders>
              <w:top w:val="nil"/>
              <w:left w:val="nil"/>
              <w:bottom w:val="single" w:sz="4" w:space="0" w:color="auto"/>
              <w:right w:val="single" w:sz="4" w:space="0" w:color="auto"/>
            </w:tcBorders>
            <w:vAlign w:val="bottom"/>
            <w:hideMark/>
          </w:tcPr>
          <w:p w14:paraId="4E0AD8C2"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pořadí ČR 2017-18</w:t>
            </w:r>
          </w:p>
        </w:tc>
      </w:tr>
      <w:tr w:rsidR="001D784B" w:rsidRPr="00BA4F8E" w14:paraId="2A950DA1" w14:textId="77777777" w:rsidTr="00B74B5A">
        <w:trPr>
          <w:trHeight w:val="300"/>
          <w:jc w:val="center"/>
        </w:trPr>
        <w:tc>
          <w:tcPr>
            <w:tcW w:w="3664" w:type="pct"/>
            <w:tcBorders>
              <w:top w:val="nil"/>
              <w:left w:val="single" w:sz="4" w:space="0" w:color="auto"/>
              <w:bottom w:val="single" w:sz="4" w:space="0" w:color="auto"/>
              <w:right w:val="single" w:sz="4" w:space="0" w:color="auto"/>
            </w:tcBorders>
            <w:noWrap/>
            <w:vAlign w:val="bottom"/>
            <w:hideMark/>
          </w:tcPr>
          <w:p w14:paraId="24962F3C"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Kapacita země udržet talenty***</w:t>
            </w:r>
          </w:p>
        </w:tc>
        <w:tc>
          <w:tcPr>
            <w:tcW w:w="668" w:type="pct"/>
            <w:gridSpan w:val="2"/>
            <w:tcBorders>
              <w:top w:val="nil"/>
              <w:left w:val="nil"/>
              <w:bottom w:val="single" w:sz="4" w:space="0" w:color="auto"/>
              <w:right w:val="single" w:sz="4" w:space="0" w:color="auto"/>
            </w:tcBorders>
            <w:noWrap/>
            <w:vAlign w:val="bottom"/>
            <w:hideMark/>
          </w:tcPr>
          <w:p w14:paraId="309ED79B"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80</w:t>
            </w:r>
          </w:p>
        </w:tc>
        <w:tc>
          <w:tcPr>
            <w:tcW w:w="668" w:type="pct"/>
            <w:tcBorders>
              <w:top w:val="nil"/>
              <w:left w:val="nil"/>
              <w:bottom w:val="single" w:sz="4" w:space="0" w:color="auto"/>
              <w:right w:val="single" w:sz="4" w:space="0" w:color="auto"/>
            </w:tcBorders>
            <w:vAlign w:val="bottom"/>
            <w:hideMark/>
          </w:tcPr>
          <w:p w14:paraId="58C221BC"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51</w:t>
            </w:r>
          </w:p>
        </w:tc>
      </w:tr>
      <w:tr w:rsidR="001D784B" w:rsidRPr="00BA4F8E" w14:paraId="3614BAEF" w14:textId="77777777" w:rsidTr="00B74B5A">
        <w:trPr>
          <w:trHeight w:val="300"/>
          <w:jc w:val="center"/>
        </w:trPr>
        <w:tc>
          <w:tcPr>
            <w:tcW w:w="3664" w:type="pct"/>
            <w:tcBorders>
              <w:top w:val="nil"/>
              <w:left w:val="single" w:sz="4" w:space="0" w:color="auto"/>
              <w:bottom w:val="single" w:sz="4" w:space="0" w:color="auto"/>
              <w:right w:val="single" w:sz="4" w:space="0" w:color="auto"/>
            </w:tcBorders>
            <w:noWrap/>
            <w:vAlign w:val="bottom"/>
            <w:hideMark/>
          </w:tcPr>
          <w:p w14:paraId="33389548"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Kapacita země lákat talenty***</w:t>
            </w:r>
          </w:p>
        </w:tc>
        <w:tc>
          <w:tcPr>
            <w:tcW w:w="668" w:type="pct"/>
            <w:gridSpan w:val="2"/>
            <w:tcBorders>
              <w:top w:val="nil"/>
              <w:left w:val="nil"/>
              <w:bottom w:val="single" w:sz="4" w:space="0" w:color="auto"/>
              <w:right w:val="single" w:sz="4" w:space="0" w:color="auto"/>
            </w:tcBorders>
            <w:noWrap/>
            <w:vAlign w:val="bottom"/>
            <w:hideMark/>
          </w:tcPr>
          <w:p w14:paraId="1CC3C30D"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93</w:t>
            </w:r>
          </w:p>
        </w:tc>
        <w:tc>
          <w:tcPr>
            <w:tcW w:w="668" w:type="pct"/>
            <w:tcBorders>
              <w:top w:val="nil"/>
              <w:left w:val="nil"/>
              <w:bottom w:val="single" w:sz="4" w:space="0" w:color="auto"/>
              <w:right w:val="single" w:sz="4" w:space="0" w:color="auto"/>
            </w:tcBorders>
            <w:vAlign w:val="bottom"/>
            <w:hideMark/>
          </w:tcPr>
          <w:p w14:paraId="1D1E7FAC"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74</w:t>
            </w:r>
          </w:p>
        </w:tc>
      </w:tr>
      <w:tr w:rsidR="001D784B" w:rsidRPr="00BA4F8E" w14:paraId="3B74DC4A"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5454274F" w14:textId="77777777" w:rsidR="001D784B" w:rsidRPr="00BA4F8E" w:rsidRDefault="001D784B">
            <w:pPr>
              <w:spacing w:after="0" w:line="240" w:lineRule="auto"/>
              <w:rPr>
                <w:rFonts w:eastAsia="Times New Roman" w:cs="Times New Roman"/>
                <w:b/>
                <w:bCs/>
                <w:lang w:eastAsia="cs-CZ"/>
              </w:rPr>
            </w:pPr>
            <w:r w:rsidRPr="00BA4F8E">
              <w:rPr>
                <w:rFonts w:eastAsia="Times New Roman" w:cs="Times New Roman"/>
                <w:b/>
                <w:bCs/>
                <w:lang w:eastAsia="cs-CZ"/>
              </w:rPr>
              <w:t>ČR bude mezi 10 zeměmi EU, které mají nejvyšší příliv přímých zahraničních investic v poměru k HDP</w:t>
            </w:r>
          </w:p>
        </w:tc>
      </w:tr>
      <w:tr w:rsidR="001D784B" w:rsidRPr="00BA4F8E" w14:paraId="17987A0E" w14:textId="77777777" w:rsidTr="00B74B5A">
        <w:trPr>
          <w:trHeight w:val="300"/>
          <w:jc w:val="center"/>
        </w:trPr>
        <w:tc>
          <w:tcPr>
            <w:tcW w:w="3664" w:type="pct"/>
            <w:vMerge w:val="restart"/>
            <w:tcBorders>
              <w:top w:val="nil"/>
              <w:left w:val="single" w:sz="4" w:space="0" w:color="auto"/>
              <w:bottom w:val="single" w:sz="4" w:space="0" w:color="auto"/>
              <w:right w:val="single" w:sz="4" w:space="0" w:color="auto"/>
            </w:tcBorders>
            <w:vAlign w:val="center"/>
            <w:hideMark/>
          </w:tcPr>
          <w:p w14:paraId="0D33CD84"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PZI jako podíl HDP****</w:t>
            </w:r>
          </w:p>
        </w:tc>
        <w:tc>
          <w:tcPr>
            <w:tcW w:w="668" w:type="pct"/>
            <w:gridSpan w:val="2"/>
            <w:tcBorders>
              <w:top w:val="nil"/>
              <w:left w:val="nil"/>
              <w:bottom w:val="single" w:sz="4" w:space="0" w:color="auto"/>
              <w:right w:val="single" w:sz="4" w:space="0" w:color="auto"/>
            </w:tcBorders>
            <w:noWrap/>
            <w:vAlign w:val="bottom"/>
            <w:hideMark/>
          </w:tcPr>
          <w:p w14:paraId="175FF123"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průměr 2011–2013</w:t>
            </w:r>
          </w:p>
        </w:tc>
        <w:tc>
          <w:tcPr>
            <w:tcW w:w="668" w:type="pct"/>
            <w:tcBorders>
              <w:top w:val="nil"/>
              <w:left w:val="nil"/>
              <w:bottom w:val="single" w:sz="4" w:space="0" w:color="auto"/>
              <w:right w:val="single" w:sz="4" w:space="0" w:color="auto"/>
            </w:tcBorders>
            <w:vAlign w:val="bottom"/>
            <w:hideMark/>
          </w:tcPr>
          <w:p w14:paraId="56B27752"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průměr 2017</w:t>
            </w:r>
          </w:p>
        </w:tc>
      </w:tr>
      <w:tr w:rsidR="001D784B" w:rsidRPr="00BA4F8E" w14:paraId="68604031" w14:textId="77777777" w:rsidTr="00B74B5A">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4F8F28D4" w14:textId="77777777" w:rsidR="001D784B" w:rsidRPr="00BA4F8E" w:rsidRDefault="001D784B">
            <w:pPr>
              <w:spacing w:after="0" w:line="256" w:lineRule="auto"/>
              <w:rPr>
                <w:rFonts w:eastAsia="Times New Roman" w:cs="Times New Roman"/>
                <w:lang w:eastAsia="cs-CZ"/>
              </w:rPr>
            </w:pPr>
          </w:p>
        </w:tc>
        <w:tc>
          <w:tcPr>
            <w:tcW w:w="668" w:type="pct"/>
            <w:gridSpan w:val="2"/>
            <w:tcBorders>
              <w:top w:val="nil"/>
              <w:left w:val="nil"/>
              <w:bottom w:val="single" w:sz="4" w:space="0" w:color="auto"/>
              <w:right w:val="single" w:sz="4" w:space="0" w:color="auto"/>
            </w:tcBorders>
            <w:noWrap/>
            <w:vAlign w:val="bottom"/>
            <w:hideMark/>
          </w:tcPr>
          <w:p w14:paraId="421E1A44"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11. místo</w:t>
            </w:r>
          </w:p>
        </w:tc>
        <w:tc>
          <w:tcPr>
            <w:tcW w:w="668" w:type="pct"/>
            <w:tcBorders>
              <w:top w:val="nil"/>
              <w:left w:val="nil"/>
              <w:bottom w:val="single" w:sz="4" w:space="0" w:color="auto"/>
              <w:right w:val="single" w:sz="4" w:space="0" w:color="auto"/>
            </w:tcBorders>
            <w:vAlign w:val="bottom"/>
            <w:hideMark/>
          </w:tcPr>
          <w:p w14:paraId="17E286F6"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11. místo</w:t>
            </w:r>
          </w:p>
        </w:tc>
      </w:tr>
      <w:tr w:rsidR="001D784B" w:rsidRPr="00BA4F8E" w14:paraId="33E6CE80" w14:textId="77777777" w:rsidTr="00970A75">
        <w:trPr>
          <w:trHeight w:val="30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004B8D"/>
            <w:vAlign w:val="bottom"/>
            <w:hideMark/>
          </w:tcPr>
          <w:p w14:paraId="4F8B73D0" w14:textId="77777777" w:rsidR="001D784B" w:rsidRPr="00BA4F8E" w:rsidRDefault="001D784B">
            <w:pPr>
              <w:spacing w:after="0" w:line="240" w:lineRule="auto"/>
              <w:rPr>
                <w:rFonts w:eastAsia="Times New Roman" w:cs="Times New Roman"/>
                <w:b/>
                <w:bCs/>
                <w:lang w:eastAsia="cs-CZ"/>
              </w:rPr>
            </w:pPr>
            <w:r w:rsidRPr="00BA4F8E">
              <w:rPr>
                <w:rFonts w:eastAsia="Times New Roman" w:cs="Times New Roman"/>
                <w:b/>
                <w:bCs/>
                <w:lang w:eastAsia="cs-CZ"/>
              </w:rPr>
              <w:t>ČR bude mezi 10 zeměmi EU s největším objemem soukromých výdajů na vědu a výzkum na HDP</w:t>
            </w:r>
          </w:p>
        </w:tc>
      </w:tr>
      <w:tr w:rsidR="001D784B" w:rsidRPr="00BA4F8E" w14:paraId="7DF62E1E" w14:textId="77777777" w:rsidTr="00B74B5A">
        <w:trPr>
          <w:trHeight w:val="300"/>
          <w:jc w:val="center"/>
        </w:trPr>
        <w:tc>
          <w:tcPr>
            <w:tcW w:w="3664" w:type="pct"/>
            <w:vMerge w:val="restart"/>
            <w:tcBorders>
              <w:top w:val="nil"/>
              <w:left w:val="single" w:sz="4" w:space="0" w:color="auto"/>
              <w:bottom w:val="single" w:sz="4" w:space="0" w:color="auto"/>
              <w:right w:val="single" w:sz="4" w:space="0" w:color="auto"/>
            </w:tcBorders>
            <w:vAlign w:val="center"/>
            <w:hideMark/>
          </w:tcPr>
          <w:p w14:paraId="388CD978"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BERD jako podíl HDP****</w:t>
            </w:r>
          </w:p>
        </w:tc>
        <w:tc>
          <w:tcPr>
            <w:tcW w:w="668" w:type="pct"/>
            <w:gridSpan w:val="2"/>
            <w:tcBorders>
              <w:top w:val="nil"/>
              <w:left w:val="nil"/>
              <w:bottom w:val="single" w:sz="4" w:space="0" w:color="auto"/>
              <w:right w:val="single" w:sz="4" w:space="0" w:color="auto"/>
            </w:tcBorders>
            <w:noWrap/>
            <w:vAlign w:val="bottom"/>
            <w:hideMark/>
          </w:tcPr>
          <w:p w14:paraId="0E7FA9B0"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průměr 2010–2012</w:t>
            </w:r>
          </w:p>
        </w:tc>
        <w:tc>
          <w:tcPr>
            <w:tcW w:w="668" w:type="pct"/>
            <w:tcBorders>
              <w:top w:val="nil"/>
              <w:left w:val="nil"/>
              <w:bottom w:val="single" w:sz="4" w:space="0" w:color="auto"/>
              <w:right w:val="single" w:sz="4" w:space="0" w:color="auto"/>
            </w:tcBorders>
            <w:vAlign w:val="bottom"/>
            <w:hideMark/>
          </w:tcPr>
          <w:p w14:paraId="529D774A"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2016</w:t>
            </w:r>
          </w:p>
        </w:tc>
      </w:tr>
      <w:tr w:rsidR="001D784B" w:rsidRPr="00BA4F8E" w14:paraId="5E2D2F78" w14:textId="77777777" w:rsidTr="00B74B5A">
        <w:trPr>
          <w:trHeight w:val="300"/>
          <w:jc w:val="center"/>
        </w:trPr>
        <w:tc>
          <w:tcPr>
            <w:tcW w:w="0" w:type="auto"/>
            <w:vMerge/>
            <w:tcBorders>
              <w:top w:val="nil"/>
              <w:left w:val="single" w:sz="4" w:space="0" w:color="auto"/>
              <w:bottom w:val="single" w:sz="4" w:space="0" w:color="auto"/>
              <w:right w:val="single" w:sz="4" w:space="0" w:color="auto"/>
            </w:tcBorders>
            <w:vAlign w:val="center"/>
            <w:hideMark/>
          </w:tcPr>
          <w:p w14:paraId="685425BD" w14:textId="77777777" w:rsidR="001D784B" w:rsidRPr="00BA4F8E" w:rsidRDefault="001D784B">
            <w:pPr>
              <w:spacing w:after="0" w:line="256" w:lineRule="auto"/>
              <w:rPr>
                <w:rFonts w:eastAsia="Times New Roman" w:cs="Times New Roman"/>
                <w:lang w:eastAsia="cs-CZ"/>
              </w:rPr>
            </w:pPr>
          </w:p>
        </w:tc>
        <w:tc>
          <w:tcPr>
            <w:tcW w:w="668" w:type="pct"/>
            <w:gridSpan w:val="2"/>
            <w:tcBorders>
              <w:top w:val="nil"/>
              <w:left w:val="nil"/>
              <w:bottom w:val="single" w:sz="4" w:space="0" w:color="auto"/>
              <w:right w:val="single" w:sz="4" w:space="0" w:color="auto"/>
            </w:tcBorders>
            <w:noWrap/>
            <w:vAlign w:val="bottom"/>
            <w:hideMark/>
          </w:tcPr>
          <w:p w14:paraId="7F38B2C6"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14. místo</w:t>
            </w:r>
          </w:p>
        </w:tc>
        <w:tc>
          <w:tcPr>
            <w:tcW w:w="668" w:type="pct"/>
            <w:tcBorders>
              <w:top w:val="nil"/>
              <w:left w:val="nil"/>
              <w:bottom w:val="single" w:sz="4" w:space="0" w:color="auto"/>
              <w:right w:val="single" w:sz="4" w:space="0" w:color="auto"/>
            </w:tcBorders>
            <w:vAlign w:val="bottom"/>
            <w:hideMark/>
          </w:tcPr>
          <w:p w14:paraId="3D2F6472" w14:textId="77777777" w:rsidR="001D784B" w:rsidRPr="00BA4F8E" w:rsidRDefault="001D784B">
            <w:pPr>
              <w:spacing w:after="0" w:line="240" w:lineRule="auto"/>
              <w:rPr>
                <w:rFonts w:eastAsia="Times New Roman" w:cs="Times New Roman"/>
                <w:lang w:eastAsia="cs-CZ"/>
              </w:rPr>
            </w:pPr>
            <w:r w:rsidRPr="00BA4F8E">
              <w:rPr>
                <w:rFonts w:eastAsia="Times New Roman" w:cs="Times New Roman"/>
                <w:lang w:eastAsia="cs-CZ"/>
              </w:rPr>
              <w:t>11. místo</w:t>
            </w:r>
          </w:p>
        </w:tc>
      </w:tr>
    </w:tbl>
    <w:p w14:paraId="0683086E" w14:textId="6FBD8FA2" w:rsidR="001D784B" w:rsidRPr="00DD3634" w:rsidRDefault="001D784B" w:rsidP="001D784B">
      <w:pPr>
        <w:spacing w:after="0"/>
      </w:pPr>
      <w:r w:rsidRPr="00BA4F8E">
        <w:t>* Zdroje dat jsou uvedeny v tabulkách trendů v</w:t>
      </w:r>
      <w:r w:rsidRPr="00BA4F8E">
        <w:rPr>
          <w:color w:val="1682C2" w:themeColor="background2" w:themeShade="80"/>
        </w:rPr>
        <w:t> </w:t>
      </w:r>
      <w:r w:rsidRPr="00DD3634">
        <w:t xml:space="preserve">kap. </w:t>
      </w:r>
      <w:r w:rsidR="00784F4F" w:rsidRPr="00DD3634">
        <w:fldChar w:fldCharType="begin"/>
      </w:r>
      <w:r w:rsidR="00784F4F" w:rsidRPr="00DD3634">
        <w:instrText xml:space="preserve"> REF _Ref521331720 \r \h  \* MERGEFORMAT </w:instrText>
      </w:r>
      <w:r w:rsidR="00784F4F" w:rsidRPr="00DD3634">
        <w:fldChar w:fldCharType="separate"/>
      </w:r>
      <w:r w:rsidR="00DE40D4">
        <w:t>9.1</w:t>
      </w:r>
      <w:r w:rsidR="00784F4F" w:rsidRPr="00DD3634">
        <w:fldChar w:fldCharType="end"/>
      </w:r>
      <w:r w:rsidR="00784F4F" w:rsidRPr="00DD3634">
        <w:t xml:space="preserve"> </w:t>
      </w:r>
      <w:r w:rsidR="00784F4F" w:rsidRPr="00B67EDE">
        <w:fldChar w:fldCharType="begin"/>
      </w:r>
      <w:r w:rsidR="00784F4F" w:rsidRPr="00B67EDE">
        <w:instrText xml:space="preserve"> REF _Ref521331703 \h  \* MERGEFORMAT </w:instrText>
      </w:r>
      <w:r w:rsidR="00784F4F" w:rsidRPr="00B67EDE">
        <w:fldChar w:fldCharType="separate"/>
      </w:r>
      <w:r w:rsidR="00DE40D4" w:rsidRPr="00EF4A38">
        <w:t>Trendy vývoje výchozích</w:t>
      </w:r>
      <w:r w:rsidR="00DE40D4">
        <w:t xml:space="preserve"> a průběžných</w:t>
      </w:r>
      <w:r w:rsidR="00DE40D4" w:rsidRPr="00EF4A38">
        <w:t xml:space="preserve"> hodnot pro měření vize</w:t>
      </w:r>
      <w:r w:rsidR="00784F4F" w:rsidRPr="00B67EDE">
        <w:fldChar w:fldCharType="end"/>
      </w:r>
      <w:r w:rsidR="003C6D28" w:rsidRPr="00B67EDE">
        <w:t>.</w:t>
      </w:r>
    </w:p>
    <w:p w14:paraId="6BE724C6" w14:textId="77777777" w:rsidR="001D784B" w:rsidRPr="00BA4F8E" w:rsidRDefault="001D784B" w:rsidP="001D784B">
      <w:pPr>
        <w:spacing w:after="0"/>
      </w:pPr>
      <w:r w:rsidRPr="00BA4F8E">
        <w:t>** Pořadí podle žebříčku Doing Business zveřejňovaného World Bank</w:t>
      </w:r>
    </w:p>
    <w:p w14:paraId="1D7A9E57" w14:textId="77777777" w:rsidR="001D784B" w:rsidRPr="00BA4F8E" w:rsidRDefault="001D784B" w:rsidP="001D784B">
      <w:pPr>
        <w:spacing w:after="0"/>
      </w:pPr>
      <w:r w:rsidRPr="00BA4F8E">
        <w:t>*** Pořadí dle Global Competitiveness Index</w:t>
      </w:r>
    </w:p>
    <w:p w14:paraId="0419445A" w14:textId="77777777" w:rsidR="001D784B" w:rsidRPr="00BA4F8E" w:rsidRDefault="001D784B" w:rsidP="001D784B">
      <w:pPr>
        <w:ind w:left="567" w:hanging="567"/>
      </w:pPr>
      <w:r w:rsidRPr="00BA4F8E">
        <w:lastRenderedPageBreak/>
        <w:t xml:space="preserve">**** Průměry za několik let jsou uváděny kvůli snížení vlivu náhodných výkyvů (např. jednorázové velké investice). </w:t>
      </w:r>
    </w:p>
    <w:p w14:paraId="3E44018A" w14:textId="77777777" w:rsidR="00AA7E3E" w:rsidRPr="00BA4F8E" w:rsidRDefault="00AA7E3E" w:rsidP="006A6FFF">
      <w:pPr>
        <w:jc w:val="right"/>
      </w:pPr>
    </w:p>
    <w:p w14:paraId="603AD181" w14:textId="109A8D89" w:rsidR="00B74B5A" w:rsidRPr="0018235F" w:rsidRDefault="006E3CC5" w:rsidP="0018235F">
      <w:pPr>
        <w:pStyle w:val="Nadpis2"/>
      </w:pPr>
      <w:bookmarkStart w:id="109" w:name="_Toc525716203"/>
      <w:r w:rsidRPr="0018235F">
        <w:t>Struktura návrhové části – klíčové oblasti změn</w:t>
      </w:r>
      <w:bookmarkEnd w:id="109"/>
    </w:p>
    <w:p w14:paraId="1D207DB7" w14:textId="77777777" w:rsidR="00B74B5A" w:rsidRPr="00BA4F8E" w:rsidRDefault="00B74B5A" w:rsidP="00B74B5A">
      <w:pPr>
        <w:spacing w:before="240" w:line="360" w:lineRule="auto"/>
        <w:ind w:firstLine="709"/>
        <w:jc w:val="both"/>
      </w:pPr>
      <w:r w:rsidRPr="00BA4F8E">
        <w:t xml:space="preserve">Návrhová část se skládá ze šesti klíčových oblastí, v nichž Česká republika musí dosáhnout významných změn, aby se posílila znalostní náročnost ekonomiky a aby se usnadnilo rozvíjení vybraných domén specializace a jejich postupné profilování. Jedná se o následující klíčové změny: </w:t>
      </w:r>
    </w:p>
    <w:p w14:paraId="0283A176" w14:textId="77777777" w:rsidR="00B74B5A" w:rsidRPr="00BA4F8E" w:rsidRDefault="00B74B5A" w:rsidP="00543C1B">
      <w:pPr>
        <w:pStyle w:val="Odstavecseseznamem"/>
        <w:numPr>
          <w:ilvl w:val="0"/>
          <w:numId w:val="66"/>
        </w:numPr>
        <w:spacing w:before="240" w:after="200" w:line="360" w:lineRule="auto"/>
        <w:jc w:val="both"/>
      </w:pPr>
      <w:r w:rsidRPr="00BA4F8E">
        <w:t>Vyšší inovační výkonnost firem</w:t>
      </w:r>
    </w:p>
    <w:p w14:paraId="0ED5E664" w14:textId="77777777" w:rsidR="00B74B5A" w:rsidRPr="00BA4F8E" w:rsidRDefault="00B74B5A" w:rsidP="00543C1B">
      <w:pPr>
        <w:pStyle w:val="Odstavecseseznamem"/>
        <w:numPr>
          <w:ilvl w:val="0"/>
          <w:numId w:val="66"/>
        </w:numPr>
        <w:spacing w:before="240" w:after="200" w:line="360" w:lineRule="auto"/>
        <w:jc w:val="both"/>
      </w:pPr>
      <w:r w:rsidRPr="00BA4F8E">
        <w:t>Zvýšení kvality veřejného výzkumu</w:t>
      </w:r>
    </w:p>
    <w:p w14:paraId="3EF4387D" w14:textId="77777777" w:rsidR="00B74B5A" w:rsidRPr="00BA4F8E" w:rsidRDefault="00B74B5A" w:rsidP="00543C1B">
      <w:pPr>
        <w:pStyle w:val="Odstavecseseznamem"/>
        <w:numPr>
          <w:ilvl w:val="0"/>
          <w:numId w:val="66"/>
        </w:numPr>
        <w:spacing w:before="240" w:after="200" w:line="360" w:lineRule="auto"/>
        <w:jc w:val="both"/>
      </w:pPr>
      <w:r w:rsidRPr="00BA4F8E">
        <w:t>Zvýšení ekonomických přínosů veřejného výzkumu</w:t>
      </w:r>
    </w:p>
    <w:p w14:paraId="3A27D9B2" w14:textId="77777777" w:rsidR="00B74B5A" w:rsidRPr="00BA4F8E" w:rsidRDefault="00B74B5A" w:rsidP="00543C1B">
      <w:pPr>
        <w:pStyle w:val="Odstavecseseznamem"/>
        <w:numPr>
          <w:ilvl w:val="0"/>
          <w:numId w:val="66"/>
        </w:numPr>
        <w:spacing w:before="240" w:after="200" w:line="360" w:lineRule="auto"/>
        <w:jc w:val="both"/>
      </w:pPr>
      <w:r w:rsidRPr="00BA4F8E">
        <w:t>Lepší nabídka lidí v počtu i kvalitě pro inovační podnikání, výzkum a vývoj</w:t>
      </w:r>
    </w:p>
    <w:p w14:paraId="25D743AE" w14:textId="77777777" w:rsidR="00B74B5A" w:rsidRPr="00BA4F8E" w:rsidRDefault="00B74B5A" w:rsidP="00543C1B">
      <w:pPr>
        <w:pStyle w:val="Odstavecseseznamem"/>
        <w:numPr>
          <w:ilvl w:val="0"/>
          <w:numId w:val="66"/>
        </w:numPr>
        <w:spacing w:before="240" w:after="200" w:line="360" w:lineRule="auto"/>
        <w:jc w:val="both"/>
      </w:pPr>
      <w:r w:rsidRPr="00BA4F8E">
        <w:t>Rozvoj eGovernmentu a eBusinessu pro zvýšení konkurenceschopnosti</w:t>
      </w:r>
    </w:p>
    <w:p w14:paraId="4E4C1EA9" w14:textId="77777777" w:rsidR="00B74B5A" w:rsidRPr="00BA4F8E" w:rsidRDefault="00B74B5A" w:rsidP="00543C1B">
      <w:pPr>
        <w:pStyle w:val="Odstavecseseznamem"/>
        <w:numPr>
          <w:ilvl w:val="0"/>
          <w:numId w:val="66"/>
        </w:numPr>
        <w:spacing w:before="240" w:after="200" w:line="360" w:lineRule="auto"/>
        <w:jc w:val="both"/>
      </w:pPr>
      <w:r w:rsidRPr="00BA4F8E">
        <w:t>Posílení a lepší využití sociálního kapitálu a kreativity při řešení komplexních společenských výzev</w:t>
      </w:r>
    </w:p>
    <w:p w14:paraId="594118ED" w14:textId="77777777" w:rsidR="00B74B5A" w:rsidRPr="00BA4F8E" w:rsidRDefault="00B74B5A" w:rsidP="0061760B">
      <w:pPr>
        <w:spacing w:after="0" w:line="360" w:lineRule="auto"/>
        <w:ind w:firstLine="708"/>
        <w:jc w:val="both"/>
      </w:pPr>
      <w:r w:rsidRPr="00BA4F8E">
        <w:t xml:space="preserve">Tyto klíčové oblasti změn jsou dále strukturovány do </w:t>
      </w:r>
      <w:r w:rsidRPr="00BA4F8E">
        <w:rPr>
          <w:b/>
          <w:i/>
        </w:rPr>
        <w:t>strategických a specifických cílů</w:t>
      </w:r>
      <w:r w:rsidRPr="00BA4F8E">
        <w:t xml:space="preserve">, jejichž dosažení bude přispívat k dosažení změn na úrovni klíčových oblastí. Pro každý specifický cíl jsou navrženy </w:t>
      </w:r>
      <w:r w:rsidRPr="00BA4F8E">
        <w:rPr>
          <w:b/>
          <w:i/>
        </w:rPr>
        <w:t>typové projekty či aktivity</w:t>
      </w:r>
      <w:r w:rsidRPr="00BA4F8E">
        <w:t xml:space="preserve">, které však nejsou konečným seznamem aktivit či typových projektů. Typové projekty/aktivity zahrnují ty intervence, které jsou v současnosti v ČR připravovány či uvažovány. Na úrovni typových projektů/aktivit je však mnohé z nich třeba prověřit v partnerstvích (např. v Národních inovačních platformách). </w:t>
      </w:r>
    </w:p>
    <w:p w14:paraId="31662CA4" w14:textId="47197516" w:rsidR="00B74B5A" w:rsidRPr="00BA4F8E" w:rsidRDefault="00B74B5A" w:rsidP="0061760B">
      <w:pPr>
        <w:spacing w:after="0" w:line="360" w:lineRule="auto"/>
        <w:ind w:firstLine="708"/>
        <w:jc w:val="both"/>
      </w:pPr>
      <w:r w:rsidRPr="00BA4F8E">
        <w:t xml:space="preserve">Vzhledem k tomu, že dlouhodobý proces spolupráce a partnerství s podnikateli a výzkumníky, jakož i dalšími hráči z quadruple helix je nedílnou a nezbytnou součástí přípravy a zejména realizace RIS3 strategie (EDP), a vzhledem k proměnlivosti prostředí a složek inovačního systému ČR, které jsou v průběhu programovacího období nevyhnutelné, nelze s dostatečnou jistotou popsat a naplánovat jednotlivé dílčí aktivity a typové projekty na celou dobu realizace RIS3. Naopak, navržení definitivní struktury typových projektů a aktivit by bylo proti smyslu procesu hledání příležitostí k rozvíjení specializace za účasti podnikatelů a výzkumníků, který je RIS3 strategii vlastní. </w:t>
      </w:r>
    </w:p>
    <w:p w14:paraId="37CB62AD" w14:textId="45F40627" w:rsidR="00B74B5A" w:rsidRPr="00BA4F8E" w:rsidRDefault="00B74B5A" w:rsidP="0061760B">
      <w:pPr>
        <w:spacing w:after="0" w:line="360" w:lineRule="auto"/>
        <w:ind w:firstLine="708"/>
        <w:jc w:val="both"/>
      </w:pPr>
      <w:r w:rsidRPr="00BA4F8E">
        <w:t xml:space="preserve">Klíčové oblasti změn nestojí samostatně a izolovaně, nýbrž jejich intervence se navzájem podporují a doplňují. Míra vázanosti jednotlivých typových projektů/aktivit se samozřejmě odlišná. </w:t>
      </w:r>
    </w:p>
    <w:p w14:paraId="28D3BB49" w14:textId="77777777" w:rsidR="00B74B5A" w:rsidRPr="00BA4F8E" w:rsidRDefault="00B74B5A" w:rsidP="00B74B5A"/>
    <w:p w14:paraId="0D28178B" w14:textId="74DEAE84" w:rsidR="00EB38E9" w:rsidRPr="004305E3" w:rsidRDefault="006E3CC5" w:rsidP="00F76546">
      <w:pPr>
        <w:pStyle w:val="Nadpis2"/>
      </w:pPr>
      <w:bookmarkStart w:id="110" w:name="_Toc525716204"/>
      <w:r w:rsidRPr="004305E3">
        <w:lastRenderedPageBreak/>
        <w:t>Kombinace intervencí v Národní RIS3</w:t>
      </w:r>
      <w:bookmarkEnd w:id="110"/>
    </w:p>
    <w:p w14:paraId="6AAE2824" w14:textId="664CAD7B" w:rsidR="004305E3" w:rsidRPr="004305E3" w:rsidRDefault="004305E3" w:rsidP="00F82727">
      <w:pPr>
        <w:spacing w:before="240" w:line="360" w:lineRule="auto"/>
        <w:ind w:firstLine="709"/>
        <w:jc w:val="both"/>
        <w:rPr>
          <w:rFonts w:ascii="Calibri" w:hAnsi="Calibri"/>
        </w:rPr>
      </w:pPr>
      <w:r w:rsidRPr="004305E3">
        <w:rPr>
          <w:rFonts w:ascii="Calibri" w:hAnsi="Calibri"/>
        </w:rPr>
        <w:t>Česká republika patří mezi země, které jsou zařazovány do skupiny průměrných inovátorů (moderate innovators dle IUS) nebo v některých případech dokonce mezi inovačně založené ekonomiky (pro účely žebříčku GCI). Z analytické části RIS3 i z analýz prováděných pro jiné účely však vyplývá, že z pohledu znalostní náročnosti a konkurenceschopnosti založené na inovacích nepatří Česká republika mezi nejvyspělejší země, přestože mezi méně vyspělými evropskými zeměmi náleží mezi nejinovativnější. Z toho důvodu je pro ČR důležité realizovat intervence, vedoucí nejen k posílení a rozvíjení specializace, jako je tomu v nejvyspělejších zemích a regionech Evropy, ale soustředit se také na intervence, které rozvíjení inovační systém jako celek, zlepšují jeho podmínky a fungování a</w:t>
      </w:r>
      <w:r w:rsidR="00F82727">
        <w:rPr>
          <w:rFonts w:ascii="Calibri" w:hAnsi="Calibri"/>
        </w:rPr>
        <w:t> </w:t>
      </w:r>
      <w:r w:rsidRPr="004305E3">
        <w:rPr>
          <w:rFonts w:ascii="Calibri" w:hAnsi="Calibri"/>
        </w:rPr>
        <w:t xml:space="preserve">dobudovávají jej. Proto je RIS3 zaměřena a obsahuje dva druhy intervencí: </w:t>
      </w:r>
    </w:p>
    <w:p w14:paraId="3646CEEF" w14:textId="77777777" w:rsidR="004305E3" w:rsidRPr="004305E3" w:rsidRDefault="004305E3" w:rsidP="00543C1B">
      <w:pPr>
        <w:pStyle w:val="Odstavecseseznamem"/>
        <w:numPr>
          <w:ilvl w:val="0"/>
          <w:numId w:val="228"/>
        </w:numPr>
        <w:spacing w:after="200" w:line="360" w:lineRule="auto"/>
        <w:jc w:val="both"/>
        <w:rPr>
          <w:rFonts w:ascii="Calibri" w:hAnsi="Calibri"/>
        </w:rPr>
      </w:pPr>
      <w:r w:rsidRPr="004305E3">
        <w:rPr>
          <w:rFonts w:ascii="Calibri" w:hAnsi="Calibri"/>
        </w:rPr>
        <w:t>intervence neorientované specificky na vybraná odvětví, zaměřené na dobudování inovačního systému s cílem zlepšit podmínky pro efektivní investice do inteligentní specializace,</w:t>
      </w:r>
    </w:p>
    <w:p w14:paraId="557D8934" w14:textId="77777777" w:rsidR="004305E3" w:rsidRPr="004305E3" w:rsidRDefault="004305E3" w:rsidP="00543C1B">
      <w:pPr>
        <w:pStyle w:val="Odstavecseseznamem"/>
        <w:numPr>
          <w:ilvl w:val="0"/>
          <w:numId w:val="228"/>
        </w:numPr>
        <w:spacing w:after="200" w:line="360" w:lineRule="auto"/>
        <w:jc w:val="both"/>
        <w:rPr>
          <w:rFonts w:ascii="Calibri" w:hAnsi="Calibri"/>
        </w:rPr>
      </w:pPr>
      <w:r w:rsidRPr="004305E3">
        <w:rPr>
          <w:rFonts w:ascii="Calibri" w:hAnsi="Calibri"/>
        </w:rPr>
        <w:t xml:space="preserve">intervence zacílené na vybrané domény, vedoucí k posílení inteligentní specializace prostřednictvím hledání a využívání příležitostí pro inovace vedoucí k růstu firem a jejich zvyšující se úspěšnosti na globálních trzích. </w:t>
      </w:r>
    </w:p>
    <w:p w14:paraId="58688455" w14:textId="120413F7" w:rsidR="00EB38E9" w:rsidRDefault="004305E3" w:rsidP="00F82727">
      <w:pPr>
        <w:spacing w:line="360" w:lineRule="auto"/>
        <w:ind w:firstLine="709"/>
        <w:jc w:val="both"/>
        <w:rPr>
          <w:rFonts w:ascii="Calibri" w:hAnsi="Calibri"/>
        </w:rPr>
      </w:pPr>
      <w:r w:rsidRPr="004305E3">
        <w:rPr>
          <w:rFonts w:ascii="Calibri" w:hAnsi="Calibri"/>
        </w:rPr>
        <w:t>První typ intervencí bude v prvních letech v Národní RIS3 strategie převažovat, protože jsou podmínkou pro růst efektivity intervencí vedoucích k rozvíjení specializace. V průběhu realizace Národní RIS3 strategie a za účasti podnikatelů a výzkumníků (EDP) budou v navržených doménách specializace postupně identifikovány nové, rozvíjející se a slibné příležitosti pro zlepšení specializace a</w:t>
      </w:r>
      <w:r w:rsidR="00F82727">
        <w:rPr>
          <w:rFonts w:ascii="Calibri" w:hAnsi="Calibri"/>
        </w:rPr>
        <w:t> </w:t>
      </w:r>
      <w:r w:rsidRPr="004305E3">
        <w:rPr>
          <w:rFonts w:ascii="Calibri" w:hAnsi="Calibri"/>
        </w:rPr>
        <w:t>tato složka RIS3 bude posilována. V průběhu realizace se budou ve spolupráci s podnikateli a</w:t>
      </w:r>
      <w:r w:rsidR="00F82727">
        <w:rPr>
          <w:rFonts w:ascii="Calibri" w:hAnsi="Calibri"/>
        </w:rPr>
        <w:t> </w:t>
      </w:r>
      <w:r w:rsidRPr="004305E3">
        <w:rPr>
          <w:rFonts w:ascii="Calibri" w:hAnsi="Calibri"/>
        </w:rPr>
        <w:t>výzkumníky postupně profilovat navržené domény specializace (na národní i krajské úrovni) a</w:t>
      </w:r>
      <w:r w:rsidR="00524846">
        <w:rPr>
          <w:rFonts w:ascii="Calibri" w:hAnsi="Calibri"/>
        </w:rPr>
        <w:t> </w:t>
      </w:r>
      <w:r w:rsidRPr="004305E3">
        <w:rPr>
          <w:rFonts w:ascii="Calibri" w:hAnsi="Calibri"/>
        </w:rPr>
        <w:t>investice se budou zaměřovat na jejich podporu a rozvíjení.  V závěru programovacího období budou intervence rozvíjející domény specializace důležitější, než intervence směřující na dobudování a rozvoj inovačního systému jako celku.</w:t>
      </w:r>
    </w:p>
    <w:p w14:paraId="767BBA45" w14:textId="03A5CFCC" w:rsidR="0081763E" w:rsidRDefault="0081763E">
      <w:pPr>
        <w:spacing w:after="200" w:line="276" w:lineRule="auto"/>
        <w:rPr>
          <w:rFonts w:ascii="Calibri" w:hAnsi="Calibri"/>
        </w:rPr>
      </w:pPr>
      <w:r>
        <w:rPr>
          <w:rFonts w:ascii="Calibri" w:hAnsi="Calibri"/>
        </w:rPr>
        <w:br w:type="page"/>
      </w:r>
    </w:p>
    <w:p w14:paraId="561BED03" w14:textId="567F6A3F" w:rsidR="006E3CC5" w:rsidRPr="00F76546" w:rsidRDefault="000C5CAD" w:rsidP="00F76546">
      <w:pPr>
        <w:pStyle w:val="Nadpis1"/>
      </w:pPr>
      <w:bookmarkStart w:id="111" w:name="_Ref521492712"/>
      <w:bookmarkStart w:id="112" w:name="_Ref521492720"/>
      <w:bookmarkStart w:id="113" w:name="_Toc525716205"/>
      <w:r w:rsidRPr="00F76546">
        <w:lastRenderedPageBreak/>
        <w:t>Klíčové oblasti změn</w:t>
      </w:r>
      <w:bookmarkEnd w:id="111"/>
      <w:bookmarkEnd w:id="112"/>
      <w:bookmarkEnd w:id="113"/>
    </w:p>
    <w:p w14:paraId="08606ACE" w14:textId="6706D50D" w:rsidR="000C5CAD" w:rsidRPr="00F76546" w:rsidRDefault="000C5CAD" w:rsidP="00F76546">
      <w:pPr>
        <w:pStyle w:val="Nadpis2"/>
      </w:pPr>
      <w:bookmarkStart w:id="114" w:name="_Toc525716206"/>
      <w:r w:rsidRPr="00F76546">
        <w:t>Podnikání a inovace</w:t>
      </w:r>
      <w:bookmarkEnd w:id="114"/>
    </w:p>
    <w:p w14:paraId="112FE8B1" w14:textId="77777777" w:rsidR="00FE6BBC" w:rsidRPr="00BA4F8E" w:rsidRDefault="00FE6BBC" w:rsidP="00FE6BBC">
      <w:pPr>
        <w:spacing w:line="240" w:lineRule="auto"/>
        <w:rPr>
          <w:rFonts w:cs="Arial"/>
          <w:b/>
        </w:rPr>
      </w:pPr>
    </w:p>
    <w:p w14:paraId="3B02894A" w14:textId="77777777" w:rsidR="00FE6BBC" w:rsidRPr="00BA4F8E" w:rsidRDefault="00FE6BBC" w:rsidP="00FE6BBC">
      <w:pPr>
        <w:spacing w:line="240" w:lineRule="auto"/>
        <w:rPr>
          <w:rFonts w:cs="Arial"/>
          <w:b/>
        </w:rPr>
      </w:pPr>
      <w:r w:rsidRPr="00BA4F8E">
        <w:rPr>
          <w:rFonts w:cs="Arial"/>
          <w:b/>
        </w:rPr>
        <w:t>Klíčová oblast změn A</w:t>
      </w:r>
      <w:r w:rsidRPr="00BA4F8E">
        <w:rPr>
          <w:rFonts w:cs="Arial"/>
        </w:rPr>
        <w:t xml:space="preserve">: </w:t>
      </w:r>
      <w:r w:rsidRPr="00BA4F8E">
        <w:rPr>
          <w:rFonts w:cs="Arial"/>
          <w:b/>
        </w:rPr>
        <w:t>Vyšší inovační výkonnost firem</w:t>
      </w:r>
    </w:p>
    <w:p w14:paraId="6B59B0C6" w14:textId="77777777" w:rsidR="00FE6BBC" w:rsidRPr="00BA4F8E" w:rsidRDefault="00FE6BBC" w:rsidP="00932F31">
      <w:pPr>
        <w:spacing w:after="0" w:line="360" w:lineRule="auto"/>
        <w:ind w:firstLine="708"/>
        <w:jc w:val="both"/>
        <w:rPr>
          <w:rFonts w:cs="Arial"/>
        </w:rPr>
      </w:pPr>
      <w:r w:rsidRPr="00BA4F8E">
        <w:rPr>
          <w:rFonts w:cs="Arial"/>
        </w:rPr>
        <w:t xml:space="preserve">Základním předpokladem obnovení dlouhodobějšího růstu a tím dalšího sbližování úrovně prosperity v ČR s rozvinutými zeměmi (Německo, Rakousko apod.) je podstatné zvýšení rozvojové dynamiky a inovační výkonnosti firem. Za tímto účelem je třeba neustále kultivovat podnikatelské prostředí, a to jak v oblasti předvídatelné a štíhlé regulace, tak v oblasti podmínek pro rozvoj znalostně intenzivních aktivit. </w:t>
      </w:r>
    </w:p>
    <w:p w14:paraId="6ADF9469" w14:textId="77777777" w:rsidR="00FE6BBC" w:rsidRPr="00BA4F8E" w:rsidRDefault="00FE6BBC" w:rsidP="00932F31">
      <w:pPr>
        <w:spacing w:after="0" w:line="360" w:lineRule="auto"/>
        <w:ind w:firstLine="708"/>
        <w:jc w:val="both"/>
        <w:rPr>
          <w:rFonts w:cs="Arial"/>
        </w:rPr>
      </w:pPr>
      <w:r w:rsidRPr="00BA4F8E">
        <w:rPr>
          <w:rFonts w:cs="Arial"/>
        </w:rPr>
        <w:t>Za tímto účelem je Strategie inteligentní specializace ČR v oblasti podnikání a inovací zaměřena na následující tři strategické cíle:</w:t>
      </w:r>
    </w:p>
    <w:p w14:paraId="1E4D8359" w14:textId="77777777" w:rsidR="00FE6BBC" w:rsidRPr="00BA4F8E" w:rsidRDefault="00FE6BBC" w:rsidP="00543C1B">
      <w:pPr>
        <w:pStyle w:val="Odstavecseseznamem"/>
        <w:numPr>
          <w:ilvl w:val="0"/>
          <w:numId w:val="23"/>
        </w:numPr>
        <w:spacing w:after="200" w:line="360" w:lineRule="auto"/>
        <w:jc w:val="both"/>
        <w:rPr>
          <w:rFonts w:cs="Arial"/>
        </w:rPr>
      </w:pPr>
      <w:r w:rsidRPr="00BA4F8E">
        <w:rPr>
          <w:rFonts w:cs="Arial"/>
        </w:rPr>
        <w:t xml:space="preserve">Zvýšení inovační poptávky v podnikovém i veřejném sektoru. </w:t>
      </w:r>
    </w:p>
    <w:p w14:paraId="1EB4A2E8" w14:textId="4F5BFD77" w:rsidR="00FE6BBC" w:rsidRPr="00BA4F8E" w:rsidRDefault="00FE6BBC" w:rsidP="00350DDE">
      <w:pPr>
        <w:pStyle w:val="Odstavecseseznamem"/>
        <w:spacing w:after="200" w:line="360" w:lineRule="auto"/>
        <w:jc w:val="both"/>
        <w:rPr>
          <w:rFonts w:cs="Arial"/>
        </w:rPr>
      </w:pPr>
      <w:r w:rsidRPr="00BA4F8E">
        <w:rPr>
          <w:rFonts w:cs="Arial"/>
        </w:rPr>
        <w:t>Nedostatek a zejména nízké ambice inovační poptávky v aplikační sféře má řadu příčin (viz</w:t>
      </w:r>
      <w:r w:rsidR="00E11E24">
        <w:rPr>
          <w:rFonts w:cs="Arial"/>
        </w:rPr>
        <w:t> </w:t>
      </w:r>
      <w:r w:rsidRPr="00BA4F8E">
        <w:rPr>
          <w:rFonts w:cs="Arial"/>
        </w:rPr>
        <w:t>analytická část této strategie), které společně přispívají k fragmentaci národního inovačního systému a nízké inovační výkonnosti. Zvýšení inovační poptávky aplikační sféry bude podpořeno (i) posílením výzkumných a vývojových kapacit podniků, (ii) zlepšením netechnických kompetencí firem – tzn.</w:t>
      </w:r>
      <w:r w:rsidR="001A6A35" w:rsidRPr="00BA4F8E">
        <w:rPr>
          <w:rFonts w:cs="Arial"/>
        </w:rPr>
        <w:t> </w:t>
      </w:r>
      <w:r w:rsidRPr="00BA4F8E">
        <w:rPr>
          <w:rFonts w:cs="Arial"/>
        </w:rPr>
        <w:t xml:space="preserve">strategického řízení, inovačního managementu, marketingu atd. a (iii) posílením všestranné spolupráce v souladu s trendem open-innovation, který se stále více prosazuje v rámci podnikových inovačních procesů. Pozornost bude věnována také iniciaci inovační poptávky ve veřejném sektoru. Současně bude pozornost zaměřena na stimulaci růstových a inovačních aspirací podnikatelů a řídících manažerů firem, zejm. MSP. Zvláštní důraz přitom bude kladen na inovace nové pro trh, nikoliv pouze pro firmu.  </w:t>
      </w:r>
    </w:p>
    <w:p w14:paraId="12DA7341" w14:textId="77777777" w:rsidR="00FE6BBC" w:rsidRPr="00BA4F8E" w:rsidRDefault="00FE6BBC" w:rsidP="00543C1B">
      <w:pPr>
        <w:pStyle w:val="Odstavecseseznamem"/>
        <w:numPr>
          <w:ilvl w:val="0"/>
          <w:numId w:val="23"/>
        </w:numPr>
        <w:spacing w:after="200" w:line="360" w:lineRule="auto"/>
        <w:jc w:val="both"/>
        <w:rPr>
          <w:rFonts w:cs="Arial"/>
        </w:rPr>
      </w:pPr>
      <w:r w:rsidRPr="00BA4F8E">
        <w:rPr>
          <w:rFonts w:cs="Arial"/>
        </w:rPr>
        <w:t xml:space="preserve">Zvýšení míry podnikání ve společnosti, přičemž důraz je kladen na vznik znalostně intenzivních firem v rychle rostoucích oblastech (nikoliv pouze IT). Hlavními cestami naplnění tohoto cíle jsou podpora kvalitního poradenství a podmínek pro začínající technologické firmy. Podporováno však bude i zahajování prvního podnikání u co největší části populace. Úspěšné rychle rostoucí firmy totiž bývají nejčastěji zakládány již zralejšími lidmi s předchozí podnikatelskou zkušeností. Celkové zvýšení míry podnikání a podnikavosti je v plné synergii s prvním strategickým cílem, neboť nové technologické firmy jsou významným zdrojem růstu inovační poptávky. </w:t>
      </w:r>
    </w:p>
    <w:p w14:paraId="61843757" w14:textId="77777777" w:rsidR="00FE6BBC" w:rsidRPr="00BA4F8E" w:rsidRDefault="00FE6BBC" w:rsidP="00543C1B">
      <w:pPr>
        <w:pStyle w:val="Odstavecseseznamem"/>
        <w:numPr>
          <w:ilvl w:val="0"/>
          <w:numId w:val="23"/>
        </w:numPr>
        <w:spacing w:after="200" w:line="360" w:lineRule="auto"/>
        <w:jc w:val="both"/>
        <w:rPr>
          <w:rFonts w:cs="Arial"/>
        </w:rPr>
      </w:pPr>
      <w:r w:rsidRPr="00BA4F8E">
        <w:rPr>
          <w:rFonts w:cs="Arial"/>
        </w:rPr>
        <w:t xml:space="preserve">Zvýšení internacionalizace MSP. Domácí trh je malý a většina růstových příležitostí je v zahraničí, zvláště na rychle rostoucích trzích v rozvíjejících se zemích, kam se postupně přesouvá těžiště globální poptávky. Větší internacionalizace MSP je v delším období </w:t>
      </w:r>
      <w:r w:rsidRPr="00BA4F8E">
        <w:rPr>
          <w:rFonts w:cs="Arial"/>
        </w:rPr>
        <w:lastRenderedPageBreak/>
        <w:t xml:space="preserve">nezbytným předpokladem maximálního hospodářského přínosu naplňování předchozích dvou strategických cílů. </w:t>
      </w:r>
    </w:p>
    <w:tbl>
      <w:tblPr>
        <w:tblW w:w="0" w:type="auto"/>
        <w:tblLook w:val="04A0" w:firstRow="1" w:lastRow="0" w:firstColumn="1" w:lastColumn="0" w:noHBand="0" w:noVBand="1"/>
      </w:tblPr>
      <w:tblGrid>
        <w:gridCol w:w="2116"/>
        <w:gridCol w:w="567"/>
        <w:gridCol w:w="2466"/>
        <w:gridCol w:w="394"/>
        <w:gridCol w:w="213"/>
        <w:gridCol w:w="3306"/>
      </w:tblGrid>
      <w:tr w:rsidR="00E76F0E" w:rsidRPr="00BA4F8E" w14:paraId="5459E547" w14:textId="77777777" w:rsidTr="001E17FA">
        <w:trPr>
          <w:trHeight w:val="387"/>
        </w:trPr>
        <w:tc>
          <w:tcPr>
            <w:tcW w:w="9062" w:type="dxa"/>
            <w:gridSpan w:val="6"/>
            <w:tcBorders>
              <w:top w:val="single" w:sz="4" w:space="0" w:color="auto"/>
              <w:left w:val="single" w:sz="4" w:space="0" w:color="auto"/>
              <w:bottom w:val="single" w:sz="4" w:space="0" w:color="auto"/>
              <w:right w:val="single" w:sz="4" w:space="0" w:color="auto"/>
            </w:tcBorders>
            <w:shd w:val="clear" w:color="auto" w:fill="A9141A" w:themeFill="accent1" w:themeFillShade="BF"/>
            <w:vAlign w:val="center"/>
          </w:tcPr>
          <w:p w14:paraId="28941798" w14:textId="77777777" w:rsidR="00E76F0E" w:rsidRPr="00BA4F8E" w:rsidRDefault="00E76F0E" w:rsidP="003F15C6">
            <w:pPr>
              <w:spacing w:after="0" w:line="240" w:lineRule="auto"/>
              <w:rPr>
                <w:rFonts w:cstheme="minorHAnsi"/>
                <w:b/>
                <w:color w:val="FFFFFF" w:themeColor="background1"/>
              </w:rPr>
            </w:pPr>
            <w:r w:rsidRPr="00BA4F8E">
              <w:rPr>
                <w:rFonts w:cstheme="minorHAnsi"/>
                <w:b/>
                <w:color w:val="FFFFFF" w:themeColor="background1"/>
              </w:rPr>
              <w:t>Klíčová oblast změn A: Vyšší inovační výkonnost firem</w:t>
            </w:r>
          </w:p>
        </w:tc>
      </w:tr>
      <w:tr w:rsidR="00E76F0E" w:rsidRPr="00BA4F8E" w14:paraId="5298A240" w14:textId="77777777" w:rsidTr="001E17FA">
        <w:trPr>
          <w:trHeight w:val="450"/>
        </w:trPr>
        <w:tc>
          <w:tcPr>
            <w:tcW w:w="5149"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17BDC470" w14:textId="77777777" w:rsidR="00E76F0E" w:rsidRPr="00BA4F8E" w:rsidRDefault="00E76F0E" w:rsidP="00C861EB">
            <w:pPr>
              <w:spacing w:after="0"/>
              <w:jc w:val="both"/>
              <w:rPr>
                <w:rFonts w:cstheme="minorHAnsi"/>
                <w:color w:val="FFFFFF" w:themeColor="background1"/>
              </w:rPr>
            </w:pPr>
            <w:r w:rsidRPr="00BA4F8E">
              <w:rPr>
                <w:rFonts w:cstheme="minorHAnsi"/>
                <w:b/>
                <w:color w:val="FFFFFF" w:themeColor="background1"/>
              </w:rPr>
              <w:t>Strategické cíle v klíčové oblasti změn A:</w:t>
            </w:r>
          </w:p>
        </w:tc>
        <w:tc>
          <w:tcPr>
            <w:tcW w:w="3913"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6625C8E3" w14:textId="77777777" w:rsidR="00E76F0E" w:rsidRPr="00BA4F8E" w:rsidRDefault="00E76F0E" w:rsidP="00C861EB">
            <w:pPr>
              <w:spacing w:after="0"/>
              <w:jc w:val="both"/>
              <w:rPr>
                <w:rFonts w:cstheme="minorHAnsi"/>
                <w:color w:val="FFFFFF" w:themeColor="background1"/>
              </w:rPr>
            </w:pPr>
            <w:r w:rsidRPr="00BA4F8E">
              <w:rPr>
                <w:rFonts w:cstheme="minorHAnsi"/>
                <w:b/>
                <w:color w:val="FFFFFF" w:themeColor="background1"/>
              </w:rPr>
              <w:t>Indikátory strategických cílů/klíčové oblasti změn:</w:t>
            </w:r>
          </w:p>
        </w:tc>
      </w:tr>
      <w:tr w:rsidR="00E76F0E" w:rsidRPr="00BA4F8E" w14:paraId="6D997F79" w14:textId="77777777" w:rsidTr="001E17FA">
        <w:trPr>
          <w:trHeight w:val="555"/>
        </w:trPr>
        <w:tc>
          <w:tcPr>
            <w:tcW w:w="5149"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44955FC5" w14:textId="77777777" w:rsidR="00E76F0E" w:rsidRPr="00BA4F8E" w:rsidRDefault="00E76F0E" w:rsidP="00C861EB">
            <w:pPr>
              <w:spacing w:after="0"/>
              <w:jc w:val="both"/>
              <w:rPr>
                <w:rFonts w:cstheme="minorHAnsi"/>
                <w:color w:val="FFFFFF" w:themeColor="background1"/>
              </w:rPr>
            </w:pPr>
            <w:r w:rsidRPr="00BA4F8E">
              <w:rPr>
                <w:rFonts w:cstheme="minorHAnsi"/>
                <w:color w:val="FFFFFF" w:themeColor="background1"/>
              </w:rPr>
              <w:t>A Vyšší inovační výkonnost firem</w:t>
            </w:r>
          </w:p>
        </w:tc>
        <w:tc>
          <w:tcPr>
            <w:tcW w:w="3913"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3187DF56" w14:textId="4C876162" w:rsidR="00E76F0E" w:rsidRPr="00BA4F8E" w:rsidRDefault="00E76F0E" w:rsidP="00C861EB">
            <w:pPr>
              <w:spacing w:after="0"/>
              <w:ind w:left="728" w:hanging="709"/>
              <w:jc w:val="both"/>
              <w:rPr>
                <w:rFonts w:cstheme="minorHAnsi"/>
                <w:color w:val="FFFFFF" w:themeColor="background1"/>
              </w:rPr>
            </w:pPr>
            <w:r w:rsidRPr="00BA4F8E">
              <w:rPr>
                <w:rFonts w:cstheme="minorHAnsi"/>
                <w:color w:val="FFFFFF" w:themeColor="background1"/>
              </w:rPr>
              <w:t>22000</w:t>
            </w:r>
            <w:r w:rsidRPr="00BA4F8E">
              <w:rPr>
                <w:rFonts w:cstheme="minorHAnsi"/>
                <w:color w:val="FFFFFF" w:themeColor="background1"/>
              </w:rPr>
              <w:tab/>
              <w:t>Patentové žádosti podané u</w:t>
            </w:r>
            <w:r w:rsidR="001307A2">
              <w:rPr>
                <w:rFonts w:cstheme="minorHAnsi"/>
                <w:color w:val="FFFFFF" w:themeColor="background1"/>
              </w:rPr>
              <w:t> </w:t>
            </w:r>
            <w:r w:rsidRPr="00BA4F8E">
              <w:rPr>
                <w:rFonts w:cstheme="minorHAnsi"/>
                <w:color w:val="FFFFFF" w:themeColor="background1"/>
              </w:rPr>
              <w:t xml:space="preserve">Evropského patentového úřadu na mil. obyvatel </w:t>
            </w:r>
          </w:p>
          <w:p w14:paraId="448FA6C1" w14:textId="77777777" w:rsidR="00E76F0E" w:rsidRPr="00BA4F8E" w:rsidRDefault="00E76F0E" w:rsidP="00C861EB">
            <w:pPr>
              <w:spacing w:after="0"/>
              <w:jc w:val="both"/>
              <w:rPr>
                <w:rFonts w:cstheme="minorHAnsi"/>
                <w:color w:val="FFFFFF" w:themeColor="background1"/>
              </w:rPr>
            </w:pPr>
            <w:r w:rsidRPr="00BA4F8E">
              <w:rPr>
                <w:rFonts w:cstheme="minorHAnsi"/>
                <w:color w:val="FFFFFF" w:themeColor="background1"/>
              </w:rPr>
              <w:t>21002</w:t>
            </w:r>
            <w:r w:rsidRPr="00BA4F8E">
              <w:rPr>
                <w:rFonts w:cstheme="minorHAnsi"/>
                <w:color w:val="FFFFFF" w:themeColor="background1"/>
              </w:rPr>
              <w:tab/>
              <w:t>Výdaje na VaV v podnikatelském sektoru</w:t>
            </w:r>
          </w:p>
          <w:p w14:paraId="55FD2303" w14:textId="77777777" w:rsidR="00E76F0E" w:rsidRPr="00BA4F8E" w:rsidRDefault="00E76F0E" w:rsidP="00C861EB">
            <w:pPr>
              <w:spacing w:after="0"/>
              <w:jc w:val="both"/>
              <w:rPr>
                <w:rFonts w:cstheme="minorHAnsi"/>
                <w:color w:val="FFFFFF" w:themeColor="background1"/>
              </w:rPr>
            </w:pPr>
            <w:r w:rsidRPr="00BA4F8E">
              <w:rPr>
                <w:rFonts w:cstheme="minorHAnsi"/>
                <w:color w:val="FFFFFF" w:themeColor="background1"/>
              </w:rPr>
              <w:t>21100</w:t>
            </w:r>
            <w:r w:rsidRPr="00BA4F8E">
              <w:rPr>
                <w:rFonts w:cstheme="minorHAnsi"/>
                <w:color w:val="FFFFFF" w:themeColor="background1"/>
              </w:rPr>
              <w:tab/>
              <w:t>Souhrnný inovační index (SII)</w:t>
            </w:r>
          </w:p>
          <w:p w14:paraId="6B350F51" w14:textId="77777777" w:rsidR="00E76F0E" w:rsidRPr="00BA4F8E" w:rsidRDefault="00E76F0E" w:rsidP="00C861EB">
            <w:pPr>
              <w:spacing w:after="0"/>
              <w:jc w:val="both"/>
              <w:rPr>
                <w:rFonts w:cstheme="minorHAnsi"/>
                <w:b/>
                <w:color w:val="FFFFFF" w:themeColor="background1"/>
              </w:rPr>
            </w:pPr>
            <w:r w:rsidRPr="00BA4F8E">
              <w:rPr>
                <w:rFonts w:cstheme="minorHAnsi"/>
                <w:color w:val="FFFFFF" w:themeColor="background1"/>
              </w:rPr>
              <w:t>21101</w:t>
            </w:r>
            <w:r w:rsidRPr="00BA4F8E">
              <w:rPr>
                <w:rFonts w:cstheme="minorHAnsi"/>
                <w:color w:val="FFFFFF" w:themeColor="background1"/>
              </w:rPr>
              <w:tab/>
              <w:t>Index konkurenceschopnosti</w:t>
            </w:r>
          </w:p>
        </w:tc>
      </w:tr>
      <w:tr w:rsidR="00E76F0E" w:rsidRPr="00BA4F8E" w14:paraId="78C61226" w14:textId="77777777" w:rsidTr="001E17FA">
        <w:tc>
          <w:tcPr>
            <w:tcW w:w="5149"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34BC3846" w14:textId="77777777" w:rsidR="00E76F0E" w:rsidRPr="00BA4F8E" w:rsidRDefault="00E76F0E" w:rsidP="00C861EB">
            <w:pPr>
              <w:spacing w:after="0"/>
              <w:jc w:val="both"/>
              <w:rPr>
                <w:rFonts w:cstheme="minorHAnsi"/>
                <w:color w:val="FFFFFF" w:themeColor="background1"/>
              </w:rPr>
            </w:pPr>
            <w:r w:rsidRPr="00BA4F8E">
              <w:rPr>
                <w:rFonts w:cstheme="minorHAnsi"/>
                <w:color w:val="FFFFFF" w:themeColor="background1"/>
              </w:rPr>
              <w:t>A.1: Zvýšit inovační poptávku ve firmách (i ve veřejném sektoru)</w:t>
            </w:r>
          </w:p>
        </w:tc>
        <w:tc>
          <w:tcPr>
            <w:tcW w:w="3913"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33C79DE3" w14:textId="7AE70E5D" w:rsidR="00E76F0E" w:rsidRPr="00BA4F8E" w:rsidRDefault="00E76F0E" w:rsidP="00C861EB">
            <w:pPr>
              <w:spacing w:after="0"/>
              <w:ind w:left="728" w:hanging="728"/>
              <w:jc w:val="both"/>
              <w:rPr>
                <w:rFonts w:cstheme="minorHAnsi"/>
                <w:color w:val="FFFFFF" w:themeColor="background1"/>
              </w:rPr>
            </w:pPr>
            <w:r w:rsidRPr="00BA4F8E">
              <w:rPr>
                <w:rFonts w:cstheme="minorHAnsi"/>
                <w:color w:val="FFFFFF" w:themeColor="background1"/>
              </w:rPr>
              <w:t>21010</w:t>
            </w:r>
            <w:r w:rsidRPr="00BA4F8E">
              <w:rPr>
                <w:rFonts w:cstheme="minorHAnsi"/>
                <w:color w:val="FFFFFF" w:themeColor="background1"/>
              </w:rPr>
              <w:tab/>
              <w:t>Podnikové výdaje na VaV v podnikatelském sektoru jako</w:t>
            </w:r>
            <w:r w:rsidR="001307A2">
              <w:rPr>
                <w:rFonts w:cstheme="minorHAnsi"/>
                <w:color w:val="FFFFFF" w:themeColor="background1"/>
              </w:rPr>
              <w:t> </w:t>
            </w:r>
            <w:r w:rsidRPr="00BA4F8E">
              <w:rPr>
                <w:rFonts w:cstheme="minorHAnsi"/>
                <w:color w:val="FFFFFF" w:themeColor="background1"/>
              </w:rPr>
              <w:t>% HDP - regiony (mimo Prahu)</w:t>
            </w:r>
          </w:p>
          <w:p w14:paraId="0C00D9BF" w14:textId="76924D7C" w:rsidR="00E76F0E" w:rsidRPr="00BA4F8E" w:rsidRDefault="00E76F0E" w:rsidP="00C861EB">
            <w:pPr>
              <w:spacing w:after="0"/>
              <w:ind w:left="728" w:hanging="709"/>
              <w:jc w:val="both"/>
              <w:rPr>
                <w:rFonts w:cstheme="minorHAnsi"/>
                <w:color w:val="FFFFFF" w:themeColor="background1"/>
              </w:rPr>
            </w:pPr>
            <w:r w:rsidRPr="00BA4F8E">
              <w:rPr>
                <w:rFonts w:cstheme="minorHAnsi"/>
                <w:color w:val="FFFFFF" w:themeColor="background1"/>
              </w:rPr>
              <w:t>21022</w:t>
            </w:r>
            <w:r w:rsidRPr="00BA4F8E">
              <w:rPr>
                <w:rFonts w:cstheme="minorHAnsi"/>
                <w:color w:val="FFFFFF" w:themeColor="background1"/>
              </w:rPr>
              <w:tab/>
              <w:t>Podíl výdajů na VaV v</w:t>
            </w:r>
            <w:r w:rsidR="001307A2">
              <w:rPr>
                <w:rFonts w:cstheme="minorHAnsi"/>
                <w:color w:val="FFFFFF" w:themeColor="background1"/>
              </w:rPr>
              <w:t> </w:t>
            </w:r>
            <w:r w:rsidRPr="00BA4F8E">
              <w:rPr>
                <w:rFonts w:cstheme="minorHAnsi"/>
                <w:color w:val="FFFFFF" w:themeColor="background1"/>
              </w:rPr>
              <w:t>podnikatelském sektoru financovaných z veřejných zdrojů (domácích i zahraničních) v</w:t>
            </w:r>
            <w:r w:rsidR="001307A2">
              <w:rPr>
                <w:rFonts w:cstheme="minorHAnsi"/>
                <w:color w:val="FFFFFF" w:themeColor="background1"/>
              </w:rPr>
              <w:t> </w:t>
            </w:r>
            <w:r w:rsidRPr="00BA4F8E">
              <w:rPr>
                <w:rFonts w:cstheme="minorHAnsi"/>
                <w:color w:val="FFFFFF" w:themeColor="background1"/>
              </w:rPr>
              <w:t>% (hl.</w:t>
            </w:r>
            <w:r w:rsidR="001307A2">
              <w:rPr>
                <w:rFonts w:cstheme="minorHAnsi"/>
                <w:color w:val="FFFFFF" w:themeColor="background1"/>
              </w:rPr>
              <w:t> </w:t>
            </w:r>
            <w:r w:rsidRPr="00BA4F8E">
              <w:rPr>
                <w:rFonts w:cstheme="minorHAnsi"/>
                <w:color w:val="FFFFFF" w:themeColor="background1"/>
              </w:rPr>
              <w:t xml:space="preserve"> m. Praha)</w:t>
            </w:r>
          </w:p>
          <w:p w14:paraId="17AE246B" w14:textId="31D87C48" w:rsidR="00E76F0E" w:rsidRPr="00BA4F8E" w:rsidRDefault="00E76F0E" w:rsidP="00C861EB">
            <w:pPr>
              <w:spacing w:after="0"/>
              <w:ind w:left="728" w:hanging="709"/>
              <w:jc w:val="both"/>
              <w:rPr>
                <w:rFonts w:cstheme="minorHAnsi"/>
                <w:color w:val="FFFFFF" w:themeColor="background1"/>
              </w:rPr>
            </w:pPr>
            <w:r w:rsidRPr="00BA4F8E">
              <w:rPr>
                <w:rFonts w:cstheme="minorHAnsi"/>
                <w:color w:val="FFFFFF" w:themeColor="background1"/>
              </w:rPr>
              <w:t>21020</w:t>
            </w:r>
            <w:r w:rsidRPr="00BA4F8E">
              <w:rPr>
                <w:rFonts w:cstheme="minorHAnsi"/>
                <w:color w:val="FFFFFF" w:themeColor="background1"/>
              </w:rPr>
              <w:tab/>
              <w:t>Podnikové výdaje na VaV v podnikatelském sektoru jako</w:t>
            </w:r>
            <w:r w:rsidR="001307A2">
              <w:rPr>
                <w:rFonts w:cstheme="minorHAnsi"/>
                <w:color w:val="FFFFFF" w:themeColor="background1"/>
              </w:rPr>
              <w:t> </w:t>
            </w:r>
            <w:r w:rsidRPr="00BA4F8E">
              <w:rPr>
                <w:rFonts w:cstheme="minorHAnsi"/>
                <w:color w:val="FFFFFF" w:themeColor="background1"/>
              </w:rPr>
              <w:t xml:space="preserve">% HDP - regiony ČR (hl. m. Praha) </w:t>
            </w:r>
          </w:p>
          <w:p w14:paraId="0EB7E0E9" w14:textId="6BAD22FB" w:rsidR="00E76F0E" w:rsidRPr="00BA4F8E" w:rsidRDefault="00E76F0E" w:rsidP="00C861EB">
            <w:pPr>
              <w:spacing w:after="0"/>
              <w:ind w:left="728" w:hanging="709"/>
              <w:jc w:val="both"/>
              <w:rPr>
                <w:rFonts w:cstheme="minorHAnsi"/>
                <w:color w:val="FFFFFF" w:themeColor="background1"/>
              </w:rPr>
            </w:pPr>
            <w:r w:rsidRPr="00BA4F8E">
              <w:rPr>
                <w:rFonts w:cstheme="minorHAnsi"/>
                <w:color w:val="FFFFFF" w:themeColor="background1"/>
              </w:rPr>
              <w:t>21411</w:t>
            </w:r>
            <w:r w:rsidRPr="00BA4F8E">
              <w:rPr>
                <w:rFonts w:cstheme="minorHAnsi"/>
                <w:color w:val="FFFFFF" w:themeColor="background1"/>
              </w:rPr>
              <w:tab/>
              <w:t>Tržby z inovované produkce jako % celkových tržeb podniků s</w:t>
            </w:r>
            <w:r w:rsidR="001307A2">
              <w:rPr>
                <w:rFonts w:cstheme="minorHAnsi"/>
                <w:color w:val="FFFFFF" w:themeColor="background1"/>
              </w:rPr>
              <w:t> </w:t>
            </w:r>
            <w:r w:rsidRPr="00BA4F8E">
              <w:rPr>
                <w:rFonts w:cstheme="minorHAnsi"/>
                <w:color w:val="FFFFFF" w:themeColor="background1"/>
              </w:rPr>
              <w:t>produktovou inovací  - hl.</w:t>
            </w:r>
            <w:r w:rsidR="001307A2">
              <w:rPr>
                <w:rFonts w:cstheme="minorHAnsi"/>
                <w:color w:val="FFFFFF" w:themeColor="background1"/>
              </w:rPr>
              <w:t> </w:t>
            </w:r>
            <w:r w:rsidRPr="00BA4F8E">
              <w:rPr>
                <w:rFonts w:cstheme="minorHAnsi"/>
                <w:color w:val="FFFFFF" w:themeColor="background1"/>
              </w:rPr>
              <w:t>m.</w:t>
            </w:r>
            <w:r w:rsidR="001307A2">
              <w:rPr>
                <w:rFonts w:cstheme="minorHAnsi"/>
                <w:color w:val="FFFFFF" w:themeColor="background1"/>
              </w:rPr>
              <w:t> </w:t>
            </w:r>
            <w:r w:rsidRPr="00BA4F8E">
              <w:rPr>
                <w:rFonts w:cstheme="minorHAnsi"/>
                <w:color w:val="FFFFFF" w:themeColor="background1"/>
              </w:rPr>
              <w:t>Praha</w:t>
            </w:r>
          </w:p>
          <w:p w14:paraId="3F3BFB6C" w14:textId="3766CA49" w:rsidR="00E76F0E" w:rsidRPr="00BA4F8E" w:rsidRDefault="00E76F0E" w:rsidP="00C861EB">
            <w:pPr>
              <w:spacing w:after="0"/>
              <w:ind w:left="731" w:hanging="709"/>
              <w:jc w:val="both"/>
              <w:rPr>
                <w:rFonts w:cstheme="minorHAnsi"/>
                <w:color w:val="FFFFFF" w:themeColor="background1"/>
              </w:rPr>
            </w:pPr>
            <w:r w:rsidRPr="00BA4F8E">
              <w:rPr>
                <w:rFonts w:cstheme="minorHAnsi"/>
                <w:color w:val="FFFFFF" w:themeColor="background1"/>
              </w:rPr>
              <w:t>21411</w:t>
            </w:r>
            <w:r w:rsidRPr="00BA4F8E">
              <w:rPr>
                <w:rFonts w:cstheme="minorHAnsi"/>
                <w:color w:val="FFFFFF" w:themeColor="background1"/>
              </w:rPr>
              <w:tab/>
              <w:t>Tržby z inovované produkce jako % celkových tržeb podniků s</w:t>
            </w:r>
            <w:r w:rsidR="001307A2">
              <w:rPr>
                <w:rFonts w:cstheme="minorHAnsi"/>
                <w:color w:val="FFFFFF" w:themeColor="background1"/>
              </w:rPr>
              <w:t> </w:t>
            </w:r>
            <w:r w:rsidRPr="00BA4F8E">
              <w:rPr>
                <w:rFonts w:cstheme="minorHAnsi"/>
                <w:color w:val="FFFFFF" w:themeColor="background1"/>
              </w:rPr>
              <w:t xml:space="preserve">produktovou inovací </w:t>
            </w:r>
          </w:p>
          <w:p w14:paraId="7B294196" w14:textId="77777777" w:rsidR="00E76F0E" w:rsidRPr="00BA4F8E" w:rsidRDefault="00E76F0E" w:rsidP="00C861EB">
            <w:pPr>
              <w:spacing w:after="0"/>
              <w:ind w:left="731" w:hanging="709"/>
              <w:jc w:val="both"/>
              <w:rPr>
                <w:rFonts w:cstheme="minorHAnsi"/>
                <w:color w:val="FFFFFF" w:themeColor="background1"/>
              </w:rPr>
            </w:pPr>
            <w:r w:rsidRPr="00BA4F8E">
              <w:rPr>
                <w:rFonts w:cstheme="minorHAnsi"/>
                <w:color w:val="FFFFFF" w:themeColor="background1"/>
              </w:rPr>
              <w:t>21710</w:t>
            </w:r>
            <w:r w:rsidRPr="00BA4F8E">
              <w:rPr>
                <w:rFonts w:cstheme="minorHAnsi"/>
                <w:color w:val="FFFFFF" w:themeColor="background1"/>
              </w:rPr>
              <w:tab/>
              <w:t>Aplikované inovativní nízkouhlíkové technologie</w:t>
            </w:r>
          </w:p>
        </w:tc>
      </w:tr>
      <w:tr w:rsidR="00E76F0E" w:rsidRPr="00BA4F8E" w14:paraId="0F806D4B" w14:textId="77777777" w:rsidTr="001E17FA">
        <w:tc>
          <w:tcPr>
            <w:tcW w:w="5149"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61B322FB" w14:textId="77777777" w:rsidR="00E76F0E" w:rsidRPr="00BA4F8E" w:rsidRDefault="00E76F0E" w:rsidP="00C861EB">
            <w:pPr>
              <w:spacing w:after="0"/>
              <w:jc w:val="both"/>
              <w:rPr>
                <w:rFonts w:cstheme="minorHAnsi"/>
                <w:color w:val="FFFFFF" w:themeColor="background1"/>
              </w:rPr>
            </w:pPr>
            <w:r w:rsidRPr="00BA4F8E">
              <w:rPr>
                <w:rFonts w:cstheme="minorHAnsi"/>
                <w:color w:val="FFFFFF" w:themeColor="background1"/>
              </w:rPr>
              <w:t>A.2: Zvýšit míru podnikání ve společnosti s důrazem na zakládání nových rychle rostoucích firem</w:t>
            </w:r>
          </w:p>
          <w:p w14:paraId="3051D5AB" w14:textId="77777777" w:rsidR="00E76F0E" w:rsidRPr="00BA4F8E" w:rsidRDefault="00E76F0E" w:rsidP="00C861EB">
            <w:pPr>
              <w:spacing w:after="0"/>
              <w:jc w:val="both"/>
              <w:rPr>
                <w:rFonts w:cstheme="minorHAnsi"/>
                <w:color w:val="FFFFFF" w:themeColor="background1"/>
              </w:rPr>
            </w:pPr>
          </w:p>
        </w:tc>
        <w:tc>
          <w:tcPr>
            <w:tcW w:w="3913"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4E7EDCD5" w14:textId="77777777" w:rsidR="00E76F0E" w:rsidRPr="00BA4F8E" w:rsidRDefault="00E76F0E" w:rsidP="00C861EB">
            <w:pPr>
              <w:spacing w:after="0"/>
              <w:ind w:left="728" w:hanging="728"/>
              <w:jc w:val="both"/>
              <w:rPr>
                <w:rFonts w:cstheme="minorHAnsi"/>
                <w:color w:val="FFFFFF" w:themeColor="background1"/>
              </w:rPr>
            </w:pPr>
            <w:r w:rsidRPr="00BA4F8E">
              <w:rPr>
                <w:rFonts w:cstheme="minorHAnsi"/>
                <w:color w:val="FFFFFF" w:themeColor="background1"/>
              </w:rPr>
              <w:t>10105</w:t>
            </w:r>
            <w:r w:rsidRPr="00BA4F8E">
              <w:rPr>
                <w:rFonts w:cstheme="minorHAnsi"/>
                <w:color w:val="FFFFFF" w:themeColor="background1"/>
              </w:rPr>
              <w:tab/>
              <w:t>Počet nových podniků, které dostávají podporu</w:t>
            </w:r>
          </w:p>
          <w:p w14:paraId="73EABDCE" w14:textId="77777777" w:rsidR="00E76F0E" w:rsidRPr="00BA4F8E" w:rsidRDefault="00E76F0E" w:rsidP="00C861EB">
            <w:pPr>
              <w:spacing w:after="0"/>
              <w:jc w:val="both"/>
              <w:rPr>
                <w:rFonts w:cstheme="minorHAnsi"/>
                <w:color w:val="FFFFFF" w:themeColor="background1"/>
              </w:rPr>
            </w:pPr>
            <w:r w:rsidRPr="00BA4F8E">
              <w:rPr>
                <w:rFonts w:cstheme="minorHAnsi"/>
                <w:color w:val="FFFFFF" w:themeColor="background1"/>
              </w:rPr>
              <w:t>10710</w:t>
            </w:r>
            <w:r w:rsidRPr="00BA4F8E">
              <w:rPr>
                <w:rFonts w:cstheme="minorHAnsi"/>
                <w:color w:val="FFFFFF" w:themeColor="background1"/>
              </w:rPr>
              <w:tab/>
              <w:t>Míra přežití vzniklých podniků</w:t>
            </w:r>
          </w:p>
        </w:tc>
      </w:tr>
      <w:tr w:rsidR="00E76F0E" w:rsidRPr="00BA4F8E" w14:paraId="32B39F67" w14:textId="77777777" w:rsidTr="001E17FA">
        <w:tc>
          <w:tcPr>
            <w:tcW w:w="5149"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4CED87A0" w14:textId="77777777" w:rsidR="00E76F0E" w:rsidRPr="00BA4F8E" w:rsidRDefault="00E76F0E" w:rsidP="00C861EB">
            <w:pPr>
              <w:spacing w:after="0"/>
              <w:jc w:val="both"/>
              <w:rPr>
                <w:rFonts w:cstheme="minorHAnsi"/>
                <w:color w:val="FFFFFF" w:themeColor="background1"/>
              </w:rPr>
            </w:pPr>
            <w:r w:rsidRPr="00BA4F8E">
              <w:rPr>
                <w:rFonts w:cstheme="minorHAnsi"/>
                <w:color w:val="FFFFFF" w:themeColor="background1"/>
              </w:rPr>
              <w:t>A.3: Zvýšit internacionalizaci MSP</w:t>
            </w:r>
          </w:p>
          <w:p w14:paraId="4F78D380" w14:textId="77777777" w:rsidR="00E76F0E" w:rsidRPr="00BA4F8E" w:rsidRDefault="00E76F0E" w:rsidP="00C861EB">
            <w:pPr>
              <w:spacing w:after="0"/>
              <w:jc w:val="both"/>
              <w:rPr>
                <w:rFonts w:cstheme="minorHAnsi"/>
                <w:color w:val="FFFFFF" w:themeColor="background1"/>
              </w:rPr>
            </w:pPr>
          </w:p>
        </w:tc>
        <w:tc>
          <w:tcPr>
            <w:tcW w:w="3913" w:type="dxa"/>
            <w:gridSpan w:val="3"/>
            <w:tcBorders>
              <w:top w:val="single" w:sz="4" w:space="0" w:color="auto"/>
              <w:left w:val="single" w:sz="4" w:space="0" w:color="auto"/>
              <w:bottom w:val="single" w:sz="4" w:space="0" w:color="auto"/>
              <w:right w:val="single" w:sz="4" w:space="0" w:color="auto"/>
            </w:tcBorders>
            <w:shd w:val="clear" w:color="auto" w:fill="A9141A" w:themeFill="accent1" w:themeFillShade="BF"/>
          </w:tcPr>
          <w:p w14:paraId="6956AF30" w14:textId="77777777" w:rsidR="00E76F0E" w:rsidRPr="00BA4F8E" w:rsidRDefault="00E76F0E" w:rsidP="00C861EB">
            <w:pPr>
              <w:spacing w:after="0"/>
              <w:ind w:left="728" w:hanging="728"/>
              <w:jc w:val="both"/>
              <w:rPr>
                <w:rFonts w:cstheme="minorHAnsi"/>
                <w:color w:val="FFFFFF" w:themeColor="background1"/>
              </w:rPr>
            </w:pPr>
            <w:r w:rsidRPr="00BA4F8E">
              <w:rPr>
                <w:rFonts w:cstheme="minorHAnsi"/>
                <w:color w:val="FFFFFF" w:themeColor="background1"/>
              </w:rPr>
              <w:t>10601</w:t>
            </w:r>
            <w:r w:rsidRPr="00BA4F8E">
              <w:rPr>
                <w:rFonts w:cstheme="minorHAnsi"/>
                <w:color w:val="FFFFFF" w:themeColor="background1"/>
              </w:rPr>
              <w:tab/>
              <w:t>Podíl exportu MSP/celkovým výkonům MSP</w:t>
            </w:r>
          </w:p>
          <w:p w14:paraId="3D8BAE89" w14:textId="77777777" w:rsidR="00E76F0E" w:rsidRPr="00BA4F8E" w:rsidRDefault="00E76F0E" w:rsidP="00C861EB">
            <w:pPr>
              <w:spacing w:after="0"/>
              <w:ind w:left="728" w:hanging="728"/>
              <w:jc w:val="both"/>
              <w:rPr>
                <w:rFonts w:cstheme="minorHAnsi"/>
                <w:color w:val="FFFFFF" w:themeColor="background1"/>
              </w:rPr>
            </w:pPr>
            <w:r w:rsidRPr="00BA4F8E">
              <w:rPr>
                <w:rFonts w:cstheme="minorHAnsi"/>
                <w:color w:val="FFFFFF" w:themeColor="background1"/>
              </w:rPr>
              <w:tab/>
            </w:r>
          </w:p>
        </w:tc>
      </w:tr>
      <w:tr w:rsidR="00E76F0E" w:rsidRPr="00BA4F8E" w14:paraId="1F05A68C" w14:textId="77777777" w:rsidTr="001E17FA">
        <w:tc>
          <w:tcPr>
            <w:tcW w:w="9062" w:type="dxa"/>
            <w:gridSpan w:val="6"/>
            <w:tcBorders>
              <w:top w:val="single" w:sz="4" w:space="0" w:color="auto"/>
              <w:left w:val="single" w:sz="4" w:space="0" w:color="auto"/>
              <w:bottom w:val="single" w:sz="4" w:space="0" w:color="auto"/>
              <w:right w:val="single" w:sz="4" w:space="0" w:color="auto"/>
            </w:tcBorders>
            <w:shd w:val="clear" w:color="auto" w:fill="F4A3A6" w:themeFill="accent1" w:themeFillTint="66"/>
          </w:tcPr>
          <w:p w14:paraId="2FF6FFE5" w14:textId="77777777" w:rsidR="00E76F0E" w:rsidRPr="00BA4F8E" w:rsidRDefault="00E76F0E" w:rsidP="003F15C6">
            <w:pPr>
              <w:spacing w:after="0"/>
              <w:rPr>
                <w:rFonts w:cstheme="minorHAnsi"/>
              </w:rPr>
            </w:pPr>
            <w:r w:rsidRPr="00BA4F8E">
              <w:rPr>
                <w:rFonts w:cstheme="minorHAnsi"/>
                <w:b/>
              </w:rPr>
              <w:t>Strategický cíl A.1:</w:t>
            </w:r>
            <w:r w:rsidRPr="00BA4F8E">
              <w:rPr>
                <w:rFonts w:cstheme="minorHAnsi"/>
              </w:rPr>
              <w:t xml:space="preserve"> </w:t>
            </w:r>
            <w:r w:rsidRPr="00BA4F8E">
              <w:rPr>
                <w:rFonts w:cstheme="minorHAnsi"/>
                <w:b/>
              </w:rPr>
              <w:t>Zvýšit inovační poptávku ve firmách (i ve veřejném sektoru)</w:t>
            </w:r>
          </w:p>
          <w:p w14:paraId="31C3C6FD" w14:textId="60F5FF16" w:rsidR="00E76F0E" w:rsidRPr="00BA4F8E" w:rsidRDefault="00E76F0E" w:rsidP="00DB63DF">
            <w:pPr>
              <w:spacing w:after="0"/>
              <w:jc w:val="both"/>
              <w:rPr>
                <w:rFonts w:cstheme="minorHAnsi"/>
              </w:rPr>
            </w:pPr>
            <w:r w:rsidRPr="00BA4F8E">
              <w:rPr>
                <w:rFonts w:cstheme="minorHAnsi"/>
              </w:rPr>
              <w:t xml:space="preserve">Inovační výkonnost podnikového sektoru jako celku silně závisí na vnitřní poptávce firem po inovacích. ČR v této oblasti čelí několika problémům (viz popis oblasti změny výše), které společně </w:t>
            </w:r>
            <w:r w:rsidRPr="00BA4F8E">
              <w:rPr>
                <w:rFonts w:cstheme="minorHAnsi"/>
              </w:rPr>
              <w:lastRenderedPageBreak/>
              <w:t>inovační poptávku omezují a tím i</w:t>
            </w:r>
            <w:r w:rsidR="00DB63DF" w:rsidRPr="00BA4F8E">
              <w:rPr>
                <w:rFonts w:cstheme="minorHAnsi"/>
              </w:rPr>
              <w:t> </w:t>
            </w:r>
            <w:r w:rsidRPr="00BA4F8E">
              <w:rPr>
                <w:rFonts w:cstheme="minorHAnsi"/>
              </w:rPr>
              <w:t>posun celé ekonomiky ke konkurenceschopnosti více založené na tvorbě a využití nových znalostí. Zaměření cíle přitom reflektuje strukturu místní ekonomiky. Zvýšením poptávky po inovacích se rozumí jak (i) zvýšení úsilí firem o</w:t>
            </w:r>
            <w:r w:rsidR="00DB63DF" w:rsidRPr="00BA4F8E">
              <w:rPr>
                <w:rFonts w:cstheme="minorHAnsi"/>
              </w:rPr>
              <w:t> </w:t>
            </w:r>
            <w:r w:rsidRPr="00BA4F8E">
              <w:rPr>
                <w:rFonts w:cstheme="minorHAnsi"/>
              </w:rPr>
              <w:t>vyšší řády inovací, které jsou obvykle založeny na intenzivním výzkumu a vývoji, tak (ii) posun strategického zaměření firem od konkurenční výhody založené na nízkých nákladech k výhodě založené na kvalitě a inovacích, byť jde o inovace nižších řádů nevyžadující rozsáhlejší vlastní VaV. Naplnění cíle se na úrovni firem projeví zvýšením objemu vstupů (výdajů na inovace, vč. výdajů na VaV) do inovačního procesu. Na úrovni celé ekonomiky se růst inovační poptávky projeví ve zvýšení celkových vlastních výdajů firem na výzkum a vývoj</w:t>
            </w:r>
            <w:r w:rsidRPr="00BA4F8E">
              <w:rPr>
                <w:rStyle w:val="Znakapoznpodarou"/>
                <w:rFonts w:cstheme="minorHAnsi"/>
              </w:rPr>
              <w:footnoteReference w:id="83"/>
            </w:r>
            <w:r w:rsidRPr="00BA4F8E">
              <w:rPr>
                <w:rFonts w:cstheme="minorHAnsi"/>
              </w:rPr>
              <w:t>. Naplňování tohoto cíle se projeví růstem počtu firem, které realizují vlastní výzkum a vývoj, resp. systematicky vynakládají na tuto oblast určité minimální prostředky. Zvýšení inovační poptávky bude dosaženo třemi specifickými cíli:</w:t>
            </w:r>
          </w:p>
          <w:p w14:paraId="3EB5A6BC" w14:textId="77777777" w:rsidR="00E76F0E" w:rsidRPr="00BA4F8E" w:rsidRDefault="00E76F0E" w:rsidP="00543C1B">
            <w:pPr>
              <w:pStyle w:val="Odstavecseseznamem"/>
              <w:numPr>
                <w:ilvl w:val="0"/>
                <w:numId w:val="30"/>
              </w:numPr>
              <w:spacing w:after="0" w:line="276" w:lineRule="auto"/>
              <w:jc w:val="both"/>
              <w:rPr>
                <w:rFonts w:cstheme="minorHAnsi"/>
              </w:rPr>
            </w:pPr>
            <w:r w:rsidRPr="00BA4F8E">
              <w:rPr>
                <w:rFonts w:cstheme="minorHAnsi"/>
              </w:rPr>
              <w:t>Zlepšit výzkumné a vývojové kapacity podniků: Účelem tohoto cíle je zvýšení schopnosti firem realizovat technické inovace. Zvláštní důraz bude kladen na inovace nové pro trh působení dané firmy, nikoliv pouze pro firmu. Technické inovace obvykle vyžadují významné investice do vlastního VaV. Kapacitami pro VaV se rozumí jak zdroje</w:t>
            </w:r>
            <w:r w:rsidRPr="00BA4F8E">
              <w:rPr>
                <w:rStyle w:val="Znakapoznpodarou"/>
                <w:rFonts w:cstheme="minorHAnsi"/>
              </w:rPr>
              <w:footnoteReference w:id="84"/>
            </w:r>
            <w:r w:rsidRPr="00BA4F8E">
              <w:rPr>
                <w:rFonts w:cstheme="minorHAnsi"/>
              </w:rPr>
              <w:t xml:space="preserve"> pro financování výzkumu a vývoje, tak infrastruktura, která je k tomuto zapotřebí. </w:t>
            </w:r>
          </w:p>
          <w:p w14:paraId="59CA576E" w14:textId="77777777" w:rsidR="00E76F0E" w:rsidRPr="00BA4F8E" w:rsidRDefault="00E76F0E" w:rsidP="00543C1B">
            <w:pPr>
              <w:pStyle w:val="Odstavecseseznamem"/>
              <w:numPr>
                <w:ilvl w:val="0"/>
                <w:numId w:val="30"/>
              </w:numPr>
              <w:spacing w:after="0" w:line="276" w:lineRule="auto"/>
              <w:jc w:val="both"/>
              <w:rPr>
                <w:rFonts w:cstheme="minorHAnsi"/>
              </w:rPr>
            </w:pPr>
            <w:r w:rsidRPr="00BA4F8E">
              <w:rPr>
                <w:rFonts w:cstheme="minorHAnsi"/>
              </w:rPr>
              <w:t>Zlepšit strategické řízení v malých a středních firmách (MSP): Komerční úspěch inovací, byť by byly technicky sebelepší, závisí v prvé řadě na správné identifikaci potřeb zákazníků a schopnosti rychlého zavedení inovace na trh. Strategie firmy a nastavení klíčových podnikových procesů jsou proto nezbytným předpokladem účinnosti aktivit zaměřených na schopnost realizovat technologické inovace (cíl A.1.1). Účelem tohoto specifického cíle proto je napomoci rozvoji netechnických kompetencí</w:t>
            </w:r>
            <w:r w:rsidRPr="00BA4F8E">
              <w:rPr>
                <w:rStyle w:val="Znakapoznpodarou"/>
                <w:rFonts w:cstheme="minorHAnsi"/>
              </w:rPr>
              <w:footnoteReference w:id="85"/>
            </w:r>
            <w:r w:rsidRPr="00BA4F8E">
              <w:rPr>
                <w:rFonts w:cstheme="minorHAnsi"/>
              </w:rPr>
              <w:t xml:space="preserve"> MSP, jejichž úroveň v ČR není na úrovni srovnatelné s většinou rozvinutých ekonomik (viz popis oblasti změny výše).  </w:t>
            </w:r>
          </w:p>
          <w:p w14:paraId="42890EB2" w14:textId="77777777" w:rsidR="00E76F0E" w:rsidRPr="00BA4F8E" w:rsidRDefault="00E76F0E" w:rsidP="00543C1B">
            <w:pPr>
              <w:pStyle w:val="Odstavecseseznamem"/>
              <w:numPr>
                <w:ilvl w:val="0"/>
                <w:numId w:val="30"/>
              </w:numPr>
              <w:spacing w:after="0" w:line="276" w:lineRule="auto"/>
              <w:jc w:val="both"/>
              <w:rPr>
                <w:rFonts w:cstheme="minorHAnsi"/>
              </w:rPr>
            </w:pPr>
            <w:r w:rsidRPr="00BA4F8E">
              <w:rPr>
                <w:rFonts w:cstheme="minorHAnsi"/>
              </w:rPr>
              <w:t xml:space="preserve">Posílit spolupráci firem v oblasti výzkumu, vývoje a inovací: Globální trend otevírání inovačních procesů firem (vč. globálních lídrů) vede k růstu významu externí spolupráce v oblasti VaV a inovací. V ČR není tato spolupráce rozvinutá a firmy, které ji potřebují, často naráží na nemalé překážky. U MSP je často externí spolupráce jedinou cestou, jak získat zásadní vstupy pro interní inovační proces. Účelem tohoto cíle je snižovat (pokud možné, tak eliminovat) bariéry pro navazování a rozvoj jak dvoustranné, tak vícestranné spolupráce a to jak mezi firmami, tak s výzkumnými organizacemi. Vedle zvýšení konektivity uvnitř inovačního systému ČR je účelem cíle také zvýšení jeho provázání se zdroji nových znalostí a podnikatelské inspirace v zahraničí. </w:t>
            </w:r>
          </w:p>
        </w:tc>
      </w:tr>
      <w:tr w:rsidR="00E76F0E" w:rsidRPr="00BA4F8E" w14:paraId="16B1B676" w14:textId="77777777" w:rsidTr="001E17FA">
        <w:tc>
          <w:tcPr>
            <w:tcW w:w="211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36D30135" w14:textId="77777777" w:rsidR="00E76F0E" w:rsidRPr="00BA4F8E" w:rsidRDefault="00E76F0E" w:rsidP="003F15C6">
            <w:pPr>
              <w:spacing w:after="0"/>
              <w:rPr>
                <w:rFonts w:cstheme="minorHAnsi"/>
                <w:b/>
                <w:i/>
              </w:rPr>
            </w:pPr>
            <w:r w:rsidRPr="00BA4F8E">
              <w:rPr>
                <w:rFonts w:cstheme="minorHAnsi"/>
                <w:b/>
                <w:i/>
              </w:rPr>
              <w:lastRenderedPageBreak/>
              <w:t xml:space="preserve">Specifické cíle  </w:t>
            </w:r>
          </w:p>
        </w:tc>
        <w:tc>
          <w:tcPr>
            <w:tcW w:w="3427" w:type="dxa"/>
            <w:gridSpan w:val="3"/>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7E21882" w14:textId="77777777" w:rsidR="00E76F0E" w:rsidRPr="00BA4F8E" w:rsidRDefault="00E76F0E" w:rsidP="003F15C6">
            <w:pPr>
              <w:spacing w:after="0"/>
              <w:rPr>
                <w:rFonts w:cstheme="minorHAnsi"/>
                <w:b/>
                <w:i/>
              </w:rPr>
            </w:pPr>
            <w:r w:rsidRPr="00BA4F8E">
              <w:rPr>
                <w:rFonts w:cstheme="minorHAnsi"/>
                <w:b/>
                <w:i/>
              </w:rPr>
              <w:t>Indikátory specifického cíle</w:t>
            </w: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17D30D4B" w14:textId="77777777" w:rsidR="00E76F0E" w:rsidRPr="00BA4F8E" w:rsidRDefault="00E76F0E" w:rsidP="003F15C6">
            <w:pPr>
              <w:spacing w:after="0"/>
              <w:rPr>
                <w:rFonts w:cstheme="minorHAnsi"/>
                <w:b/>
                <w:i/>
              </w:rPr>
            </w:pPr>
            <w:r w:rsidRPr="00BA4F8E">
              <w:rPr>
                <w:rFonts w:cstheme="minorHAnsi"/>
                <w:b/>
                <w:i/>
              </w:rPr>
              <w:t>Typové aktivity/projekty/operace</w:t>
            </w:r>
          </w:p>
        </w:tc>
      </w:tr>
      <w:tr w:rsidR="001E17FA" w:rsidRPr="00BA4F8E" w14:paraId="30FC3367" w14:textId="77777777" w:rsidTr="001E17FA">
        <w:trPr>
          <w:trHeight w:val="85"/>
        </w:trPr>
        <w:tc>
          <w:tcPr>
            <w:tcW w:w="2116" w:type="dxa"/>
            <w:vMerge w:val="restart"/>
            <w:tcBorders>
              <w:top w:val="single" w:sz="4" w:space="0" w:color="auto"/>
              <w:left w:val="single" w:sz="4" w:space="0" w:color="auto"/>
              <w:right w:val="single" w:sz="4" w:space="0" w:color="auto"/>
            </w:tcBorders>
            <w:shd w:val="clear" w:color="auto" w:fill="F9D1D2" w:themeFill="accent1" w:themeFillTint="33"/>
          </w:tcPr>
          <w:p w14:paraId="3AB199E5" w14:textId="77777777" w:rsidR="001E17FA" w:rsidRPr="00BA4F8E" w:rsidRDefault="001E17FA" w:rsidP="00C861EB">
            <w:pPr>
              <w:spacing w:after="0"/>
              <w:jc w:val="both"/>
              <w:rPr>
                <w:rFonts w:cstheme="minorHAnsi"/>
                <w:b/>
              </w:rPr>
            </w:pPr>
            <w:r w:rsidRPr="00BA4F8E">
              <w:rPr>
                <w:rFonts w:cstheme="minorHAnsi"/>
                <w:b/>
              </w:rPr>
              <w:t>A.1.1: Posílit výzkumné a vývojové kapacity podniků</w:t>
            </w:r>
          </w:p>
          <w:p w14:paraId="4A69B58A" w14:textId="77777777" w:rsidR="001E17FA" w:rsidRPr="00BA4F8E" w:rsidRDefault="001E17FA" w:rsidP="00C861EB">
            <w:pPr>
              <w:spacing w:after="0"/>
              <w:jc w:val="both"/>
              <w:rPr>
                <w:rFonts w:cstheme="minorHAnsi"/>
                <w:i/>
              </w:rPr>
            </w:pPr>
            <w:r w:rsidRPr="00BA4F8E">
              <w:rPr>
                <w:rFonts w:cstheme="minorHAnsi"/>
              </w:rPr>
              <w:lastRenderedPageBreak/>
              <w:t>Kapacitami se rozumí jak lidé v podnikovém VaV a souvisejících procesech (výroba prototypů, produktový design, konstrukce apod.), tak infrastruktura pro realizaci podnikového VaV.</w:t>
            </w:r>
            <w:r w:rsidRPr="00BA4F8E">
              <w:rPr>
                <w:rFonts w:cstheme="minorHAnsi"/>
                <w:i/>
              </w:rPr>
              <w:t xml:space="preserve"> </w:t>
            </w:r>
          </w:p>
        </w:tc>
        <w:tc>
          <w:tcPr>
            <w:tcW w:w="3427" w:type="dxa"/>
            <w:gridSpan w:val="3"/>
            <w:vMerge w:val="restart"/>
            <w:tcBorders>
              <w:top w:val="single" w:sz="4" w:space="0" w:color="auto"/>
              <w:left w:val="single" w:sz="4" w:space="0" w:color="auto"/>
              <w:right w:val="single" w:sz="4" w:space="0" w:color="auto"/>
            </w:tcBorders>
            <w:shd w:val="clear" w:color="auto" w:fill="F9D1D2" w:themeFill="accent1" w:themeFillTint="33"/>
          </w:tcPr>
          <w:p w14:paraId="546656AF" w14:textId="77777777" w:rsidR="001E17FA" w:rsidRPr="00BA4F8E" w:rsidRDefault="001E17FA" w:rsidP="00C861EB">
            <w:pPr>
              <w:spacing w:after="0"/>
              <w:ind w:left="769" w:hanging="769"/>
              <w:jc w:val="both"/>
              <w:rPr>
                <w:rFonts w:cstheme="minorHAnsi"/>
              </w:rPr>
            </w:pPr>
            <w:r w:rsidRPr="00BA4F8E">
              <w:rPr>
                <w:rFonts w:cstheme="minorHAnsi"/>
              </w:rPr>
              <w:lastRenderedPageBreak/>
              <w:t>10000</w:t>
            </w:r>
            <w:r w:rsidRPr="00BA4F8E">
              <w:rPr>
                <w:rFonts w:cstheme="minorHAnsi"/>
              </w:rPr>
              <w:tab/>
              <w:t xml:space="preserve">Počet podniků pobírajících podporu </w:t>
            </w:r>
          </w:p>
          <w:p w14:paraId="75185276" w14:textId="77777777" w:rsidR="001E17FA" w:rsidRPr="00BA4F8E" w:rsidRDefault="001E17FA" w:rsidP="00C861EB">
            <w:pPr>
              <w:spacing w:after="0"/>
              <w:ind w:left="770" w:hanging="770"/>
              <w:jc w:val="both"/>
              <w:rPr>
                <w:rFonts w:cstheme="minorHAnsi"/>
              </w:rPr>
            </w:pPr>
            <w:r w:rsidRPr="00BA4F8E">
              <w:rPr>
                <w:rFonts w:cstheme="minorHAnsi"/>
              </w:rPr>
              <w:t>21610</w:t>
            </w:r>
            <w:r w:rsidRPr="00BA4F8E">
              <w:rPr>
                <w:rFonts w:cstheme="minorHAnsi"/>
              </w:rPr>
              <w:tab/>
              <w:t>Počet nových přihlášených výsledků aplikovaného výzkumu</w:t>
            </w:r>
          </w:p>
          <w:p w14:paraId="41205F5F" w14:textId="77777777" w:rsidR="001E17FA" w:rsidRPr="00BA4F8E" w:rsidRDefault="001E17FA" w:rsidP="00C861EB">
            <w:pPr>
              <w:spacing w:after="0"/>
              <w:ind w:left="770" w:hanging="770"/>
              <w:jc w:val="both"/>
              <w:rPr>
                <w:rFonts w:cstheme="minorHAnsi"/>
              </w:rPr>
            </w:pPr>
            <w:r w:rsidRPr="00BA4F8E">
              <w:rPr>
                <w:rFonts w:cstheme="minorHAnsi"/>
              </w:rPr>
              <w:lastRenderedPageBreak/>
              <w:t>22501</w:t>
            </w:r>
            <w:r w:rsidRPr="00BA4F8E">
              <w:rPr>
                <w:rFonts w:cstheme="minorHAnsi"/>
              </w:rPr>
              <w:tab/>
              <w:t>Počet zavedených inovací</w:t>
            </w:r>
          </w:p>
          <w:p w14:paraId="5FFAAB56" w14:textId="77777777" w:rsidR="001E17FA" w:rsidRDefault="001E17FA" w:rsidP="00C861EB">
            <w:pPr>
              <w:spacing w:after="0"/>
              <w:ind w:left="769" w:hanging="769"/>
              <w:jc w:val="both"/>
              <w:rPr>
                <w:rFonts w:cstheme="minorHAnsi"/>
              </w:rPr>
            </w:pPr>
            <w:r w:rsidRPr="00BA4F8E">
              <w:rPr>
                <w:rFonts w:cstheme="minorHAnsi"/>
              </w:rPr>
              <w:t>24102</w:t>
            </w:r>
            <w:r w:rsidRPr="00BA4F8E">
              <w:rPr>
                <w:rFonts w:cstheme="minorHAnsi"/>
              </w:rPr>
              <w:tab/>
              <w:t>Počet nových, rozšířených či modernizovaných výzkumných pracovišť podniků</w:t>
            </w:r>
          </w:p>
          <w:p w14:paraId="2E8BF6FB" w14:textId="77777777" w:rsidR="001E17FA" w:rsidRDefault="001E17FA" w:rsidP="00C3254A">
            <w:pPr>
              <w:spacing w:after="0"/>
              <w:ind w:left="770" w:hanging="770"/>
              <w:jc w:val="both"/>
              <w:rPr>
                <w:rFonts w:cstheme="minorHAnsi"/>
              </w:rPr>
            </w:pPr>
            <w:r w:rsidRPr="00BA4F8E">
              <w:rPr>
                <w:rFonts w:cstheme="minorHAnsi"/>
              </w:rPr>
              <w:t>22002</w:t>
            </w:r>
            <w:r w:rsidRPr="00BA4F8E">
              <w:rPr>
                <w:rFonts w:cstheme="minorHAnsi"/>
              </w:rPr>
              <w:tab/>
              <w:t>Počet nových udělených patentů a dalších práv ochrany průmyslového vlastnictví</w:t>
            </w:r>
          </w:p>
          <w:p w14:paraId="31F845C5" w14:textId="5DD0C992" w:rsidR="001E17FA" w:rsidRDefault="001E17FA" w:rsidP="001E17FA">
            <w:pPr>
              <w:tabs>
                <w:tab w:val="center" w:pos="1605"/>
              </w:tabs>
              <w:spacing w:after="0" w:line="240" w:lineRule="auto"/>
              <w:ind w:left="748" w:hanging="748"/>
              <w:jc w:val="both"/>
              <w:rPr>
                <w:rFonts w:cs="Arial"/>
                <w:color w:val="000000"/>
              </w:rPr>
            </w:pPr>
            <w:r w:rsidRPr="001E17FA">
              <w:rPr>
                <w:rFonts w:cs="Arial"/>
                <w:color w:val="000000"/>
              </w:rPr>
              <w:t>96201</w:t>
            </w:r>
            <w:r w:rsidRPr="001E17FA">
              <w:rPr>
                <w:rFonts w:cs="Arial"/>
                <w:color w:val="000000"/>
              </w:rPr>
              <w:tab/>
              <w:t>Počet realizovaných produktových inovací</w:t>
            </w:r>
          </w:p>
          <w:p w14:paraId="5CC6C0DE" w14:textId="3E7CB211" w:rsidR="001E17FA" w:rsidRPr="001E17FA" w:rsidRDefault="001E17FA" w:rsidP="001E17FA">
            <w:pPr>
              <w:tabs>
                <w:tab w:val="left" w:pos="963"/>
              </w:tabs>
              <w:spacing w:after="0" w:line="240" w:lineRule="auto"/>
              <w:ind w:left="748" w:hanging="748"/>
              <w:jc w:val="both"/>
              <w:rPr>
                <w:rFonts w:cs="Arial"/>
                <w:color w:val="000000"/>
              </w:rPr>
            </w:pPr>
            <w:r>
              <w:rPr>
                <w:rFonts w:cs="Arial"/>
                <w:color w:val="000000"/>
              </w:rPr>
              <w:t>96202</w:t>
            </w:r>
            <w:r>
              <w:rPr>
                <w:rFonts w:cs="Arial"/>
                <w:color w:val="000000"/>
              </w:rPr>
              <w:tab/>
            </w:r>
            <w:r w:rsidRPr="001E17FA">
              <w:rPr>
                <w:rFonts w:cs="Arial"/>
                <w:color w:val="000000"/>
              </w:rPr>
              <w:t xml:space="preserve">Počet realizovaných </w:t>
            </w:r>
            <w:r>
              <w:rPr>
                <w:rFonts w:cs="Arial"/>
                <w:color w:val="000000"/>
              </w:rPr>
              <w:t>procesních</w:t>
            </w:r>
            <w:r w:rsidRPr="001E17FA">
              <w:rPr>
                <w:rFonts w:cs="Arial"/>
                <w:color w:val="000000"/>
              </w:rPr>
              <w:t xml:space="preserve"> inovací</w:t>
            </w:r>
          </w:p>
          <w:p w14:paraId="38AF2B9B" w14:textId="77777777" w:rsidR="001E17FA" w:rsidRPr="001E17FA" w:rsidRDefault="001E17FA" w:rsidP="001E17FA">
            <w:pPr>
              <w:spacing w:after="0"/>
              <w:ind w:left="770" w:hanging="770"/>
              <w:rPr>
                <w:rFonts w:cstheme="minorHAnsi"/>
              </w:rPr>
            </w:pPr>
          </w:p>
          <w:p w14:paraId="11F78593" w14:textId="77777777" w:rsidR="001E17FA" w:rsidRPr="00BA4F8E" w:rsidRDefault="001E17FA" w:rsidP="00C861EB">
            <w:pPr>
              <w:spacing w:after="0"/>
              <w:ind w:left="769" w:hanging="769"/>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FCC0582" w14:textId="613ECF93" w:rsidR="001E17FA" w:rsidRPr="00BA4F8E" w:rsidRDefault="001E17FA" w:rsidP="00073FBF">
            <w:pPr>
              <w:spacing w:after="0"/>
              <w:jc w:val="both"/>
              <w:rPr>
                <w:rFonts w:cstheme="minorHAnsi"/>
                <w:i/>
              </w:rPr>
            </w:pPr>
            <w:r w:rsidRPr="00BA4F8E">
              <w:rPr>
                <w:rFonts w:cstheme="minorHAnsi"/>
                <w:i/>
              </w:rPr>
              <w:lastRenderedPageBreak/>
              <w:t>Přímá podpora realizace podnikového VaV, včetně podpory realizace společných projektů VO a firem a zahrnující i sdílení kapacit firem a VO.</w:t>
            </w:r>
          </w:p>
        </w:tc>
      </w:tr>
      <w:tr w:rsidR="001E17FA" w:rsidRPr="00BA4F8E" w14:paraId="0FF5F943" w14:textId="77777777" w:rsidTr="001E17FA">
        <w:trPr>
          <w:trHeight w:val="85"/>
        </w:trPr>
        <w:tc>
          <w:tcPr>
            <w:tcW w:w="2116" w:type="dxa"/>
            <w:vMerge/>
            <w:tcBorders>
              <w:left w:val="single" w:sz="4" w:space="0" w:color="auto"/>
              <w:right w:val="single" w:sz="4" w:space="0" w:color="auto"/>
            </w:tcBorders>
            <w:shd w:val="clear" w:color="auto" w:fill="F9D1D2" w:themeFill="accent1" w:themeFillTint="33"/>
          </w:tcPr>
          <w:p w14:paraId="564CD4D4" w14:textId="77777777" w:rsidR="001E17FA" w:rsidRPr="00BA4F8E" w:rsidRDefault="001E17FA" w:rsidP="00C861EB">
            <w:pPr>
              <w:spacing w:after="0"/>
              <w:jc w:val="both"/>
              <w:rPr>
                <w:rFonts w:cstheme="minorHAnsi"/>
                <w:i/>
              </w:rPr>
            </w:pPr>
          </w:p>
        </w:tc>
        <w:tc>
          <w:tcPr>
            <w:tcW w:w="3427" w:type="dxa"/>
            <w:gridSpan w:val="3"/>
            <w:vMerge/>
            <w:tcBorders>
              <w:left w:val="single" w:sz="4" w:space="0" w:color="auto"/>
              <w:right w:val="single" w:sz="4" w:space="0" w:color="auto"/>
            </w:tcBorders>
            <w:shd w:val="clear" w:color="auto" w:fill="F9D1D2" w:themeFill="accent1" w:themeFillTint="33"/>
          </w:tcPr>
          <w:p w14:paraId="5C8D9DC2" w14:textId="77777777" w:rsidR="001E17FA" w:rsidRPr="00BA4F8E" w:rsidRDefault="001E17FA" w:rsidP="00543C1B">
            <w:pPr>
              <w:pStyle w:val="Odstavecseseznamem"/>
              <w:numPr>
                <w:ilvl w:val="0"/>
                <w:numId w:val="25"/>
              </w:numPr>
              <w:spacing w:after="0" w:line="276" w:lineRule="auto"/>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3FEA0606" w14:textId="77777777" w:rsidR="001E17FA" w:rsidRPr="001E17FA" w:rsidRDefault="001E17FA" w:rsidP="00C861EB">
            <w:pPr>
              <w:spacing w:after="0"/>
              <w:jc w:val="both"/>
              <w:rPr>
                <w:rFonts w:cstheme="minorHAnsi"/>
                <w:i/>
              </w:rPr>
            </w:pPr>
            <w:r w:rsidRPr="001E17FA">
              <w:rPr>
                <w:rFonts w:cstheme="minorHAnsi"/>
                <w:i/>
              </w:rPr>
              <w:t xml:space="preserve">Přímá podpora ochrany duševního vlastnictví MSP. </w:t>
            </w:r>
          </w:p>
        </w:tc>
      </w:tr>
      <w:tr w:rsidR="001E17FA" w:rsidRPr="00BA4F8E" w14:paraId="383DD521" w14:textId="77777777" w:rsidTr="001E17FA">
        <w:trPr>
          <w:trHeight w:val="163"/>
        </w:trPr>
        <w:tc>
          <w:tcPr>
            <w:tcW w:w="2116" w:type="dxa"/>
            <w:vMerge/>
            <w:tcBorders>
              <w:left w:val="single" w:sz="4" w:space="0" w:color="auto"/>
              <w:right w:val="single" w:sz="4" w:space="0" w:color="auto"/>
            </w:tcBorders>
            <w:shd w:val="clear" w:color="auto" w:fill="F9D1D2" w:themeFill="accent1" w:themeFillTint="33"/>
          </w:tcPr>
          <w:p w14:paraId="6A683416" w14:textId="77777777" w:rsidR="001E17FA" w:rsidRPr="00BA4F8E" w:rsidRDefault="001E17FA" w:rsidP="00C861EB">
            <w:pPr>
              <w:spacing w:after="0"/>
              <w:jc w:val="both"/>
              <w:rPr>
                <w:rFonts w:cstheme="minorHAnsi"/>
                <w:i/>
              </w:rPr>
            </w:pPr>
          </w:p>
        </w:tc>
        <w:tc>
          <w:tcPr>
            <w:tcW w:w="3427" w:type="dxa"/>
            <w:gridSpan w:val="3"/>
            <w:vMerge/>
            <w:tcBorders>
              <w:left w:val="single" w:sz="4" w:space="0" w:color="auto"/>
              <w:right w:val="single" w:sz="4" w:space="0" w:color="auto"/>
            </w:tcBorders>
            <w:shd w:val="clear" w:color="auto" w:fill="F9D1D2" w:themeFill="accent1" w:themeFillTint="33"/>
          </w:tcPr>
          <w:p w14:paraId="3AA32B66" w14:textId="77777777" w:rsidR="001E17FA" w:rsidRPr="00BA4F8E" w:rsidRDefault="001E17FA" w:rsidP="00C861EB">
            <w:pPr>
              <w:spacing w:after="0"/>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20C4C81D" w14:textId="47DACEA7" w:rsidR="001E17FA" w:rsidRPr="001E17FA" w:rsidRDefault="001E17FA" w:rsidP="00D35E26">
            <w:pPr>
              <w:spacing w:after="0"/>
              <w:jc w:val="both"/>
              <w:rPr>
                <w:rFonts w:cstheme="minorHAnsi"/>
                <w:i/>
              </w:rPr>
            </w:pPr>
            <w:r w:rsidRPr="001E17FA">
              <w:rPr>
                <w:rFonts w:cstheme="minorHAnsi"/>
                <w:i/>
              </w:rPr>
              <w:t>Podpora dostupnosti talentů pro podnikový vývoj a inovace v MSP (např. např. program Inovační asistent).</w:t>
            </w:r>
          </w:p>
        </w:tc>
      </w:tr>
      <w:tr w:rsidR="001E17FA" w:rsidRPr="00BA4F8E" w14:paraId="19B5533F" w14:textId="77777777" w:rsidTr="001E17FA">
        <w:trPr>
          <w:trHeight w:val="170"/>
        </w:trPr>
        <w:tc>
          <w:tcPr>
            <w:tcW w:w="2116" w:type="dxa"/>
            <w:vMerge/>
            <w:tcBorders>
              <w:left w:val="single" w:sz="4" w:space="0" w:color="auto"/>
              <w:right w:val="single" w:sz="4" w:space="0" w:color="auto"/>
            </w:tcBorders>
            <w:shd w:val="clear" w:color="auto" w:fill="F9D1D2" w:themeFill="accent1" w:themeFillTint="33"/>
          </w:tcPr>
          <w:p w14:paraId="37262F9A" w14:textId="77777777" w:rsidR="001E17FA" w:rsidRPr="00BA4F8E" w:rsidRDefault="001E17FA" w:rsidP="00C861EB">
            <w:pPr>
              <w:spacing w:after="0"/>
              <w:jc w:val="both"/>
              <w:rPr>
                <w:rFonts w:cstheme="minorHAnsi"/>
                <w:i/>
              </w:rPr>
            </w:pPr>
          </w:p>
        </w:tc>
        <w:tc>
          <w:tcPr>
            <w:tcW w:w="3427" w:type="dxa"/>
            <w:gridSpan w:val="3"/>
            <w:vMerge/>
            <w:tcBorders>
              <w:left w:val="single" w:sz="4" w:space="0" w:color="auto"/>
              <w:right w:val="single" w:sz="4" w:space="0" w:color="auto"/>
            </w:tcBorders>
            <w:shd w:val="clear" w:color="auto" w:fill="F9D1D2" w:themeFill="accent1" w:themeFillTint="33"/>
          </w:tcPr>
          <w:p w14:paraId="4EFCEDE7" w14:textId="77777777" w:rsidR="001E17FA" w:rsidRPr="00BA4F8E" w:rsidRDefault="001E17FA" w:rsidP="00C861EB">
            <w:pPr>
              <w:spacing w:after="0"/>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83F9148" w14:textId="77777777" w:rsidR="001E17FA" w:rsidRPr="001E17FA" w:rsidRDefault="001E17FA" w:rsidP="00C861EB">
            <w:pPr>
              <w:spacing w:after="0"/>
              <w:jc w:val="both"/>
              <w:rPr>
                <w:rFonts w:cstheme="minorHAnsi"/>
                <w:i/>
              </w:rPr>
            </w:pPr>
            <w:r w:rsidRPr="001E17FA">
              <w:rPr>
                <w:rFonts w:cstheme="minorHAnsi"/>
                <w:i/>
              </w:rPr>
              <w:t>Podpora inovací prostřednictvím usnadnění absorpce nových technologií (např. SW pro digital design) – prostor pro využití nástrojů finančního inženýrství.</w:t>
            </w:r>
          </w:p>
        </w:tc>
      </w:tr>
      <w:tr w:rsidR="001E17FA" w:rsidRPr="00BA4F8E" w14:paraId="5F2B44F3" w14:textId="77777777" w:rsidTr="001E17FA">
        <w:trPr>
          <w:trHeight w:val="85"/>
        </w:trPr>
        <w:tc>
          <w:tcPr>
            <w:tcW w:w="2116" w:type="dxa"/>
            <w:vMerge/>
            <w:tcBorders>
              <w:left w:val="single" w:sz="4" w:space="0" w:color="auto"/>
              <w:right w:val="single" w:sz="4" w:space="0" w:color="auto"/>
            </w:tcBorders>
            <w:shd w:val="clear" w:color="auto" w:fill="F9D1D2" w:themeFill="accent1" w:themeFillTint="33"/>
          </w:tcPr>
          <w:p w14:paraId="5C47546D" w14:textId="77777777" w:rsidR="001E17FA" w:rsidRPr="00BA4F8E" w:rsidRDefault="001E17FA" w:rsidP="00C861EB">
            <w:pPr>
              <w:spacing w:after="0"/>
              <w:jc w:val="both"/>
              <w:rPr>
                <w:rFonts w:cstheme="minorHAnsi"/>
                <w:i/>
              </w:rPr>
            </w:pPr>
          </w:p>
        </w:tc>
        <w:tc>
          <w:tcPr>
            <w:tcW w:w="3427" w:type="dxa"/>
            <w:gridSpan w:val="3"/>
            <w:vMerge/>
            <w:tcBorders>
              <w:left w:val="single" w:sz="4" w:space="0" w:color="auto"/>
              <w:right w:val="single" w:sz="4" w:space="0" w:color="auto"/>
            </w:tcBorders>
            <w:shd w:val="clear" w:color="auto" w:fill="F9D1D2" w:themeFill="accent1" w:themeFillTint="33"/>
          </w:tcPr>
          <w:p w14:paraId="377ED0CF" w14:textId="77777777" w:rsidR="001E17FA" w:rsidRPr="00BA4F8E" w:rsidRDefault="001E17FA" w:rsidP="00C861EB">
            <w:pPr>
              <w:spacing w:after="0"/>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171D6EAB" w14:textId="77777777" w:rsidR="001E17FA" w:rsidRPr="00BA4F8E" w:rsidRDefault="001E17FA" w:rsidP="00C861EB">
            <w:pPr>
              <w:spacing w:after="0"/>
              <w:jc w:val="both"/>
              <w:rPr>
                <w:rFonts w:cstheme="minorHAnsi"/>
                <w:i/>
              </w:rPr>
            </w:pPr>
            <w:r w:rsidRPr="00BA4F8E">
              <w:rPr>
                <w:rFonts w:cstheme="minorHAnsi"/>
                <w:i/>
              </w:rPr>
              <w:t>Public pre-commercial procurement.</w:t>
            </w:r>
          </w:p>
        </w:tc>
      </w:tr>
      <w:tr w:rsidR="001E17FA" w:rsidRPr="00BA4F8E" w14:paraId="79F3CABA" w14:textId="77777777" w:rsidTr="001E17FA">
        <w:trPr>
          <w:trHeight w:val="362"/>
        </w:trPr>
        <w:tc>
          <w:tcPr>
            <w:tcW w:w="2116" w:type="dxa"/>
            <w:vMerge/>
            <w:tcBorders>
              <w:left w:val="single" w:sz="4" w:space="0" w:color="auto"/>
              <w:right w:val="single" w:sz="4" w:space="0" w:color="auto"/>
            </w:tcBorders>
            <w:shd w:val="clear" w:color="auto" w:fill="F9D1D2" w:themeFill="accent1" w:themeFillTint="33"/>
          </w:tcPr>
          <w:p w14:paraId="1A010C46" w14:textId="77777777" w:rsidR="001E17FA" w:rsidRPr="00BA4F8E" w:rsidRDefault="001E17FA" w:rsidP="00C861EB">
            <w:pPr>
              <w:spacing w:after="0"/>
              <w:jc w:val="both"/>
              <w:rPr>
                <w:rFonts w:cstheme="minorHAnsi"/>
                <w:i/>
              </w:rPr>
            </w:pPr>
          </w:p>
        </w:tc>
        <w:tc>
          <w:tcPr>
            <w:tcW w:w="3427" w:type="dxa"/>
            <w:gridSpan w:val="3"/>
            <w:vMerge/>
            <w:tcBorders>
              <w:left w:val="single" w:sz="4" w:space="0" w:color="auto"/>
              <w:right w:val="single" w:sz="4" w:space="0" w:color="auto"/>
            </w:tcBorders>
            <w:shd w:val="clear" w:color="auto" w:fill="F9D1D2" w:themeFill="accent1" w:themeFillTint="33"/>
          </w:tcPr>
          <w:p w14:paraId="3540A5C8" w14:textId="77777777" w:rsidR="001E17FA" w:rsidRPr="00BA4F8E" w:rsidRDefault="001E17FA" w:rsidP="00C861EB">
            <w:pPr>
              <w:spacing w:after="0"/>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C24C705" w14:textId="77777777" w:rsidR="001E17FA" w:rsidRPr="001E17FA" w:rsidRDefault="001E17FA" w:rsidP="00C861EB">
            <w:pPr>
              <w:spacing w:after="0"/>
              <w:jc w:val="both"/>
              <w:rPr>
                <w:rFonts w:cstheme="minorHAnsi"/>
                <w:i/>
              </w:rPr>
            </w:pPr>
            <w:r w:rsidRPr="001E17FA">
              <w:rPr>
                <w:rFonts w:cstheme="minorHAnsi"/>
                <w:i/>
              </w:rPr>
              <w:t xml:space="preserve">Podpora podnikové VaV infrastruktury (vedle dotací prostor pro využití nástrojů finančního inženýrství). </w:t>
            </w:r>
          </w:p>
        </w:tc>
      </w:tr>
      <w:tr w:rsidR="001E17FA" w:rsidRPr="00BA4F8E" w14:paraId="36B67538" w14:textId="77777777" w:rsidTr="001E17FA">
        <w:trPr>
          <w:trHeight w:val="362"/>
        </w:trPr>
        <w:tc>
          <w:tcPr>
            <w:tcW w:w="2116" w:type="dxa"/>
            <w:vMerge/>
            <w:tcBorders>
              <w:left w:val="single" w:sz="4" w:space="0" w:color="auto"/>
              <w:bottom w:val="single" w:sz="4" w:space="0" w:color="auto"/>
              <w:right w:val="single" w:sz="4" w:space="0" w:color="auto"/>
            </w:tcBorders>
            <w:shd w:val="clear" w:color="auto" w:fill="F9D1D2" w:themeFill="accent1" w:themeFillTint="33"/>
          </w:tcPr>
          <w:p w14:paraId="615E5DB0" w14:textId="77777777" w:rsidR="001E17FA" w:rsidRPr="00BA4F8E" w:rsidRDefault="001E17FA" w:rsidP="00C861EB">
            <w:pPr>
              <w:spacing w:after="0"/>
              <w:jc w:val="both"/>
              <w:rPr>
                <w:rFonts w:cstheme="minorHAnsi"/>
                <w:i/>
              </w:rPr>
            </w:pPr>
          </w:p>
        </w:tc>
        <w:tc>
          <w:tcPr>
            <w:tcW w:w="3427" w:type="dxa"/>
            <w:gridSpan w:val="3"/>
            <w:vMerge/>
            <w:tcBorders>
              <w:left w:val="single" w:sz="4" w:space="0" w:color="auto"/>
              <w:bottom w:val="single" w:sz="4" w:space="0" w:color="auto"/>
              <w:right w:val="single" w:sz="4" w:space="0" w:color="auto"/>
            </w:tcBorders>
            <w:shd w:val="clear" w:color="auto" w:fill="F9D1D2" w:themeFill="accent1" w:themeFillTint="33"/>
          </w:tcPr>
          <w:p w14:paraId="7C3D0B9D" w14:textId="77777777" w:rsidR="001E17FA" w:rsidRPr="00BA4F8E" w:rsidRDefault="001E17FA" w:rsidP="00C861EB">
            <w:pPr>
              <w:spacing w:after="0"/>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CF38EB4" w14:textId="2A8E3AD3" w:rsidR="001E17FA" w:rsidRPr="001E17FA" w:rsidRDefault="001E17FA" w:rsidP="001E17FA">
            <w:pPr>
              <w:spacing w:after="0"/>
              <w:jc w:val="both"/>
              <w:rPr>
                <w:rFonts w:cstheme="minorHAnsi"/>
                <w:i/>
              </w:rPr>
            </w:pPr>
            <w:r w:rsidRPr="001E17FA">
              <w:rPr>
                <w:rFonts w:cstheme="minorHAnsi"/>
                <w:i/>
              </w:rPr>
              <w:t>Podpora sdílené infrastruktury budované v rámci spolupráce v</w:t>
            </w:r>
            <w:r>
              <w:rPr>
                <w:rFonts w:cstheme="minorHAnsi"/>
                <w:i/>
              </w:rPr>
              <w:t> </w:t>
            </w:r>
            <w:r w:rsidRPr="001E17FA">
              <w:rPr>
                <w:rFonts w:cstheme="minorHAnsi"/>
                <w:i/>
              </w:rPr>
              <w:t>klastrových organizacích.</w:t>
            </w:r>
          </w:p>
        </w:tc>
      </w:tr>
      <w:tr w:rsidR="00E76F0E" w:rsidRPr="00BA4F8E" w14:paraId="5F766AC5" w14:textId="77777777" w:rsidTr="001E17FA">
        <w:trPr>
          <w:trHeight w:val="90"/>
        </w:trPr>
        <w:tc>
          <w:tcPr>
            <w:tcW w:w="2116" w:type="dxa"/>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18B53F74" w14:textId="77777777" w:rsidR="00E76F0E" w:rsidRPr="00BA4F8E" w:rsidRDefault="00E76F0E" w:rsidP="00C861EB">
            <w:pPr>
              <w:spacing w:after="0"/>
              <w:jc w:val="both"/>
              <w:rPr>
                <w:rFonts w:cstheme="minorHAnsi"/>
                <w:b/>
              </w:rPr>
            </w:pPr>
            <w:r w:rsidRPr="00BA4F8E">
              <w:rPr>
                <w:rFonts w:cstheme="minorHAnsi"/>
                <w:b/>
              </w:rPr>
              <w:t>A.1.2: Zlepšit strategické řízení v MSP</w:t>
            </w:r>
          </w:p>
          <w:p w14:paraId="7C4FFE9B" w14:textId="77777777" w:rsidR="00E76F0E" w:rsidRPr="00BA4F8E" w:rsidRDefault="00E76F0E" w:rsidP="00C861EB">
            <w:pPr>
              <w:spacing w:after="0"/>
              <w:jc w:val="both"/>
              <w:rPr>
                <w:rFonts w:cstheme="minorHAnsi"/>
              </w:rPr>
            </w:pPr>
            <w:r w:rsidRPr="00BA4F8E">
              <w:rPr>
                <w:rFonts w:cstheme="minorHAnsi"/>
              </w:rPr>
              <w:t>U řady MSP bude významným zlepšením již pouhé vytažení manažerů z každodenní operativy a zvýšení jejich pozornosti věnované strategickým otázkám rozvoje řízených firem.</w:t>
            </w:r>
          </w:p>
          <w:p w14:paraId="23E78CBA" w14:textId="77777777" w:rsidR="00E76F0E" w:rsidRPr="00BA4F8E" w:rsidRDefault="00E76F0E" w:rsidP="00C861EB">
            <w:pPr>
              <w:spacing w:after="0"/>
              <w:jc w:val="both"/>
              <w:rPr>
                <w:rFonts w:cstheme="minorHAnsi"/>
              </w:rPr>
            </w:pPr>
            <w:r w:rsidRPr="00BA4F8E">
              <w:rPr>
                <w:rFonts w:cstheme="minorHAnsi"/>
              </w:rPr>
              <w:t xml:space="preserve">Vzhledem k variabilitě problémů a přístupů </w:t>
            </w:r>
            <w:r w:rsidRPr="00BA4F8E">
              <w:rPr>
                <w:rFonts w:cstheme="minorHAnsi"/>
              </w:rPr>
              <w:lastRenderedPageBreak/>
              <w:t xml:space="preserve">k řízení MSP bude mít zlepšení strategického řízení mnoho podob. </w:t>
            </w:r>
          </w:p>
        </w:tc>
        <w:tc>
          <w:tcPr>
            <w:tcW w:w="3427" w:type="dxa"/>
            <w:gridSpan w:val="3"/>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50E7E56" w14:textId="77777777" w:rsidR="00E76F0E" w:rsidRPr="00BA4F8E" w:rsidRDefault="00E76F0E" w:rsidP="00C861EB">
            <w:pPr>
              <w:spacing w:after="0"/>
              <w:ind w:left="770" w:hanging="770"/>
              <w:jc w:val="both"/>
              <w:rPr>
                <w:rFonts w:cstheme="minorHAnsi"/>
              </w:rPr>
            </w:pPr>
            <w:r w:rsidRPr="00BA4F8E">
              <w:rPr>
                <w:rFonts w:cstheme="minorHAnsi"/>
              </w:rPr>
              <w:lastRenderedPageBreak/>
              <w:t>10000</w:t>
            </w:r>
            <w:r w:rsidRPr="00BA4F8E">
              <w:rPr>
                <w:rFonts w:cstheme="minorHAnsi"/>
              </w:rPr>
              <w:tab/>
              <w:t xml:space="preserve">Počet podniků pobírajících podporu </w:t>
            </w:r>
          </w:p>
          <w:p w14:paraId="6C35FAFD" w14:textId="259AAD4D" w:rsidR="00E76F0E" w:rsidRPr="00BA4F8E" w:rsidRDefault="00E76F0E" w:rsidP="00C3254A">
            <w:pPr>
              <w:spacing w:after="0"/>
              <w:ind w:left="770" w:hanging="770"/>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6DEAB032" w14:textId="70FF8D92" w:rsidR="00E76F0E" w:rsidRPr="00161B83" w:rsidRDefault="00E76F0E" w:rsidP="00D64BA6">
            <w:pPr>
              <w:spacing w:after="0"/>
              <w:jc w:val="both"/>
              <w:rPr>
                <w:rFonts w:cstheme="minorHAnsi"/>
                <w:i/>
              </w:rPr>
            </w:pPr>
            <w:r w:rsidRPr="00161B83">
              <w:rPr>
                <w:rFonts w:cstheme="minorHAnsi"/>
                <w:i/>
              </w:rPr>
              <w:t>Síť mezinárodně certifikovaných poskytovatelů poradenských služeb</w:t>
            </w:r>
            <w:r w:rsidRPr="00161B83">
              <w:rPr>
                <w:rStyle w:val="Znakapoznpodarou"/>
                <w:rFonts w:cstheme="minorHAnsi"/>
                <w:i/>
              </w:rPr>
              <w:footnoteReference w:id="86"/>
            </w:r>
            <w:r w:rsidRPr="00161B83">
              <w:rPr>
                <w:rFonts w:cstheme="minorHAnsi"/>
                <w:i/>
              </w:rPr>
              <w:t xml:space="preserve"> založených na dvoustupňové proceduře zaměřené na (i)</w:t>
            </w:r>
            <w:r w:rsidR="00D64BA6" w:rsidRPr="00161B83">
              <w:rPr>
                <w:rFonts w:cstheme="minorHAnsi"/>
                <w:i/>
              </w:rPr>
              <w:t> </w:t>
            </w:r>
            <w:r w:rsidRPr="00161B83">
              <w:rPr>
                <w:rFonts w:cstheme="minorHAnsi"/>
                <w:i/>
              </w:rPr>
              <w:t>identifikaci nových růstových příležitostí/rozvojových potřeb pro MSP, (ii) nalezení cesty (způsobu řešení) pro jejich využití/naplnění a</w:t>
            </w:r>
            <w:r w:rsidR="00D64BA6" w:rsidRPr="00161B83">
              <w:rPr>
                <w:rFonts w:cstheme="minorHAnsi"/>
                <w:i/>
              </w:rPr>
              <w:t> </w:t>
            </w:r>
            <w:r w:rsidRPr="00161B83">
              <w:rPr>
                <w:rFonts w:cstheme="minorHAnsi"/>
                <w:i/>
              </w:rPr>
              <w:t>(iii) koučink/mentoring implementace identifikovaných řešení ve firmě.</w:t>
            </w:r>
          </w:p>
        </w:tc>
      </w:tr>
      <w:tr w:rsidR="00E76F0E" w:rsidRPr="00BA4F8E" w14:paraId="465029EE" w14:textId="77777777" w:rsidTr="001E17FA">
        <w:trPr>
          <w:trHeight w:val="170"/>
        </w:trPr>
        <w:tc>
          <w:tcPr>
            <w:tcW w:w="2116" w:type="dxa"/>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CEAE41A" w14:textId="77777777" w:rsidR="00E76F0E" w:rsidRPr="00BA4F8E" w:rsidRDefault="00E76F0E" w:rsidP="00C861EB">
            <w:pPr>
              <w:spacing w:after="0"/>
              <w:jc w:val="both"/>
              <w:rPr>
                <w:rFonts w:cstheme="minorHAnsi"/>
              </w:rPr>
            </w:pPr>
          </w:p>
        </w:tc>
        <w:tc>
          <w:tcPr>
            <w:tcW w:w="3427"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3A3D9FCC" w14:textId="77777777" w:rsidR="00E76F0E" w:rsidRPr="00BA4F8E" w:rsidRDefault="00E76F0E" w:rsidP="00543C1B">
            <w:pPr>
              <w:pStyle w:val="Odstavecseseznamem"/>
              <w:numPr>
                <w:ilvl w:val="0"/>
                <w:numId w:val="27"/>
              </w:numPr>
              <w:spacing w:after="0" w:line="276" w:lineRule="auto"/>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69283397" w14:textId="77777777" w:rsidR="00E76F0E" w:rsidRPr="00161B83" w:rsidRDefault="00E76F0E" w:rsidP="00C861EB">
            <w:pPr>
              <w:spacing w:after="0"/>
              <w:jc w:val="both"/>
              <w:rPr>
                <w:rFonts w:cstheme="minorHAnsi"/>
                <w:i/>
              </w:rPr>
            </w:pPr>
            <w:r w:rsidRPr="00161B83">
              <w:rPr>
                <w:rFonts w:cstheme="minorHAnsi"/>
                <w:i/>
              </w:rPr>
              <w:t>Interim management – dočasný manažer, jemuž je svěřen re-design procesu/ů, které potřebuje firma zlepšit.</w:t>
            </w:r>
          </w:p>
        </w:tc>
      </w:tr>
      <w:tr w:rsidR="00E76F0E" w:rsidRPr="00BA4F8E" w14:paraId="5EF8142B" w14:textId="77777777" w:rsidTr="001E17FA">
        <w:trPr>
          <w:trHeight w:val="170"/>
        </w:trPr>
        <w:tc>
          <w:tcPr>
            <w:tcW w:w="2116" w:type="dxa"/>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C6575E4" w14:textId="77777777" w:rsidR="00E76F0E" w:rsidRPr="00BA4F8E" w:rsidRDefault="00E76F0E" w:rsidP="00C861EB">
            <w:pPr>
              <w:spacing w:after="0"/>
              <w:jc w:val="both"/>
              <w:rPr>
                <w:rFonts w:cstheme="minorHAnsi"/>
              </w:rPr>
            </w:pPr>
          </w:p>
        </w:tc>
        <w:tc>
          <w:tcPr>
            <w:tcW w:w="3427"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2B686AEB" w14:textId="77777777" w:rsidR="00E76F0E" w:rsidRPr="00BA4F8E" w:rsidRDefault="00E76F0E" w:rsidP="00543C1B">
            <w:pPr>
              <w:pStyle w:val="Odstavecseseznamem"/>
              <w:numPr>
                <w:ilvl w:val="0"/>
                <w:numId w:val="27"/>
              </w:numPr>
              <w:spacing w:after="0" w:line="276" w:lineRule="auto"/>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FDA90F6" w14:textId="77777777" w:rsidR="00E76F0E" w:rsidRPr="00161B83" w:rsidRDefault="00E76F0E" w:rsidP="00C861EB">
            <w:pPr>
              <w:spacing w:after="0"/>
              <w:jc w:val="both"/>
              <w:rPr>
                <w:rFonts w:cstheme="minorHAnsi"/>
                <w:i/>
              </w:rPr>
            </w:pPr>
            <w:r w:rsidRPr="00161B83">
              <w:rPr>
                <w:rFonts w:cstheme="minorHAnsi"/>
                <w:i/>
              </w:rPr>
              <w:t xml:space="preserve">Asistenční služby pro zvýšení povědomí firem o významu </w:t>
            </w:r>
            <w:r w:rsidRPr="00161B83">
              <w:rPr>
                <w:rFonts w:cstheme="minorHAnsi"/>
                <w:i/>
              </w:rPr>
              <w:lastRenderedPageBreak/>
              <w:t>a způsobech ochrany IPR a vlastní zajištění mezinárodní ochrany IPR.</w:t>
            </w:r>
          </w:p>
        </w:tc>
      </w:tr>
      <w:tr w:rsidR="00E76F0E" w:rsidRPr="00BA4F8E" w14:paraId="678FCE9E" w14:textId="77777777" w:rsidTr="001E17FA">
        <w:trPr>
          <w:trHeight w:val="170"/>
        </w:trPr>
        <w:tc>
          <w:tcPr>
            <w:tcW w:w="2116" w:type="dxa"/>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6E2A978D" w14:textId="77777777" w:rsidR="00E76F0E" w:rsidRPr="00BA4F8E" w:rsidRDefault="00E76F0E" w:rsidP="00C861EB">
            <w:pPr>
              <w:spacing w:after="0"/>
              <w:jc w:val="both"/>
              <w:rPr>
                <w:rFonts w:cstheme="minorHAnsi"/>
              </w:rPr>
            </w:pPr>
          </w:p>
        </w:tc>
        <w:tc>
          <w:tcPr>
            <w:tcW w:w="3427"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304E592" w14:textId="77777777" w:rsidR="00E76F0E" w:rsidRPr="00BA4F8E" w:rsidRDefault="00E76F0E" w:rsidP="00543C1B">
            <w:pPr>
              <w:pStyle w:val="Odstavecseseznamem"/>
              <w:numPr>
                <w:ilvl w:val="0"/>
                <w:numId w:val="27"/>
              </w:numPr>
              <w:spacing w:after="0" w:line="276" w:lineRule="auto"/>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1DE7FADE" w14:textId="77777777" w:rsidR="00E76F0E" w:rsidRPr="00161B83" w:rsidRDefault="00E76F0E" w:rsidP="00C861EB">
            <w:pPr>
              <w:spacing w:after="0"/>
              <w:jc w:val="both"/>
              <w:rPr>
                <w:rFonts w:cstheme="minorHAnsi"/>
                <w:i/>
              </w:rPr>
            </w:pPr>
            <w:r w:rsidRPr="00161B83">
              <w:rPr>
                <w:rFonts w:cstheme="minorHAnsi"/>
                <w:i/>
              </w:rPr>
              <w:t>Zprostředkování kvalitního manažerského vzdělávání v oblasti strategického řízení a managementu inovací (cíleno zejména na zaměstnance s potenciálem stát se budoucími manažery).</w:t>
            </w:r>
          </w:p>
        </w:tc>
      </w:tr>
      <w:tr w:rsidR="00E76F0E" w:rsidRPr="00BA4F8E" w14:paraId="7FC8296A" w14:textId="77777777" w:rsidTr="001E17FA">
        <w:trPr>
          <w:trHeight w:val="260"/>
        </w:trPr>
        <w:tc>
          <w:tcPr>
            <w:tcW w:w="2116" w:type="dxa"/>
            <w:vMerge w:val="restart"/>
            <w:tcBorders>
              <w:top w:val="single" w:sz="4" w:space="0" w:color="auto"/>
              <w:left w:val="single" w:sz="4" w:space="0" w:color="auto"/>
              <w:right w:val="single" w:sz="4" w:space="0" w:color="auto"/>
            </w:tcBorders>
            <w:shd w:val="clear" w:color="auto" w:fill="F9D1D2" w:themeFill="accent1" w:themeFillTint="33"/>
          </w:tcPr>
          <w:p w14:paraId="12F6778A" w14:textId="77777777" w:rsidR="00E76F0E" w:rsidRPr="00BA4F8E" w:rsidRDefault="00E76F0E" w:rsidP="00C861EB">
            <w:pPr>
              <w:spacing w:after="0"/>
              <w:jc w:val="both"/>
              <w:rPr>
                <w:rFonts w:cstheme="minorHAnsi"/>
                <w:b/>
              </w:rPr>
            </w:pPr>
            <w:r w:rsidRPr="00BA4F8E">
              <w:rPr>
                <w:rFonts w:cstheme="minorHAnsi"/>
                <w:b/>
              </w:rPr>
              <w:t>A.1.3: Posílit technologickou spolupráci firem</w:t>
            </w:r>
          </w:p>
        </w:tc>
        <w:tc>
          <w:tcPr>
            <w:tcW w:w="3427" w:type="dxa"/>
            <w:gridSpan w:val="3"/>
            <w:vMerge w:val="restart"/>
            <w:tcBorders>
              <w:top w:val="single" w:sz="4" w:space="0" w:color="auto"/>
              <w:left w:val="single" w:sz="4" w:space="0" w:color="auto"/>
              <w:right w:val="single" w:sz="4" w:space="0" w:color="auto"/>
            </w:tcBorders>
            <w:shd w:val="clear" w:color="auto" w:fill="F9D1D2" w:themeFill="accent1" w:themeFillTint="33"/>
          </w:tcPr>
          <w:p w14:paraId="1454B171" w14:textId="77777777" w:rsidR="00E76F0E" w:rsidRPr="00BA4F8E" w:rsidRDefault="00E76F0E" w:rsidP="00C861EB">
            <w:pPr>
              <w:spacing w:after="0"/>
              <w:ind w:left="770" w:hanging="770"/>
              <w:jc w:val="both"/>
              <w:rPr>
                <w:rFonts w:cstheme="minorHAnsi"/>
              </w:rPr>
            </w:pPr>
            <w:r w:rsidRPr="00BA4F8E">
              <w:rPr>
                <w:rFonts w:cstheme="minorHAnsi"/>
              </w:rPr>
              <w:t>24100</w:t>
            </w:r>
            <w:r w:rsidRPr="00BA4F8E">
              <w:rPr>
                <w:rFonts w:cstheme="minorHAnsi"/>
              </w:rPr>
              <w:tab/>
              <w:t>Zrekonstruované, rozšířené a nově vybudované kapacity</w:t>
            </w:r>
          </w:p>
          <w:p w14:paraId="1027FA65" w14:textId="77777777" w:rsidR="00E76F0E" w:rsidRPr="00BA4F8E" w:rsidRDefault="00E76F0E" w:rsidP="00C861EB">
            <w:pPr>
              <w:spacing w:after="0"/>
              <w:ind w:left="775" w:hanging="775"/>
              <w:jc w:val="both"/>
              <w:rPr>
                <w:rFonts w:cstheme="minorHAnsi"/>
              </w:rPr>
            </w:pPr>
            <w:r w:rsidRPr="00BA4F8E">
              <w:rPr>
                <w:rFonts w:cstheme="minorHAnsi"/>
              </w:rPr>
              <w:t>24201</w:t>
            </w:r>
            <w:r w:rsidRPr="00BA4F8E">
              <w:rPr>
                <w:rFonts w:cstheme="minorHAnsi"/>
              </w:rPr>
              <w:tab/>
              <w:t>Podpořená plocha určená pro provoz inovační infrastruktury</w:t>
            </w:r>
          </w:p>
          <w:p w14:paraId="68BDACF6" w14:textId="3800EFA3" w:rsidR="00E76F0E" w:rsidRPr="00BA4F8E" w:rsidRDefault="00E76F0E" w:rsidP="00C861EB">
            <w:pPr>
              <w:spacing w:after="0"/>
              <w:ind w:left="775" w:hanging="775"/>
              <w:jc w:val="both"/>
              <w:rPr>
                <w:rFonts w:cstheme="minorHAnsi"/>
              </w:rPr>
            </w:pPr>
            <w:r w:rsidRPr="00BA4F8E">
              <w:rPr>
                <w:rFonts w:cstheme="minorHAnsi"/>
              </w:rPr>
              <w:t>21902</w:t>
            </w:r>
            <w:r w:rsidRPr="00BA4F8E">
              <w:rPr>
                <w:rFonts w:cstheme="minorHAnsi"/>
              </w:rPr>
              <w:tab/>
              <w:t>Společné projekty v oblasti rozvoje a</w:t>
            </w:r>
            <w:r w:rsidR="00D64BA6">
              <w:rPr>
                <w:rFonts w:cstheme="minorHAnsi"/>
              </w:rPr>
              <w:t> </w:t>
            </w:r>
            <w:r w:rsidRPr="00BA4F8E">
              <w:rPr>
                <w:rFonts w:cstheme="minorHAnsi"/>
              </w:rPr>
              <w:t>internacionalizace</w:t>
            </w:r>
          </w:p>
          <w:p w14:paraId="4FA14304" w14:textId="77777777" w:rsidR="00E76F0E" w:rsidRPr="00BA4F8E" w:rsidRDefault="00E76F0E" w:rsidP="00C861EB">
            <w:pPr>
              <w:spacing w:after="0"/>
              <w:ind w:left="775" w:hanging="775"/>
              <w:jc w:val="both"/>
              <w:rPr>
                <w:rFonts w:cstheme="minorHAnsi"/>
              </w:rPr>
            </w:pPr>
            <w:r w:rsidRPr="00BA4F8E">
              <w:rPr>
                <w:rFonts w:cstheme="minorHAnsi"/>
              </w:rPr>
              <w:t>21412</w:t>
            </w:r>
            <w:r w:rsidRPr="00BA4F8E">
              <w:rPr>
                <w:rFonts w:cstheme="minorHAnsi"/>
              </w:rPr>
              <w:tab/>
              <w:t>Společné projekty VaVaI</w:t>
            </w: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894CEA3" w14:textId="77777777" w:rsidR="00E76F0E" w:rsidRPr="00BA4F8E" w:rsidRDefault="00E76F0E" w:rsidP="00C861EB">
            <w:pPr>
              <w:spacing w:after="0"/>
              <w:jc w:val="both"/>
              <w:rPr>
                <w:rFonts w:cstheme="minorHAnsi"/>
                <w:i/>
              </w:rPr>
            </w:pPr>
            <w:r w:rsidRPr="00BA4F8E">
              <w:rPr>
                <w:rFonts w:cstheme="minorHAnsi"/>
                <w:i/>
              </w:rPr>
              <w:t>Sdílené kapacity pro průmyslový výzkum, vývoj, inovace a profesní vzdělávání  - VTP, Kompetenční centra</w:t>
            </w:r>
            <w:r w:rsidRPr="00BA4F8E">
              <w:rPr>
                <w:rStyle w:val="Znakapoznpodarou"/>
                <w:rFonts w:cstheme="minorHAnsi"/>
                <w:i/>
              </w:rPr>
              <w:footnoteReference w:id="87"/>
            </w:r>
            <w:r w:rsidRPr="00BA4F8E">
              <w:rPr>
                <w:rFonts w:cstheme="minorHAnsi"/>
                <w:i/>
              </w:rPr>
              <w:t xml:space="preserve">, klastry, inovační centra, ad. </w:t>
            </w:r>
          </w:p>
        </w:tc>
      </w:tr>
      <w:tr w:rsidR="00E76F0E" w:rsidRPr="00BA4F8E" w14:paraId="2315E30E" w14:textId="77777777" w:rsidTr="001E17FA">
        <w:trPr>
          <w:trHeight w:val="175"/>
        </w:trPr>
        <w:tc>
          <w:tcPr>
            <w:tcW w:w="2116" w:type="dxa"/>
            <w:vMerge/>
            <w:tcBorders>
              <w:left w:val="single" w:sz="4" w:space="0" w:color="auto"/>
              <w:right w:val="single" w:sz="4" w:space="0" w:color="auto"/>
            </w:tcBorders>
            <w:shd w:val="clear" w:color="auto" w:fill="F9D1D2" w:themeFill="accent1" w:themeFillTint="33"/>
          </w:tcPr>
          <w:p w14:paraId="3CE9BE6B" w14:textId="77777777" w:rsidR="00E76F0E" w:rsidRPr="00BA4F8E" w:rsidRDefault="00E76F0E" w:rsidP="00C861EB">
            <w:pPr>
              <w:spacing w:after="0"/>
              <w:jc w:val="both"/>
              <w:rPr>
                <w:rFonts w:cstheme="minorHAnsi"/>
                <w:i/>
              </w:rPr>
            </w:pPr>
          </w:p>
        </w:tc>
        <w:tc>
          <w:tcPr>
            <w:tcW w:w="3427" w:type="dxa"/>
            <w:gridSpan w:val="3"/>
            <w:vMerge/>
            <w:tcBorders>
              <w:left w:val="single" w:sz="4" w:space="0" w:color="auto"/>
              <w:right w:val="single" w:sz="4" w:space="0" w:color="auto"/>
            </w:tcBorders>
            <w:shd w:val="clear" w:color="auto" w:fill="F9D1D2" w:themeFill="accent1" w:themeFillTint="33"/>
          </w:tcPr>
          <w:p w14:paraId="6E3AF2E6" w14:textId="77777777" w:rsidR="00E76F0E" w:rsidRPr="00BA4F8E" w:rsidRDefault="00E76F0E" w:rsidP="00543C1B">
            <w:pPr>
              <w:pStyle w:val="Odstavecseseznamem"/>
              <w:numPr>
                <w:ilvl w:val="0"/>
                <w:numId w:val="26"/>
              </w:numPr>
              <w:spacing w:after="0" w:line="276" w:lineRule="auto"/>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66854E33" w14:textId="04588601" w:rsidR="00E76F0E" w:rsidRPr="00161B83" w:rsidRDefault="00E76F0E" w:rsidP="000654C9">
            <w:pPr>
              <w:spacing w:after="0"/>
              <w:jc w:val="both"/>
              <w:rPr>
                <w:rFonts w:cstheme="minorHAnsi"/>
                <w:i/>
              </w:rPr>
            </w:pPr>
            <w:r w:rsidRPr="00161B83">
              <w:rPr>
                <w:rFonts w:cstheme="minorHAnsi"/>
                <w:i/>
              </w:rPr>
              <w:t>Podpora procesního a</w:t>
            </w:r>
            <w:r w:rsidR="000654C9" w:rsidRPr="00161B83">
              <w:rPr>
                <w:rFonts w:cstheme="minorHAnsi"/>
                <w:i/>
              </w:rPr>
              <w:t> </w:t>
            </w:r>
            <w:r w:rsidRPr="00161B83">
              <w:rPr>
                <w:rFonts w:cstheme="minorHAnsi"/>
                <w:i/>
              </w:rPr>
              <w:t>produktového upgradingu MSP prostřednictvím výrobní a vývojové spolupráce se zahraničními firmami.</w:t>
            </w:r>
          </w:p>
        </w:tc>
      </w:tr>
      <w:tr w:rsidR="00E76F0E" w:rsidRPr="00BA4F8E" w14:paraId="2B7D65C4" w14:textId="77777777" w:rsidTr="001E17FA">
        <w:trPr>
          <w:trHeight w:val="175"/>
        </w:trPr>
        <w:tc>
          <w:tcPr>
            <w:tcW w:w="2116" w:type="dxa"/>
            <w:vMerge/>
            <w:tcBorders>
              <w:left w:val="single" w:sz="4" w:space="0" w:color="auto"/>
              <w:right w:val="single" w:sz="4" w:space="0" w:color="auto"/>
            </w:tcBorders>
            <w:shd w:val="clear" w:color="auto" w:fill="F9D1D2" w:themeFill="accent1" w:themeFillTint="33"/>
          </w:tcPr>
          <w:p w14:paraId="19B4527A" w14:textId="77777777" w:rsidR="00E76F0E" w:rsidRPr="00BA4F8E" w:rsidRDefault="00E76F0E" w:rsidP="00C861EB">
            <w:pPr>
              <w:spacing w:after="0"/>
              <w:jc w:val="both"/>
              <w:rPr>
                <w:rFonts w:cstheme="minorHAnsi"/>
                <w:i/>
              </w:rPr>
            </w:pPr>
          </w:p>
        </w:tc>
        <w:tc>
          <w:tcPr>
            <w:tcW w:w="3427" w:type="dxa"/>
            <w:gridSpan w:val="3"/>
            <w:vMerge/>
            <w:tcBorders>
              <w:left w:val="single" w:sz="4" w:space="0" w:color="auto"/>
              <w:right w:val="single" w:sz="4" w:space="0" w:color="auto"/>
            </w:tcBorders>
            <w:shd w:val="clear" w:color="auto" w:fill="F9D1D2" w:themeFill="accent1" w:themeFillTint="33"/>
          </w:tcPr>
          <w:p w14:paraId="35CCC340" w14:textId="77777777" w:rsidR="00E76F0E" w:rsidRPr="00BA4F8E" w:rsidRDefault="00E76F0E" w:rsidP="00543C1B">
            <w:pPr>
              <w:pStyle w:val="Odstavecseseznamem"/>
              <w:numPr>
                <w:ilvl w:val="0"/>
                <w:numId w:val="26"/>
              </w:numPr>
              <w:spacing w:after="0" w:line="276" w:lineRule="auto"/>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B6B392F" w14:textId="77777777" w:rsidR="00E76F0E" w:rsidRPr="00161B83" w:rsidRDefault="00E76F0E" w:rsidP="00C861EB">
            <w:pPr>
              <w:spacing w:after="0"/>
              <w:jc w:val="both"/>
              <w:rPr>
                <w:rFonts w:cstheme="minorHAnsi"/>
                <w:i/>
              </w:rPr>
            </w:pPr>
            <w:r w:rsidRPr="00161B83">
              <w:rPr>
                <w:rFonts w:cstheme="minorHAnsi"/>
                <w:i/>
              </w:rPr>
              <w:t xml:space="preserve">Technologické platformy. </w:t>
            </w:r>
          </w:p>
        </w:tc>
      </w:tr>
      <w:tr w:rsidR="00E76F0E" w:rsidRPr="00BA4F8E" w14:paraId="47C293EA" w14:textId="77777777" w:rsidTr="001E17FA">
        <w:trPr>
          <w:trHeight w:val="175"/>
        </w:trPr>
        <w:tc>
          <w:tcPr>
            <w:tcW w:w="2116" w:type="dxa"/>
            <w:vMerge/>
            <w:tcBorders>
              <w:left w:val="single" w:sz="4" w:space="0" w:color="auto"/>
              <w:bottom w:val="single" w:sz="4" w:space="0" w:color="auto"/>
              <w:right w:val="single" w:sz="4" w:space="0" w:color="auto"/>
            </w:tcBorders>
            <w:shd w:val="clear" w:color="auto" w:fill="F9D1D2" w:themeFill="accent1" w:themeFillTint="33"/>
          </w:tcPr>
          <w:p w14:paraId="04B5D1B2" w14:textId="77777777" w:rsidR="00E76F0E" w:rsidRPr="00BA4F8E" w:rsidRDefault="00E76F0E" w:rsidP="00C861EB">
            <w:pPr>
              <w:spacing w:after="0"/>
              <w:jc w:val="both"/>
              <w:rPr>
                <w:rFonts w:cstheme="minorHAnsi"/>
                <w:i/>
              </w:rPr>
            </w:pPr>
          </w:p>
        </w:tc>
        <w:tc>
          <w:tcPr>
            <w:tcW w:w="3427" w:type="dxa"/>
            <w:gridSpan w:val="3"/>
            <w:vMerge/>
            <w:tcBorders>
              <w:left w:val="single" w:sz="4" w:space="0" w:color="auto"/>
              <w:bottom w:val="single" w:sz="4" w:space="0" w:color="auto"/>
              <w:right w:val="single" w:sz="4" w:space="0" w:color="auto"/>
            </w:tcBorders>
            <w:shd w:val="clear" w:color="auto" w:fill="F9D1D2" w:themeFill="accent1" w:themeFillTint="33"/>
          </w:tcPr>
          <w:p w14:paraId="4E3A43B3" w14:textId="77777777" w:rsidR="00E76F0E" w:rsidRPr="00BA4F8E" w:rsidRDefault="00E76F0E" w:rsidP="00543C1B">
            <w:pPr>
              <w:pStyle w:val="Odstavecseseznamem"/>
              <w:numPr>
                <w:ilvl w:val="0"/>
                <w:numId w:val="26"/>
              </w:numPr>
              <w:spacing w:after="0" w:line="276" w:lineRule="auto"/>
              <w:jc w:val="both"/>
              <w:rPr>
                <w:rFonts w:cstheme="minorHAnsi"/>
              </w:rPr>
            </w:pPr>
          </w:p>
        </w:tc>
        <w:tc>
          <w:tcPr>
            <w:tcW w:w="3519"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2C44000C" w14:textId="77777777" w:rsidR="00E76F0E" w:rsidRPr="00161B83" w:rsidRDefault="00E76F0E" w:rsidP="00C861EB">
            <w:pPr>
              <w:spacing w:after="0"/>
              <w:jc w:val="both"/>
              <w:rPr>
                <w:rFonts w:cstheme="minorHAnsi"/>
                <w:i/>
              </w:rPr>
            </w:pPr>
            <w:r w:rsidRPr="00161B83">
              <w:rPr>
                <w:rFonts w:cstheme="minorHAnsi"/>
                <w:i/>
              </w:rPr>
              <w:t>Aktivity zaměřené na iniciaci vzniku nových sítí spolupráce a open-innovation platforem (např. inovační vouchery, cílený networking ad.).</w:t>
            </w:r>
          </w:p>
        </w:tc>
      </w:tr>
      <w:tr w:rsidR="00E76F0E" w:rsidRPr="00BA4F8E" w14:paraId="5DAF3D4C" w14:textId="77777777" w:rsidTr="001E17FA">
        <w:tc>
          <w:tcPr>
            <w:tcW w:w="9062" w:type="dxa"/>
            <w:gridSpan w:val="6"/>
            <w:tcBorders>
              <w:top w:val="single" w:sz="4" w:space="0" w:color="auto"/>
              <w:left w:val="single" w:sz="4" w:space="0" w:color="auto"/>
              <w:bottom w:val="single" w:sz="4" w:space="0" w:color="auto"/>
              <w:right w:val="single" w:sz="4" w:space="0" w:color="auto"/>
            </w:tcBorders>
            <w:shd w:val="clear" w:color="auto" w:fill="F4A3A6" w:themeFill="accent1" w:themeFillTint="66"/>
          </w:tcPr>
          <w:p w14:paraId="0EB163C2" w14:textId="77777777" w:rsidR="00E76F0E" w:rsidRPr="00BA4F8E" w:rsidRDefault="00E76F0E" w:rsidP="003F15C6">
            <w:pPr>
              <w:spacing w:after="0"/>
              <w:rPr>
                <w:rFonts w:cstheme="minorHAnsi"/>
                <w:b/>
              </w:rPr>
            </w:pPr>
            <w:r w:rsidRPr="00BA4F8E">
              <w:rPr>
                <w:rFonts w:cstheme="minorHAnsi"/>
                <w:b/>
              </w:rPr>
              <w:t>Strategie a národní dokumenty, k nimž se strategické a specifické cíle vztahují:</w:t>
            </w:r>
          </w:p>
          <w:p w14:paraId="464CC498" w14:textId="77777777" w:rsidR="00E76F0E" w:rsidRPr="00BA4F8E" w:rsidRDefault="00E76F0E" w:rsidP="00543C1B">
            <w:pPr>
              <w:pStyle w:val="Odstavecseseznamem"/>
              <w:numPr>
                <w:ilvl w:val="0"/>
                <w:numId w:val="24"/>
              </w:numPr>
              <w:spacing w:after="0" w:line="276" w:lineRule="auto"/>
              <w:jc w:val="both"/>
              <w:rPr>
                <w:rFonts w:cstheme="minorHAnsi"/>
              </w:rPr>
            </w:pPr>
            <w:r w:rsidRPr="00BA4F8E">
              <w:rPr>
                <w:rFonts w:cstheme="minorHAnsi"/>
              </w:rPr>
              <w:t xml:space="preserve">A.1.1 + A.1.3 je v Národní inovační strategii i Strategii mezinárodní konkurenceschopnosti ČR 2012 - 20; </w:t>
            </w:r>
          </w:p>
          <w:p w14:paraId="0A1EE120" w14:textId="77777777" w:rsidR="00E76F0E" w:rsidRPr="00BA4F8E" w:rsidRDefault="00E76F0E" w:rsidP="00543C1B">
            <w:pPr>
              <w:pStyle w:val="Odstavecseseznamem"/>
              <w:numPr>
                <w:ilvl w:val="0"/>
                <w:numId w:val="24"/>
              </w:numPr>
              <w:spacing w:after="0" w:line="276" w:lineRule="auto"/>
              <w:jc w:val="both"/>
              <w:rPr>
                <w:rFonts w:cstheme="minorHAnsi"/>
              </w:rPr>
            </w:pPr>
            <w:r w:rsidRPr="00BA4F8E">
              <w:rPr>
                <w:rFonts w:cstheme="minorHAnsi"/>
              </w:rPr>
              <w:t>A.1.2 tam není, ale implicitně se změna v tomto duchu předpokládá</w:t>
            </w:r>
          </w:p>
        </w:tc>
      </w:tr>
      <w:tr w:rsidR="00E76F0E" w:rsidRPr="00BA4F8E" w14:paraId="574C4567" w14:textId="77777777" w:rsidTr="001E17FA">
        <w:tc>
          <w:tcPr>
            <w:tcW w:w="9062" w:type="dxa"/>
            <w:gridSpan w:val="6"/>
            <w:tcBorders>
              <w:top w:val="single" w:sz="4" w:space="0" w:color="auto"/>
              <w:left w:val="single" w:sz="4" w:space="0" w:color="auto"/>
              <w:bottom w:val="single" w:sz="4" w:space="0" w:color="auto"/>
              <w:right w:val="single" w:sz="4" w:space="0" w:color="auto"/>
            </w:tcBorders>
            <w:shd w:val="clear" w:color="auto" w:fill="F4A3A6" w:themeFill="accent1" w:themeFillTint="66"/>
          </w:tcPr>
          <w:p w14:paraId="26CF810D" w14:textId="77777777" w:rsidR="00E76F0E" w:rsidRPr="00BA4F8E" w:rsidRDefault="00E76F0E" w:rsidP="003F15C6">
            <w:pPr>
              <w:spacing w:after="0"/>
              <w:rPr>
                <w:rFonts w:cstheme="minorHAnsi"/>
                <w:b/>
              </w:rPr>
            </w:pPr>
            <w:r w:rsidRPr="00BA4F8E">
              <w:rPr>
                <w:rFonts w:cstheme="minorHAnsi"/>
                <w:b/>
              </w:rPr>
              <w:t>Strategický cíl A.2: Zvýšit míru podnikání ve společnosti s důrazem na zakládání nových rychle rostoucích firem</w:t>
            </w:r>
          </w:p>
          <w:p w14:paraId="01968D8B" w14:textId="77777777" w:rsidR="00E76F0E" w:rsidRPr="00BA4F8E" w:rsidRDefault="00E76F0E" w:rsidP="00DB63DF">
            <w:pPr>
              <w:spacing w:after="0"/>
              <w:jc w:val="both"/>
              <w:rPr>
                <w:rFonts w:cstheme="minorHAnsi"/>
              </w:rPr>
            </w:pPr>
            <w:r w:rsidRPr="00BA4F8E">
              <w:rPr>
                <w:rFonts w:cstheme="minorHAnsi"/>
              </w:rPr>
              <w:t>Podnikání, resp. podnikavost představují klíčovou hybnou sílu inovací. V mezinárodním srovnání patří ČR k zemím s průměrnou mírou podnikání (viz výše). S výjimkou IT však vzniká málo nových firem v technologických oborech vyznačujících se intenzivní tvorbou a využíváním nových znalostí. Zásadním předpokladem inovací je také podnikavost uvnitř zavedených firem. Podnikatelské ambice majitelů a manažerů mnoha zralých firem, zejména endogenního segmentu, jsou značně omezené, často zaměřené na udržení pozic namísto hledání nových zdrojů růstu. Společným důsledkem je omezený inovační a tím růstový potenciál místní ekonomiky, resp. jeho endogenního segmentu, bez jehož větší dynamiky zůstane hospodářská výkonnost země silně závislá na zahraničních firmách</w:t>
            </w:r>
            <w:r w:rsidRPr="00BA4F8E">
              <w:rPr>
                <w:rStyle w:val="Znakapoznpodarou"/>
                <w:rFonts w:cstheme="minorHAnsi"/>
              </w:rPr>
              <w:footnoteReference w:id="88"/>
            </w:r>
            <w:r w:rsidRPr="00BA4F8E">
              <w:rPr>
                <w:rFonts w:cstheme="minorHAnsi"/>
              </w:rPr>
              <w:t xml:space="preserve">. Účelem tohoto strategického cíle je všestranný rozvoj podnikavosti a podnikatelské kultury v české společnosti. Výsledkem bude zvýšení míry nové podnikatelské aktivity a větší počet nových firem v technologických oborech. V delším období se aktivity tohoto cíle projeví ve zvýšení </w:t>
            </w:r>
            <w:r w:rsidRPr="00BA4F8E">
              <w:rPr>
                <w:rFonts w:cstheme="minorHAnsi"/>
              </w:rPr>
              <w:lastRenderedPageBreak/>
              <w:t>podnikatelských ambicí majitelů a manažerů malých firem. Tato změna je významným předpokladem budoucího většího počtu velkých českých firem, které budou táhnout růst místní ekonomiky. Zvýšení míry podnikání ve společnosti s důrazem na zakládání nových rychle rostoucích firem bude dosaženo třemi cíli:</w:t>
            </w:r>
          </w:p>
          <w:p w14:paraId="07C0BB5B" w14:textId="16F007C5" w:rsidR="00E76F0E" w:rsidRPr="00BA4F8E" w:rsidRDefault="00E76F0E" w:rsidP="00543C1B">
            <w:pPr>
              <w:pStyle w:val="Odstavecseseznamem"/>
              <w:numPr>
                <w:ilvl w:val="0"/>
                <w:numId w:val="31"/>
              </w:numPr>
              <w:spacing w:after="0" w:line="276" w:lineRule="auto"/>
              <w:jc w:val="both"/>
              <w:rPr>
                <w:rFonts w:cstheme="minorHAnsi"/>
              </w:rPr>
            </w:pPr>
            <w:r w:rsidRPr="00BA4F8E">
              <w:rPr>
                <w:rFonts w:cstheme="minorHAnsi"/>
              </w:rPr>
              <w:t>Zvýšit počet nových firem usilujících o inovace, zejména vyšších řádů: Účelem tohoto cíle je zajistit vhodné podmínky pro vznik a rozvoj nových technologických firem v oblastech s vysokým růstovým potenciálem. Zahájení podnikání v těchto oblastech je často investičně náročnější a</w:t>
            </w:r>
            <w:r w:rsidR="00C84ED1">
              <w:rPr>
                <w:rFonts w:cstheme="minorHAnsi"/>
              </w:rPr>
              <w:t> </w:t>
            </w:r>
            <w:r w:rsidRPr="00BA4F8E">
              <w:rPr>
                <w:rFonts w:cstheme="minorHAnsi"/>
              </w:rPr>
              <w:t>rizikovější. Zakladatelé úspěšných podniků tohoto typu často již mají předchozí podnikatelské zkušenosti, nicméně k realizaci podnikatelského záměru potřebují různorodé specifické služby a</w:t>
            </w:r>
            <w:r w:rsidR="00C84ED1">
              <w:rPr>
                <w:rFonts w:cstheme="minorHAnsi"/>
              </w:rPr>
              <w:t> </w:t>
            </w:r>
            <w:r w:rsidRPr="00BA4F8E">
              <w:rPr>
                <w:rFonts w:cstheme="minorHAnsi"/>
              </w:rPr>
              <w:t xml:space="preserve">podmínky. Ty se různými způsoby snaží vytvořit prakticky všechny rozvinuté země ve světě. </w:t>
            </w:r>
          </w:p>
          <w:p w14:paraId="07E04BD5" w14:textId="77777777" w:rsidR="00E76F0E" w:rsidRPr="00BA4F8E" w:rsidRDefault="00E76F0E" w:rsidP="00543C1B">
            <w:pPr>
              <w:pStyle w:val="Odstavecseseznamem"/>
              <w:numPr>
                <w:ilvl w:val="0"/>
                <w:numId w:val="31"/>
              </w:numPr>
              <w:spacing w:after="0" w:line="276" w:lineRule="auto"/>
              <w:jc w:val="both"/>
              <w:rPr>
                <w:rFonts w:cstheme="minorHAnsi"/>
              </w:rPr>
            </w:pPr>
            <w:r w:rsidRPr="00BA4F8E">
              <w:rPr>
                <w:rFonts w:cstheme="minorHAnsi"/>
              </w:rPr>
              <w:t xml:space="preserve">Zlepšit dostupnost vnějšího financování pro začínající podnikatele a firmy s krátkou historií: Účelem tohoto cíle je zajistit potřebné zdroje pro začínající podnikatele a dynamické firmy s krátkou historií, které mají problém se získáním vnějšího financování na úvěrovém trhu. Dále je účelem propojit tyto podnikatele a firmy s investory, kteří do firmy vedle kapitálu přinesou také podnikatelskou a obchodní zkušenost, popř. technologickou expertizu. </w:t>
            </w:r>
          </w:p>
          <w:p w14:paraId="42C9EB14" w14:textId="1FECFFF8" w:rsidR="00E76F0E" w:rsidRPr="00BA4F8E" w:rsidRDefault="00E76F0E" w:rsidP="00543C1B">
            <w:pPr>
              <w:pStyle w:val="Odstavecseseznamem"/>
              <w:numPr>
                <w:ilvl w:val="0"/>
                <w:numId w:val="31"/>
              </w:numPr>
              <w:spacing w:after="0" w:line="276" w:lineRule="auto"/>
              <w:jc w:val="both"/>
              <w:rPr>
                <w:rFonts w:cstheme="minorHAnsi"/>
              </w:rPr>
            </w:pPr>
            <w:r w:rsidRPr="00BA4F8E">
              <w:rPr>
                <w:rFonts w:cstheme="minorHAnsi"/>
              </w:rPr>
              <w:t>Zvýšit zájem o podnikání ve společnosti: Tento cíl míří na zvýšení celkové míry podnikání ve společnosti. Nové firmy v technologických oborech či rychle rostoucí firmy (tzv. gazely) obvykle zakládají lidé, kteří již mají předchozí podnikatelské zkušenosti. Podpora celkové míry podnikání tak zvyšuje pravděpodobnost založení i</w:t>
            </w:r>
            <w:r w:rsidR="000654C9" w:rsidRPr="00BA4F8E">
              <w:rPr>
                <w:rFonts w:cstheme="minorHAnsi"/>
              </w:rPr>
              <w:t> </w:t>
            </w:r>
            <w:r w:rsidRPr="00BA4F8E">
              <w:rPr>
                <w:rFonts w:cstheme="minorHAnsi"/>
              </w:rPr>
              <w:t xml:space="preserve">tohoto typu firem. Vedle toho vlastní podnikatelské zkušenosti významně přispívají k šíření podnikatelské kultury ve společnosti. ČR čelí nedobré image podnikání a podnikatelů (viz výše) a zvýšení podílu podnikajících osob ve společnosti je cestou, jak tuto bariéru inovací postupně eliminovat. </w:t>
            </w:r>
          </w:p>
        </w:tc>
      </w:tr>
      <w:tr w:rsidR="00E76F0E" w:rsidRPr="00BA4F8E" w14:paraId="032C75D8" w14:textId="77777777" w:rsidTr="001E17FA">
        <w:tc>
          <w:tcPr>
            <w:tcW w:w="2683"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240F6E91" w14:textId="77777777" w:rsidR="00E76F0E" w:rsidRPr="00BA4F8E" w:rsidRDefault="00E76F0E" w:rsidP="00C861EB">
            <w:pPr>
              <w:spacing w:after="0"/>
              <w:jc w:val="both"/>
              <w:rPr>
                <w:rFonts w:cstheme="minorHAnsi"/>
                <w:b/>
                <w:i/>
              </w:rPr>
            </w:pPr>
            <w:r w:rsidRPr="00BA4F8E">
              <w:rPr>
                <w:rFonts w:cstheme="minorHAnsi"/>
                <w:b/>
                <w:i/>
              </w:rPr>
              <w:lastRenderedPageBreak/>
              <w:t xml:space="preserve">Specifické cíle  </w:t>
            </w:r>
          </w:p>
        </w:tc>
        <w:tc>
          <w:tcPr>
            <w:tcW w:w="3073" w:type="dxa"/>
            <w:gridSpan w:val="3"/>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F116499" w14:textId="77777777" w:rsidR="00E76F0E" w:rsidRPr="00BA4F8E" w:rsidRDefault="00E76F0E" w:rsidP="00C861EB">
            <w:pPr>
              <w:spacing w:after="0"/>
              <w:jc w:val="both"/>
              <w:rPr>
                <w:rFonts w:cstheme="minorHAnsi"/>
                <w:b/>
                <w:i/>
              </w:rPr>
            </w:pPr>
            <w:r w:rsidRPr="00BA4F8E">
              <w:rPr>
                <w:rFonts w:cstheme="minorHAnsi"/>
                <w:b/>
                <w:i/>
              </w:rPr>
              <w:t>Indikátory specifického cíle</w:t>
            </w: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94D3D10" w14:textId="77777777" w:rsidR="00E76F0E" w:rsidRPr="00BA4F8E" w:rsidRDefault="00E76F0E" w:rsidP="00C861EB">
            <w:pPr>
              <w:spacing w:after="0"/>
              <w:jc w:val="both"/>
              <w:rPr>
                <w:rFonts w:cstheme="minorHAnsi"/>
                <w:b/>
                <w:i/>
              </w:rPr>
            </w:pPr>
            <w:r w:rsidRPr="00BA4F8E">
              <w:rPr>
                <w:rFonts w:cstheme="minorHAnsi"/>
                <w:b/>
                <w:i/>
              </w:rPr>
              <w:t>Typové aktivity/projekty/operace</w:t>
            </w:r>
          </w:p>
        </w:tc>
      </w:tr>
      <w:tr w:rsidR="00E76F0E" w:rsidRPr="00BA4F8E" w14:paraId="15C1F9BB" w14:textId="77777777" w:rsidTr="001E17FA">
        <w:trPr>
          <w:trHeight w:val="83"/>
        </w:trPr>
        <w:tc>
          <w:tcPr>
            <w:tcW w:w="2683" w:type="dxa"/>
            <w:gridSpan w:val="2"/>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BB18994" w14:textId="77777777" w:rsidR="00E76F0E" w:rsidRPr="00BA4F8E" w:rsidRDefault="00E76F0E" w:rsidP="00C861EB">
            <w:pPr>
              <w:spacing w:after="0"/>
              <w:jc w:val="both"/>
              <w:rPr>
                <w:rFonts w:cstheme="minorHAnsi"/>
              </w:rPr>
            </w:pPr>
            <w:r w:rsidRPr="00BA4F8E">
              <w:rPr>
                <w:rFonts w:cstheme="minorHAnsi"/>
                <w:b/>
              </w:rPr>
              <w:t>A.2.1: Zvýšit počet nových firem usilujících o inovace, zejména vyšších řádů</w:t>
            </w:r>
          </w:p>
        </w:tc>
        <w:tc>
          <w:tcPr>
            <w:tcW w:w="3073" w:type="dxa"/>
            <w:gridSpan w:val="3"/>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4F7CFC1" w14:textId="77777777" w:rsidR="00E76F0E" w:rsidRPr="00BA4F8E" w:rsidRDefault="00E76F0E" w:rsidP="00C861EB">
            <w:pPr>
              <w:spacing w:after="0"/>
              <w:ind w:left="775" w:hanging="775"/>
              <w:jc w:val="both"/>
              <w:rPr>
                <w:rFonts w:cstheme="minorHAnsi"/>
              </w:rPr>
            </w:pPr>
            <w:r w:rsidRPr="00BA4F8E">
              <w:rPr>
                <w:rFonts w:cstheme="minorHAnsi"/>
              </w:rPr>
              <w:t>22201</w:t>
            </w:r>
            <w:r w:rsidRPr="00BA4F8E">
              <w:rPr>
                <w:rFonts w:cstheme="minorHAnsi"/>
              </w:rPr>
              <w:tab/>
              <w:t>Počet ověřených aktivit/konceptů proof of concept</w:t>
            </w:r>
          </w:p>
          <w:p w14:paraId="71E9F98D" w14:textId="77777777" w:rsidR="00E76F0E" w:rsidRPr="00BA4F8E" w:rsidRDefault="00E76F0E" w:rsidP="00C861EB">
            <w:pPr>
              <w:spacing w:after="0"/>
              <w:ind w:left="797" w:hanging="797"/>
              <w:jc w:val="both"/>
              <w:rPr>
                <w:rFonts w:cstheme="minorHAnsi"/>
              </w:rPr>
            </w:pPr>
            <w:r w:rsidRPr="00BA4F8E">
              <w:rPr>
                <w:rFonts w:cstheme="minorHAnsi"/>
              </w:rPr>
              <w:t>22202</w:t>
            </w:r>
            <w:r w:rsidRPr="00BA4F8E">
              <w:rPr>
                <w:rFonts w:cstheme="minorHAnsi"/>
              </w:rPr>
              <w:tab/>
              <w:t>Počet úspěšně ověřených aktivit/ konceptů PoC</w:t>
            </w:r>
          </w:p>
          <w:p w14:paraId="38177947" w14:textId="77777777" w:rsidR="00E76F0E" w:rsidRPr="00BA4F8E" w:rsidRDefault="00E76F0E" w:rsidP="00C861EB">
            <w:pPr>
              <w:spacing w:after="0"/>
              <w:ind w:left="797" w:hanging="797"/>
              <w:jc w:val="both"/>
              <w:rPr>
                <w:rFonts w:cstheme="minorHAnsi"/>
              </w:rPr>
            </w:pPr>
            <w:r w:rsidRPr="00BA4F8E">
              <w:rPr>
                <w:rFonts w:cstheme="minorHAnsi"/>
              </w:rPr>
              <w:t>23000</w:t>
            </w:r>
            <w:r w:rsidRPr="00BA4F8E">
              <w:rPr>
                <w:rFonts w:cstheme="minorHAnsi"/>
              </w:rPr>
              <w:tab/>
              <w:t>Počet nově vzniklých a modernizovaných inovačních infrastruktur</w:t>
            </w: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79477B9" w14:textId="77777777" w:rsidR="00E76F0E" w:rsidRPr="00161B83" w:rsidRDefault="00E76F0E" w:rsidP="00C861EB">
            <w:pPr>
              <w:spacing w:after="0"/>
              <w:jc w:val="both"/>
              <w:rPr>
                <w:rFonts w:cstheme="minorHAnsi"/>
                <w:i/>
              </w:rPr>
            </w:pPr>
            <w:r w:rsidRPr="00161B83">
              <w:rPr>
                <w:rFonts w:cstheme="minorHAnsi"/>
                <w:i/>
              </w:rPr>
              <w:t xml:space="preserve">Síť technologických inkubátorů sestávající ze 4–8 mezinárodně akreditovaných poskytovatelů inkubačních služeb. </w:t>
            </w:r>
          </w:p>
        </w:tc>
      </w:tr>
      <w:tr w:rsidR="00E76F0E" w:rsidRPr="00BA4F8E" w14:paraId="63D77306" w14:textId="77777777" w:rsidTr="001E17FA">
        <w:trPr>
          <w:trHeight w:val="81"/>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D9648C9" w14:textId="77777777" w:rsidR="00E76F0E" w:rsidRPr="00BA4F8E" w:rsidRDefault="00E76F0E" w:rsidP="00C861EB">
            <w:pPr>
              <w:spacing w:after="0"/>
              <w:jc w:val="both"/>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1973164C" w14:textId="77777777" w:rsidR="00E76F0E" w:rsidRPr="00BA4F8E" w:rsidRDefault="00E76F0E" w:rsidP="00C861EB">
            <w:pPr>
              <w:spacing w:after="0"/>
              <w:jc w:val="both"/>
              <w:rPr>
                <w:rFonts w:cstheme="minorHAns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6F2B1BD3" w14:textId="77777777" w:rsidR="00E76F0E" w:rsidRPr="00161B83" w:rsidRDefault="00E76F0E" w:rsidP="00C861EB">
            <w:pPr>
              <w:spacing w:after="0"/>
              <w:jc w:val="both"/>
              <w:rPr>
                <w:rFonts w:cstheme="minorHAnsi"/>
                <w:i/>
              </w:rPr>
            </w:pPr>
            <w:r w:rsidRPr="00161B83">
              <w:rPr>
                <w:rFonts w:cstheme="minorHAnsi"/>
                <w:i/>
              </w:rPr>
              <w:t xml:space="preserve">Podpora aktivit typu Proof-of-concept (národní i regionální schémata, pokud nebudou totožná). </w:t>
            </w:r>
          </w:p>
        </w:tc>
      </w:tr>
      <w:tr w:rsidR="00E76F0E" w:rsidRPr="00BA4F8E" w14:paraId="4AA227F3" w14:textId="77777777" w:rsidTr="001E17FA">
        <w:trPr>
          <w:trHeight w:val="515"/>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B64934E" w14:textId="77777777" w:rsidR="00E76F0E" w:rsidRPr="00BA4F8E" w:rsidRDefault="00E76F0E" w:rsidP="00C861EB">
            <w:pPr>
              <w:spacing w:after="0"/>
              <w:jc w:val="both"/>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3C740748" w14:textId="77777777" w:rsidR="00E76F0E" w:rsidRPr="00BA4F8E" w:rsidRDefault="00E76F0E" w:rsidP="00C861EB">
            <w:pPr>
              <w:spacing w:after="0"/>
              <w:jc w:val="both"/>
              <w:rPr>
                <w:rFonts w:cstheme="minorHAns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A4816DE" w14:textId="3B9DF01C" w:rsidR="00E76F0E" w:rsidRPr="00BA4F8E" w:rsidRDefault="00E76F0E" w:rsidP="00C861EB">
            <w:pPr>
              <w:spacing w:after="0"/>
              <w:jc w:val="both"/>
              <w:rPr>
                <w:rFonts w:cstheme="minorHAnsi"/>
                <w:i/>
              </w:rPr>
            </w:pPr>
            <w:r w:rsidRPr="00BA4F8E">
              <w:rPr>
                <w:rFonts w:cstheme="minorHAnsi"/>
                <w:i/>
              </w:rPr>
              <w:t xml:space="preserve">Spolupráce provozovatelů podnikatelských inkubátorů, inovačních center a akcelerátorů s předními technologickými firmami </w:t>
            </w:r>
            <w:r w:rsidR="00161B83" w:rsidRPr="00161B83">
              <w:rPr>
                <w:rFonts w:cstheme="minorHAnsi"/>
                <w:i/>
              </w:rPr>
              <w:t xml:space="preserve">a klastrovými organizacemi </w:t>
            </w:r>
            <w:r w:rsidRPr="00BA4F8E">
              <w:rPr>
                <w:rFonts w:cstheme="minorHAnsi"/>
                <w:i/>
              </w:rPr>
              <w:t>na zajištění speciálních služeb pro začínající podnikatele.</w:t>
            </w:r>
          </w:p>
        </w:tc>
      </w:tr>
      <w:tr w:rsidR="00E76F0E" w:rsidRPr="00BA4F8E" w14:paraId="61701D69" w14:textId="77777777" w:rsidTr="001E17FA">
        <w:trPr>
          <w:trHeight w:val="812"/>
        </w:trPr>
        <w:tc>
          <w:tcPr>
            <w:tcW w:w="2683" w:type="dxa"/>
            <w:gridSpan w:val="2"/>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9E3854B" w14:textId="2DDD92C8" w:rsidR="00E76F0E" w:rsidRPr="00BA4F8E" w:rsidRDefault="00E76F0E" w:rsidP="00C84ED1">
            <w:pPr>
              <w:spacing w:after="0"/>
              <w:jc w:val="both"/>
              <w:rPr>
                <w:rFonts w:cstheme="minorHAnsi"/>
                <w:b/>
              </w:rPr>
            </w:pPr>
            <w:r w:rsidRPr="00BA4F8E">
              <w:rPr>
                <w:rFonts w:cstheme="minorHAnsi"/>
                <w:b/>
              </w:rPr>
              <w:t xml:space="preserve">A.2.2: Zlepšit dostupnost vnějšího financování pro </w:t>
            </w:r>
            <w:r w:rsidRPr="00BA4F8E">
              <w:rPr>
                <w:rFonts w:cstheme="minorHAnsi"/>
                <w:b/>
              </w:rPr>
              <w:lastRenderedPageBreak/>
              <w:t>začínající podnikatele a</w:t>
            </w:r>
            <w:r w:rsidR="00C84ED1">
              <w:rPr>
                <w:rFonts w:cstheme="minorHAnsi"/>
                <w:b/>
              </w:rPr>
              <w:t> </w:t>
            </w:r>
            <w:r w:rsidRPr="00BA4F8E">
              <w:rPr>
                <w:rFonts w:cstheme="minorHAnsi"/>
                <w:b/>
              </w:rPr>
              <w:t>firmy s krátkou historií</w:t>
            </w:r>
          </w:p>
        </w:tc>
        <w:tc>
          <w:tcPr>
            <w:tcW w:w="3073" w:type="dxa"/>
            <w:gridSpan w:val="3"/>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387D7D4A" w14:textId="77777777" w:rsidR="00E76F0E" w:rsidRPr="00BA4F8E" w:rsidRDefault="00E76F0E" w:rsidP="00543C1B">
            <w:pPr>
              <w:pStyle w:val="Odstavecseseznamem"/>
              <w:numPr>
                <w:ilvl w:val="0"/>
                <w:numId w:val="29"/>
              </w:numPr>
              <w:spacing w:after="0" w:line="276" w:lineRule="auto"/>
              <w:jc w:val="both"/>
              <w:rPr>
                <w:rFonts w:cstheme="minorHAnsi"/>
              </w:rPr>
            </w:pPr>
            <w:r w:rsidRPr="00BA4F8E">
              <w:rPr>
                <w:rFonts w:cstheme="minorHAnsi"/>
              </w:rPr>
              <w:lastRenderedPageBreak/>
              <w:t xml:space="preserve">objem seed a venture investic do firem </w:t>
            </w:r>
            <w:r w:rsidRPr="00BA4F8E">
              <w:rPr>
                <w:rFonts w:cstheme="minorHAnsi"/>
              </w:rPr>
              <w:lastRenderedPageBreak/>
              <w:t>v programu technologických inkubátorů</w:t>
            </w:r>
          </w:p>
          <w:p w14:paraId="413C6111" w14:textId="77777777" w:rsidR="00E76F0E" w:rsidRPr="00BA4F8E" w:rsidRDefault="00E76F0E" w:rsidP="00543C1B">
            <w:pPr>
              <w:pStyle w:val="Odstavecseseznamem"/>
              <w:numPr>
                <w:ilvl w:val="0"/>
                <w:numId w:val="29"/>
              </w:numPr>
              <w:spacing w:after="0" w:line="276" w:lineRule="auto"/>
              <w:jc w:val="both"/>
              <w:rPr>
                <w:rFonts w:cstheme="minorHAnsi"/>
              </w:rPr>
            </w:pPr>
            <w:r w:rsidRPr="00BA4F8E">
              <w:rPr>
                <w:rFonts w:cstheme="minorHAnsi"/>
              </w:rPr>
              <w:t xml:space="preserve">objem neaktivovaných bankovních záruk a neklasifikovaných úvěrů pro firmy s historií do 3 let </w:t>
            </w:r>
          </w:p>
        </w:tc>
        <w:tc>
          <w:tcPr>
            <w:tcW w:w="3306" w:type="dxa"/>
            <w:tcBorders>
              <w:top w:val="single" w:sz="4" w:space="0" w:color="auto"/>
              <w:left w:val="single" w:sz="4" w:space="0" w:color="auto"/>
              <w:right w:val="single" w:sz="4" w:space="0" w:color="auto"/>
            </w:tcBorders>
            <w:shd w:val="clear" w:color="auto" w:fill="F9D1D2" w:themeFill="accent1" w:themeFillTint="33"/>
          </w:tcPr>
          <w:p w14:paraId="44649334" w14:textId="77777777" w:rsidR="00E76F0E" w:rsidRPr="00BA4F8E" w:rsidRDefault="00E76F0E" w:rsidP="00C861EB">
            <w:pPr>
              <w:spacing w:after="0"/>
              <w:jc w:val="both"/>
              <w:rPr>
                <w:rFonts w:cstheme="minorHAnsi"/>
              </w:rPr>
            </w:pPr>
            <w:r w:rsidRPr="00BA4F8E">
              <w:rPr>
                <w:rFonts w:cstheme="minorHAnsi"/>
              </w:rPr>
              <w:lastRenderedPageBreak/>
              <w:t>Národní seed fond nebo omezený počet regionálních seed fondů</w:t>
            </w:r>
          </w:p>
        </w:tc>
      </w:tr>
      <w:tr w:rsidR="00E76F0E" w:rsidRPr="00BA4F8E" w14:paraId="3AACAA73" w14:textId="77777777" w:rsidTr="001E17FA">
        <w:trPr>
          <w:trHeight w:val="812"/>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25253816" w14:textId="77777777" w:rsidR="00E76F0E" w:rsidRPr="00BA4F8E" w:rsidRDefault="00E76F0E" w:rsidP="00C861EB">
            <w:pPr>
              <w:spacing w:after="0"/>
              <w:jc w:val="both"/>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1FE56FE6" w14:textId="77777777" w:rsidR="00E76F0E" w:rsidRPr="00BA4F8E" w:rsidRDefault="00E76F0E" w:rsidP="00543C1B">
            <w:pPr>
              <w:pStyle w:val="Odstavecseseznamem"/>
              <w:numPr>
                <w:ilvl w:val="0"/>
                <w:numId w:val="29"/>
              </w:numPr>
              <w:spacing w:after="0" w:line="276" w:lineRule="auto"/>
              <w:jc w:val="both"/>
              <w:rPr>
                <w:rFonts w:cstheme="minorHAnsi"/>
              </w:rPr>
            </w:pPr>
          </w:p>
        </w:tc>
        <w:tc>
          <w:tcPr>
            <w:tcW w:w="3306" w:type="dxa"/>
            <w:tcBorders>
              <w:top w:val="single" w:sz="4" w:space="0" w:color="auto"/>
              <w:left w:val="single" w:sz="4" w:space="0" w:color="auto"/>
              <w:right w:val="single" w:sz="4" w:space="0" w:color="auto"/>
            </w:tcBorders>
            <w:shd w:val="clear" w:color="auto" w:fill="F9D1D2" w:themeFill="accent1" w:themeFillTint="33"/>
          </w:tcPr>
          <w:p w14:paraId="40027E1B" w14:textId="77777777" w:rsidR="00E76F0E" w:rsidRPr="00BA4F8E" w:rsidRDefault="00E76F0E" w:rsidP="00C861EB">
            <w:pPr>
              <w:spacing w:after="0"/>
              <w:jc w:val="both"/>
              <w:rPr>
                <w:rFonts w:cstheme="minorHAnsi"/>
              </w:rPr>
            </w:pPr>
            <w:r w:rsidRPr="00BA4F8E">
              <w:rPr>
                <w:rFonts w:cstheme="minorHAnsi"/>
              </w:rPr>
              <w:t xml:space="preserve">Záruky a zvýhodněné úvěry. </w:t>
            </w:r>
          </w:p>
        </w:tc>
      </w:tr>
      <w:tr w:rsidR="00E76F0E" w:rsidRPr="00BA4F8E" w14:paraId="47B49742" w14:textId="77777777" w:rsidTr="001E17FA">
        <w:trPr>
          <w:trHeight w:val="210"/>
        </w:trPr>
        <w:tc>
          <w:tcPr>
            <w:tcW w:w="2683" w:type="dxa"/>
            <w:gridSpan w:val="2"/>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D13D30D" w14:textId="5A036CA9" w:rsidR="00E76F0E" w:rsidRPr="00BA4F8E" w:rsidRDefault="00E76F0E" w:rsidP="00C84ED1">
            <w:pPr>
              <w:spacing w:after="0"/>
              <w:jc w:val="both"/>
              <w:rPr>
                <w:rFonts w:cstheme="minorHAnsi"/>
                <w:b/>
              </w:rPr>
            </w:pPr>
            <w:r w:rsidRPr="00BA4F8E">
              <w:rPr>
                <w:rFonts w:cstheme="minorHAnsi"/>
                <w:b/>
              </w:rPr>
              <w:t>A.2.3: Zvýšit zájem o</w:t>
            </w:r>
            <w:r w:rsidR="00C84ED1">
              <w:rPr>
                <w:rFonts w:cstheme="minorHAnsi"/>
                <w:b/>
              </w:rPr>
              <w:t> </w:t>
            </w:r>
            <w:r w:rsidRPr="00BA4F8E">
              <w:rPr>
                <w:rFonts w:cstheme="minorHAnsi"/>
                <w:b/>
              </w:rPr>
              <w:t>podnikání ve společnosti</w:t>
            </w:r>
          </w:p>
        </w:tc>
        <w:tc>
          <w:tcPr>
            <w:tcW w:w="3073" w:type="dxa"/>
            <w:gridSpan w:val="3"/>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C9441F5" w14:textId="3ACC1FC4" w:rsidR="00E76F0E" w:rsidRPr="00BA4F8E" w:rsidRDefault="00E76F0E" w:rsidP="00543C1B">
            <w:pPr>
              <w:pStyle w:val="Odstavecseseznamem"/>
              <w:numPr>
                <w:ilvl w:val="0"/>
                <w:numId w:val="29"/>
              </w:numPr>
              <w:spacing w:after="0" w:line="276" w:lineRule="auto"/>
              <w:jc w:val="both"/>
              <w:rPr>
                <w:rFonts w:cstheme="minorHAnsi"/>
              </w:rPr>
            </w:pPr>
            <w:r w:rsidRPr="00BA4F8E">
              <w:rPr>
                <w:rFonts w:cstheme="minorHAnsi"/>
              </w:rPr>
              <w:t>podíl absolventů VŠ zahajujících podnikání / podnikajících z celkového počtu absolventů (bude počítáno</w:t>
            </w:r>
            <w:r w:rsidR="00774723" w:rsidRPr="00BA4F8E">
              <w:rPr>
                <w:rFonts w:cstheme="minorHAnsi"/>
              </w:rPr>
              <w:t xml:space="preserve"> </w:t>
            </w:r>
            <w:r w:rsidRPr="00BA4F8E">
              <w:rPr>
                <w:rFonts w:cstheme="minorHAnsi"/>
              </w:rPr>
              <w:t xml:space="preserve">k 2. výročí dokončení studia) </w:t>
            </w:r>
          </w:p>
          <w:p w14:paraId="6EB34298" w14:textId="77777777" w:rsidR="00E76F0E" w:rsidRPr="00BA4F8E" w:rsidRDefault="00E76F0E" w:rsidP="00543C1B">
            <w:pPr>
              <w:pStyle w:val="Odstavecseseznamem"/>
              <w:numPr>
                <w:ilvl w:val="0"/>
                <w:numId w:val="29"/>
              </w:numPr>
              <w:spacing w:after="0" w:line="276" w:lineRule="auto"/>
              <w:jc w:val="both"/>
              <w:rPr>
                <w:rFonts w:cstheme="minorHAnsi"/>
              </w:rPr>
            </w:pPr>
            <w:r w:rsidRPr="00BA4F8E">
              <w:rPr>
                <w:rFonts w:cstheme="minorHAnsi"/>
              </w:rPr>
              <w:t>počet podpořených voucherem, kteří podnikají a mají alespoň jednoho zaměstnance k 3. výročí od získání podpory</w:t>
            </w: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6E0EC551" w14:textId="77777777" w:rsidR="00E76F0E" w:rsidRPr="00BA4F8E" w:rsidRDefault="00E76F0E" w:rsidP="00C861EB">
            <w:pPr>
              <w:spacing w:after="0"/>
              <w:jc w:val="both"/>
              <w:rPr>
                <w:rFonts w:cstheme="minorHAnsi"/>
              </w:rPr>
            </w:pPr>
            <w:r w:rsidRPr="00BA4F8E">
              <w:rPr>
                <w:rFonts w:cstheme="minorHAnsi"/>
              </w:rPr>
              <w:t>Voucher pro začínající podnikatele na překlenutí finančních problémů při přechodu ze zaměstnání k podnikání (pro absolventy, případně jiné specifické skupiny).</w:t>
            </w:r>
          </w:p>
        </w:tc>
      </w:tr>
      <w:tr w:rsidR="00E76F0E" w:rsidRPr="00BA4F8E" w14:paraId="3930D470" w14:textId="77777777" w:rsidTr="001E17FA">
        <w:trPr>
          <w:trHeight w:val="210"/>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61B88EE" w14:textId="77777777" w:rsidR="00E76F0E" w:rsidRPr="00BA4F8E" w:rsidRDefault="00E76F0E" w:rsidP="00C861EB">
            <w:pPr>
              <w:spacing w:after="0"/>
              <w:jc w:val="both"/>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1960F704" w14:textId="77777777" w:rsidR="00E76F0E" w:rsidRPr="00BA4F8E" w:rsidRDefault="00E76F0E" w:rsidP="00543C1B">
            <w:pPr>
              <w:pStyle w:val="Odstavecseseznamem"/>
              <w:numPr>
                <w:ilvl w:val="0"/>
                <w:numId w:val="28"/>
              </w:numPr>
              <w:spacing w:after="0" w:line="276" w:lineRule="auto"/>
              <w:jc w:val="both"/>
              <w:rPr>
                <w:rFonts w:cstheme="minorHAns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37F1254D" w14:textId="41BF7BAE" w:rsidR="00E76F0E" w:rsidRPr="00BA4F8E" w:rsidRDefault="00E76F0E" w:rsidP="006625FF">
            <w:pPr>
              <w:spacing w:after="0"/>
              <w:jc w:val="both"/>
              <w:rPr>
                <w:rFonts w:cstheme="minorHAnsi"/>
              </w:rPr>
            </w:pPr>
            <w:r w:rsidRPr="00BA4F8E">
              <w:rPr>
                <w:rFonts w:cstheme="minorHAnsi"/>
              </w:rPr>
              <w:t>Sdílená infrastruktura pro výrobu a</w:t>
            </w:r>
            <w:r w:rsidR="006625FF">
              <w:rPr>
                <w:rFonts w:cstheme="minorHAnsi"/>
              </w:rPr>
              <w:t> </w:t>
            </w:r>
            <w:r w:rsidRPr="00BA4F8E">
              <w:rPr>
                <w:rFonts w:cstheme="minorHAnsi"/>
              </w:rPr>
              <w:t>vývoj prototypů (např. FabLab, TechShop apod.).</w:t>
            </w:r>
          </w:p>
        </w:tc>
      </w:tr>
      <w:tr w:rsidR="00E76F0E" w:rsidRPr="00BA4F8E" w14:paraId="57AD87BD" w14:textId="77777777" w:rsidTr="001E17FA">
        <w:trPr>
          <w:trHeight w:val="210"/>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2152A1E2" w14:textId="77777777" w:rsidR="00E76F0E" w:rsidRPr="00BA4F8E" w:rsidRDefault="00E76F0E" w:rsidP="00C861EB">
            <w:pPr>
              <w:spacing w:after="0"/>
              <w:jc w:val="both"/>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A1922BB" w14:textId="77777777" w:rsidR="00E76F0E" w:rsidRPr="00BA4F8E" w:rsidRDefault="00E76F0E" w:rsidP="00543C1B">
            <w:pPr>
              <w:pStyle w:val="Odstavecseseznamem"/>
              <w:numPr>
                <w:ilvl w:val="0"/>
                <w:numId w:val="28"/>
              </w:numPr>
              <w:spacing w:after="0" w:line="276" w:lineRule="auto"/>
              <w:jc w:val="both"/>
              <w:rPr>
                <w:rFonts w:cstheme="minorHAns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315652A6" w14:textId="77777777" w:rsidR="00E76F0E" w:rsidRPr="00BA4F8E" w:rsidRDefault="00E76F0E" w:rsidP="00C861EB">
            <w:pPr>
              <w:spacing w:after="0"/>
              <w:jc w:val="both"/>
              <w:rPr>
                <w:rFonts w:cstheme="minorHAnsi"/>
              </w:rPr>
            </w:pPr>
            <w:r w:rsidRPr="00BA4F8E">
              <w:rPr>
                <w:rFonts w:cstheme="minorHAnsi"/>
              </w:rPr>
              <w:t>Marketing / osvěta zaměřená na společenskou roli podnikatelů.</w:t>
            </w:r>
          </w:p>
        </w:tc>
      </w:tr>
      <w:tr w:rsidR="00E76F0E" w:rsidRPr="00BA4F8E" w14:paraId="5270759E" w14:textId="77777777" w:rsidTr="001E17FA">
        <w:trPr>
          <w:trHeight w:val="210"/>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373D4AE8" w14:textId="77777777" w:rsidR="00E76F0E" w:rsidRPr="00BA4F8E" w:rsidRDefault="00E76F0E" w:rsidP="00C861EB">
            <w:pPr>
              <w:spacing w:after="0"/>
              <w:jc w:val="both"/>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56F79AD" w14:textId="77777777" w:rsidR="00E76F0E" w:rsidRPr="00BA4F8E" w:rsidRDefault="00E76F0E" w:rsidP="00543C1B">
            <w:pPr>
              <w:pStyle w:val="Odstavecseseznamem"/>
              <w:numPr>
                <w:ilvl w:val="0"/>
                <w:numId w:val="28"/>
              </w:numPr>
              <w:spacing w:after="0" w:line="276" w:lineRule="auto"/>
              <w:jc w:val="both"/>
              <w:rPr>
                <w:rFonts w:cstheme="minorHAns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609BC20E" w14:textId="77777777" w:rsidR="00E76F0E" w:rsidRPr="00BA4F8E" w:rsidRDefault="00E76F0E" w:rsidP="00C861EB">
            <w:pPr>
              <w:spacing w:after="0"/>
              <w:jc w:val="both"/>
              <w:rPr>
                <w:rFonts w:cstheme="minorHAnsi"/>
              </w:rPr>
            </w:pPr>
            <w:r w:rsidRPr="00BA4F8E">
              <w:rPr>
                <w:rFonts w:cstheme="minorHAnsi"/>
              </w:rPr>
              <w:t>Základní síť podpory zahájení podnikání (podnikatelská poradenská centra).</w:t>
            </w:r>
          </w:p>
        </w:tc>
      </w:tr>
      <w:tr w:rsidR="00E76F0E" w:rsidRPr="00BA4F8E" w14:paraId="76F22DFD" w14:textId="77777777" w:rsidTr="001E17FA">
        <w:tc>
          <w:tcPr>
            <w:tcW w:w="9062" w:type="dxa"/>
            <w:gridSpan w:val="6"/>
            <w:tcBorders>
              <w:top w:val="single" w:sz="4" w:space="0" w:color="auto"/>
              <w:left w:val="single" w:sz="4" w:space="0" w:color="auto"/>
              <w:bottom w:val="single" w:sz="4" w:space="0" w:color="auto"/>
              <w:right w:val="single" w:sz="4" w:space="0" w:color="auto"/>
            </w:tcBorders>
            <w:shd w:val="clear" w:color="auto" w:fill="F4A3A6" w:themeFill="accent1" w:themeFillTint="66"/>
          </w:tcPr>
          <w:p w14:paraId="3F5D02C5" w14:textId="77777777" w:rsidR="00E76F0E" w:rsidRPr="00BA4F8E" w:rsidRDefault="00E76F0E" w:rsidP="003F15C6">
            <w:pPr>
              <w:spacing w:after="0"/>
              <w:rPr>
                <w:rFonts w:cstheme="minorHAnsi"/>
                <w:b/>
              </w:rPr>
            </w:pPr>
            <w:r w:rsidRPr="00BA4F8E">
              <w:rPr>
                <w:rFonts w:cstheme="minorHAnsi"/>
                <w:b/>
              </w:rPr>
              <w:t>Strategie a národní dokumenty, k nimž se strategické a specifické cíle vztahují:</w:t>
            </w:r>
          </w:p>
          <w:p w14:paraId="6E400745" w14:textId="77777777" w:rsidR="00E76F0E" w:rsidRPr="00BA4F8E" w:rsidRDefault="00E76F0E" w:rsidP="00543C1B">
            <w:pPr>
              <w:pStyle w:val="Odstavecseseznamem"/>
              <w:numPr>
                <w:ilvl w:val="0"/>
                <w:numId w:val="24"/>
              </w:numPr>
              <w:spacing w:after="0" w:line="276" w:lineRule="auto"/>
              <w:jc w:val="both"/>
              <w:rPr>
                <w:rFonts w:cstheme="minorHAnsi"/>
              </w:rPr>
            </w:pPr>
            <w:r w:rsidRPr="00BA4F8E">
              <w:rPr>
                <w:rFonts w:cstheme="minorHAnsi"/>
              </w:rPr>
              <w:t xml:space="preserve">A.2.2 je ve Strategii mezinárodní konkurenceschopnosti České republiky pro období 2012 až 2020 i v Národní inovační strategii České republiky; </w:t>
            </w:r>
          </w:p>
          <w:p w14:paraId="2963DBC0" w14:textId="77777777" w:rsidR="00E76F0E" w:rsidRPr="00BA4F8E" w:rsidRDefault="00E76F0E" w:rsidP="00543C1B">
            <w:pPr>
              <w:pStyle w:val="Odstavecseseznamem"/>
              <w:numPr>
                <w:ilvl w:val="0"/>
                <w:numId w:val="24"/>
              </w:numPr>
              <w:spacing w:after="0" w:line="276" w:lineRule="auto"/>
              <w:jc w:val="both"/>
              <w:rPr>
                <w:rFonts w:cstheme="minorHAnsi"/>
              </w:rPr>
            </w:pPr>
            <w:r w:rsidRPr="00BA4F8E">
              <w:rPr>
                <w:rFonts w:cstheme="minorHAnsi"/>
              </w:rPr>
              <w:t>A.2.1 + A.2.3 nejsou v žádné strategii explicitně uvedeny, ale implicitně se se změnou v těchto směrech počítá</w:t>
            </w:r>
          </w:p>
        </w:tc>
      </w:tr>
      <w:tr w:rsidR="00E76F0E" w:rsidRPr="00BA4F8E" w14:paraId="4C62F27E" w14:textId="77777777" w:rsidTr="001E17FA">
        <w:tc>
          <w:tcPr>
            <w:tcW w:w="9062" w:type="dxa"/>
            <w:gridSpan w:val="6"/>
            <w:tcBorders>
              <w:top w:val="single" w:sz="4" w:space="0" w:color="auto"/>
              <w:left w:val="single" w:sz="4" w:space="0" w:color="auto"/>
              <w:bottom w:val="single" w:sz="4" w:space="0" w:color="auto"/>
              <w:right w:val="single" w:sz="4" w:space="0" w:color="auto"/>
            </w:tcBorders>
            <w:shd w:val="clear" w:color="auto" w:fill="F4A3A6" w:themeFill="accent1" w:themeFillTint="66"/>
          </w:tcPr>
          <w:p w14:paraId="43DB2990" w14:textId="77777777" w:rsidR="00E76F0E" w:rsidRPr="00BA4F8E" w:rsidRDefault="00E76F0E" w:rsidP="00C861EB">
            <w:pPr>
              <w:spacing w:after="0"/>
              <w:jc w:val="both"/>
              <w:rPr>
                <w:rFonts w:cstheme="minorHAnsi"/>
                <w:b/>
              </w:rPr>
            </w:pPr>
            <w:r w:rsidRPr="00BA4F8E">
              <w:rPr>
                <w:rFonts w:cstheme="minorHAnsi"/>
                <w:b/>
              </w:rPr>
              <w:t>Strategický cíl A.3: Zvýšit internacionalizaci MSP</w:t>
            </w:r>
          </w:p>
          <w:p w14:paraId="49D64D75" w14:textId="4C991756" w:rsidR="00E76F0E" w:rsidRPr="00BA4F8E" w:rsidRDefault="00E76F0E" w:rsidP="00C861EB">
            <w:pPr>
              <w:spacing w:after="0"/>
              <w:jc w:val="both"/>
              <w:rPr>
                <w:rFonts w:cstheme="minorHAnsi"/>
              </w:rPr>
            </w:pPr>
            <w:r w:rsidRPr="00BA4F8E">
              <w:rPr>
                <w:rFonts w:cstheme="minorHAnsi"/>
              </w:rPr>
              <w:t xml:space="preserve">Hospodářská výkonnost ČR je silně závislá na exportu. Ten je z velké části tažen zahraničními firmami. Ačkoliv se schopnost endogenních firem prosadit se na zahraničních trzích neustále zlepšuje, stále je silně omezena na sousední země a trhy v Evropě. Zejména MSP se potýkají s nedostatečně rozvinutými kompetencemi a kapacitami pro zahraniční obchod a také čelí řadě bariér internacionalizace vlastních aktivit a to zejména s rostoucí geografickou a kulturní vzdáleností cílových trhů od ČR. Účelem tohoto strategického cíle je stimulovat mezinárodní expanzi místních firem a to jak prostřednictvím exportu, tak přímých zahraničních investic, jež jsou nevyhnutelnou reakcí na nové růstové příležitosti v rychle se měnící světové ekonomice. Specifická pozornost bude věnována cílovým trhům s vysokým růstovým potenciálem (viz </w:t>
            </w:r>
            <w:r w:rsidR="00AE3629">
              <w:rPr>
                <w:rFonts w:cstheme="minorHAnsi"/>
              </w:rPr>
              <w:t>Aktualizovaná e</w:t>
            </w:r>
            <w:r w:rsidRPr="00BA4F8E">
              <w:rPr>
                <w:rFonts w:cstheme="minorHAnsi"/>
              </w:rPr>
              <w:t xml:space="preserve">xportní strategie </w:t>
            </w:r>
            <w:r w:rsidR="00AE3629">
              <w:rPr>
                <w:rFonts w:cstheme="minorHAnsi"/>
              </w:rPr>
              <w:t>ČR</w:t>
            </w:r>
            <w:r w:rsidRPr="00BA4F8E">
              <w:rPr>
                <w:rFonts w:cstheme="minorHAnsi"/>
              </w:rPr>
              <w:t xml:space="preserve"> 2012</w:t>
            </w:r>
            <w:r w:rsidR="00AE3629">
              <w:rPr>
                <w:rFonts w:cstheme="minorHAnsi"/>
              </w:rPr>
              <w:t>-</w:t>
            </w:r>
            <w:r w:rsidRPr="00BA4F8E">
              <w:rPr>
                <w:rFonts w:cstheme="minorHAnsi"/>
              </w:rPr>
              <w:t>20). Prostřednictvím expanze na zahraničních trzích lze podstatně zvýšit celkový přínos vysoce rozvinutých technických kompetencí místních firem pro ekonomický růst ČR. V tomto smyslu má tento strategický cíl významné synergické vazby s cílem prvním, který je zaměřen právě na rozvoj technických kompetencí podniků. Další důležitá synergie spočívá v tom, že zahraniční expanze místních firem je silně podmíněna ambicemi podnikatelů a výkonných manažerů místních firem a souvisí také s aspiracemi (poptávkou) v oblasti inovací. Z hlediska různých vývojových fází firem je účelem tohoto cíle jak podpora (globální) expanze již zavedených exportérů, tak podpora malých firem při prvním vstupu na zahraniční trhy. Zvýšení internacionalizace MSP se projeví růstem tržeb ze zahraničí při celkovém růstu obratu a bude dosaženo těmito cíli:</w:t>
            </w:r>
          </w:p>
          <w:p w14:paraId="3D665AAB" w14:textId="46551CB7" w:rsidR="00E76F0E" w:rsidRPr="00BA4F8E" w:rsidRDefault="00E76F0E" w:rsidP="00543C1B">
            <w:pPr>
              <w:pStyle w:val="Odstavecseseznamem"/>
              <w:numPr>
                <w:ilvl w:val="0"/>
                <w:numId w:val="32"/>
              </w:numPr>
              <w:spacing w:after="0" w:line="276" w:lineRule="auto"/>
              <w:jc w:val="both"/>
              <w:rPr>
                <w:rFonts w:cstheme="minorHAnsi"/>
              </w:rPr>
            </w:pPr>
            <w:r w:rsidRPr="00BA4F8E">
              <w:rPr>
                <w:rFonts w:cstheme="minorHAnsi"/>
              </w:rPr>
              <w:lastRenderedPageBreak/>
              <w:t>Zvýšení dostupnosti strategických informací o cílových trzích místních MSP: Znalost trendů a</w:t>
            </w:r>
            <w:r w:rsidR="005178EB">
              <w:rPr>
                <w:rFonts w:cstheme="minorHAnsi"/>
              </w:rPr>
              <w:t> </w:t>
            </w:r>
            <w:r w:rsidRPr="00BA4F8E">
              <w:rPr>
                <w:rFonts w:cstheme="minorHAnsi"/>
              </w:rPr>
              <w:t xml:space="preserve">preferencí na zahraničních trzích, stejně jako regulačních specifik je klíčovým vstupem pro řízení mezinárodní expanze firem. MSP obvykle mají omezené kapacity tuto znalost interně získat. Často se také potýkají s absencí zkušeností s kulturními rozdíly v obchodních zvyklostech. Účelem tohoto specifického cíle je eliminovat tyto bariéry mezinárodní expanze MSP. </w:t>
            </w:r>
          </w:p>
          <w:p w14:paraId="1AB131CF" w14:textId="77777777" w:rsidR="00E76F0E" w:rsidRPr="00BA4F8E" w:rsidRDefault="00E76F0E" w:rsidP="00543C1B">
            <w:pPr>
              <w:pStyle w:val="Odstavecseseznamem"/>
              <w:numPr>
                <w:ilvl w:val="0"/>
                <w:numId w:val="32"/>
              </w:numPr>
              <w:spacing w:after="0" w:line="276" w:lineRule="auto"/>
              <w:jc w:val="both"/>
              <w:rPr>
                <w:rFonts w:cstheme="minorHAnsi"/>
              </w:rPr>
            </w:pPr>
            <w:r w:rsidRPr="00BA4F8E">
              <w:rPr>
                <w:rFonts w:cstheme="minorHAnsi"/>
              </w:rPr>
              <w:t xml:space="preserve">Zlepšení klíčových kompetencí firem v oblasti marketingu a zahraničního obchodu: Účelem aktivit v tomto specifickém cíli je napomoci firmám a jejich zaměstnancům osvojit si účinné metody řízení expanze na zahraničních trzích, včetně obchodních zkušeností potřebných pro konkrétní cílové trhy. Aktivity tohoto cíle budou zaměřeny také na výchovu potenciálních budoucích obchodníků a manažerů zahraničního obchodu. </w:t>
            </w:r>
          </w:p>
          <w:p w14:paraId="1AD083F4" w14:textId="77777777" w:rsidR="00E76F0E" w:rsidRPr="00BA4F8E" w:rsidRDefault="00E76F0E" w:rsidP="00543C1B">
            <w:pPr>
              <w:pStyle w:val="Odstavecseseznamem"/>
              <w:numPr>
                <w:ilvl w:val="0"/>
                <w:numId w:val="32"/>
              </w:numPr>
              <w:spacing w:after="0" w:line="276" w:lineRule="auto"/>
              <w:jc w:val="both"/>
              <w:rPr>
                <w:rFonts w:cstheme="minorHAnsi"/>
              </w:rPr>
            </w:pPr>
            <w:r w:rsidRPr="00BA4F8E">
              <w:rPr>
                <w:rFonts w:cstheme="minorHAnsi"/>
              </w:rPr>
              <w:t xml:space="preserve">Snížení nákladů a rizik MSP spojených se vstupem na zahraniční trhy: Účelem tohoto specifického cíle je omezit rizika a náklady spojené s exportem a investicemi v zahraničí, zvláště na trzích s podstatně odlišnými regulačními pravidly a obchodními zvyklostmi. U MSP mají tato rizika mnohdy takovou relativní váhu (vůči obratu či finančním rezervám), která brání v realizaci zahraničních obchodních či investičních příležitostí. </w:t>
            </w:r>
          </w:p>
        </w:tc>
      </w:tr>
      <w:tr w:rsidR="00E76F0E" w:rsidRPr="00BA4F8E" w14:paraId="19F8BF52" w14:textId="77777777" w:rsidTr="001E17FA">
        <w:tc>
          <w:tcPr>
            <w:tcW w:w="2683" w:type="dxa"/>
            <w:gridSpan w:val="2"/>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AFDB739" w14:textId="77777777" w:rsidR="00E76F0E" w:rsidRPr="00BA4F8E" w:rsidRDefault="00E76F0E" w:rsidP="003F15C6">
            <w:pPr>
              <w:spacing w:after="0"/>
              <w:rPr>
                <w:rFonts w:cstheme="minorHAnsi"/>
                <w:b/>
                <w:i/>
              </w:rPr>
            </w:pPr>
            <w:r w:rsidRPr="00BA4F8E">
              <w:rPr>
                <w:rFonts w:cstheme="minorHAnsi"/>
                <w:b/>
                <w:i/>
              </w:rPr>
              <w:lastRenderedPageBreak/>
              <w:t xml:space="preserve">Specifické cíle  </w:t>
            </w:r>
          </w:p>
        </w:tc>
        <w:tc>
          <w:tcPr>
            <w:tcW w:w="3073" w:type="dxa"/>
            <w:gridSpan w:val="3"/>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26ACB51" w14:textId="77777777" w:rsidR="00E76F0E" w:rsidRPr="00BA4F8E" w:rsidRDefault="00E76F0E" w:rsidP="003F15C6">
            <w:pPr>
              <w:spacing w:after="0"/>
              <w:rPr>
                <w:rFonts w:cstheme="minorHAnsi"/>
                <w:b/>
                <w:i/>
              </w:rPr>
            </w:pPr>
            <w:r w:rsidRPr="00BA4F8E">
              <w:rPr>
                <w:rFonts w:cstheme="minorHAnsi"/>
                <w:b/>
                <w:i/>
              </w:rPr>
              <w:t>Indikátory specifického cíle</w:t>
            </w: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1606B274" w14:textId="77777777" w:rsidR="00E76F0E" w:rsidRPr="00BA4F8E" w:rsidRDefault="00E76F0E" w:rsidP="003F15C6">
            <w:pPr>
              <w:spacing w:after="0"/>
              <w:rPr>
                <w:rFonts w:cstheme="minorHAnsi"/>
                <w:b/>
                <w:i/>
              </w:rPr>
            </w:pPr>
            <w:r w:rsidRPr="00BA4F8E">
              <w:rPr>
                <w:rFonts w:cstheme="minorHAnsi"/>
                <w:b/>
                <w:i/>
              </w:rPr>
              <w:t>Typové aktivity/projekty/operace</w:t>
            </w:r>
          </w:p>
        </w:tc>
      </w:tr>
      <w:tr w:rsidR="00E76F0E" w:rsidRPr="00BA4F8E" w14:paraId="35DBCB0B" w14:textId="77777777" w:rsidTr="001E17FA">
        <w:trPr>
          <w:trHeight w:val="234"/>
        </w:trPr>
        <w:tc>
          <w:tcPr>
            <w:tcW w:w="2683" w:type="dxa"/>
            <w:gridSpan w:val="2"/>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6D06296" w14:textId="77777777" w:rsidR="00E76F0E" w:rsidRPr="00BA4F8E" w:rsidRDefault="00E76F0E" w:rsidP="003F15C6">
            <w:pPr>
              <w:spacing w:after="0"/>
              <w:rPr>
                <w:rFonts w:cstheme="minorHAnsi"/>
                <w:b/>
              </w:rPr>
            </w:pPr>
            <w:r w:rsidRPr="00BA4F8E">
              <w:rPr>
                <w:rFonts w:cstheme="minorHAnsi"/>
                <w:b/>
              </w:rPr>
              <w:t>A.3.1: Zvýšení dostupnosti strategických informací o cílových trzích místních MSP</w:t>
            </w:r>
          </w:p>
        </w:tc>
        <w:tc>
          <w:tcPr>
            <w:tcW w:w="3073" w:type="dxa"/>
            <w:gridSpan w:val="3"/>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3362FE5E" w14:textId="77777777" w:rsidR="00E76F0E" w:rsidRPr="00BA4F8E" w:rsidRDefault="00E76F0E" w:rsidP="00C861EB">
            <w:pPr>
              <w:spacing w:after="0"/>
              <w:ind w:left="700" w:hanging="709"/>
              <w:jc w:val="both"/>
              <w:rPr>
                <w:rFonts w:cstheme="minorHAnsi"/>
              </w:rPr>
            </w:pPr>
            <w:r w:rsidRPr="00BA4F8E">
              <w:rPr>
                <w:rFonts w:cstheme="minorHAnsi"/>
              </w:rPr>
              <w:t>10000</w:t>
            </w:r>
            <w:r w:rsidRPr="00BA4F8E">
              <w:rPr>
                <w:rFonts w:cstheme="minorHAnsi"/>
              </w:rPr>
              <w:tab/>
              <w:t xml:space="preserve">Počet podniků pobírajících podporu </w:t>
            </w:r>
          </w:p>
          <w:p w14:paraId="77C528F2" w14:textId="77777777" w:rsidR="00E76F0E" w:rsidRPr="00BA4F8E" w:rsidRDefault="00E76F0E" w:rsidP="00C861EB">
            <w:pPr>
              <w:spacing w:after="0"/>
              <w:ind w:left="700" w:hanging="700"/>
              <w:jc w:val="both"/>
              <w:rPr>
                <w:rFonts w:cstheme="minorHAnsi"/>
              </w:rPr>
            </w:pPr>
            <w:r w:rsidRPr="00BA4F8E">
              <w:rPr>
                <w:rFonts w:cstheme="minorHAnsi"/>
              </w:rPr>
              <w:t>21201</w:t>
            </w:r>
            <w:r w:rsidRPr="00BA4F8E">
              <w:rPr>
                <w:rFonts w:cstheme="minorHAnsi"/>
              </w:rPr>
              <w:tab/>
              <w:t>Počet účastí na výstavách a veletrzích v zahraničí</w:t>
            </w:r>
          </w:p>
          <w:p w14:paraId="61C0D315" w14:textId="77777777" w:rsidR="00E76F0E" w:rsidRPr="00BA4F8E" w:rsidRDefault="00E76F0E" w:rsidP="00C861EB">
            <w:pPr>
              <w:spacing w:after="0"/>
              <w:ind w:left="700" w:hanging="700"/>
              <w:jc w:val="both"/>
              <w:rPr>
                <w:rFonts w:cstheme="minorHAnsi"/>
              </w:rPr>
            </w:pPr>
            <w:r w:rsidRPr="00BA4F8E">
              <w:rPr>
                <w:rFonts w:cstheme="minorHAnsi"/>
              </w:rPr>
              <w:t>21200</w:t>
            </w:r>
            <w:r w:rsidRPr="00BA4F8E">
              <w:rPr>
                <w:rFonts w:cstheme="minorHAnsi"/>
              </w:rPr>
              <w:tab/>
              <w:t>Počet podniků, které dostávají podporu pro účely uvádění nových výrobků na trh</w:t>
            </w:r>
          </w:p>
          <w:p w14:paraId="3D6EC08B" w14:textId="77777777" w:rsidR="00E76F0E" w:rsidRPr="00BA4F8E" w:rsidRDefault="00E76F0E" w:rsidP="00C861EB">
            <w:pPr>
              <w:spacing w:after="0"/>
              <w:ind w:left="700" w:hanging="700"/>
              <w:jc w:val="both"/>
              <w:rPr>
                <w:rFonts w:cstheme="minorHAnsi"/>
              </w:rPr>
            </w:pPr>
            <w:r w:rsidRPr="00BA4F8E">
              <w:rPr>
                <w:rFonts w:cstheme="minorHAnsi"/>
              </w:rPr>
              <w:t>21301</w:t>
            </w:r>
            <w:r w:rsidRPr="00BA4F8E">
              <w:rPr>
                <w:rFonts w:cstheme="minorHAnsi"/>
              </w:rPr>
              <w:tab/>
              <w:t>Počet podniků, které dostávají podporu pro účely zavádění výrobků nových pro podnik</w:t>
            </w: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CDD6E42" w14:textId="77777777" w:rsidR="00E76F0E" w:rsidRPr="00BA4F8E" w:rsidRDefault="00E76F0E" w:rsidP="00C861EB">
            <w:pPr>
              <w:spacing w:after="0"/>
              <w:jc w:val="both"/>
              <w:rPr>
                <w:rFonts w:cstheme="minorHAnsi"/>
              </w:rPr>
            </w:pPr>
            <w:r w:rsidRPr="00BA4F8E">
              <w:rPr>
                <w:rFonts w:cstheme="minorHAnsi"/>
              </w:rPr>
              <w:t>Specializované poradenství zaměřené na usnadnění vstupu na konkrétní cílový trh MSP.</w:t>
            </w:r>
          </w:p>
        </w:tc>
      </w:tr>
      <w:tr w:rsidR="00E76F0E" w:rsidRPr="00BA4F8E" w14:paraId="7F6FFFB6" w14:textId="77777777" w:rsidTr="001E17FA">
        <w:trPr>
          <w:trHeight w:val="233"/>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C094282" w14:textId="77777777" w:rsidR="00E76F0E" w:rsidRPr="00BA4F8E" w:rsidRDefault="00E76F0E" w:rsidP="003F15C6">
            <w:pPr>
              <w:spacing w:after="0"/>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1A494314" w14:textId="77777777" w:rsidR="00E76F0E" w:rsidRPr="00BA4F8E" w:rsidRDefault="00E76F0E" w:rsidP="00543C1B">
            <w:pPr>
              <w:pStyle w:val="Odstavecseseznamem"/>
              <w:numPr>
                <w:ilvl w:val="0"/>
                <w:numId w:val="28"/>
              </w:numPr>
              <w:spacing w:after="0" w:line="276" w:lineRule="auto"/>
              <w:jc w:val="both"/>
              <w:rPr>
                <w:rFonts w:cstheme="minorHAns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79F258B" w14:textId="77777777" w:rsidR="00E76F0E" w:rsidRPr="00BA4F8E" w:rsidRDefault="00E76F0E" w:rsidP="00C861EB">
            <w:pPr>
              <w:spacing w:after="0"/>
              <w:jc w:val="both"/>
              <w:rPr>
                <w:rFonts w:cstheme="minorHAnsi"/>
              </w:rPr>
            </w:pPr>
            <w:r w:rsidRPr="00BA4F8E">
              <w:rPr>
                <w:rFonts w:cstheme="minorHAnsi"/>
              </w:rPr>
              <w:t>Zprostředkování strategických informací pro MSP o vývojových trendech a jejich implikací pro konkrétní trhy.</w:t>
            </w:r>
          </w:p>
        </w:tc>
      </w:tr>
      <w:tr w:rsidR="00E76F0E" w:rsidRPr="00BA4F8E" w14:paraId="00167859" w14:textId="77777777" w:rsidTr="001E17FA">
        <w:trPr>
          <w:trHeight w:val="233"/>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6B1EE7E" w14:textId="77777777" w:rsidR="00E76F0E" w:rsidRPr="00BA4F8E" w:rsidRDefault="00E76F0E" w:rsidP="003F15C6">
            <w:pPr>
              <w:spacing w:after="0"/>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3171789" w14:textId="77777777" w:rsidR="00E76F0E" w:rsidRPr="00BA4F8E" w:rsidRDefault="00E76F0E" w:rsidP="00543C1B">
            <w:pPr>
              <w:pStyle w:val="Odstavecseseznamem"/>
              <w:numPr>
                <w:ilvl w:val="0"/>
                <w:numId w:val="28"/>
              </w:numPr>
              <w:spacing w:after="0" w:line="276" w:lineRule="auto"/>
              <w:jc w:val="both"/>
              <w:rPr>
                <w:rFonts w:cstheme="minorHAns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7EED2B6" w14:textId="77777777" w:rsidR="00E76F0E" w:rsidRPr="00BA4F8E" w:rsidRDefault="00E76F0E" w:rsidP="00C861EB">
            <w:pPr>
              <w:spacing w:after="0"/>
              <w:jc w:val="both"/>
              <w:rPr>
                <w:rFonts w:cstheme="minorHAnsi"/>
              </w:rPr>
            </w:pPr>
            <w:r w:rsidRPr="00BA4F8E">
              <w:rPr>
                <w:rFonts w:cstheme="minorHAnsi"/>
              </w:rPr>
              <w:t>Obchodní mise / dočasná obchodní zastoupení.</w:t>
            </w:r>
          </w:p>
        </w:tc>
      </w:tr>
      <w:tr w:rsidR="00E76F0E" w:rsidRPr="00BA4F8E" w14:paraId="427CB8B8" w14:textId="77777777" w:rsidTr="001E17FA">
        <w:trPr>
          <w:trHeight w:val="168"/>
        </w:trPr>
        <w:tc>
          <w:tcPr>
            <w:tcW w:w="2683" w:type="dxa"/>
            <w:gridSpan w:val="2"/>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91394D8" w14:textId="6BCD6A8C" w:rsidR="00E76F0E" w:rsidRPr="00BA4F8E" w:rsidRDefault="00E76F0E" w:rsidP="00794A8C">
            <w:pPr>
              <w:spacing w:after="0"/>
              <w:rPr>
                <w:rFonts w:cstheme="minorHAnsi"/>
                <w:b/>
              </w:rPr>
            </w:pPr>
            <w:r w:rsidRPr="00BA4F8E">
              <w:rPr>
                <w:rFonts w:cstheme="minorHAnsi"/>
                <w:b/>
              </w:rPr>
              <w:t>A.3.2: Zlepšení kapacit a kompetencí firem v oblasti marketingu a</w:t>
            </w:r>
            <w:r w:rsidR="00794A8C">
              <w:rPr>
                <w:rFonts w:cstheme="minorHAnsi"/>
                <w:b/>
              </w:rPr>
              <w:t> </w:t>
            </w:r>
            <w:r w:rsidRPr="00BA4F8E">
              <w:rPr>
                <w:rFonts w:cstheme="minorHAnsi"/>
                <w:b/>
              </w:rPr>
              <w:t>zahraničního obchodu</w:t>
            </w:r>
          </w:p>
        </w:tc>
        <w:tc>
          <w:tcPr>
            <w:tcW w:w="3073" w:type="dxa"/>
            <w:gridSpan w:val="3"/>
            <w:vMerge w:val="restart"/>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F420A3E" w14:textId="77777777" w:rsidR="00E76F0E" w:rsidRPr="00BA4F8E" w:rsidRDefault="00E76F0E" w:rsidP="00543C1B">
            <w:pPr>
              <w:pStyle w:val="Odstavecseseznamem"/>
              <w:numPr>
                <w:ilvl w:val="0"/>
                <w:numId w:val="27"/>
              </w:numPr>
              <w:spacing w:after="0" w:line="276" w:lineRule="auto"/>
              <w:jc w:val="both"/>
              <w:rPr>
                <w:rFonts w:cstheme="minorHAnsi"/>
              </w:rPr>
            </w:pPr>
            <w:r w:rsidRPr="00BA4F8E">
              <w:rPr>
                <w:rFonts w:cstheme="minorHAnsi"/>
              </w:rPr>
              <w:t>počet podpořených firem, které do 3 let zvýšily export (při růstu či udržení tržeb) o X % nebo začaly exportovat</w:t>
            </w:r>
          </w:p>
          <w:p w14:paraId="238FEA08" w14:textId="22AAC9D7" w:rsidR="00E76F0E" w:rsidRPr="00BA4F8E" w:rsidRDefault="00E76F0E" w:rsidP="00543C1B">
            <w:pPr>
              <w:pStyle w:val="Odstavecseseznamem"/>
              <w:numPr>
                <w:ilvl w:val="1"/>
                <w:numId w:val="27"/>
              </w:numPr>
              <w:spacing w:after="0" w:line="276" w:lineRule="auto"/>
              <w:jc w:val="both"/>
              <w:rPr>
                <w:rFonts w:cstheme="minorHAnsi"/>
              </w:rPr>
            </w:pPr>
            <w:r w:rsidRPr="00BA4F8E">
              <w:rPr>
                <w:rFonts w:cstheme="minorHAnsi"/>
              </w:rPr>
              <w:t>počet MSP, které do 3 let od poskytnutí pomoci rozšířily počet cílových zemí (z</w:t>
            </w:r>
            <w:r w:rsidR="00794A8C">
              <w:rPr>
                <w:rFonts w:cstheme="minorHAnsi"/>
              </w:rPr>
              <w:t> </w:t>
            </w:r>
            <w:r w:rsidRPr="00BA4F8E">
              <w:rPr>
                <w:rFonts w:cstheme="minorHAnsi"/>
              </w:rPr>
              <w:t>toho zemí mimo EU), nebo začaly exportovat</w:t>
            </w: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6311F1F9" w14:textId="40589C70" w:rsidR="00E76F0E" w:rsidRPr="00BA4F8E" w:rsidRDefault="00E76F0E" w:rsidP="001F080F">
            <w:pPr>
              <w:spacing w:after="0"/>
              <w:jc w:val="both"/>
              <w:rPr>
                <w:rFonts w:cstheme="minorHAnsi"/>
              </w:rPr>
            </w:pPr>
            <w:r w:rsidRPr="00BA4F8E">
              <w:rPr>
                <w:rFonts w:cstheme="minorHAnsi"/>
              </w:rPr>
              <w:t>Přímá podpora servisních center a</w:t>
            </w:r>
            <w:r w:rsidR="001F080F">
              <w:rPr>
                <w:rFonts w:cstheme="minorHAnsi"/>
              </w:rPr>
              <w:t> </w:t>
            </w:r>
            <w:r w:rsidRPr="00BA4F8E">
              <w:rPr>
                <w:rFonts w:cstheme="minorHAnsi"/>
              </w:rPr>
              <w:t xml:space="preserve">služeb péče o zákazníky na cílových trzích MSP. </w:t>
            </w:r>
          </w:p>
        </w:tc>
      </w:tr>
      <w:tr w:rsidR="00E76F0E" w:rsidRPr="00BA4F8E" w14:paraId="435583C1" w14:textId="77777777" w:rsidTr="001E17FA">
        <w:trPr>
          <w:trHeight w:val="166"/>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5C74DD3" w14:textId="77777777" w:rsidR="00E76F0E" w:rsidRPr="00BA4F8E" w:rsidRDefault="00E76F0E" w:rsidP="003F15C6">
            <w:pPr>
              <w:spacing w:after="0"/>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A016F79" w14:textId="77777777" w:rsidR="00E76F0E" w:rsidRPr="00BA4F8E" w:rsidRDefault="00E76F0E" w:rsidP="00543C1B">
            <w:pPr>
              <w:pStyle w:val="Odstavecseseznamem"/>
              <w:numPr>
                <w:ilvl w:val="0"/>
                <w:numId w:val="27"/>
              </w:numPr>
              <w:spacing w:after="0" w:line="276" w:lineRule="auto"/>
              <w:jc w:val="both"/>
              <w:rPr>
                <w:rFonts w:cstheme="minorHAns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741E23EF" w14:textId="77777777" w:rsidR="00E76F0E" w:rsidRPr="00BA4F8E" w:rsidRDefault="00E76F0E" w:rsidP="00C861EB">
            <w:pPr>
              <w:spacing w:after="0"/>
              <w:jc w:val="both"/>
              <w:rPr>
                <w:rFonts w:cstheme="minorHAnsi"/>
              </w:rPr>
            </w:pPr>
            <w:r w:rsidRPr="00BA4F8E">
              <w:rPr>
                <w:rFonts w:cstheme="minorHAnsi"/>
              </w:rPr>
              <w:t xml:space="preserve">Specializované manažerské vzdělávání (exportní akademie). </w:t>
            </w:r>
          </w:p>
        </w:tc>
      </w:tr>
      <w:tr w:rsidR="00E76F0E" w:rsidRPr="00BA4F8E" w14:paraId="3C0BD9DC" w14:textId="77777777" w:rsidTr="001E17FA">
        <w:trPr>
          <w:trHeight w:val="166"/>
        </w:trPr>
        <w:tc>
          <w:tcPr>
            <w:tcW w:w="2683" w:type="dxa"/>
            <w:gridSpan w:val="2"/>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2AC6DBD" w14:textId="77777777" w:rsidR="00E76F0E" w:rsidRPr="00BA4F8E" w:rsidRDefault="00E76F0E" w:rsidP="003F15C6">
            <w:pPr>
              <w:spacing w:after="0"/>
              <w:rPr>
                <w:rFonts w:cstheme="minorHAnsi"/>
              </w:rPr>
            </w:pPr>
          </w:p>
        </w:tc>
        <w:tc>
          <w:tcPr>
            <w:tcW w:w="3073" w:type="dxa"/>
            <w:gridSpan w:val="3"/>
            <w:vMerge/>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6BFAB157" w14:textId="77777777" w:rsidR="00E76F0E" w:rsidRPr="00BA4F8E" w:rsidRDefault="00E76F0E" w:rsidP="00543C1B">
            <w:pPr>
              <w:pStyle w:val="Odstavecseseznamem"/>
              <w:numPr>
                <w:ilvl w:val="0"/>
                <w:numId w:val="27"/>
              </w:numPr>
              <w:spacing w:after="0" w:line="276" w:lineRule="auto"/>
              <w:jc w:val="both"/>
              <w:rPr>
                <w:rFonts w:cstheme="minorHAns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0B7253F7" w14:textId="3B86E93B" w:rsidR="00E76F0E" w:rsidRPr="00BA4F8E" w:rsidRDefault="00E76F0E" w:rsidP="00774723">
            <w:pPr>
              <w:spacing w:after="0"/>
              <w:jc w:val="both"/>
              <w:rPr>
                <w:rFonts w:cstheme="minorHAnsi"/>
              </w:rPr>
            </w:pPr>
            <w:r w:rsidRPr="00BA4F8E">
              <w:rPr>
                <w:rFonts w:cstheme="minorHAnsi"/>
              </w:rPr>
              <w:t>Podpora MSP při získání certifikací a</w:t>
            </w:r>
            <w:r w:rsidR="00774723" w:rsidRPr="00BA4F8E">
              <w:rPr>
                <w:rFonts w:cstheme="minorHAnsi"/>
              </w:rPr>
              <w:t> </w:t>
            </w:r>
            <w:r w:rsidRPr="00BA4F8E">
              <w:rPr>
                <w:rFonts w:cstheme="minorHAnsi"/>
              </w:rPr>
              <w:t>jiných dokladů potřebných pro vstup na zahraniční trhy.</w:t>
            </w:r>
          </w:p>
        </w:tc>
      </w:tr>
      <w:tr w:rsidR="002B36F3" w:rsidRPr="00BA4F8E" w14:paraId="41626F7F" w14:textId="77777777" w:rsidTr="007B72F9">
        <w:trPr>
          <w:trHeight w:val="168"/>
        </w:trPr>
        <w:tc>
          <w:tcPr>
            <w:tcW w:w="2683" w:type="dxa"/>
            <w:gridSpan w:val="2"/>
            <w:vMerge w:val="restart"/>
            <w:tcBorders>
              <w:top w:val="single" w:sz="4" w:space="0" w:color="auto"/>
              <w:left w:val="single" w:sz="4" w:space="0" w:color="auto"/>
              <w:right w:val="single" w:sz="4" w:space="0" w:color="auto"/>
            </w:tcBorders>
            <w:shd w:val="clear" w:color="auto" w:fill="F9D1D2" w:themeFill="accent1" w:themeFillTint="33"/>
          </w:tcPr>
          <w:p w14:paraId="2DB1B06E" w14:textId="341A075A" w:rsidR="002B36F3" w:rsidRPr="00BA4F8E" w:rsidRDefault="002B36F3" w:rsidP="00161B83">
            <w:pPr>
              <w:spacing w:after="0"/>
              <w:rPr>
                <w:rFonts w:cstheme="minorHAnsi"/>
                <w:b/>
              </w:rPr>
            </w:pPr>
            <w:r w:rsidRPr="00BA4F8E">
              <w:rPr>
                <w:rFonts w:cstheme="minorHAnsi"/>
                <w:b/>
              </w:rPr>
              <w:t>A.3.3: Snížení nákladů a</w:t>
            </w:r>
            <w:r>
              <w:rPr>
                <w:rFonts w:cstheme="minorHAnsi"/>
                <w:b/>
              </w:rPr>
              <w:t> </w:t>
            </w:r>
            <w:r w:rsidRPr="00BA4F8E">
              <w:rPr>
                <w:rFonts w:cstheme="minorHAnsi"/>
                <w:b/>
              </w:rPr>
              <w:t xml:space="preserve">rizik MSP spojených se </w:t>
            </w:r>
            <w:r w:rsidRPr="00BA4F8E">
              <w:rPr>
                <w:rFonts w:cstheme="minorHAnsi"/>
                <w:b/>
              </w:rPr>
              <w:lastRenderedPageBreak/>
              <w:t>vstupem na zahraniční trhy</w:t>
            </w:r>
          </w:p>
        </w:tc>
        <w:tc>
          <w:tcPr>
            <w:tcW w:w="3073" w:type="dxa"/>
            <w:gridSpan w:val="3"/>
            <w:vMerge w:val="restart"/>
            <w:tcBorders>
              <w:top w:val="single" w:sz="4" w:space="0" w:color="auto"/>
              <w:left w:val="single" w:sz="4" w:space="0" w:color="auto"/>
              <w:right w:val="single" w:sz="4" w:space="0" w:color="auto"/>
            </w:tcBorders>
            <w:shd w:val="clear" w:color="auto" w:fill="F9D1D2" w:themeFill="accent1" w:themeFillTint="33"/>
          </w:tcPr>
          <w:p w14:paraId="14CA27D5" w14:textId="77777777" w:rsidR="002B36F3" w:rsidRPr="00BA4F8E" w:rsidRDefault="002B36F3" w:rsidP="00C861EB">
            <w:pPr>
              <w:spacing w:after="0"/>
              <w:ind w:left="700" w:hanging="700"/>
              <w:jc w:val="both"/>
              <w:rPr>
                <w:rFonts w:cstheme="minorHAnsi"/>
              </w:rPr>
            </w:pPr>
            <w:r w:rsidRPr="00BA4F8E">
              <w:rPr>
                <w:rFonts w:cstheme="minorHAnsi"/>
              </w:rPr>
              <w:lastRenderedPageBreak/>
              <w:t>10000</w:t>
            </w:r>
            <w:r w:rsidRPr="00BA4F8E">
              <w:rPr>
                <w:rFonts w:cstheme="minorHAnsi"/>
              </w:rPr>
              <w:tab/>
              <w:t xml:space="preserve">Počet podniků pobírajících podporu </w:t>
            </w:r>
          </w:p>
          <w:p w14:paraId="2A66CEE0" w14:textId="77777777" w:rsidR="002B36F3" w:rsidRPr="00BA4F8E" w:rsidRDefault="002B36F3" w:rsidP="00C861EB">
            <w:pPr>
              <w:spacing w:after="0"/>
              <w:ind w:left="700" w:hanging="700"/>
              <w:jc w:val="both"/>
              <w:rPr>
                <w:rFonts w:cstheme="minorHAnsi"/>
              </w:rPr>
            </w:pPr>
            <w:r w:rsidRPr="00BA4F8E">
              <w:rPr>
                <w:rFonts w:cstheme="minorHAnsi"/>
              </w:rPr>
              <w:lastRenderedPageBreak/>
              <w:t>21201</w:t>
            </w:r>
            <w:r w:rsidRPr="00BA4F8E">
              <w:rPr>
                <w:rFonts w:cstheme="minorHAnsi"/>
              </w:rPr>
              <w:tab/>
              <w:t>Počet účastí na výstavách a veletrzích v zahraničí</w:t>
            </w: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51B3F91" w14:textId="77777777" w:rsidR="002B36F3" w:rsidRPr="00161B83" w:rsidRDefault="002B36F3" w:rsidP="00C861EB">
            <w:pPr>
              <w:spacing w:after="0"/>
              <w:jc w:val="both"/>
              <w:rPr>
                <w:rFonts w:cstheme="minorHAnsi"/>
                <w:i/>
              </w:rPr>
            </w:pPr>
            <w:r w:rsidRPr="00161B83">
              <w:rPr>
                <w:rFonts w:cstheme="minorHAnsi"/>
                <w:i/>
              </w:rPr>
              <w:lastRenderedPageBreak/>
              <w:t>Exportní aliance a vzájemná výpomoc s vykrytím poptávky.</w:t>
            </w:r>
          </w:p>
        </w:tc>
      </w:tr>
      <w:tr w:rsidR="002B36F3" w:rsidRPr="00BA4F8E" w14:paraId="6D19B8B8" w14:textId="77777777" w:rsidTr="007B72F9">
        <w:trPr>
          <w:trHeight w:val="166"/>
        </w:trPr>
        <w:tc>
          <w:tcPr>
            <w:tcW w:w="2683" w:type="dxa"/>
            <w:gridSpan w:val="2"/>
            <w:vMerge/>
            <w:tcBorders>
              <w:left w:val="single" w:sz="4" w:space="0" w:color="auto"/>
              <w:right w:val="single" w:sz="4" w:space="0" w:color="auto"/>
            </w:tcBorders>
            <w:shd w:val="clear" w:color="auto" w:fill="F9D1D2" w:themeFill="accent1" w:themeFillTint="33"/>
          </w:tcPr>
          <w:p w14:paraId="785C4276" w14:textId="77777777" w:rsidR="002B36F3" w:rsidRPr="00BA4F8E" w:rsidRDefault="002B36F3" w:rsidP="003F15C6">
            <w:pPr>
              <w:spacing w:after="0"/>
              <w:rPr>
                <w:rFonts w:cstheme="minorHAnsi"/>
              </w:rPr>
            </w:pPr>
          </w:p>
        </w:tc>
        <w:tc>
          <w:tcPr>
            <w:tcW w:w="3073" w:type="dxa"/>
            <w:gridSpan w:val="3"/>
            <w:vMerge/>
            <w:tcBorders>
              <w:left w:val="single" w:sz="4" w:space="0" w:color="auto"/>
              <w:right w:val="single" w:sz="4" w:space="0" w:color="auto"/>
            </w:tcBorders>
            <w:shd w:val="clear" w:color="auto" w:fill="F9D1D2" w:themeFill="accent1" w:themeFillTint="33"/>
          </w:tcPr>
          <w:p w14:paraId="066E9538" w14:textId="77777777" w:rsidR="002B36F3" w:rsidRPr="00BA4F8E" w:rsidRDefault="002B36F3" w:rsidP="00543C1B">
            <w:pPr>
              <w:pStyle w:val="Odstavecseseznamem"/>
              <w:numPr>
                <w:ilvl w:val="0"/>
                <w:numId w:val="27"/>
              </w:numPr>
              <w:spacing w:after="0" w:line="276" w:lineRule="auto"/>
              <w:jc w:val="both"/>
              <w:rPr>
                <w:rFonts w:cstheme="minorHAnsi"/>
                <w: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5B5F2BA1" w14:textId="77777777" w:rsidR="002B36F3" w:rsidRPr="00161B83" w:rsidRDefault="002B36F3" w:rsidP="00C861EB">
            <w:pPr>
              <w:spacing w:after="0"/>
              <w:jc w:val="both"/>
              <w:rPr>
                <w:rFonts w:cstheme="minorHAnsi"/>
                <w:i/>
              </w:rPr>
            </w:pPr>
            <w:r w:rsidRPr="00161B83">
              <w:rPr>
                <w:rFonts w:cstheme="minorHAnsi"/>
                <w:i/>
              </w:rPr>
              <w:t>Sdílená obchodní zastoupení, sdílené distribuční kanály.</w:t>
            </w:r>
          </w:p>
        </w:tc>
      </w:tr>
      <w:tr w:rsidR="002B36F3" w:rsidRPr="00BA4F8E" w14:paraId="7AF231C6" w14:textId="77777777" w:rsidTr="007B72F9">
        <w:trPr>
          <w:trHeight w:val="92"/>
        </w:trPr>
        <w:tc>
          <w:tcPr>
            <w:tcW w:w="2683" w:type="dxa"/>
            <w:gridSpan w:val="2"/>
            <w:vMerge/>
            <w:tcBorders>
              <w:left w:val="single" w:sz="4" w:space="0" w:color="auto"/>
              <w:right w:val="single" w:sz="4" w:space="0" w:color="auto"/>
            </w:tcBorders>
            <w:shd w:val="clear" w:color="auto" w:fill="F9D1D2" w:themeFill="accent1" w:themeFillTint="33"/>
          </w:tcPr>
          <w:p w14:paraId="0ED06701" w14:textId="77777777" w:rsidR="002B36F3" w:rsidRPr="00BA4F8E" w:rsidRDefault="002B36F3" w:rsidP="003F15C6">
            <w:pPr>
              <w:spacing w:after="0"/>
              <w:rPr>
                <w:rFonts w:cstheme="minorHAnsi"/>
              </w:rPr>
            </w:pPr>
          </w:p>
        </w:tc>
        <w:tc>
          <w:tcPr>
            <w:tcW w:w="3073" w:type="dxa"/>
            <w:gridSpan w:val="3"/>
            <w:vMerge/>
            <w:tcBorders>
              <w:left w:val="single" w:sz="4" w:space="0" w:color="auto"/>
              <w:right w:val="single" w:sz="4" w:space="0" w:color="auto"/>
            </w:tcBorders>
            <w:shd w:val="clear" w:color="auto" w:fill="F9D1D2" w:themeFill="accent1" w:themeFillTint="33"/>
          </w:tcPr>
          <w:p w14:paraId="6C0C4416" w14:textId="77777777" w:rsidR="002B36F3" w:rsidRPr="00BA4F8E" w:rsidRDefault="002B36F3" w:rsidP="00543C1B">
            <w:pPr>
              <w:pStyle w:val="Odstavecseseznamem"/>
              <w:numPr>
                <w:ilvl w:val="0"/>
                <w:numId w:val="27"/>
              </w:numPr>
              <w:spacing w:after="0" w:line="276" w:lineRule="auto"/>
              <w:jc w:val="both"/>
              <w:rPr>
                <w:rFonts w:cstheme="minorHAnsi"/>
                <w: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2D9CFF12" w14:textId="77777777" w:rsidR="002B36F3" w:rsidRPr="00161B83" w:rsidRDefault="002B36F3" w:rsidP="00C861EB">
            <w:pPr>
              <w:spacing w:after="0"/>
              <w:jc w:val="both"/>
              <w:rPr>
                <w:rFonts w:cstheme="minorHAnsi"/>
                <w:i/>
              </w:rPr>
            </w:pPr>
            <w:r w:rsidRPr="00161B83">
              <w:rPr>
                <w:rFonts w:cstheme="minorHAnsi"/>
                <w:i/>
              </w:rPr>
              <w:t>Exportní záruky (EGAP).</w:t>
            </w:r>
          </w:p>
        </w:tc>
      </w:tr>
      <w:tr w:rsidR="002B36F3" w:rsidRPr="00BA4F8E" w14:paraId="5EB2F21E" w14:textId="77777777" w:rsidTr="007B72F9">
        <w:trPr>
          <w:trHeight w:val="275"/>
        </w:trPr>
        <w:tc>
          <w:tcPr>
            <w:tcW w:w="2683" w:type="dxa"/>
            <w:gridSpan w:val="2"/>
            <w:vMerge/>
            <w:tcBorders>
              <w:left w:val="single" w:sz="4" w:space="0" w:color="auto"/>
              <w:right w:val="single" w:sz="4" w:space="0" w:color="auto"/>
            </w:tcBorders>
            <w:shd w:val="clear" w:color="auto" w:fill="F9D1D2" w:themeFill="accent1" w:themeFillTint="33"/>
          </w:tcPr>
          <w:p w14:paraId="340E3DE0" w14:textId="77777777" w:rsidR="002B36F3" w:rsidRPr="00BA4F8E" w:rsidRDefault="002B36F3" w:rsidP="003F15C6">
            <w:pPr>
              <w:spacing w:after="0"/>
              <w:rPr>
                <w:rFonts w:cstheme="minorHAnsi"/>
              </w:rPr>
            </w:pPr>
          </w:p>
        </w:tc>
        <w:tc>
          <w:tcPr>
            <w:tcW w:w="3073" w:type="dxa"/>
            <w:gridSpan w:val="3"/>
            <w:vMerge/>
            <w:tcBorders>
              <w:left w:val="single" w:sz="4" w:space="0" w:color="auto"/>
              <w:right w:val="single" w:sz="4" w:space="0" w:color="auto"/>
            </w:tcBorders>
            <w:shd w:val="clear" w:color="auto" w:fill="F9D1D2" w:themeFill="accent1" w:themeFillTint="33"/>
          </w:tcPr>
          <w:p w14:paraId="2168921E" w14:textId="77777777" w:rsidR="002B36F3" w:rsidRPr="00BA4F8E" w:rsidRDefault="002B36F3" w:rsidP="00543C1B">
            <w:pPr>
              <w:pStyle w:val="Odstavecseseznamem"/>
              <w:numPr>
                <w:ilvl w:val="0"/>
                <w:numId w:val="27"/>
              </w:numPr>
              <w:spacing w:after="0" w:line="276" w:lineRule="auto"/>
              <w:jc w:val="both"/>
              <w:rPr>
                <w:rFonts w:cstheme="minorHAnsi"/>
                <w: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43BA5746" w14:textId="2C7A5B76" w:rsidR="002B36F3" w:rsidRPr="00161B83" w:rsidRDefault="002B36F3" w:rsidP="00C861EB">
            <w:pPr>
              <w:spacing w:after="0"/>
              <w:jc w:val="both"/>
              <w:rPr>
                <w:rFonts w:cstheme="minorHAnsi"/>
                <w:i/>
              </w:rPr>
            </w:pPr>
            <w:r w:rsidRPr="00161B83">
              <w:rPr>
                <w:rFonts w:cstheme="minorHAnsi"/>
                <w:i/>
              </w:rPr>
              <w:t>Využi</w:t>
            </w:r>
            <w:r>
              <w:rPr>
                <w:rFonts w:cstheme="minorHAnsi"/>
                <w:i/>
              </w:rPr>
              <w:t>tí společného stánku na výstavě/</w:t>
            </w:r>
            <w:r w:rsidRPr="00161B83">
              <w:rPr>
                <w:rFonts w:cstheme="minorHAnsi"/>
                <w:i/>
              </w:rPr>
              <w:t>veletrhu pod brandingem klastrové organizace.</w:t>
            </w:r>
          </w:p>
        </w:tc>
      </w:tr>
      <w:tr w:rsidR="002B36F3" w:rsidRPr="00BA4F8E" w14:paraId="5C668D6B" w14:textId="77777777" w:rsidTr="007B72F9">
        <w:trPr>
          <w:trHeight w:val="274"/>
        </w:trPr>
        <w:tc>
          <w:tcPr>
            <w:tcW w:w="2683" w:type="dxa"/>
            <w:gridSpan w:val="2"/>
            <w:vMerge/>
            <w:tcBorders>
              <w:left w:val="single" w:sz="4" w:space="0" w:color="auto"/>
              <w:bottom w:val="single" w:sz="4" w:space="0" w:color="auto"/>
              <w:right w:val="single" w:sz="4" w:space="0" w:color="auto"/>
            </w:tcBorders>
            <w:shd w:val="clear" w:color="auto" w:fill="F9D1D2" w:themeFill="accent1" w:themeFillTint="33"/>
          </w:tcPr>
          <w:p w14:paraId="59AA849C" w14:textId="77777777" w:rsidR="002B36F3" w:rsidRPr="00BA4F8E" w:rsidRDefault="002B36F3" w:rsidP="003F15C6">
            <w:pPr>
              <w:spacing w:after="0"/>
              <w:rPr>
                <w:rFonts w:cstheme="minorHAnsi"/>
              </w:rPr>
            </w:pPr>
          </w:p>
        </w:tc>
        <w:tc>
          <w:tcPr>
            <w:tcW w:w="3073" w:type="dxa"/>
            <w:gridSpan w:val="3"/>
            <w:vMerge/>
            <w:tcBorders>
              <w:left w:val="single" w:sz="4" w:space="0" w:color="auto"/>
              <w:bottom w:val="single" w:sz="4" w:space="0" w:color="auto"/>
              <w:right w:val="single" w:sz="4" w:space="0" w:color="auto"/>
            </w:tcBorders>
            <w:shd w:val="clear" w:color="auto" w:fill="F9D1D2" w:themeFill="accent1" w:themeFillTint="33"/>
          </w:tcPr>
          <w:p w14:paraId="7DAE3A6C" w14:textId="77777777" w:rsidR="002B36F3" w:rsidRPr="00BA4F8E" w:rsidRDefault="002B36F3" w:rsidP="00543C1B">
            <w:pPr>
              <w:pStyle w:val="Odstavecseseznamem"/>
              <w:numPr>
                <w:ilvl w:val="0"/>
                <w:numId w:val="27"/>
              </w:numPr>
              <w:spacing w:after="0" w:line="276" w:lineRule="auto"/>
              <w:jc w:val="both"/>
              <w:rPr>
                <w:rFonts w:cstheme="minorHAnsi"/>
                <w:i/>
              </w:rPr>
            </w:pPr>
          </w:p>
        </w:tc>
        <w:tc>
          <w:tcPr>
            <w:tcW w:w="3306" w:type="dxa"/>
            <w:tcBorders>
              <w:top w:val="single" w:sz="4" w:space="0" w:color="auto"/>
              <w:left w:val="single" w:sz="4" w:space="0" w:color="auto"/>
              <w:bottom w:val="single" w:sz="4" w:space="0" w:color="auto"/>
              <w:right w:val="single" w:sz="4" w:space="0" w:color="auto"/>
            </w:tcBorders>
            <w:shd w:val="clear" w:color="auto" w:fill="F9D1D2" w:themeFill="accent1" w:themeFillTint="33"/>
          </w:tcPr>
          <w:p w14:paraId="200434B3" w14:textId="53F0ECA1" w:rsidR="002B36F3" w:rsidRPr="00161B83" w:rsidRDefault="002B36F3" w:rsidP="002B36F3">
            <w:pPr>
              <w:spacing w:after="0"/>
              <w:jc w:val="both"/>
              <w:rPr>
                <w:rFonts w:cstheme="minorHAnsi"/>
                <w:i/>
              </w:rPr>
            </w:pPr>
            <w:r w:rsidRPr="002B36F3">
              <w:rPr>
                <w:rFonts w:cstheme="minorHAnsi"/>
                <w:i/>
              </w:rPr>
              <w:t>Společné stánky více subjektů na zahraničních výstavách a</w:t>
            </w:r>
            <w:r>
              <w:rPr>
                <w:rFonts w:cstheme="minorHAnsi"/>
                <w:i/>
              </w:rPr>
              <w:t> </w:t>
            </w:r>
            <w:r w:rsidRPr="002B36F3">
              <w:rPr>
                <w:rFonts w:cstheme="minorHAnsi"/>
                <w:i/>
              </w:rPr>
              <w:t>veletrzích</w:t>
            </w:r>
            <w:r>
              <w:rPr>
                <w:rFonts w:cstheme="minorHAnsi"/>
                <w:i/>
              </w:rPr>
              <w:t>.</w:t>
            </w:r>
          </w:p>
        </w:tc>
      </w:tr>
      <w:tr w:rsidR="00E76F0E" w:rsidRPr="00BA4F8E" w14:paraId="5664C37A" w14:textId="77777777" w:rsidTr="001E17FA">
        <w:tc>
          <w:tcPr>
            <w:tcW w:w="9062" w:type="dxa"/>
            <w:gridSpan w:val="6"/>
            <w:tcBorders>
              <w:top w:val="single" w:sz="4" w:space="0" w:color="auto"/>
              <w:left w:val="single" w:sz="4" w:space="0" w:color="auto"/>
              <w:bottom w:val="single" w:sz="4" w:space="0" w:color="auto"/>
              <w:right w:val="single" w:sz="4" w:space="0" w:color="auto"/>
            </w:tcBorders>
            <w:shd w:val="clear" w:color="auto" w:fill="F4A3A6" w:themeFill="accent1" w:themeFillTint="66"/>
          </w:tcPr>
          <w:p w14:paraId="386C69C6" w14:textId="77777777" w:rsidR="00E76F0E" w:rsidRPr="00BA4F8E" w:rsidRDefault="00E76F0E" w:rsidP="003F15C6">
            <w:pPr>
              <w:spacing w:after="0"/>
              <w:rPr>
                <w:rFonts w:cstheme="minorHAnsi"/>
                <w:b/>
              </w:rPr>
            </w:pPr>
            <w:r w:rsidRPr="00BA4F8E">
              <w:rPr>
                <w:rFonts w:cstheme="minorHAnsi"/>
                <w:b/>
              </w:rPr>
              <w:t>Strategie a národní dokumenty, k nimž se strategické a specifické cíle vztahují:</w:t>
            </w:r>
          </w:p>
          <w:p w14:paraId="322299B0" w14:textId="6741C1D8" w:rsidR="00E76F0E" w:rsidRPr="00BA4F8E" w:rsidRDefault="00594C70" w:rsidP="00543C1B">
            <w:pPr>
              <w:pStyle w:val="Odstavecseseznamem"/>
              <w:numPr>
                <w:ilvl w:val="0"/>
                <w:numId w:val="24"/>
              </w:numPr>
              <w:spacing w:after="0" w:line="276" w:lineRule="auto"/>
              <w:jc w:val="both"/>
              <w:rPr>
                <w:rFonts w:cstheme="minorHAnsi"/>
              </w:rPr>
            </w:pPr>
            <w:r>
              <w:rPr>
                <w:rFonts w:cstheme="minorHAnsi"/>
              </w:rPr>
              <w:t>Aktualizace</w:t>
            </w:r>
            <w:r w:rsidRPr="00594C70">
              <w:rPr>
                <w:rFonts w:cstheme="minorHAnsi"/>
              </w:rPr>
              <w:t xml:space="preserve"> </w:t>
            </w:r>
            <w:r>
              <w:rPr>
                <w:rFonts w:cstheme="minorHAnsi"/>
              </w:rPr>
              <w:t>E</w:t>
            </w:r>
            <w:r w:rsidRPr="00594C70">
              <w:rPr>
                <w:rFonts w:cstheme="minorHAnsi"/>
              </w:rPr>
              <w:t>xportní strategie ČR 2012-20</w:t>
            </w:r>
          </w:p>
          <w:p w14:paraId="746EB6B9" w14:textId="77777777" w:rsidR="00E76F0E" w:rsidRPr="00BA4F8E" w:rsidRDefault="00E76F0E" w:rsidP="00543C1B">
            <w:pPr>
              <w:pStyle w:val="Odstavecseseznamem"/>
              <w:numPr>
                <w:ilvl w:val="0"/>
                <w:numId w:val="24"/>
              </w:numPr>
              <w:spacing w:after="0" w:line="276" w:lineRule="auto"/>
              <w:jc w:val="both"/>
              <w:rPr>
                <w:rFonts w:cstheme="minorHAnsi"/>
              </w:rPr>
            </w:pPr>
            <w:r w:rsidRPr="00BA4F8E">
              <w:rPr>
                <w:rFonts w:cstheme="minorHAnsi"/>
              </w:rPr>
              <w:t>Strategie mezinárodní konkurenceschopnosti České republiky pro období 2012 až 2020</w:t>
            </w:r>
          </w:p>
        </w:tc>
      </w:tr>
      <w:tr w:rsidR="00E76F0E" w:rsidRPr="00BA4F8E" w14:paraId="45A5CF78" w14:textId="77777777" w:rsidTr="001E17FA">
        <w:tc>
          <w:tcPr>
            <w:tcW w:w="9062" w:type="dxa"/>
            <w:gridSpan w:val="6"/>
            <w:tcBorders>
              <w:top w:val="single" w:sz="4" w:space="0" w:color="auto"/>
              <w:left w:val="single" w:sz="4" w:space="0" w:color="auto"/>
              <w:bottom w:val="single" w:sz="4" w:space="0" w:color="auto"/>
              <w:right w:val="single" w:sz="4" w:space="0" w:color="auto"/>
            </w:tcBorders>
            <w:shd w:val="clear" w:color="auto" w:fill="EE757A" w:themeFill="accent1" w:themeFillTint="99"/>
          </w:tcPr>
          <w:p w14:paraId="72AC0B4A" w14:textId="77777777" w:rsidR="00E76F0E" w:rsidRPr="00BA4F8E" w:rsidRDefault="00E76F0E" w:rsidP="003F15C6">
            <w:pPr>
              <w:spacing w:after="0"/>
              <w:rPr>
                <w:rFonts w:cstheme="minorHAnsi"/>
                <w:i/>
              </w:rPr>
            </w:pPr>
            <w:r w:rsidRPr="00BA4F8E">
              <w:rPr>
                <w:rFonts w:cstheme="minorHAnsi"/>
                <w:b/>
              </w:rPr>
              <w:t xml:space="preserve">Podmínky a bariéry realizace intervencí v této klíčové oblasti změn: </w:t>
            </w:r>
          </w:p>
          <w:p w14:paraId="4D3A0C45" w14:textId="5606E248" w:rsidR="00E76F0E" w:rsidRPr="00BA4F8E" w:rsidRDefault="00E76F0E" w:rsidP="00543C1B">
            <w:pPr>
              <w:pStyle w:val="Odstavecseseznamem"/>
              <w:numPr>
                <w:ilvl w:val="0"/>
                <w:numId w:val="27"/>
              </w:numPr>
              <w:spacing w:after="0" w:line="276" w:lineRule="auto"/>
              <w:jc w:val="both"/>
              <w:rPr>
                <w:rFonts w:cstheme="minorHAnsi"/>
              </w:rPr>
            </w:pPr>
            <w:r w:rsidRPr="00BA4F8E">
              <w:rPr>
                <w:rFonts w:cstheme="minorHAnsi"/>
              </w:rPr>
              <w:t xml:space="preserve">Ke zvýšení podnikavosti a inovační výkonnosti podniků je nezbytné podstatně zvýšit stabilitu daňového a regulačního prostředí. Časté změny, k nimž dochází v ČR, vytvářejí nejistotu, což zatěžuje plánování firem. Nejistota a obtížná předvídatelnost změn vždy snižuje podnikatelskou i inovační aktivitu. </w:t>
            </w:r>
          </w:p>
          <w:p w14:paraId="46F58C9B" w14:textId="25CEFBA5" w:rsidR="00E76F0E" w:rsidRPr="00BA4F8E" w:rsidRDefault="00E76F0E" w:rsidP="00543C1B">
            <w:pPr>
              <w:pStyle w:val="Odstavecseseznamem"/>
              <w:numPr>
                <w:ilvl w:val="0"/>
                <w:numId w:val="27"/>
              </w:numPr>
              <w:spacing w:after="0" w:line="276" w:lineRule="auto"/>
              <w:jc w:val="both"/>
              <w:rPr>
                <w:rFonts w:cstheme="minorHAnsi"/>
              </w:rPr>
            </w:pPr>
            <w:r w:rsidRPr="00BA4F8E">
              <w:rPr>
                <w:rFonts w:cstheme="minorHAnsi"/>
              </w:rPr>
              <w:t>Podnikatelské prostředí v ČR se vyznauje vysokou administrativní zátěží jak pro začínající, tak zavedené firmy (Doing Business 201</w:t>
            </w:r>
            <w:r w:rsidR="00C5725F" w:rsidRPr="00BA4F8E">
              <w:rPr>
                <w:rFonts w:cstheme="minorHAnsi"/>
              </w:rPr>
              <w:t>8</w:t>
            </w:r>
            <w:r w:rsidRPr="00BA4F8E">
              <w:rPr>
                <w:rStyle w:val="Znakapoznpodarou"/>
                <w:rFonts w:cstheme="minorHAnsi"/>
              </w:rPr>
              <w:footnoteReference w:id="89"/>
            </w:r>
            <w:r w:rsidRPr="00BA4F8E">
              <w:rPr>
                <w:rFonts w:cstheme="minorHAnsi"/>
              </w:rPr>
              <w:t xml:space="preserve">). Nejhůře je na tom z hlediska zakládání firem a připojení firmy k odběru energií, dále pak v placení daní a ochraně investorů. V posledních letech se v této oblasti konkurenční země zlepšují rychleji než ČR (viz např. Polsko, Rumunsko, Estonsko ad.), která díky politické nestabilitě potřebné změny odkládá či zavádí pomalu. To negativně ovlivňuje vnímání země zahraničními investory, což je významné riziko pro ekonomiku, jejíž růst je tažen zejména zahraničními firmami. </w:t>
            </w:r>
          </w:p>
          <w:p w14:paraId="551FF278" w14:textId="77777777" w:rsidR="00E76F0E" w:rsidRPr="00BA4F8E" w:rsidRDefault="00E76F0E" w:rsidP="00543C1B">
            <w:pPr>
              <w:pStyle w:val="Odstavecseseznamem"/>
              <w:numPr>
                <w:ilvl w:val="0"/>
                <w:numId w:val="27"/>
              </w:numPr>
              <w:spacing w:after="0" w:line="276" w:lineRule="auto"/>
              <w:jc w:val="both"/>
              <w:rPr>
                <w:rFonts w:cstheme="minorHAnsi"/>
                <w:i/>
              </w:rPr>
            </w:pPr>
            <w:r w:rsidRPr="00BA4F8E">
              <w:rPr>
                <w:rFonts w:cstheme="minorHAnsi"/>
              </w:rPr>
              <w:t>Rozvoji podnikatelské kultury a inovační atmosféry brání vysoká míra vnímané korupce (viz World Competitiveness Report, WEF, 2013). Úroveň vnímané korupce ovlivňuje velikost té části společnosti, která namísto osobního úsilí v transparentní soutěži považuje za účinnější způsob ekonomické seberealizace budování a zneužívání osobních konexí a vlivových skupin. Současně vysoká úroveň vnímané korupce motivuje podnikatele spíše k zaměření na ochranu dosud vybudovaného namísto dalšího růstu firem, k čemuž v ČR silně přispívá i výše uvedená nestabilita regulačního rámce.</w:t>
            </w:r>
            <w:r w:rsidRPr="00BA4F8E">
              <w:rPr>
                <w:rFonts w:cstheme="minorHAnsi"/>
                <w:i/>
              </w:rPr>
              <w:t xml:space="preserve"> </w:t>
            </w:r>
          </w:p>
        </w:tc>
      </w:tr>
    </w:tbl>
    <w:p w14:paraId="12969371" w14:textId="77777777" w:rsidR="00FE6BBC" w:rsidRDefault="00FE6BBC" w:rsidP="00FE6BBC"/>
    <w:p w14:paraId="7DA0D7D2" w14:textId="4354F88E" w:rsidR="0005738D" w:rsidRPr="00F76546" w:rsidRDefault="0005738D" w:rsidP="00753857">
      <w:pPr>
        <w:pStyle w:val="Nadpis2"/>
        <w:spacing w:after="240"/>
      </w:pPr>
      <w:bookmarkStart w:id="115" w:name="_Toc525716207"/>
      <w:r w:rsidRPr="00F76546">
        <w:t>Výzkum a vývoj</w:t>
      </w:r>
      <w:bookmarkEnd w:id="115"/>
    </w:p>
    <w:p w14:paraId="0527DD72" w14:textId="77777777" w:rsidR="00350DDE" w:rsidRPr="00BA4F8E" w:rsidRDefault="00350DDE" w:rsidP="00753857">
      <w:pPr>
        <w:spacing w:after="240"/>
        <w:jc w:val="both"/>
        <w:rPr>
          <w:rFonts w:cs="Arial"/>
          <w:b/>
        </w:rPr>
      </w:pPr>
      <w:r w:rsidRPr="00BA4F8E">
        <w:rPr>
          <w:rFonts w:cs="Arial"/>
          <w:b/>
        </w:rPr>
        <w:t>Klíčová oblast změn B: Zvýšení kvality</w:t>
      </w:r>
      <w:r w:rsidRPr="00BA4F8E">
        <w:rPr>
          <w:rStyle w:val="Znakapoznpodarou"/>
          <w:rFonts w:cs="Arial"/>
          <w:b/>
        </w:rPr>
        <w:footnoteReference w:id="90"/>
      </w:r>
      <w:r w:rsidRPr="00BA4F8E">
        <w:rPr>
          <w:rFonts w:cs="Arial"/>
          <w:b/>
        </w:rPr>
        <w:t xml:space="preserve"> veřejného výzkumu</w:t>
      </w:r>
    </w:p>
    <w:p w14:paraId="65670BD2" w14:textId="0DE845F9" w:rsidR="00350DDE" w:rsidRPr="00BA4F8E" w:rsidRDefault="00350DDE" w:rsidP="00612235">
      <w:pPr>
        <w:spacing w:after="0" w:line="360" w:lineRule="auto"/>
        <w:ind w:firstLine="709"/>
        <w:jc w:val="both"/>
        <w:rPr>
          <w:rFonts w:cs="Arial"/>
        </w:rPr>
      </w:pPr>
      <w:r w:rsidRPr="00BA4F8E">
        <w:rPr>
          <w:rFonts w:cs="Arial"/>
        </w:rPr>
        <w:t xml:space="preserve">V podmínkách ČR je nezbytné usilovat současně o plošné zvyšování kvality výzkumu, které je úzce spojeno s nastavením vhodných rámcových podmínek, a o zvyšování kvality a problémové </w:t>
      </w:r>
      <w:r w:rsidRPr="00BA4F8E">
        <w:rPr>
          <w:rFonts w:cs="Arial"/>
        </w:rPr>
        <w:lastRenderedPageBreak/>
        <w:t>orientace výzkumu ve znalostních doménách</w:t>
      </w:r>
      <w:r w:rsidRPr="00BA4F8E">
        <w:rPr>
          <w:rStyle w:val="Znakapoznpodarou"/>
          <w:rFonts w:cs="Arial"/>
        </w:rPr>
        <w:footnoteReference w:id="91"/>
      </w:r>
      <w:r w:rsidRPr="00BA4F8E">
        <w:rPr>
          <w:rFonts w:cs="Arial"/>
        </w:rPr>
        <w:t>, kde již ČR dosahuje mezinárodní úrovně. Cílovým stavem je jak plošné zvýšení kvality a problémové orientace českého výzkumu, tak vyprofilování omezeného počtu mezinárodně konkurenceschopných výzkumných organizací a týmů, která se stanou stěžejními partnery pro další rozvoj klíčových znalostních domén v rámci inteligentní specializace ČR (vi</w:t>
      </w:r>
      <w:r w:rsidRPr="00F202CE">
        <w:rPr>
          <w:rFonts w:cs="Arial"/>
        </w:rPr>
        <w:t>z</w:t>
      </w:r>
      <w:r w:rsidRPr="001203BD">
        <w:rPr>
          <w:rFonts w:cs="Arial"/>
        </w:rPr>
        <w:t xml:space="preserve"> kap</w:t>
      </w:r>
      <w:r w:rsidR="00F202CE" w:rsidRPr="001203BD">
        <w:rPr>
          <w:rFonts w:cs="Arial"/>
        </w:rPr>
        <w:t xml:space="preserve">. </w:t>
      </w:r>
      <w:r w:rsidR="00F202CE" w:rsidRPr="001203BD">
        <w:rPr>
          <w:rFonts w:cs="Arial"/>
        </w:rPr>
        <w:fldChar w:fldCharType="begin"/>
      </w:r>
      <w:r w:rsidR="00F202CE" w:rsidRPr="001203BD">
        <w:rPr>
          <w:rFonts w:cs="Arial"/>
        </w:rPr>
        <w:instrText xml:space="preserve"> REF _Ref521397310 \r \h </w:instrText>
      </w:r>
      <w:r w:rsidR="00F202CE" w:rsidRPr="001203BD">
        <w:rPr>
          <w:rFonts w:cs="Arial"/>
        </w:rPr>
      </w:r>
      <w:r w:rsidR="00F202CE" w:rsidRPr="001203BD">
        <w:rPr>
          <w:rFonts w:cs="Arial"/>
        </w:rPr>
        <w:fldChar w:fldCharType="separate"/>
      </w:r>
      <w:r w:rsidR="00DE40D4">
        <w:rPr>
          <w:rFonts w:cs="Arial"/>
        </w:rPr>
        <w:t>4</w:t>
      </w:r>
      <w:r w:rsidR="00F202CE" w:rsidRPr="001203BD">
        <w:rPr>
          <w:rFonts w:cs="Arial"/>
        </w:rPr>
        <w:fldChar w:fldCharType="end"/>
      </w:r>
      <w:r w:rsidR="00F202CE" w:rsidRPr="001203BD">
        <w:rPr>
          <w:rFonts w:cs="Arial"/>
        </w:rPr>
        <w:t xml:space="preserve"> </w:t>
      </w:r>
      <w:r w:rsidR="00F202CE" w:rsidRPr="001203BD">
        <w:rPr>
          <w:rFonts w:cs="Arial"/>
        </w:rPr>
        <w:fldChar w:fldCharType="begin"/>
      </w:r>
      <w:r w:rsidR="00F202CE" w:rsidRPr="001203BD">
        <w:rPr>
          <w:rFonts w:cs="Arial"/>
        </w:rPr>
        <w:instrText xml:space="preserve"> REF _Ref521397310 \h </w:instrText>
      </w:r>
      <w:r w:rsidR="00F202CE" w:rsidRPr="001203BD">
        <w:rPr>
          <w:rFonts w:cs="Arial"/>
        </w:rPr>
      </w:r>
      <w:r w:rsidR="00F202CE" w:rsidRPr="001203BD">
        <w:rPr>
          <w:rFonts w:cs="Arial"/>
        </w:rPr>
        <w:fldChar w:fldCharType="separate"/>
      </w:r>
      <w:r w:rsidR="00DE40D4" w:rsidRPr="006A19EB">
        <w:t>Výzkumná a ekonomická specializace ČR</w:t>
      </w:r>
      <w:r w:rsidR="00F202CE" w:rsidRPr="001203BD">
        <w:rPr>
          <w:rFonts w:cs="Arial"/>
        </w:rPr>
        <w:fldChar w:fldCharType="end"/>
      </w:r>
      <w:r w:rsidRPr="001203BD">
        <w:rPr>
          <w:rFonts w:cs="Arial"/>
        </w:rPr>
        <w:t>).</w:t>
      </w:r>
    </w:p>
    <w:p w14:paraId="3D3D53FA" w14:textId="4C5861B4" w:rsidR="00350DDE" w:rsidRPr="00BA4F8E" w:rsidRDefault="00350DDE" w:rsidP="00612235">
      <w:pPr>
        <w:spacing w:after="0" w:line="360" w:lineRule="auto"/>
        <w:ind w:firstLine="708"/>
        <w:jc w:val="both"/>
        <w:rPr>
          <w:rFonts w:cs="Arial"/>
        </w:rPr>
      </w:pPr>
      <w:r w:rsidRPr="00BA4F8E">
        <w:rPr>
          <w:rFonts w:cs="Arial"/>
        </w:rPr>
        <w:t xml:space="preserve">Plošné zvýšení kvality a problémové orientace vyžaduje jak opatření v oblasti regulatorní týkající se národní úrovně, tak i opatření na úrovni jednotlivých výzkumných organizací. Na národní úrovni se jedná zejména o změny </w:t>
      </w:r>
      <w:r w:rsidRPr="00BA4F8E">
        <w:rPr>
          <w:rFonts w:cs="Arial"/>
          <w:i/>
        </w:rPr>
        <w:t>governance</w:t>
      </w:r>
      <w:r w:rsidRPr="00BA4F8E">
        <w:rPr>
          <w:rFonts w:cs="Arial"/>
        </w:rPr>
        <w:t xml:space="preserve"> politiky VaV; změnu hodnocení kvality a</w:t>
      </w:r>
      <w:r w:rsidR="004854E2" w:rsidRPr="00BA4F8E">
        <w:rPr>
          <w:rFonts w:cs="Arial"/>
        </w:rPr>
        <w:t> </w:t>
      </w:r>
      <w:r w:rsidRPr="00BA4F8E">
        <w:rPr>
          <w:rFonts w:cs="Arial"/>
        </w:rPr>
        <w:t xml:space="preserve">institucionálního financování s důrazem na prvky </w:t>
      </w:r>
      <w:r w:rsidRPr="00BA4F8E">
        <w:rPr>
          <w:rFonts w:cs="Arial"/>
          <w:i/>
        </w:rPr>
        <w:t>peer review</w:t>
      </w:r>
      <w:r w:rsidRPr="00BA4F8E">
        <w:rPr>
          <w:rFonts w:cs="Arial"/>
        </w:rPr>
        <w:t xml:space="preserve"> a dobrou mezinárodní praxi a</w:t>
      </w:r>
      <w:r w:rsidR="004455D6" w:rsidRPr="00BA4F8E">
        <w:rPr>
          <w:rFonts w:cs="Arial"/>
        </w:rPr>
        <w:t> </w:t>
      </w:r>
      <w:r w:rsidRPr="00BA4F8E">
        <w:rPr>
          <w:rFonts w:cs="Arial"/>
        </w:rPr>
        <w:t xml:space="preserve"> návazná diferenciace kvality a posilování kritické masy v oblastech kvalitního výzkumu</w:t>
      </w:r>
      <w:r w:rsidR="007D5D9B">
        <w:rPr>
          <w:rFonts w:cs="Arial"/>
        </w:rPr>
        <w:t xml:space="preserve"> – opatření k této změně jsou již rozpracována v Metodice M17+</w:t>
      </w:r>
      <w:r w:rsidR="007D5D9B">
        <w:rPr>
          <w:rStyle w:val="Znakapoznpodarou"/>
          <w:rFonts w:cs="Arial"/>
        </w:rPr>
        <w:footnoteReference w:id="92"/>
      </w:r>
      <w:r w:rsidRPr="00BA4F8E">
        <w:rPr>
          <w:rFonts w:cs="Arial"/>
        </w:rPr>
        <w:t xml:space="preserve">; zvyšování kvality výkonu veřejné správy ve VaV, </w:t>
      </w:r>
      <w:r w:rsidRPr="00BA4F8E">
        <w:rPr>
          <w:rFonts w:eastAsia="Times New Roman" w:cs="Arial"/>
          <w:lang w:eastAsia="cs-CZ"/>
        </w:rPr>
        <w:t>zvyšování kvalifikace odpovědných úředníků a zlepšování metodické úrovně programů podpory s cílem zlepšit schopnost implementovat odsouhlasené strategie, zlepšit hodnocení projektů i programů podpory a snižovat administrativní zátěž výzkumníků. Na úrovni výzkumných organizací pak je předpokladem plošného zvýšení kvality i</w:t>
      </w:r>
      <w:r w:rsidR="004854E2" w:rsidRPr="00BA4F8E">
        <w:rPr>
          <w:rFonts w:eastAsia="Times New Roman" w:cs="Arial"/>
          <w:lang w:eastAsia="cs-CZ"/>
        </w:rPr>
        <w:t> </w:t>
      </w:r>
      <w:r w:rsidRPr="00BA4F8E">
        <w:rPr>
          <w:rFonts w:eastAsia="Times New Roman" w:cs="Arial"/>
          <w:lang w:eastAsia="cs-CZ"/>
        </w:rPr>
        <w:t>plošné zlepšení schopnosti strategického řízení výzkumné činnosti, včetně profesionalizace podpůrných procesů pro řízení a realizaci výzkumu.</w:t>
      </w:r>
    </w:p>
    <w:p w14:paraId="74CB6BBE" w14:textId="56117019" w:rsidR="004854E2" w:rsidRPr="00BA4F8E" w:rsidRDefault="00350DDE" w:rsidP="004455D6">
      <w:pPr>
        <w:spacing w:line="360" w:lineRule="auto"/>
        <w:ind w:firstLine="576"/>
        <w:jc w:val="both"/>
        <w:rPr>
          <w:rFonts w:eastAsia="Times New Roman" w:cs="Arial"/>
          <w:lang w:eastAsia="cs-CZ"/>
        </w:rPr>
      </w:pPr>
      <w:r w:rsidRPr="00BA4F8E">
        <w:rPr>
          <w:rFonts w:cs="Arial"/>
        </w:rPr>
        <w:t xml:space="preserve">Zvýšení kvality a problémové orientace výzkumu v oborech, kde ČR dosahuje mezinárodní kvality, předpokládá koncentraci zdrojů do </w:t>
      </w:r>
      <w:r w:rsidRPr="00BA4F8E">
        <w:rPr>
          <w:rFonts w:cs="Arial"/>
          <w:b/>
        </w:rPr>
        <w:t>omezeného počtu prioritních směrů orientovaného výzkumu ve vazbě na identifikované klíčové znalostní domény a aplikační směry</w:t>
      </w:r>
      <w:r w:rsidRPr="00BA4F8E">
        <w:rPr>
          <w:rFonts w:cs="Arial"/>
        </w:rPr>
        <w:t xml:space="preserve"> definované ve spolupráci s aplikační sférou. V těch bude nezbytné zajistit prioritní, stabilní financování, které umožní plánovitý rozvoj (</w:t>
      </w:r>
      <w:r w:rsidRPr="00BA4F8E">
        <w:rPr>
          <w:rFonts w:eastAsia="Times New Roman" w:cs="Arial"/>
          <w:lang w:eastAsia="cs-CZ"/>
        </w:rPr>
        <w:t>realizací dlouhodobých, problémově orientovaných výzkumných agend, včetně ekonomického výzkumu v oblasti netechnických inovací, digitálních a kreativních odvětví, dále podporou partnerství s kvalitními zahraničními partnery, podporou upgradu výzkumných, zejména velkých infrastruktur, včetně jejich provozu), a</w:t>
      </w:r>
      <w:r w:rsidR="008D1285" w:rsidRPr="00BA4F8E">
        <w:rPr>
          <w:rFonts w:eastAsia="Times New Roman" w:cs="Arial"/>
          <w:lang w:eastAsia="cs-CZ"/>
        </w:rPr>
        <w:t> </w:t>
      </w:r>
      <w:r w:rsidRPr="00BA4F8E">
        <w:rPr>
          <w:rFonts w:eastAsia="Times New Roman" w:cs="Arial"/>
          <w:lang w:eastAsia="cs-CZ"/>
        </w:rPr>
        <w:t>posilováním jejich mezinárodní otevřenosti a</w:t>
      </w:r>
      <w:r w:rsidR="00E06AD6" w:rsidRPr="00BA4F8E">
        <w:rPr>
          <w:rFonts w:eastAsia="Times New Roman" w:cs="Arial"/>
          <w:lang w:eastAsia="cs-CZ"/>
        </w:rPr>
        <w:t> </w:t>
      </w:r>
      <w:r w:rsidRPr="00BA4F8E">
        <w:rPr>
          <w:rFonts w:eastAsia="Times New Roman" w:cs="Arial"/>
          <w:lang w:eastAsia="cs-CZ"/>
        </w:rPr>
        <w:t>spolupráce, a také zvyšováním jejich atraktivity pro talenty z ČR i zahraničí.</w:t>
      </w:r>
    </w:p>
    <w:p w14:paraId="1B364637" w14:textId="25284E34" w:rsidR="00663BED" w:rsidRDefault="00663BED">
      <w:pPr>
        <w:spacing w:after="200" w:line="276" w:lineRule="auto"/>
        <w:rPr>
          <w:rFonts w:eastAsia="Times New Roman" w:cs="Arial"/>
          <w:lang w:eastAsia="cs-CZ"/>
        </w:rPr>
      </w:pPr>
      <w:r>
        <w:rPr>
          <w:rFonts w:eastAsia="Times New Roman" w:cs="Arial"/>
          <w:lang w:eastAsia="cs-CZ"/>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8"/>
        <w:gridCol w:w="2267"/>
        <w:gridCol w:w="693"/>
        <w:gridCol w:w="3814"/>
      </w:tblGrid>
      <w:tr w:rsidR="004854E2" w:rsidRPr="00BA4F8E" w14:paraId="387DE2D8" w14:textId="77777777" w:rsidTr="00707EA2">
        <w:trPr>
          <w:trHeight w:val="387"/>
        </w:trPr>
        <w:tc>
          <w:tcPr>
            <w:tcW w:w="9062" w:type="dxa"/>
            <w:gridSpan w:val="4"/>
            <w:shd w:val="clear" w:color="auto" w:fill="006FA0" w:themeFill="accent3" w:themeFillShade="BF"/>
            <w:vAlign w:val="center"/>
          </w:tcPr>
          <w:p w14:paraId="3F5EF230" w14:textId="77777777" w:rsidR="004854E2" w:rsidRPr="00BA4F8E" w:rsidRDefault="004854E2" w:rsidP="004854E2">
            <w:pPr>
              <w:spacing w:after="0" w:line="276" w:lineRule="auto"/>
              <w:jc w:val="both"/>
              <w:rPr>
                <w:rFonts w:cstheme="minorHAnsi"/>
                <w:b/>
                <w:color w:val="FFFFFF" w:themeColor="background1"/>
              </w:rPr>
            </w:pPr>
            <w:r w:rsidRPr="00BA4F8E">
              <w:rPr>
                <w:rFonts w:cstheme="minorHAnsi"/>
                <w:b/>
                <w:color w:val="FFFFFF" w:themeColor="background1"/>
              </w:rPr>
              <w:lastRenderedPageBreak/>
              <w:t>Klíčová oblast změn B: Zvýšení kvality výzkumu</w:t>
            </w:r>
          </w:p>
        </w:tc>
      </w:tr>
      <w:tr w:rsidR="004854E2" w:rsidRPr="00BA4F8E" w14:paraId="2A726C1C" w14:textId="77777777" w:rsidTr="00707EA2">
        <w:tc>
          <w:tcPr>
            <w:tcW w:w="4555" w:type="dxa"/>
            <w:gridSpan w:val="2"/>
            <w:shd w:val="clear" w:color="auto" w:fill="006FA0" w:themeFill="accent3" w:themeFillShade="BF"/>
          </w:tcPr>
          <w:p w14:paraId="50745647" w14:textId="77777777" w:rsidR="004854E2" w:rsidRPr="00BA4F8E" w:rsidRDefault="004854E2" w:rsidP="004854E2">
            <w:pPr>
              <w:spacing w:after="0" w:line="276" w:lineRule="auto"/>
              <w:jc w:val="both"/>
              <w:rPr>
                <w:rFonts w:cstheme="minorHAnsi"/>
                <w:color w:val="FFFFFF" w:themeColor="background1"/>
              </w:rPr>
            </w:pPr>
            <w:r w:rsidRPr="00BA4F8E">
              <w:rPr>
                <w:rFonts w:cstheme="minorHAnsi"/>
                <w:b/>
                <w:color w:val="FFFFFF" w:themeColor="background1"/>
              </w:rPr>
              <w:t>Strategické cíle v klíčové oblasti změn B:</w:t>
            </w:r>
          </w:p>
        </w:tc>
        <w:tc>
          <w:tcPr>
            <w:tcW w:w="4507" w:type="dxa"/>
            <w:gridSpan w:val="2"/>
            <w:shd w:val="clear" w:color="auto" w:fill="006FA0" w:themeFill="accent3" w:themeFillShade="BF"/>
          </w:tcPr>
          <w:p w14:paraId="1A1ECB85" w14:textId="77777777" w:rsidR="004854E2" w:rsidRPr="00BA4F8E" w:rsidRDefault="004854E2" w:rsidP="004854E2">
            <w:pPr>
              <w:spacing w:after="0" w:line="276" w:lineRule="auto"/>
              <w:jc w:val="both"/>
              <w:rPr>
                <w:rFonts w:cstheme="minorHAnsi"/>
                <w:color w:val="FFFFFF" w:themeColor="background1"/>
              </w:rPr>
            </w:pPr>
            <w:r w:rsidRPr="00BA4F8E">
              <w:rPr>
                <w:rFonts w:cstheme="minorHAnsi"/>
                <w:b/>
                <w:color w:val="FFFFFF" w:themeColor="background1"/>
              </w:rPr>
              <w:t>Indikátory strategických cílů/klíčové oblasti změn:</w:t>
            </w:r>
          </w:p>
        </w:tc>
      </w:tr>
      <w:tr w:rsidR="004854E2" w:rsidRPr="00BA4F8E" w14:paraId="24C8BFD4" w14:textId="77777777" w:rsidTr="00707EA2">
        <w:tc>
          <w:tcPr>
            <w:tcW w:w="4555" w:type="dxa"/>
            <w:gridSpan w:val="2"/>
            <w:shd w:val="clear" w:color="auto" w:fill="006FA0" w:themeFill="accent3" w:themeFillShade="BF"/>
          </w:tcPr>
          <w:p w14:paraId="02AA29E5" w14:textId="77777777" w:rsidR="004854E2" w:rsidRPr="00BA4F8E" w:rsidRDefault="004854E2" w:rsidP="004854E2">
            <w:pPr>
              <w:spacing w:after="0" w:line="276" w:lineRule="auto"/>
              <w:jc w:val="both"/>
              <w:rPr>
                <w:rFonts w:cstheme="minorHAnsi"/>
                <w:color w:val="FFFFFF" w:themeColor="background1"/>
              </w:rPr>
            </w:pPr>
            <w:r w:rsidRPr="00BA4F8E">
              <w:rPr>
                <w:rFonts w:cstheme="minorHAnsi"/>
                <w:color w:val="FFFFFF" w:themeColor="background1"/>
              </w:rPr>
              <w:t>B: Zvýšení kvality výzkumu</w:t>
            </w:r>
          </w:p>
        </w:tc>
        <w:tc>
          <w:tcPr>
            <w:tcW w:w="4507" w:type="dxa"/>
            <w:gridSpan w:val="2"/>
            <w:shd w:val="clear" w:color="auto" w:fill="006FA0" w:themeFill="accent3" w:themeFillShade="BF"/>
          </w:tcPr>
          <w:p w14:paraId="5515E0C0" w14:textId="77777777" w:rsidR="004854E2" w:rsidRPr="00BA4F8E" w:rsidRDefault="004854E2" w:rsidP="004854E2">
            <w:pPr>
              <w:spacing w:after="0" w:line="276" w:lineRule="auto"/>
              <w:ind w:left="700" w:hanging="700"/>
              <w:jc w:val="both"/>
              <w:rPr>
                <w:rFonts w:cstheme="minorHAnsi"/>
                <w:color w:val="FFFFFF" w:themeColor="background1"/>
              </w:rPr>
            </w:pPr>
            <w:r w:rsidRPr="00BA4F8E">
              <w:rPr>
                <w:rFonts w:cstheme="minorHAnsi"/>
                <w:color w:val="FFFFFF" w:themeColor="background1"/>
              </w:rPr>
              <w:t>54010</w:t>
            </w:r>
            <w:r w:rsidRPr="00BA4F8E">
              <w:rPr>
                <w:rFonts w:cstheme="minorHAnsi"/>
                <w:color w:val="FFFFFF" w:themeColor="background1"/>
              </w:rPr>
              <w:tab/>
              <w:t>Podíl celkových výdajů na VaV na HDP (GERD)</w:t>
            </w:r>
          </w:p>
          <w:p w14:paraId="435C062F" w14:textId="77777777" w:rsidR="004854E2" w:rsidRPr="00BA4F8E" w:rsidRDefault="004854E2" w:rsidP="004854E2">
            <w:pPr>
              <w:spacing w:after="0" w:line="276" w:lineRule="auto"/>
              <w:ind w:left="700" w:hanging="700"/>
              <w:jc w:val="both"/>
              <w:rPr>
                <w:rFonts w:cstheme="minorHAnsi"/>
                <w:color w:val="FFFFFF" w:themeColor="background1"/>
              </w:rPr>
            </w:pPr>
            <w:r w:rsidRPr="00BA4F8E">
              <w:rPr>
                <w:rFonts w:cstheme="minorHAnsi"/>
                <w:color w:val="FFFFFF" w:themeColor="background1"/>
              </w:rPr>
              <w:t>54020</w:t>
            </w:r>
            <w:r w:rsidRPr="00BA4F8E">
              <w:rPr>
                <w:rFonts w:cstheme="minorHAnsi"/>
                <w:color w:val="FFFFFF" w:themeColor="background1"/>
              </w:rPr>
              <w:tab/>
              <w:t xml:space="preserve">Podíl státních rozpočtových výdajů (GBAORD) na VaV na HDP </w:t>
            </w:r>
          </w:p>
          <w:p w14:paraId="3C662126" w14:textId="77777777" w:rsidR="004854E2" w:rsidRPr="00BA4F8E" w:rsidRDefault="004854E2" w:rsidP="004854E2">
            <w:pPr>
              <w:spacing w:after="0" w:line="276" w:lineRule="auto"/>
              <w:ind w:left="700" w:hanging="700"/>
              <w:jc w:val="both"/>
              <w:rPr>
                <w:rFonts w:cstheme="minorHAnsi"/>
                <w:color w:val="FFFFFF" w:themeColor="background1"/>
              </w:rPr>
            </w:pPr>
            <w:r w:rsidRPr="00BA4F8E">
              <w:rPr>
                <w:rFonts w:cstheme="minorHAnsi"/>
                <w:color w:val="FFFFFF" w:themeColor="background1"/>
              </w:rPr>
              <w:t>54025</w:t>
            </w:r>
            <w:r w:rsidRPr="00BA4F8E">
              <w:rPr>
                <w:rFonts w:cstheme="minorHAnsi"/>
                <w:color w:val="FFFFFF" w:themeColor="background1"/>
              </w:rPr>
              <w:tab/>
              <w:t>Státní rozpočtové výdaje na VaV (GBAORD) celkem</w:t>
            </w:r>
          </w:p>
          <w:p w14:paraId="3512941C" w14:textId="77777777" w:rsidR="004854E2" w:rsidRPr="00BA4F8E" w:rsidRDefault="004854E2" w:rsidP="004854E2">
            <w:pPr>
              <w:spacing w:after="0" w:line="276" w:lineRule="auto"/>
              <w:ind w:left="700" w:hanging="700"/>
              <w:jc w:val="both"/>
              <w:rPr>
                <w:rFonts w:cstheme="minorHAnsi"/>
                <w:color w:val="FFFFFF" w:themeColor="background1"/>
              </w:rPr>
            </w:pPr>
            <w:r w:rsidRPr="00BA4F8E">
              <w:rPr>
                <w:rFonts w:cstheme="minorHAnsi"/>
                <w:color w:val="FFFFFF" w:themeColor="background1"/>
              </w:rPr>
              <w:t>54030</w:t>
            </w:r>
            <w:r w:rsidRPr="00BA4F8E">
              <w:rPr>
                <w:rFonts w:cstheme="minorHAnsi"/>
                <w:color w:val="FFFFFF" w:themeColor="background1"/>
              </w:rPr>
              <w:tab/>
              <w:t>Podíl veřejných výdajů na VaV na HDP</w:t>
            </w:r>
          </w:p>
        </w:tc>
      </w:tr>
      <w:tr w:rsidR="004854E2" w:rsidRPr="00BA4F8E" w14:paraId="7DE04355" w14:textId="77777777" w:rsidTr="00707EA2">
        <w:tc>
          <w:tcPr>
            <w:tcW w:w="4555" w:type="dxa"/>
            <w:gridSpan w:val="2"/>
            <w:shd w:val="clear" w:color="auto" w:fill="006FA0" w:themeFill="accent3" w:themeFillShade="BF"/>
          </w:tcPr>
          <w:p w14:paraId="4473F0B2" w14:textId="77777777" w:rsidR="004854E2" w:rsidRPr="00BA4F8E" w:rsidRDefault="004854E2" w:rsidP="004854E2">
            <w:pPr>
              <w:spacing w:after="0" w:line="276" w:lineRule="auto"/>
              <w:jc w:val="both"/>
              <w:rPr>
                <w:rFonts w:cstheme="minorHAnsi"/>
                <w:color w:val="FFFFFF" w:themeColor="background1"/>
              </w:rPr>
            </w:pPr>
            <w:r w:rsidRPr="00BA4F8E">
              <w:rPr>
                <w:rFonts w:cstheme="minorHAnsi"/>
                <w:color w:val="FFFFFF" w:themeColor="background1"/>
              </w:rPr>
              <w:t>B.1: Zlepšit kvalitu a problémovou orientaci výzkumu ve znalostních doménách relevantních pro inteligentní specializaci</w:t>
            </w:r>
          </w:p>
        </w:tc>
        <w:tc>
          <w:tcPr>
            <w:tcW w:w="4507" w:type="dxa"/>
            <w:gridSpan w:val="2"/>
            <w:shd w:val="clear" w:color="auto" w:fill="006FA0" w:themeFill="accent3" w:themeFillShade="BF"/>
          </w:tcPr>
          <w:p w14:paraId="2EE5BDD9" w14:textId="77777777" w:rsidR="004854E2" w:rsidRPr="00BA4F8E" w:rsidRDefault="004854E2" w:rsidP="004854E2">
            <w:pPr>
              <w:spacing w:after="0" w:line="276" w:lineRule="auto"/>
              <w:ind w:left="700" w:hanging="700"/>
              <w:jc w:val="both"/>
              <w:rPr>
                <w:rFonts w:cstheme="minorHAnsi"/>
                <w:color w:val="FFFFFF" w:themeColor="background1"/>
              </w:rPr>
            </w:pPr>
            <w:r w:rsidRPr="00BA4F8E">
              <w:rPr>
                <w:rFonts w:cstheme="minorHAnsi"/>
                <w:color w:val="FFFFFF" w:themeColor="background1"/>
              </w:rPr>
              <w:t>20110</w:t>
            </w:r>
            <w:r w:rsidRPr="00BA4F8E">
              <w:rPr>
                <w:rFonts w:cstheme="minorHAnsi"/>
                <w:color w:val="FFFFFF" w:themeColor="background1"/>
              </w:rPr>
              <w:tab/>
              <w:t>Míra úspěšnosti účastníků z ČR v mezinárodních výzkumných programech</w:t>
            </w:r>
          </w:p>
          <w:p w14:paraId="3EB0F7DD" w14:textId="77777777" w:rsidR="004854E2" w:rsidRPr="00BA4F8E" w:rsidRDefault="004854E2" w:rsidP="004854E2">
            <w:pPr>
              <w:spacing w:after="0" w:line="276" w:lineRule="auto"/>
              <w:ind w:left="700" w:hanging="700"/>
              <w:jc w:val="both"/>
              <w:rPr>
                <w:rFonts w:cstheme="minorHAnsi"/>
                <w:color w:val="FFFFFF" w:themeColor="background1"/>
              </w:rPr>
            </w:pPr>
            <w:r w:rsidRPr="00BA4F8E">
              <w:rPr>
                <w:rFonts w:cstheme="minorHAnsi"/>
                <w:color w:val="FFFFFF" w:themeColor="background1"/>
              </w:rPr>
              <w:t>20214</w:t>
            </w:r>
            <w:r w:rsidRPr="00BA4F8E">
              <w:rPr>
                <w:rFonts w:cstheme="minorHAnsi"/>
                <w:color w:val="FFFFFF" w:themeColor="background1"/>
              </w:rPr>
              <w:tab/>
              <w:t>Podíl odborných publikací (vybrané typy dokumentů) ve spoluautorství domácích a zahraničních výzkumníků</w:t>
            </w:r>
          </w:p>
          <w:p w14:paraId="26219E72" w14:textId="77777777" w:rsidR="004854E2" w:rsidRPr="00BA4F8E" w:rsidRDefault="004854E2" w:rsidP="004854E2">
            <w:pPr>
              <w:spacing w:after="0" w:line="276" w:lineRule="auto"/>
              <w:ind w:left="700" w:hanging="700"/>
              <w:jc w:val="both"/>
              <w:rPr>
                <w:rFonts w:cstheme="minorHAnsi"/>
                <w:color w:val="FFFFFF" w:themeColor="background1"/>
              </w:rPr>
            </w:pPr>
            <w:r w:rsidRPr="00BA4F8E">
              <w:rPr>
                <w:rFonts w:cstheme="minorHAnsi"/>
                <w:color w:val="FFFFFF" w:themeColor="background1"/>
              </w:rPr>
              <w:t>20300</w:t>
            </w:r>
            <w:r w:rsidRPr="00BA4F8E">
              <w:rPr>
                <w:rFonts w:cstheme="minorHAnsi"/>
                <w:color w:val="FFFFFF" w:themeColor="background1"/>
              </w:rPr>
              <w:tab/>
              <w:t>Mezinárodní projekty výzkumu a vývoje</w:t>
            </w:r>
          </w:p>
          <w:p w14:paraId="72C847FD" w14:textId="77777777" w:rsidR="004854E2" w:rsidRPr="00BA4F8E" w:rsidRDefault="004854E2" w:rsidP="004854E2">
            <w:pPr>
              <w:spacing w:after="0" w:line="276" w:lineRule="auto"/>
              <w:ind w:left="700" w:hanging="700"/>
              <w:jc w:val="both"/>
              <w:rPr>
                <w:rFonts w:cstheme="minorHAnsi"/>
                <w:color w:val="FFFFFF" w:themeColor="background1"/>
              </w:rPr>
            </w:pPr>
            <w:r w:rsidRPr="00BA4F8E">
              <w:rPr>
                <w:rFonts w:cstheme="minorHAnsi"/>
                <w:color w:val="FFFFFF" w:themeColor="background1"/>
              </w:rPr>
              <w:t>22011</w:t>
            </w:r>
            <w:r w:rsidRPr="00BA4F8E">
              <w:rPr>
                <w:rFonts w:cstheme="minorHAnsi"/>
                <w:color w:val="FFFFFF" w:themeColor="background1"/>
              </w:rPr>
              <w:tab/>
              <w:t>Mezinárodní patentové přihlášky (PCT) vytvořené podpořenými subjekty</w:t>
            </w:r>
          </w:p>
          <w:p w14:paraId="087EA72E" w14:textId="77777777" w:rsidR="004854E2" w:rsidRPr="00BA4F8E" w:rsidRDefault="004854E2" w:rsidP="004854E2">
            <w:pPr>
              <w:spacing w:after="0" w:line="276" w:lineRule="auto"/>
              <w:ind w:left="700" w:hanging="700"/>
              <w:jc w:val="both"/>
              <w:rPr>
                <w:rFonts w:cstheme="minorHAnsi"/>
                <w:color w:val="FFFFFF" w:themeColor="background1"/>
              </w:rPr>
            </w:pPr>
            <w:r w:rsidRPr="00BA4F8E">
              <w:rPr>
                <w:rFonts w:cstheme="minorHAnsi"/>
                <w:color w:val="FFFFFF" w:themeColor="background1"/>
              </w:rPr>
              <w:tab/>
            </w:r>
          </w:p>
        </w:tc>
      </w:tr>
      <w:tr w:rsidR="004854E2" w:rsidRPr="00BA4F8E" w14:paraId="2AB527A0" w14:textId="77777777" w:rsidTr="00707EA2">
        <w:tc>
          <w:tcPr>
            <w:tcW w:w="9062" w:type="dxa"/>
            <w:gridSpan w:val="4"/>
            <w:shd w:val="clear" w:color="auto" w:fill="88DBFF" w:themeFill="accent3" w:themeFillTint="66"/>
          </w:tcPr>
          <w:p w14:paraId="1F8419DA" w14:textId="18F95E62" w:rsidR="004854E2" w:rsidRPr="00BA4F8E" w:rsidRDefault="004854E2" w:rsidP="004854E2">
            <w:pPr>
              <w:spacing w:after="0" w:line="276" w:lineRule="auto"/>
              <w:jc w:val="both"/>
              <w:rPr>
                <w:rFonts w:cstheme="minorHAnsi"/>
                <w:b/>
              </w:rPr>
            </w:pPr>
            <w:r w:rsidRPr="00BA4F8E">
              <w:rPr>
                <w:rFonts w:cstheme="minorHAnsi"/>
                <w:b/>
              </w:rPr>
              <w:t>Strategický cíl B.1: Zlepšit kvalitu a problémovou orientaci výzkumu ve znalostních doménách relevantních pro inteligentní specializaci</w:t>
            </w:r>
          </w:p>
          <w:p w14:paraId="29E09158" w14:textId="77777777" w:rsidR="004854E2" w:rsidRPr="00BA4F8E" w:rsidRDefault="004854E2" w:rsidP="004854E2">
            <w:pPr>
              <w:spacing w:after="0" w:line="276" w:lineRule="auto"/>
              <w:jc w:val="both"/>
              <w:rPr>
                <w:rFonts w:cstheme="minorHAnsi"/>
              </w:rPr>
            </w:pPr>
            <w:r w:rsidRPr="00BA4F8E">
              <w:rPr>
                <w:rFonts w:cstheme="minorHAnsi"/>
              </w:rPr>
              <w:t>Zlepšení kvality výzkumu ve znalostních doménách, které jsou klíčové pro posílení inteligentní specializace, je nezbytnou podmínkou pro dlouhodobou konkurenceschopnost ČR. K tomu je potřeba – kromě samotné identifikace znalostních domén – zajistit příznivé a stabilní podmínky pro jejich další rozvoj v podobě dlouhodobého financování excelentních týmů (včetně týmů dislokovaných v Praze) s důrazem na problémovou orientaci výzkumu, a dále zajistit kvalitní výzkumné infrastruktury. Dále je v zájmu zvyšování kvality nutné posílit otevřenost výzkumného prostředí v ČR (aktivní opatření proti in-breedingu) napojením na mezinárodní výzkumnou obec prostřednictvím mezinárodních strategických partnerství, podporou mezinárodní spolupráce ve VaV a podporou obousměrné mezinárodní mobility.</w:t>
            </w:r>
          </w:p>
          <w:p w14:paraId="2734ABF2" w14:textId="2A393864" w:rsidR="004854E2" w:rsidRPr="00BA4F8E" w:rsidRDefault="004854E2" w:rsidP="002471C6">
            <w:pPr>
              <w:spacing w:after="0" w:line="276" w:lineRule="auto"/>
              <w:jc w:val="both"/>
              <w:rPr>
                <w:rFonts w:cstheme="minorHAnsi"/>
              </w:rPr>
            </w:pPr>
            <w:r w:rsidRPr="00BA4F8E">
              <w:rPr>
                <w:rFonts w:cstheme="minorHAnsi"/>
              </w:rPr>
              <w:t>Zlepšení podmínek pro rozvoj kvalitních výzkumných pracovišť v oborech relevantních pro inteligentní specializaci se projeví intenzivnějším zapojováním do mezinárodní výzkumné spolupráce (v podobě větší úspěšnosti v získávání mezinárodních grantů, zapojování do mezinárodních projektů výzkumných infrastruktur, mezinárodní patentovou aktivitou), a v důsledku i rostoucím počtem a</w:t>
            </w:r>
            <w:r w:rsidR="002471C6">
              <w:rPr>
                <w:rFonts w:cstheme="minorHAnsi"/>
              </w:rPr>
              <w:t> </w:t>
            </w:r>
            <w:r w:rsidRPr="00BA4F8E">
              <w:rPr>
                <w:rFonts w:cstheme="minorHAnsi"/>
              </w:rPr>
              <w:t>podílem zahraničních výzkumníků a výzkumníků, kteří graduovali v zahraničí a působí v ČR.</w:t>
            </w:r>
          </w:p>
        </w:tc>
      </w:tr>
      <w:tr w:rsidR="004854E2" w:rsidRPr="00BA4F8E" w14:paraId="2D2F6836" w14:textId="77777777" w:rsidTr="00707EA2">
        <w:tc>
          <w:tcPr>
            <w:tcW w:w="2288" w:type="dxa"/>
            <w:shd w:val="clear" w:color="auto" w:fill="C3EDFF" w:themeFill="accent3" w:themeFillTint="33"/>
          </w:tcPr>
          <w:p w14:paraId="02BDEE42" w14:textId="77777777" w:rsidR="004854E2" w:rsidRPr="00BA4F8E" w:rsidRDefault="004854E2" w:rsidP="004854E2">
            <w:pPr>
              <w:spacing w:after="0" w:line="276" w:lineRule="auto"/>
              <w:jc w:val="both"/>
              <w:rPr>
                <w:rFonts w:cstheme="minorHAnsi"/>
                <w:b/>
                <w:i/>
              </w:rPr>
            </w:pPr>
            <w:r w:rsidRPr="00BA4F8E">
              <w:rPr>
                <w:rFonts w:cstheme="minorHAnsi"/>
                <w:b/>
                <w:i/>
              </w:rPr>
              <w:t xml:space="preserve">Specifické cíle  </w:t>
            </w:r>
          </w:p>
        </w:tc>
        <w:tc>
          <w:tcPr>
            <w:tcW w:w="2960" w:type="dxa"/>
            <w:gridSpan w:val="2"/>
            <w:shd w:val="clear" w:color="auto" w:fill="C3EDFF" w:themeFill="accent3" w:themeFillTint="33"/>
          </w:tcPr>
          <w:p w14:paraId="4B6A183E" w14:textId="77777777" w:rsidR="004854E2" w:rsidRPr="00BA4F8E" w:rsidRDefault="004854E2" w:rsidP="004854E2">
            <w:pPr>
              <w:spacing w:after="0" w:line="276" w:lineRule="auto"/>
              <w:jc w:val="both"/>
              <w:rPr>
                <w:rFonts w:cstheme="minorHAnsi"/>
                <w:b/>
                <w:i/>
              </w:rPr>
            </w:pPr>
            <w:r w:rsidRPr="00BA4F8E">
              <w:rPr>
                <w:rFonts w:cstheme="minorHAnsi"/>
                <w:b/>
                <w:i/>
              </w:rPr>
              <w:t>Indikátory specifického cíle</w:t>
            </w:r>
          </w:p>
        </w:tc>
        <w:tc>
          <w:tcPr>
            <w:tcW w:w="3814" w:type="dxa"/>
            <w:shd w:val="clear" w:color="auto" w:fill="C3EDFF" w:themeFill="accent3" w:themeFillTint="33"/>
          </w:tcPr>
          <w:p w14:paraId="4030DA31" w14:textId="77777777" w:rsidR="004854E2" w:rsidRPr="00BA4F8E" w:rsidRDefault="004854E2" w:rsidP="004854E2">
            <w:pPr>
              <w:spacing w:after="0" w:line="276" w:lineRule="auto"/>
              <w:jc w:val="both"/>
              <w:rPr>
                <w:rFonts w:cstheme="minorHAnsi"/>
                <w:b/>
                <w:i/>
              </w:rPr>
            </w:pPr>
            <w:r w:rsidRPr="00BA4F8E">
              <w:rPr>
                <w:rFonts w:cstheme="minorHAnsi"/>
                <w:b/>
                <w:i/>
              </w:rPr>
              <w:t>Typové aktivity/projekty/operace</w:t>
            </w:r>
          </w:p>
        </w:tc>
      </w:tr>
      <w:tr w:rsidR="00707EA2" w:rsidRPr="00BA4F8E" w14:paraId="5652C68E" w14:textId="77777777" w:rsidTr="00707EA2">
        <w:trPr>
          <w:trHeight w:val="1935"/>
        </w:trPr>
        <w:tc>
          <w:tcPr>
            <w:tcW w:w="2288" w:type="dxa"/>
            <w:vMerge w:val="restart"/>
            <w:shd w:val="clear" w:color="auto" w:fill="C3EDFF" w:themeFill="accent3" w:themeFillTint="33"/>
          </w:tcPr>
          <w:p w14:paraId="0EBDB45D" w14:textId="77777777" w:rsidR="00707EA2" w:rsidRPr="00BA4F8E" w:rsidRDefault="00707EA2" w:rsidP="004854E2">
            <w:pPr>
              <w:spacing w:after="0" w:line="276" w:lineRule="auto"/>
              <w:jc w:val="both"/>
              <w:rPr>
                <w:rFonts w:cstheme="minorHAnsi"/>
              </w:rPr>
            </w:pPr>
            <w:r w:rsidRPr="00BA4F8E">
              <w:rPr>
                <w:rFonts w:cstheme="minorHAnsi"/>
                <w:b/>
              </w:rPr>
              <w:t>B.1.1: Zajistit stabilní podmínky pro dlouhodobý rozvoj kvalitních výzkumných pracovišť</w:t>
            </w:r>
          </w:p>
        </w:tc>
        <w:tc>
          <w:tcPr>
            <w:tcW w:w="2960" w:type="dxa"/>
            <w:gridSpan w:val="2"/>
            <w:vMerge w:val="restart"/>
            <w:shd w:val="clear" w:color="auto" w:fill="C3EDFF" w:themeFill="accent3" w:themeFillTint="33"/>
          </w:tcPr>
          <w:p w14:paraId="1EBD17F9" w14:textId="77777777" w:rsidR="00707EA2" w:rsidRPr="00BA4F8E" w:rsidRDefault="00707EA2" w:rsidP="004854E2">
            <w:pPr>
              <w:spacing w:after="0" w:line="276" w:lineRule="auto"/>
              <w:ind w:left="700" w:hanging="700"/>
              <w:rPr>
                <w:rFonts w:cstheme="minorHAnsi"/>
              </w:rPr>
            </w:pPr>
            <w:r w:rsidRPr="00BA4F8E">
              <w:rPr>
                <w:rFonts w:cstheme="minorHAnsi"/>
              </w:rPr>
              <w:t>20400</w:t>
            </w:r>
            <w:r w:rsidRPr="00BA4F8E">
              <w:rPr>
                <w:rFonts w:cstheme="minorHAnsi"/>
              </w:rPr>
              <w:tab/>
              <w:t>Počet nových výzkumných pracovníků v podporovaných subjektech</w:t>
            </w:r>
          </w:p>
          <w:p w14:paraId="574D6A2C" w14:textId="77777777" w:rsidR="00707EA2" w:rsidRPr="00BA4F8E" w:rsidRDefault="00707EA2" w:rsidP="004854E2">
            <w:pPr>
              <w:spacing w:after="0" w:line="276" w:lineRule="auto"/>
              <w:ind w:left="700" w:hanging="700"/>
              <w:rPr>
                <w:rFonts w:cstheme="minorHAnsi"/>
              </w:rPr>
            </w:pPr>
            <w:r w:rsidRPr="00BA4F8E">
              <w:rPr>
                <w:rFonts w:cstheme="minorHAnsi"/>
              </w:rPr>
              <w:lastRenderedPageBreak/>
              <w:t>20500</w:t>
            </w:r>
            <w:r w:rsidRPr="00BA4F8E">
              <w:rPr>
                <w:rFonts w:cstheme="minorHAnsi"/>
              </w:rPr>
              <w:tab/>
              <w:t>Počet výzkumných pracovníků, kteří pracují v modernizovaných výzkumných infrastrukturách</w:t>
            </w:r>
          </w:p>
          <w:p w14:paraId="4FEEF519" w14:textId="77777777" w:rsidR="00707EA2" w:rsidRPr="00BA4F8E" w:rsidRDefault="00707EA2" w:rsidP="004854E2">
            <w:pPr>
              <w:spacing w:after="0" w:line="276" w:lineRule="auto"/>
              <w:ind w:left="700" w:hanging="700"/>
              <w:rPr>
                <w:rFonts w:cstheme="minorHAnsi"/>
              </w:rPr>
            </w:pPr>
            <w:r w:rsidRPr="00BA4F8E">
              <w:rPr>
                <w:rFonts w:cstheme="minorHAnsi"/>
              </w:rPr>
              <w:t>21510</w:t>
            </w:r>
            <w:r w:rsidRPr="00BA4F8E">
              <w:rPr>
                <w:rFonts w:cstheme="minorHAnsi"/>
              </w:rPr>
              <w:tab/>
              <w:t>Implementované nové produkty strategického řízení VaVaI</w:t>
            </w:r>
          </w:p>
          <w:p w14:paraId="1D3D9521" w14:textId="77777777" w:rsidR="00707EA2" w:rsidRPr="00BA4F8E" w:rsidRDefault="00707EA2" w:rsidP="004854E2">
            <w:pPr>
              <w:spacing w:after="0" w:line="276" w:lineRule="auto"/>
              <w:ind w:left="700" w:hanging="700"/>
              <w:rPr>
                <w:rFonts w:cstheme="minorHAnsi"/>
              </w:rPr>
            </w:pPr>
            <w:r w:rsidRPr="00BA4F8E">
              <w:rPr>
                <w:rFonts w:cstheme="minorHAnsi"/>
              </w:rPr>
              <w:t>24000</w:t>
            </w:r>
            <w:r w:rsidRPr="00BA4F8E">
              <w:rPr>
                <w:rFonts w:cstheme="minorHAnsi"/>
              </w:rPr>
              <w:tab/>
              <w:t xml:space="preserve">Počet nově vybudovaných, rozšířených či modernizovaných výzkumných infrastruktur a center excelence </w:t>
            </w:r>
          </w:p>
          <w:p w14:paraId="5E8ECCAE" w14:textId="77777777" w:rsidR="00707EA2" w:rsidRPr="00BA4F8E" w:rsidRDefault="00707EA2" w:rsidP="004854E2">
            <w:pPr>
              <w:spacing w:after="0" w:line="276" w:lineRule="auto"/>
              <w:ind w:left="700" w:hanging="700"/>
              <w:rPr>
                <w:rFonts w:cstheme="minorHAnsi"/>
              </w:rPr>
            </w:pPr>
            <w:r w:rsidRPr="00BA4F8E">
              <w:rPr>
                <w:rFonts w:cstheme="minorHAnsi"/>
              </w:rPr>
              <w:t>46601</w:t>
            </w:r>
            <w:r w:rsidRPr="00BA4F8E">
              <w:rPr>
                <w:rFonts w:cstheme="minorHAnsi"/>
              </w:rPr>
              <w:tab/>
              <w:t>Rozšířené, zrekonstruované nebo nově vybudované kapacity bez záboru zemědělského půdního fondu</w:t>
            </w:r>
          </w:p>
          <w:p w14:paraId="274F2A2C" w14:textId="77777777" w:rsidR="00707EA2" w:rsidRPr="00BA4F8E" w:rsidRDefault="00707EA2" w:rsidP="004854E2">
            <w:pPr>
              <w:spacing w:after="0" w:line="276" w:lineRule="auto"/>
              <w:ind w:left="700" w:hanging="700"/>
              <w:rPr>
                <w:rFonts w:cstheme="minorHAnsi"/>
              </w:rPr>
            </w:pPr>
            <w:r w:rsidRPr="00BA4F8E">
              <w:rPr>
                <w:rFonts w:cstheme="minorHAnsi"/>
              </w:rPr>
              <w:t>52701</w:t>
            </w:r>
            <w:r w:rsidRPr="00BA4F8E">
              <w:rPr>
                <w:rFonts w:cstheme="minorHAnsi"/>
              </w:rPr>
              <w:tab/>
              <w:t>Počet nově vybudovaných, rozšířených či modernizovaných infrastruktur pro výzkumně zaměřené studijní programy</w:t>
            </w:r>
          </w:p>
          <w:p w14:paraId="2311903C" w14:textId="77777777" w:rsidR="00707EA2" w:rsidRPr="00BA4F8E" w:rsidRDefault="00707EA2" w:rsidP="004854E2">
            <w:pPr>
              <w:spacing w:after="0" w:line="276" w:lineRule="auto"/>
              <w:ind w:left="700" w:hanging="700"/>
              <w:rPr>
                <w:rFonts w:cstheme="minorHAnsi"/>
              </w:rPr>
            </w:pPr>
            <w:r w:rsidRPr="00BA4F8E">
              <w:rPr>
                <w:rFonts w:cstheme="minorHAnsi"/>
              </w:rPr>
              <w:t>52730</w:t>
            </w:r>
            <w:r w:rsidRPr="00BA4F8E">
              <w:rPr>
                <w:rFonts w:cstheme="minorHAnsi"/>
              </w:rPr>
              <w:tab/>
              <w:t>Podíl studentů doktorského studia využívajících infrastrukturu na VŠ</w:t>
            </w:r>
          </w:p>
          <w:p w14:paraId="73D714C0" w14:textId="77777777" w:rsidR="00707EA2" w:rsidRPr="00BA4F8E" w:rsidRDefault="00707EA2" w:rsidP="004854E2">
            <w:pPr>
              <w:spacing w:after="0" w:line="276" w:lineRule="auto"/>
              <w:ind w:left="700" w:hanging="700"/>
              <w:rPr>
                <w:rFonts w:cstheme="minorHAnsi"/>
              </w:rPr>
            </w:pPr>
            <w:r w:rsidRPr="00BA4F8E">
              <w:rPr>
                <w:rFonts w:cstheme="minorHAnsi"/>
              </w:rPr>
              <w:t>54501</w:t>
            </w:r>
            <w:r w:rsidRPr="00BA4F8E">
              <w:rPr>
                <w:rFonts w:cstheme="minorHAnsi"/>
              </w:rPr>
              <w:tab/>
              <w:t>Počet studentů, kteří využívají nově vybudovanou, rozšířenou či modernizovanou infrastrukturu pro výzkumně zaměřené studijní programy</w:t>
            </w:r>
          </w:p>
        </w:tc>
        <w:tc>
          <w:tcPr>
            <w:tcW w:w="3814" w:type="dxa"/>
            <w:shd w:val="clear" w:color="auto" w:fill="C3EDFF" w:themeFill="accent3" w:themeFillTint="33"/>
          </w:tcPr>
          <w:p w14:paraId="1D440A7B" w14:textId="77777777" w:rsidR="00707EA2" w:rsidRPr="00BA4F8E" w:rsidRDefault="00707EA2" w:rsidP="004854E2">
            <w:pPr>
              <w:spacing w:after="0" w:line="276" w:lineRule="auto"/>
              <w:jc w:val="both"/>
              <w:rPr>
                <w:rFonts w:cstheme="minorHAnsi"/>
              </w:rPr>
            </w:pPr>
            <w:r w:rsidRPr="00BA4F8E">
              <w:rPr>
                <w:rFonts w:cstheme="minorHAnsi"/>
                <w:i/>
              </w:rPr>
              <w:lastRenderedPageBreak/>
              <w:t xml:space="preserve">Upgrade strategicky významných výzkumných infrastruktur a infrastruktur vybudovaných ze strukturálních fondů EU (zejm. z OP VaVpI a infrastruktur zahrnutých do Cestovní mapy </w:t>
            </w:r>
            <w:r w:rsidRPr="00BA4F8E">
              <w:rPr>
                <w:i/>
              </w:rPr>
              <w:t xml:space="preserve">ČR velkých infrastruktur pro výzkum, </w:t>
            </w:r>
            <w:r w:rsidRPr="00BA4F8E">
              <w:rPr>
                <w:i/>
              </w:rPr>
              <w:lastRenderedPageBreak/>
              <w:t>experimentální výzkum a inovace</w:t>
            </w:r>
            <w:r w:rsidRPr="00BA4F8E">
              <w:rPr>
                <w:i/>
                <w:vertAlign w:val="superscript"/>
              </w:rPr>
              <w:footnoteReference w:id="93"/>
            </w:r>
            <w:r w:rsidRPr="00BA4F8E">
              <w:rPr>
                <w:rFonts w:cstheme="minorHAnsi"/>
                <w:i/>
              </w:rPr>
              <w:t>), včetně zajištění dlouhodobě stabilního financování a podpůrných služeb (technický personál) pro potřeby open access. V případě projektu ELI Beamlines dostavba infrastruktury (v rámci rozfázování projektu).</w:t>
            </w:r>
          </w:p>
        </w:tc>
      </w:tr>
      <w:tr w:rsidR="00707EA2" w:rsidRPr="00BA4F8E" w14:paraId="2C8DDEFB" w14:textId="77777777" w:rsidTr="00707EA2">
        <w:trPr>
          <w:trHeight w:val="826"/>
        </w:trPr>
        <w:tc>
          <w:tcPr>
            <w:tcW w:w="2288" w:type="dxa"/>
            <w:vMerge/>
            <w:shd w:val="clear" w:color="auto" w:fill="C3EDFF" w:themeFill="accent3" w:themeFillTint="33"/>
          </w:tcPr>
          <w:p w14:paraId="4098266E"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28071291" w14:textId="77777777" w:rsidR="00707EA2" w:rsidRPr="00BA4F8E" w:rsidRDefault="00707EA2" w:rsidP="004854E2">
            <w:pPr>
              <w:spacing w:after="0" w:line="276" w:lineRule="auto"/>
              <w:jc w:val="both"/>
              <w:rPr>
                <w:rFonts w:cstheme="minorHAnsi"/>
              </w:rPr>
            </w:pPr>
          </w:p>
        </w:tc>
        <w:tc>
          <w:tcPr>
            <w:tcW w:w="3814" w:type="dxa"/>
            <w:shd w:val="clear" w:color="auto" w:fill="C3EDFF" w:themeFill="accent3" w:themeFillTint="33"/>
          </w:tcPr>
          <w:p w14:paraId="32601EE4" w14:textId="77777777" w:rsidR="00707EA2" w:rsidRPr="00BA4F8E" w:rsidRDefault="00707EA2" w:rsidP="004854E2">
            <w:pPr>
              <w:spacing w:after="0" w:line="276" w:lineRule="auto"/>
              <w:jc w:val="both"/>
              <w:rPr>
                <w:rFonts w:cstheme="minorHAnsi"/>
                <w:i/>
              </w:rPr>
            </w:pPr>
            <w:r w:rsidRPr="00BA4F8E">
              <w:rPr>
                <w:rFonts w:cstheme="minorHAnsi"/>
                <w:i/>
              </w:rPr>
              <w:t>Zkvalitnění infrastrukturních podmínek VŠ a ústavů AV ČR, které spolupracují na výzkumně orientovaných studijních programech relevantních pro RIS3.</w:t>
            </w:r>
          </w:p>
        </w:tc>
      </w:tr>
      <w:tr w:rsidR="00707EA2" w:rsidRPr="00BA4F8E" w14:paraId="427873BD" w14:textId="77777777" w:rsidTr="00707EA2">
        <w:trPr>
          <w:trHeight w:val="826"/>
        </w:trPr>
        <w:tc>
          <w:tcPr>
            <w:tcW w:w="2288" w:type="dxa"/>
            <w:vMerge/>
            <w:shd w:val="clear" w:color="auto" w:fill="C3EDFF" w:themeFill="accent3" w:themeFillTint="33"/>
          </w:tcPr>
          <w:p w14:paraId="59B007F7"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512E8531" w14:textId="77777777" w:rsidR="00707EA2" w:rsidRPr="00BA4F8E" w:rsidRDefault="00707EA2" w:rsidP="004854E2">
            <w:pPr>
              <w:spacing w:after="0" w:line="276" w:lineRule="auto"/>
              <w:jc w:val="both"/>
              <w:rPr>
                <w:rFonts w:cstheme="minorHAnsi"/>
              </w:rPr>
            </w:pPr>
          </w:p>
        </w:tc>
        <w:tc>
          <w:tcPr>
            <w:tcW w:w="3814" w:type="dxa"/>
            <w:shd w:val="clear" w:color="auto" w:fill="C3EDFF" w:themeFill="accent3" w:themeFillTint="33"/>
          </w:tcPr>
          <w:p w14:paraId="00B88950" w14:textId="23C6264F" w:rsidR="00707EA2" w:rsidRPr="00BA4F8E" w:rsidRDefault="00707EA2" w:rsidP="007505F8">
            <w:pPr>
              <w:spacing w:after="0" w:line="276" w:lineRule="auto"/>
              <w:jc w:val="both"/>
              <w:rPr>
                <w:rFonts w:cstheme="minorHAnsi"/>
                <w:i/>
              </w:rPr>
            </w:pPr>
            <w:r w:rsidRPr="00BA4F8E">
              <w:rPr>
                <w:rFonts w:cstheme="minorHAnsi"/>
                <w:i/>
              </w:rPr>
              <w:t>Specificky podpořit modernizaci a</w:t>
            </w:r>
            <w:r>
              <w:rPr>
                <w:rFonts w:cstheme="minorHAnsi"/>
                <w:i/>
              </w:rPr>
              <w:t> </w:t>
            </w:r>
            <w:r w:rsidRPr="00BA4F8E">
              <w:rPr>
                <w:rFonts w:cstheme="minorHAnsi"/>
                <w:i/>
              </w:rPr>
              <w:t xml:space="preserve">dobudování výzkumných infrastruktur VŠ a ústavů AV ČR v Praze ve výzkumných organizacích klíčových pro implementaci RIS3. </w:t>
            </w:r>
          </w:p>
        </w:tc>
      </w:tr>
      <w:tr w:rsidR="00707EA2" w:rsidRPr="00BA4F8E" w14:paraId="0B37E2C9" w14:textId="77777777" w:rsidTr="00707EA2">
        <w:trPr>
          <w:trHeight w:val="826"/>
        </w:trPr>
        <w:tc>
          <w:tcPr>
            <w:tcW w:w="2288" w:type="dxa"/>
            <w:vMerge/>
            <w:shd w:val="clear" w:color="auto" w:fill="C3EDFF" w:themeFill="accent3" w:themeFillTint="33"/>
          </w:tcPr>
          <w:p w14:paraId="21FD03E9"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028BD651" w14:textId="77777777" w:rsidR="00707EA2" w:rsidRPr="00BA4F8E" w:rsidRDefault="00707EA2" w:rsidP="004854E2">
            <w:pPr>
              <w:spacing w:after="0" w:line="276" w:lineRule="auto"/>
              <w:jc w:val="both"/>
              <w:rPr>
                <w:rFonts w:cstheme="minorHAnsi"/>
              </w:rPr>
            </w:pPr>
          </w:p>
        </w:tc>
        <w:tc>
          <w:tcPr>
            <w:tcW w:w="3814" w:type="dxa"/>
            <w:shd w:val="clear" w:color="auto" w:fill="C3EDFF" w:themeFill="accent3" w:themeFillTint="33"/>
          </w:tcPr>
          <w:p w14:paraId="49A99EA4" w14:textId="47424AE3" w:rsidR="00707EA2" w:rsidRPr="00707EA2" w:rsidRDefault="00707EA2" w:rsidP="007F2964">
            <w:pPr>
              <w:spacing w:after="0" w:line="276" w:lineRule="auto"/>
              <w:jc w:val="both"/>
              <w:rPr>
                <w:rFonts w:cstheme="minorHAnsi"/>
                <w:i/>
              </w:rPr>
            </w:pPr>
            <w:r w:rsidRPr="00707EA2">
              <w:rPr>
                <w:rFonts w:cstheme="minorHAnsi"/>
                <w:i/>
              </w:rPr>
              <w:t>Podpora přístupu k informačním zdrojům VaV, odborným publikacím a datovým zdrojům (</w:t>
            </w:r>
            <w:r w:rsidRPr="00707EA2">
              <w:rPr>
                <w:i/>
              </w:rPr>
              <w:t>časopisy, e-knihy, bibliografické a scientometrické databáze apod.), včetně volného přístupu k výsledkům (úložiště dat a informací).</w:t>
            </w:r>
          </w:p>
        </w:tc>
      </w:tr>
      <w:tr w:rsidR="00707EA2" w:rsidRPr="00BA4F8E" w14:paraId="2D2B7AD2" w14:textId="77777777" w:rsidTr="00707EA2">
        <w:trPr>
          <w:trHeight w:val="945"/>
        </w:trPr>
        <w:tc>
          <w:tcPr>
            <w:tcW w:w="2288" w:type="dxa"/>
            <w:vMerge/>
            <w:shd w:val="clear" w:color="auto" w:fill="C3EDFF" w:themeFill="accent3" w:themeFillTint="33"/>
          </w:tcPr>
          <w:p w14:paraId="7A03DE08"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0169CEC6" w14:textId="77777777" w:rsidR="00707EA2" w:rsidRPr="00BA4F8E" w:rsidRDefault="00707EA2" w:rsidP="004854E2">
            <w:pPr>
              <w:spacing w:after="0" w:line="276" w:lineRule="auto"/>
              <w:jc w:val="both"/>
              <w:rPr>
                <w:rFonts w:cstheme="minorHAnsi"/>
              </w:rPr>
            </w:pPr>
          </w:p>
        </w:tc>
        <w:tc>
          <w:tcPr>
            <w:tcW w:w="3814" w:type="dxa"/>
            <w:shd w:val="clear" w:color="auto" w:fill="C3EDFF" w:themeFill="accent3" w:themeFillTint="33"/>
          </w:tcPr>
          <w:p w14:paraId="532E2AC4" w14:textId="2F247D39" w:rsidR="00707EA2" w:rsidRPr="00707EA2" w:rsidRDefault="00707EA2" w:rsidP="00707EA2">
            <w:pPr>
              <w:spacing w:after="0" w:line="276" w:lineRule="auto"/>
              <w:jc w:val="both"/>
              <w:rPr>
                <w:rFonts w:cstheme="minorHAnsi"/>
                <w:i/>
              </w:rPr>
            </w:pPr>
            <w:r w:rsidRPr="00707EA2">
              <w:rPr>
                <w:rFonts w:cstheme="minorHAnsi"/>
                <w:i/>
              </w:rPr>
              <w:t>Podpora získání a udržení klíčových výzkumných pracovníků v excelentních výzkumných týmech.</w:t>
            </w:r>
          </w:p>
        </w:tc>
      </w:tr>
      <w:tr w:rsidR="00707EA2" w:rsidRPr="00BA4F8E" w14:paraId="2D45C4B6" w14:textId="77777777" w:rsidTr="00707EA2">
        <w:trPr>
          <w:trHeight w:val="1265"/>
        </w:trPr>
        <w:tc>
          <w:tcPr>
            <w:tcW w:w="2288" w:type="dxa"/>
            <w:vMerge/>
            <w:shd w:val="clear" w:color="auto" w:fill="C3EDFF" w:themeFill="accent3" w:themeFillTint="33"/>
          </w:tcPr>
          <w:p w14:paraId="5458A8F0"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6855EBFB" w14:textId="77777777" w:rsidR="00707EA2" w:rsidRPr="00BA4F8E" w:rsidRDefault="00707EA2" w:rsidP="004854E2">
            <w:pPr>
              <w:spacing w:after="0" w:line="276" w:lineRule="auto"/>
              <w:jc w:val="both"/>
              <w:rPr>
                <w:rFonts w:cstheme="minorHAnsi"/>
              </w:rPr>
            </w:pPr>
          </w:p>
        </w:tc>
        <w:tc>
          <w:tcPr>
            <w:tcW w:w="3814" w:type="dxa"/>
            <w:shd w:val="clear" w:color="auto" w:fill="C3EDFF" w:themeFill="accent3" w:themeFillTint="33"/>
          </w:tcPr>
          <w:p w14:paraId="434AF27F" w14:textId="2A2EEC81" w:rsidR="00707EA2" w:rsidRPr="00707EA2" w:rsidRDefault="00707EA2" w:rsidP="004854E2">
            <w:pPr>
              <w:spacing w:after="0" w:line="276" w:lineRule="auto"/>
              <w:jc w:val="both"/>
              <w:rPr>
                <w:rFonts w:cstheme="minorHAnsi"/>
                <w:i/>
              </w:rPr>
            </w:pPr>
            <w:r w:rsidRPr="00707EA2">
              <w:rPr>
                <w:rFonts w:cstheme="minorHAnsi"/>
                <w:i/>
              </w:rPr>
              <w:t>Využít know-how a zkušeností klastrových organizací pro směrování výzkumných činností a výsledků směrem k rychlému uplatnění v průmyslu.</w:t>
            </w:r>
          </w:p>
        </w:tc>
      </w:tr>
      <w:tr w:rsidR="00707EA2" w:rsidRPr="00BA4F8E" w14:paraId="73CFCCB5" w14:textId="77777777" w:rsidTr="00707EA2">
        <w:trPr>
          <w:trHeight w:val="1265"/>
        </w:trPr>
        <w:tc>
          <w:tcPr>
            <w:tcW w:w="2288" w:type="dxa"/>
            <w:vMerge/>
            <w:shd w:val="clear" w:color="auto" w:fill="C3EDFF" w:themeFill="accent3" w:themeFillTint="33"/>
          </w:tcPr>
          <w:p w14:paraId="7691A026"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4BB9BD2D" w14:textId="77777777" w:rsidR="00707EA2" w:rsidRPr="00BA4F8E" w:rsidRDefault="00707EA2" w:rsidP="004854E2">
            <w:pPr>
              <w:spacing w:after="0" w:line="276" w:lineRule="auto"/>
              <w:jc w:val="both"/>
              <w:rPr>
                <w:rFonts w:cstheme="minorHAnsi"/>
              </w:rPr>
            </w:pPr>
          </w:p>
        </w:tc>
        <w:tc>
          <w:tcPr>
            <w:tcW w:w="3814" w:type="dxa"/>
            <w:shd w:val="clear" w:color="auto" w:fill="C3EDFF" w:themeFill="accent3" w:themeFillTint="33"/>
          </w:tcPr>
          <w:p w14:paraId="2F9B4C6D" w14:textId="2225580C" w:rsidR="00707EA2" w:rsidRPr="00707EA2" w:rsidRDefault="00707EA2" w:rsidP="004854E2">
            <w:pPr>
              <w:spacing w:after="0" w:line="276" w:lineRule="auto"/>
              <w:jc w:val="both"/>
              <w:rPr>
                <w:rFonts w:cstheme="minorHAnsi"/>
                <w:i/>
              </w:rPr>
            </w:pPr>
            <w:r w:rsidRPr="00707EA2">
              <w:rPr>
                <w:rFonts w:cstheme="minorHAnsi"/>
                <w:i/>
              </w:rPr>
              <w:t>Zajištění zařazování stávajících center klíčových technologií mezi Evropská excelentní centra KET</w:t>
            </w:r>
          </w:p>
        </w:tc>
      </w:tr>
      <w:tr w:rsidR="00707EA2" w:rsidRPr="00BA4F8E" w14:paraId="3E6C3174" w14:textId="77777777" w:rsidTr="00707EA2">
        <w:trPr>
          <w:trHeight w:val="727"/>
        </w:trPr>
        <w:tc>
          <w:tcPr>
            <w:tcW w:w="2288" w:type="dxa"/>
            <w:vMerge w:val="restart"/>
            <w:shd w:val="clear" w:color="auto" w:fill="C3EDFF" w:themeFill="accent3" w:themeFillTint="33"/>
          </w:tcPr>
          <w:p w14:paraId="78139284" w14:textId="77777777" w:rsidR="00707EA2" w:rsidRPr="00BA4F8E" w:rsidRDefault="00707EA2" w:rsidP="004854E2">
            <w:pPr>
              <w:spacing w:after="0" w:line="276" w:lineRule="auto"/>
              <w:jc w:val="both"/>
              <w:rPr>
                <w:rFonts w:cstheme="minorHAnsi"/>
                <w:b/>
              </w:rPr>
            </w:pPr>
            <w:r w:rsidRPr="00BA4F8E">
              <w:rPr>
                <w:rFonts w:cstheme="minorHAnsi"/>
                <w:b/>
              </w:rPr>
              <w:lastRenderedPageBreak/>
              <w:t xml:space="preserve">B.1.2: Zvýšit mezinárodní otevřenost veřejného výzkumu v ČR </w:t>
            </w:r>
          </w:p>
        </w:tc>
        <w:tc>
          <w:tcPr>
            <w:tcW w:w="2960" w:type="dxa"/>
            <w:gridSpan w:val="2"/>
            <w:vMerge w:val="restart"/>
            <w:shd w:val="clear" w:color="auto" w:fill="C3EDFF" w:themeFill="accent3" w:themeFillTint="33"/>
          </w:tcPr>
          <w:p w14:paraId="21E8D60E" w14:textId="77777777" w:rsidR="00707EA2" w:rsidRPr="00BA4F8E" w:rsidRDefault="00707EA2" w:rsidP="004854E2">
            <w:pPr>
              <w:spacing w:after="0" w:line="276" w:lineRule="auto"/>
              <w:ind w:left="700" w:hanging="700"/>
              <w:rPr>
                <w:rFonts w:cstheme="minorHAnsi"/>
              </w:rPr>
            </w:pPr>
            <w:r w:rsidRPr="00BA4F8E">
              <w:rPr>
                <w:rFonts w:cstheme="minorHAnsi"/>
              </w:rPr>
              <w:t>20312</w:t>
            </w:r>
            <w:r w:rsidRPr="00BA4F8E">
              <w:rPr>
                <w:rFonts w:cstheme="minorHAnsi"/>
              </w:rPr>
              <w:tab/>
              <w:t>Počet účastí podpořených výzkumných týmů realizovaných v programech mezinárodní spolupráce</w:t>
            </w:r>
          </w:p>
          <w:p w14:paraId="7C68938D" w14:textId="77777777" w:rsidR="00707EA2" w:rsidRPr="00BA4F8E" w:rsidRDefault="00707EA2" w:rsidP="004854E2">
            <w:pPr>
              <w:spacing w:after="0" w:line="276" w:lineRule="auto"/>
              <w:ind w:left="700" w:hanging="700"/>
              <w:rPr>
                <w:rFonts w:cstheme="minorHAnsi"/>
              </w:rPr>
            </w:pPr>
            <w:r w:rsidRPr="00BA4F8E">
              <w:rPr>
                <w:rFonts w:cstheme="minorHAnsi"/>
              </w:rPr>
              <w:t>20403</w:t>
            </w:r>
            <w:r w:rsidRPr="00BA4F8E">
              <w:rPr>
                <w:rFonts w:cstheme="minorHAnsi"/>
              </w:rPr>
              <w:tab/>
              <w:t>Počet služeb poskytovanými nově příchozími pracovníky ze zahraničí</w:t>
            </w:r>
          </w:p>
          <w:p w14:paraId="52F17877" w14:textId="77777777" w:rsidR="00707EA2" w:rsidRPr="00BA4F8E" w:rsidRDefault="00707EA2" w:rsidP="004854E2">
            <w:pPr>
              <w:spacing w:after="0" w:line="276" w:lineRule="auto"/>
              <w:ind w:left="700" w:hanging="700"/>
              <w:rPr>
                <w:rFonts w:cstheme="minorHAnsi"/>
              </w:rPr>
            </w:pPr>
            <w:r w:rsidRPr="00BA4F8E">
              <w:rPr>
                <w:rFonts w:cstheme="minorHAnsi"/>
              </w:rPr>
              <w:t>20415</w:t>
            </w:r>
            <w:r w:rsidRPr="00BA4F8E">
              <w:rPr>
                <w:rFonts w:cstheme="minorHAnsi"/>
              </w:rPr>
              <w:tab/>
              <w:t xml:space="preserve">Počet výzkumných organizací s nově příchozími výzkumnými pracovníky ze zahraničí nebo soukromého sektoru </w:t>
            </w:r>
          </w:p>
          <w:p w14:paraId="14A74AF8" w14:textId="77777777" w:rsidR="00707EA2" w:rsidRPr="00BA4F8E" w:rsidRDefault="00707EA2" w:rsidP="004854E2">
            <w:pPr>
              <w:spacing w:after="0" w:line="276" w:lineRule="auto"/>
              <w:ind w:left="700" w:hanging="700"/>
              <w:rPr>
                <w:rFonts w:cstheme="minorHAnsi"/>
              </w:rPr>
            </w:pPr>
            <w:r w:rsidRPr="00BA4F8E">
              <w:rPr>
                <w:rFonts w:cstheme="minorHAnsi"/>
              </w:rPr>
              <w:t>20810</w:t>
            </w:r>
            <w:r w:rsidRPr="00BA4F8E">
              <w:rPr>
                <w:rFonts w:cstheme="minorHAnsi"/>
              </w:rPr>
              <w:tab/>
              <w:t xml:space="preserve">Počet organizací, jejichž pracovníci zvýšili svou kvalifikaci ve VaV </w:t>
            </w:r>
          </w:p>
          <w:p w14:paraId="70F3C87C" w14:textId="77777777" w:rsidR="00707EA2" w:rsidRPr="00BA4F8E" w:rsidRDefault="00707EA2" w:rsidP="004854E2">
            <w:pPr>
              <w:spacing w:after="0" w:line="276" w:lineRule="auto"/>
              <w:ind w:left="700" w:hanging="700"/>
              <w:rPr>
                <w:rFonts w:cstheme="minorHAnsi"/>
              </w:rPr>
            </w:pPr>
            <w:r w:rsidRPr="00BA4F8E">
              <w:rPr>
                <w:rFonts w:cstheme="minorHAnsi"/>
              </w:rPr>
              <w:t>52801</w:t>
            </w:r>
            <w:r w:rsidRPr="00BA4F8E">
              <w:rPr>
                <w:rFonts w:cstheme="minorHAnsi"/>
              </w:rPr>
              <w:tab/>
              <w:t>Počet nových či modernizovaných výzkumně zaměřených studijních programů akreditovaných i pro výuku v cizím jazyce</w:t>
            </w:r>
          </w:p>
          <w:p w14:paraId="535F2652" w14:textId="22B97EFE" w:rsidR="00707EA2" w:rsidRPr="00BA4F8E" w:rsidRDefault="00707EA2" w:rsidP="005373A1">
            <w:pPr>
              <w:spacing w:after="0" w:line="276" w:lineRule="auto"/>
              <w:ind w:left="700" w:hanging="700"/>
              <w:rPr>
                <w:rFonts w:cstheme="minorHAnsi"/>
              </w:rPr>
            </w:pPr>
            <w:r w:rsidRPr="00BA4F8E">
              <w:rPr>
                <w:rFonts w:cstheme="minorHAnsi"/>
              </w:rPr>
              <w:t>54601</w:t>
            </w:r>
            <w:r w:rsidRPr="00BA4F8E">
              <w:rPr>
                <w:rFonts w:cstheme="minorHAnsi"/>
              </w:rPr>
              <w:tab/>
              <w:t>Počet studentů výzkumně zaměřených studijních programů a</w:t>
            </w:r>
            <w:r>
              <w:rPr>
                <w:rFonts w:cstheme="minorHAnsi"/>
              </w:rPr>
              <w:t> </w:t>
            </w:r>
            <w:r w:rsidRPr="00BA4F8E">
              <w:rPr>
                <w:rFonts w:cstheme="minorHAnsi"/>
              </w:rPr>
              <w:t>Ph.D. studentů, kteří se zúčastnili stáže</w:t>
            </w:r>
          </w:p>
        </w:tc>
        <w:tc>
          <w:tcPr>
            <w:tcW w:w="3814" w:type="dxa"/>
            <w:shd w:val="clear" w:color="auto" w:fill="C3EDFF" w:themeFill="accent3" w:themeFillTint="33"/>
          </w:tcPr>
          <w:p w14:paraId="044DF993" w14:textId="5BE3F323" w:rsidR="00707EA2" w:rsidRPr="00BA4F8E" w:rsidRDefault="00707EA2" w:rsidP="00F6014C">
            <w:pPr>
              <w:spacing w:after="0" w:line="276" w:lineRule="auto"/>
              <w:jc w:val="both"/>
              <w:rPr>
                <w:rFonts w:cstheme="minorHAnsi"/>
                <w:i/>
              </w:rPr>
            </w:pPr>
            <w:r w:rsidRPr="00BA4F8E">
              <w:rPr>
                <w:rFonts w:cstheme="minorHAnsi"/>
                <w:i/>
              </w:rPr>
              <w:t>Strategická výzkumná partnerství s předními zahraničními pracovišti v EU i</w:t>
            </w:r>
            <w:r>
              <w:rPr>
                <w:rFonts w:cstheme="minorHAnsi"/>
                <w:i/>
              </w:rPr>
              <w:t> </w:t>
            </w:r>
            <w:r w:rsidRPr="00BA4F8E">
              <w:rPr>
                <w:rFonts w:cstheme="minorHAnsi"/>
                <w:i/>
              </w:rPr>
              <w:t>mimo (realizace společné výzkumné agendy, obousměrné mobility).</w:t>
            </w:r>
          </w:p>
        </w:tc>
      </w:tr>
      <w:tr w:rsidR="00707EA2" w:rsidRPr="00BA4F8E" w14:paraId="2DBC9724" w14:textId="77777777" w:rsidTr="00707EA2">
        <w:trPr>
          <w:trHeight w:val="367"/>
        </w:trPr>
        <w:tc>
          <w:tcPr>
            <w:tcW w:w="2288" w:type="dxa"/>
            <w:vMerge/>
            <w:shd w:val="clear" w:color="auto" w:fill="C3EDFF" w:themeFill="accent3" w:themeFillTint="33"/>
          </w:tcPr>
          <w:p w14:paraId="57B1F9B1"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61C4F13C" w14:textId="77777777" w:rsidR="00707EA2" w:rsidRPr="00BA4F8E" w:rsidRDefault="00707EA2" w:rsidP="00543C1B">
            <w:pPr>
              <w:numPr>
                <w:ilvl w:val="0"/>
                <w:numId w:val="33"/>
              </w:numPr>
              <w:spacing w:after="0" w:line="276" w:lineRule="auto"/>
              <w:ind w:left="389"/>
              <w:contextualSpacing/>
              <w:jc w:val="both"/>
              <w:rPr>
                <w:rFonts w:cstheme="minorHAnsi"/>
              </w:rPr>
            </w:pPr>
          </w:p>
        </w:tc>
        <w:tc>
          <w:tcPr>
            <w:tcW w:w="3814" w:type="dxa"/>
            <w:shd w:val="clear" w:color="auto" w:fill="C3EDFF" w:themeFill="accent3" w:themeFillTint="33"/>
          </w:tcPr>
          <w:p w14:paraId="5B678740" w14:textId="0ED04A30" w:rsidR="00707EA2" w:rsidRPr="00707EA2" w:rsidRDefault="00707EA2" w:rsidP="00F6014C">
            <w:pPr>
              <w:spacing w:after="0" w:line="276" w:lineRule="auto"/>
              <w:jc w:val="both"/>
              <w:rPr>
                <w:i/>
                <w:color w:val="222222"/>
              </w:rPr>
            </w:pPr>
            <w:r w:rsidRPr="00707EA2">
              <w:rPr>
                <w:i/>
                <w:color w:val="222222"/>
              </w:rPr>
              <w:t>Podpora mezinárodní mobility výzkumných, technických a administrativních pracovníků ve VaV a studentů.</w:t>
            </w:r>
          </w:p>
        </w:tc>
      </w:tr>
      <w:tr w:rsidR="00707EA2" w:rsidRPr="00BA4F8E" w14:paraId="5C5292C2" w14:textId="77777777" w:rsidTr="00707EA2">
        <w:trPr>
          <w:trHeight w:val="367"/>
        </w:trPr>
        <w:tc>
          <w:tcPr>
            <w:tcW w:w="2288" w:type="dxa"/>
            <w:vMerge/>
            <w:shd w:val="clear" w:color="auto" w:fill="C3EDFF" w:themeFill="accent3" w:themeFillTint="33"/>
          </w:tcPr>
          <w:p w14:paraId="36FF0157"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6FE34876" w14:textId="77777777" w:rsidR="00707EA2" w:rsidRPr="00BA4F8E" w:rsidRDefault="00707EA2" w:rsidP="00543C1B">
            <w:pPr>
              <w:numPr>
                <w:ilvl w:val="0"/>
                <w:numId w:val="33"/>
              </w:numPr>
              <w:spacing w:after="0" w:line="276" w:lineRule="auto"/>
              <w:ind w:left="389"/>
              <w:contextualSpacing/>
              <w:jc w:val="both"/>
              <w:rPr>
                <w:rFonts w:cstheme="minorHAnsi"/>
              </w:rPr>
            </w:pPr>
          </w:p>
        </w:tc>
        <w:tc>
          <w:tcPr>
            <w:tcW w:w="3814" w:type="dxa"/>
            <w:shd w:val="clear" w:color="auto" w:fill="C3EDFF" w:themeFill="accent3" w:themeFillTint="33"/>
          </w:tcPr>
          <w:p w14:paraId="7D5FB93F" w14:textId="1DD89E50" w:rsidR="00707EA2" w:rsidRPr="00707EA2" w:rsidRDefault="00707EA2" w:rsidP="00914797">
            <w:pPr>
              <w:spacing w:after="0" w:line="276" w:lineRule="auto"/>
              <w:jc w:val="both"/>
              <w:rPr>
                <w:rFonts w:cstheme="minorHAnsi"/>
                <w:i/>
              </w:rPr>
            </w:pPr>
            <w:r w:rsidRPr="00707EA2">
              <w:rPr>
                <w:rFonts w:cstheme="minorHAnsi"/>
                <w:i/>
              </w:rPr>
              <w:t xml:space="preserve">Projekty vzniku či rozvoje vybraných výzkumných skupin, včetně skupin navázaných na příchod zahraničních výzkumníků a reintegrujících se českých vědců </w:t>
            </w:r>
            <w:r w:rsidRPr="00707EA2">
              <w:rPr>
                <w:i/>
                <w:color w:val="222222"/>
              </w:rPr>
              <w:t>s povinností otevřené soutěže pro domácí i zahraniční vědce.</w:t>
            </w:r>
          </w:p>
        </w:tc>
      </w:tr>
      <w:tr w:rsidR="00707EA2" w:rsidRPr="00BA4F8E" w14:paraId="0C346B7B" w14:textId="77777777" w:rsidTr="00707EA2">
        <w:trPr>
          <w:trHeight w:val="656"/>
        </w:trPr>
        <w:tc>
          <w:tcPr>
            <w:tcW w:w="2288" w:type="dxa"/>
            <w:vMerge/>
            <w:shd w:val="clear" w:color="auto" w:fill="C3EDFF" w:themeFill="accent3" w:themeFillTint="33"/>
          </w:tcPr>
          <w:p w14:paraId="66D4F377"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128D1804" w14:textId="77777777" w:rsidR="00707EA2" w:rsidRPr="00BA4F8E" w:rsidRDefault="00707EA2" w:rsidP="00543C1B">
            <w:pPr>
              <w:numPr>
                <w:ilvl w:val="0"/>
                <w:numId w:val="33"/>
              </w:numPr>
              <w:spacing w:after="0" w:line="276" w:lineRule="auto"/>
              <w:ind w:left="389"/>
              <w:contextualSpacing/>
              <w:jc w:val="both"/>
              <w:rPr>
                <w:rFonts w:cstheme="minorHAnsi"/>
              </w:rPr>
            </w:pPr>
          </w:p>
        </w:tc>
        <w:tc>
          <w:tcPr>
            <w:tcW w:w="3814" w:type="dxa"/>
            <w:shd w:val="clear" w:color="auto" w:fill="C3EDFF" w:themeFill="accent3" w:themeFillTint="33"/>
          </w:tcPr>
          <w:p w14:paraId="49DF07A0" w14:textId="77777777" w:rsidR="00707EA2" w:rsidRPr="00707EA2" w:rsidRDefault="00707EA2" w:rsidP="004854E2">
            <w:pPr>
              <w:spacing w:after="0" w:line="276" w:lineRule="auto"/>
              <w:jc w:val="both"/>
              <w:rPr>
                <w:rFonts w:cstheme="minorHAnsi"/>
                <w:i/>
              </w:rPr>
            </w:pPr>
            <w:r w:rsidRPr="00707EA2">
              <w:rPr>
                <w:rFonts w:cstheme="minorHAnsi"/>
                <w:i/>
              </w:rPr>
              <w:t>Podpora měkkých služeb pro příchod zahraničních výzkumníků a studentů (Euraxess apod.).</w:t>
            </w:r>
          </w:p>
        </w:tc>
      </w:tr>
      <w:tr w:rsidR="00707EA2" w:rsidRPr="00BA4F8E" w14:paraId="7E97B5F8" w14:textId="77777777" w:rsidTr="00707EA2">
        <w:trPr>
          <w:trHeight w:val="306"/>
        </w:trPr>
        <w:tc>
          <w:tcPr>
            <w:tcW w:w="2288" w:type="dxa"/>
            <w:vMerge/>
            <w:shd w:val="clear" w:color="auto" w:fill="C3EDFF" w:themeFill="accent3" w:themeFillTint="33"/>
          </w:tcPr>
          <w:p w14:paraId="520C05CE"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32478B8D" w14:textId="77777777" w:rsidR="00707EA2" w:rsidRPr="00BA4F8E" w:rsidRDefault="00707EA2" w:rsidP="00543C1B">
            <w:pPr>
              <w:numPr>
                <w:ilvl w:val="0"/>
                <w:numId w:val="33"/>
              </w:numPr>
              <w:spacing w:after="0" w:line="276" w:lineRule="auto"/>
              <w:ind w:left="389"/>
              <w:contextualSpacing/>
              <w:jc w:val="both"/>
              <w:rPr>
                <w:rFonts w:cstheme="minorHAnsi"/>
              </w:rPr>
            </w:pPr>
          </w:p>
        </w:tc>
        <w:tc>
          <w:tcPr>
            <w:tcW w:w="3814" w:type="dxa"/>
            <w:shd w:val="clear" w:color="auto" w:fill="C3EDFF" w:themeFill="accent3" w:themeFillTint="33"/>
          </w:tcPr>
          <w:p w14:paraId="7DC16048" w14:textId="77777777" w:rsidR="00707EA2" w:rsidRPr="00BA4F8E" w:rsidRDefault="00707EA2" w:rsidP="004854E2">
            <w:pPr>
              <w:spacing w:after="0" w:line="276" w:lineRule="auto"/>
              <w:jc w:val="both"/>
              <w:rPr>
                <w:rFonts w:cstheme="minorHAnsi"/>
                <w:i/>
              </w:rPr>
            </w:pPr>
            <w:r w:rsidRPr="00BA4F8E">
              <w:rPr>
                <w:rFonts w:cstheme="minorHAnsi"/>
                <w:i/>
              </w:rPr>
              <w:t>Projekty mezinárodních graduate schools, zejména pro doktorský stupeň.</w:t>
            </w:r>
          </w:p>
        </w:tc>
      </w:tr>
      <w:tr w:rsidR="00707EA2" w:rsidRPr="00BA4F8E" w14:paraId="1172D84D" w14:textId="77777777" w:rsidTr="00707EA2">
        <w:trPr>
          <w:trHeight w:val="305"/>
        </w:trPr>
        <w:tc>
          <w:tcPr>
            <w:tcW w:w="2288" w:type="dxa"/>
            <w:vMerge/>
            <w:shd w:val="clear" w:color="auto" w:fill="C3EDFF" w:themeFill="accent3" w:themeFillTint="33"/>
          </w:tcPr>
          <w:p w14:paraId="1D2CE933"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5EFB17FA" w14:textId="77777777" w:rsidR="00707EA2" w:rsidRPr="00BA4F8E" w:rsidRDefault="00707EA2" w:rsidP="00543C1B">
            <w:pPr>
              <w:numPr>
                <w:ilvl w:val="0"/>
                <w:numId w:val="33"/>
              </w:numPr>
              <w:spacing w:after="0" w:line="276" w:lineRule="auto"/>
              <w:ind w:left="389"/>
              <w:contextualSpacing/>
              <w:jc w:val="both"/>
              <w:rPr>
                <w:rFonts w:cstheme="minorHAnsi"/>
              </w:rPr>
            </w:pPr>
          </w:p>
        </w:tc>
        <w:tc>
          <w:tcPr>
            <w:tcW w:w="3814" w:type="dxa"/>
            <w:shd w:val="clear" w:color="auto" w:fill="C3EDFF" w:themeFill="accent3" w:themeFillTint="33"/>
          </w:tcPr>
          <w:p w14:paraId="61D3B27A" w14:textId="77777777" w:rsidR="00707EA2" w:rsidRPr="00BA4F8E" w:rsidRDefault="00707EA2" w:rsidP="004854E2">
            <w:pPr>
              <w:spacing w:after="0" w:line="276" w:lineRule="auto"/>
              <w:jc w:val="both"/>
              <w:rPr>
                <w:rFonts w:cstheme="minorHAnsi"/>
                <w:i/>
              </w:rPr>
            </w:pPr>
            <w:r w:rsidRPr="00BA4F8E">
              <w:rPr>
                <w:rFonts w:cstheme="minorHAnsi"/>
                <w:i/>
              </w:rPr>
              <w:t>Specifická podpora strategických mezinárodních projektů ve VaVaI (Teaming, Twinning, EIT KICs).</w:t>
            </w:r>
          </w:p>
        </w:tc>
      </w:tr>
      <w:tr w:rsidR="00707EA2" w:rsidRPr="00BA4F8E" w14:paraId="329CA4D2" w14:textId="77777777" w:rsidTr="00707EA2">
        <w:trPr>
          <w:trHeight w:val="656"/>
        </w:trPr>
        <w:tc>
          <w:tcPr>
            <w:tcW w:w="2288" w:type="dxa"/>
            <w:vMerge/>
            <w:shd w:val="clear" w:color="auto" w:fill="C3EDFF" w:themeFill="accent3" w:themeFillTint="33"/>
          </w:tcPr>
          <w:p w14:paraId="7DE0BD9D"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31D7205B" w14:textId="77777777" w:rsidR="00707EA2" w:rsidRPr="00BA4F8E" w:rsidRDefault="00707EA2" w:rsidP="00543C1B">
            <w:pPr>
              <w:numPr>
                <w:ilvl w:val="0"/>
                <w:numId w:val="33"/>
              </w:numPr>
              <w:spacing w:after="0" w:line="276" w:lineRule="auto"/>
              <w:ind w:left="389"/>
              <w:contextualSpacing/>
              <w:jc w:val="both"/>
              <w:rPr>
                <w:rFonts w:cstheme="minorHAnsi"/>
              </w:rPr>
            </w:pPr>
          </w:p>
        </w:tc>
        <w:tc>
          <w:tcPr>
            <w:tcW w:w="3814" w:type="dxa"/>
            <w:shd w:val="clear" w:color="auto" w:fill="C3EDFF" w:themeFill="accent3" w:themeFillTint="33"/>
          </w:tcPr>
          <w:p w14:paraId="25010153" w14:textId="77777777" w:rsidR="00707EA2" w:rsidRPr="00707EA2" w:rsidRDefault="00707EA2" w:rsidP="004854E2">
            <w:pPr>
              <w:spacing w:after="0" w:line="276" w:lineRule="auto"/>
              <w:jc w:val="both"/>
              <w:rPr>
                <w:rFonts w:cstheme="minorHAnsi"/>
                <w:i/>
              </w:rPr>
            </w:pPr>
            <w:r w:rsidRPr="00707EA2">
              <w:rPr>
                <w:rFonts w:cstheme="minorHAnsi"/>
                <w:i/>
              </w:rPr>
              <w:t>Aktivity na zlepšení grantové podpory, zejména v případě mezinárodních grantů (podpora činností grant offices ve VO).</w:t>
            </w:r>
          </w:p>
        </w:tc>
      </w:tr>
      <w:tr w:rsidR="00707EA2" w:rsidRPr="00BA4F8E" w14:paraId="67F0705D" w14:textId="77777777" w:rsidTr="00707EA2">
        <w:trPr>
          <w:trHeight w:val="656"/>
        </w:trPr>
        <w:tc>
          <w:tcPr>
            <w:tcW w:w="2288" w:type="dxa"/>
            <w:vMerge/>
            <w:shd w:val="clear" w:color="auto" w:fill="C3EDFF" w:themeFill="accent3" w:themeFillTint="33"/>
          </w:tcPr>
          <w:p w14:paraId="3E6BD3B2"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49A53179" w14:textId="77777777" w:rsidR="00707EA2" w:rsidRPr="00BA4F8E" w:rsidRDefault="00707EA2" w:rsidP="00543C1B">
            <w:pPr>
              <w:numPr>
                <w:ilvl w:val="0"/>
                <w:numId w:val="33"/>
              </w:numPr>
              <w:spacing w:after="0" w:line="276" w:lineRule="auto"/>
              <w:ind w:left="389"/>
              <w:contextualSpacing/>
              <w:jc w:val="both"/>
              <w:rPr>
                <w:rFonts w:cstheme="minorHAnsi"/>
              </w:rPr>
            </w:pPr>
          </w:p>
        </w:tc>
        <w:tc>
          <w:tcPr>
            <w:tcW w:w="3814" w:type="dxa"/>
            <w:shd w:val="clear" w:color="auto" w:fill="C3EDFF" w:themeFill="accent3" w:themeFillTint="33"/>
          </w:tcPr>
          <w:p w14:paraId="6167D8AE" w14:textId="77777777" w:rsidR="00707EA2" w:rsidRPr="00707EA2" w:rsidRDefault="00707EA2" w:rsidP="004854E2">
            <w:pPr>
              <w:spacing w:after="0" w:line="276" w:lineRule="auto"/>
              <w:jc w:val="both"/>
              <w:rPr>
                <w:rFonts w:cstheme="minorHAnsi"/>
                <w:i/>
              </w:rPr>
            </w:pPr>
            <w:r w:rsidRPr="00707EA2">
              <w:rPr>
                <w:rFonts w:cstheme="minorHAnsi"/>
                <w:i/>
              </w:rPr>
              <w:t>Realizace podpůrných aktivit na posílení mezinárodní výzkumné spolupráce, včetně zapojení výzkumných organizací do Joint Technology Initiatives a Joint Programming, ERA Nets, včetně personálního posílení kapacit pro koncepční, informační a administrativní podporu a zlepšení koordinace na národní úrovni.</w:t>
            </w:r>
          </w:p>
        </w:tc>
      </w:tr>
      <w:tr w:rsidR="00707EA2" w:rsidRPr="00BA4F8E" w14:paraId="7D3E1207" w14:textId="77777777" w:rsidTr="00707EA2">
        <w:trPr>
          <w:trHeight w:val="516"/>
        </w:trPr>
        <w:tc>
          <w:tcPr>
            <w:tcW w:w="2288" w:type="dxa"/>
            <w:vMerge/>
            <w:shd w:val="clear" w:color="auto" w:fill="C3EDFF" w:themeFill="accent3" w:themeFillTint="33"/>
          </w:tcPr>
          <w:p w14:paraId="0E1381DF"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1D69F293" w14:textId="77777777" w:rsidR="00707EA2" w:rsidRPr="00BA4F8E" w:rsidRDefault="00707EA2" w:rsidP="00543C1B">
            <w:pPr>
              <w:numPr>
                <w:ilvl w:val="0"/>
                <w:numId w:val="33"/>
              </w:numPr>
              <w:spacing w:after="0" w:line="276" w:lineRule="auto"/>
              <w:ind w:left="389"/>
              <w:contextualSpacing/>
              <w:jc w:val="both"/>
              <w:rPr>
                <w:rFonts w:cstheme="minorHAnsi"/>
              </w:rPr>
            </w:pPr>
          </w:p>
        </w:tc>
        <w:tc>
          <w:tcPr>
            <w:tcW w:w="3814" w:type="dxa"/>
            <w:shd w:val="clear" w:color="auto" w:fill="C3EDFF" w:themeFill="accent3" w:themeFillTint="33"/>
          </w:tcPr>
          <w:p w14:paraId="048BAB7A" w14:textId="77777777" w:rsidR="00707EA2" w:rsidRPr="00707EA2" w:rsidRDefault="00707EA2" w:rsidP="004854E2">
            <w:pPr>
              <w:spacing w:after="0" w:line="276" w:lineRule="auto"/>
              <w:jc w:val="both"/>
              <w:rPr>
                <w:rFonts w:cstheme="minorHAnsi"/>
                <w:i/>
              </w:rPr>
            </w:pPr>
            <w:r w:rsidRPr="00707EA2">
              <w:rPr>
                <w:i/>
              </w:rPr>
              <w:t>Příprava a následná realizace marketingové strategie ČR pro oblast výzkumu a inovací s cílem posílit image ČR jako technologicky vyspělé země (vč. propagace dosažených výsledků VaV v ČR i zahraničí).</w:t>
            </w:r>
          </w:p>
        </w:tc>
      </w:tr>
      <w:tr w:rsidR="00707EA2" w:rsidRPr="00BA4F8E" w14:paraId="5674D8E7" w14:textId="77777777" w:rsidTr="00707EA2">
        <w:trPr>
          <w:trHeight w:val="516"/>
        </w:trPr>
        <w:tc>
          <w:tcPr>
            <w:tcW w:w="2288" w:type="dxa"/>
            <w:vMerge/>
            <w:shd w:val="clear" w:color="auto" w:fill="C3EDFF" w:themeFill="accent3" w:themeFillTint="33"/>
          </w:tcPr>
          <w:p w14:paraId="1355F353" w14:textId="77777777" w:rsidR="00707EA2" w:rsidRPr="00BA4F8E" w:rsidRDefault="00707EA2" w:rsidP="004854E2">
            <w:pPr>
              <w:spacing w:after="0" w:line="276" w:lineRule="auto"/>
              <w:jc w:val="both"/>
              <w:rPr>
                <w:rFonts w:cstheme="minorHAnsi"/>
              </w:rPr>
            </w:pPr>
          </w:p>
        </w:tc>
        <w:tc>
          <w:tcPr>
            <w:tcW w:w="2960" w:type="dxa"/>
            <w:gridSpan w:val="2"/>
            <w:vMerge/>
            <w:shd w:val="clear" w:color="auto" w:fill="C3EDFF" w:themeFill="accent3" w:themeFillTint="33"/>
          </w:tcPr>
          <w:p w14:paraId="63648021" w14:textId="77777777" w:rsidR="00707EA2" w:rsidRPr="00BA4F8E" w:rsidRDefault="00707EA2" w:rsidP="00543C1B">
            <w:pPr>
              <w:numPr>
                <w:ilvl w:val="0"/>
                <w:numId w:val="33"/>
              </w:numPr>
              <w:spacing w:after="0" w:line="276" w:lineRule="auto"/>
              <w:ind w:left="389"/>
              <w:contextualSpacing/>
              <w:jc w:val="both"/>
              <w:rPr>
                <w:rFonts w:cstheme="minorHAnsi"/>
              </w:rPr>
            </w:pPr>
          </w:p>
        </w:tc>
        <w:tc>
          <w:tcPr>
            <w:tcW w:w="3814" w:type="dxa"/>
            <w:shd w:val="clear" w:color="auto" w:fill="C3EDFF" w:themeFill="accent3" w:themeFillTint="33"/>
          </w:tcPr>
          <w:p w14:paraId="21946F0C" w14:textId="714A3C67" w:rsidR="00707EA2" w:rsidRPr="00707EA2" w:rsidRDefault="00707EA2" w:rsidP="004854E2">
            <w:pPr>
              <w:spacing w:after="0" w:line="276" w:lineRule="auto"/>
              <w:jc w:val="both"/>
              <w:rPr>
                <w:i/>
              </w:rPr>
            </w:pPr>
            <w:r w:rsidRPr="00707EA2">
              <w:rPr>
                <w:i/>
              </w:rPr>
              <w:t xml:space="preserve">Využití etablovaných sítí excelentních klastrů a Evropských strategických klastrových partnerství pro rozvoj </w:t>
            </w:r>
            <w:r w:rsidRPr="00707EA2">
              <w:rPr>
                <w:i/>
              </w:rPr>
              <w:lastRenderedPageBreak/>
              <w:t>inovační spolupráce v Evropském výzkumném prostoru.</w:t>
            </w:r>
            <w:r>
              <w:rPr>
                <w:i/>
              </w:rPr>
              <w:t xml:space="preserve"> </w:t>
            </w:r>
          </w:p>
        </w:tc>
      </w:tr>
      <w:tr w:rsidR="004854E2" w:rsidRPr="00BA4F8E" w14:paraId="798DC8BB" w14:textId="77777777" w:rsidTr="00707EA2">
        <w:tc>
          <w:tcPr>
            <w:tcW w:w="9062" w:type="dxa"/>
            <w:gridSpan w:val="4"/>
            <w:shd w:val="clear" w:color="auto" w:fill="88DBFF" w:themeFill="accent3" w:themeFillTint="66"/>
          </w:tcPr>
          <w:p w14:paraId="514684E9" w14:textId="77777777" w:rsidR="004854E2" w:rsidRPr="00BA4F8E" w:rsidRDefault="004854E2" w:rsidP="004854E2">
            <w:pPr>
              <w:spacing w:after="0" w:line="276" w:lineRule="auto"/>
              <w:jc w:val="both"/>
              <w:rPr>
                <w:rFonts w:cstheme="minorHAnsi"/>
                <w:b/>
              </w:rPr>
            </w:pPr>
            <w:r w:rsidRPr="00BA4F8E">
              <w:rPr>
                <w:rFonts w:cstheme="minorHAnsi"/>
                <w:b/>
              </w:rPr>
              <w:lastRenderedPageBreak/>
              <w:t>Strategie a národní dokumenty, k nimž se strategické a specifické cíle vztahují:</w:t>
            </w:r>
          </w:p>
          <w:p w14:paraId="1965CDEA" w14:textId="1C8833AD" w:rsidR="004854E2" w:rsidRPr="00BA4F8E" w:rsidRDefault="004854E2" w:rsidP="00543C1B">
            <w:pPr>
              <w:numPr>
                <w:ilvl w:val="0"/>
                <w:numId w:val="24"/>
              </w:numPr>
              <w:spacing w:after="0" w:line="276" w:lineRule="auto"/>
              <w:contextualSpacing/>
              <w:jc w:val="both"/>
              <w:rPr>
                <w:rFonts w:cstheme="minorHAnsi"/>
              </w:rPr>
            </w:pPr>
            <w:r w:rsidRPr="00BA4F8E">
              <w:rPr>
                <w:rFonts w:cstheme="minorHAnsi"/>
              </w:rPr>
              <w:t xml:space="preserve">Národní politika výzkumu, </w:t>
            </w:r>
            <w:r w:rsidR="000734EE">
              <w:rPr>
                <w:rFonts w:cstheme="minorHAnsi"/>
              </w:rPr>
              <w:t>vývoje a inovací ČR na léta 2016-2020</w:t>
            </w:r>
          </w:p>
          <w:p w14:paraId="719959BB" w14:textId="77777777" w:rsidR="004854E2" w:rsidRPr="00BA4F8E" w:rsidRDefault="004854E2" w:rsidP="00543C1B">
            <w:pPr>
              <w:numPr>
                <w:ilvl w:val="0"/>
                <w:numId w:val="24"/>
              </w:numPr>
              <w:spacing w:after="0" w:line="276" w:lineRule="auto"/>
              <w:contextualSpacing/>
              <w:jc w:val="both"/>
              <w:rPr>
                <w:rFonts w:cstheme="minorHAnsi"/>
              </w:rPr>
            </w:pPr>
            <w:r w:rsidRPr="00BA4F8E">
              <w:rPr>
                <w:rFonts w:cstheme="minorHAnsi"/>
              </w:rPr>
              <w:t>Národní inovační strategie České republiky</w:t>
            </w:r>
          </w:p>
          <w:p w14:paraId="23143EF7" w14:textId="2AB81F6B" w:rsidR="004854E2" w:rsidRPr="00BA4F8E" w:rsidRDefault="000734EE" w:rsidP="00543C1B">
            <w:pPr>
              <w:numPr>
                <w:ilvl w:val="0"/>
                <w:numId w:val="24"/>
              </w:numPr>
              <w:spacing w:after="0" w:line="276" w:lineRule="auto"/>
              <w:contextualSpacing/>
              <w:jc w:val="both"/>
              <w:rPr>
                <w:rFonts w:cstheme="minorHAnsi"/>
              </w:rPr>
            </w:pPr>
            <w:r w:rsidRPr="000734EE">
              <w:rPr>
                <w:rFonts w:cstheme="minorHAnsi"/>
              </w:rPr>
              <w:t>Cestovní mapa ČR velkých infrastruktur pro výzkum, experimentální vývoj a inovace pro léta 2016-2020 - aktualizace září 2015 (MŠMT)</w:t>
            </w:r>
          </w:p>
          <w:p w14:paraId="5AC05016" w14:textId="77777777" w:rsidR="004854E2" w:rsidRPr="00BA4F8E" w:rsidRDefault="004854E2" w:rsidP="00543C1B">
            <w:pPr>
              <w:numPr>
                <w:ilvl w:val="0"/>
                <w:numId w:val="24"/>
              </w:numPr>
              <w:spacing w:after="0" w:line="276" w:lineRule="auto"/>
              <w:contextualSpacing/>
              <w:jc w:val="both"/>
              <w:rPr>
                <w:rFonts w:cstheme="minorHAnsi"/>
              </w:rPr>
            </w:pPr>
            <w:r w:rsidRPr="00BA4F8E">
              <w:rPr>
                <w:rFonts w:cstheme="minorHAnsi"/>
              </w:rPr>
              <w:t>Mezinárodní audit VaVaI v ČR.</w:t>
            </w:r>
          </w:p>
          <w:p w14:paraId="1ECD4B57" w14:textId="579A34D1" w:rsidR="004854E2" w:rsidRPr="00BA4F8E" w:rsidRDefault="004854E2" w:rsidP="00543C1B">
            <w:pPr>
              <w:numPr>
                <w:ilvl w:val="0"/>
                <w:numId w:val="24"/>
              </w:numPr>
              <w:autoSpaceDE w:val="0"/>
              <w:autoSpaceDN w:val="0"/>
              <w:adjustRightInd w:val="0"/>
              <w:spacing w:after="0" w:line="240" w:lineRule="auto"/>
              <w:contextualSpacing/>
              <w:jc w:val="both"/>
              <w:rPr>
                <w:rFonts w:cstheme="minorHAnsi"/>
              </w:rPr>
            </w:pPr>
            <w:r w:rsidRPr="00BA4F8E">
              <w:rPr>
                <w:rFonts w:cstheme="minorHAnsi"/>
              </w:rPr>
              <w:t>Národní prog</w:t>
            </w:r>
            <w:r w:rsidR="000734EE">
              <w:rPr>
                <w:rFonts w:cstheme="minorHAnsi"/>
              </w:rPr>
              <w:t xml:space="preserve">ram reforem České republiky 2018 </w:t>
            </w:r>
          </w:p>
          <w:p w14:paraId="44CFF8EF" w14:textId="77777777" w:rsidR="004854E2" w:rsidRPr="00BA4F8E" w:rsidRDefault="004854E2" w:rsidP="00543C1B">
            <w:pPr>
              <w:numPr>
                <w:ilvl w:val="0"/>
                <w:numId w:val="24"/>
              </w:numPr>
              <w:autoSpaceDE w:val="0"/>
              <w:autoSpaceDN w:val="0"/>
              <w:adjustRightInd w:val="0"/>
              <w:spacing w:after="0" w:line="240" w:lineRule="auto"/>
              <w:contextualSpacing/>
              <w:jc w:val="both"/>
              <w:rPr>
                <w:rFonts w:cstheme="minorHAnsi"/>
              </w:rPr>
            </w:pPr>
            <w:r w:rsidRPr="00BA4F8E">
              <w:rPr>
                <w:rFonts w:cs="Times New Roman"/>
                <w:bCs/>
                <w:color w:val="000000"/>
              </w:rPr>
              <w:t>Národní priority orientovaného výzkumu, experimentálního vývoje a inovací</w:t>
            </w:r>
          </w:p>
        </w:tc>
      </w:tr>
      <w:tr w:rsidR="004854E2" w:rsidRPr="00BA4F8E" w14:paraId="4557D7F9" w14:textId="77777777" w:rsidTr="00707EA2">
        <w:tc>
          <w:tcPr>
            <w:tcW w:w="9062" w:type="dxa"/>
            <w:gridSpan w:val="4"/>
            <w:shd w:val="clear" w:color="auto" w:fill="4DC9FF" w:themeFill="accent3" w:themeFillTint="99"/>
          </w:tcPr>
          <w:p w14:paraId="4F5A9AF4" w14:textId="77777777" w:rsidR="004854E2" w:rsidRPr="00BA4F8E" w:rsidRDefault="004854E2" w:rsidP="004854E2">
            <w:pPr>
              <w:spacing w:after="0" w:line="276" w:lineRule="auto"/>
              <w:jc w:val="both"/>
              <w:rPr>
                <w:rFonts w:cstheme="minorHAnsi"/>
                <w:i/>
              </w:rPr>
            </w:pPr>
            <w:r w:rsidRPr="00BA4F8E">
              <w:rPr>
                <w:rFonts w:cstheme="minorHAnsi"/>
                <w:b/>
              </w:rPr>
              <w:t>Podmínky a bariéry realizace intervencí v této klíčové oblasti změn</w:t>
            </w:r>
            <w:r w:rsidRPr="00BA4F8E">
              <w:rPr>
                <w:rFonts w:cstheme="minorHAnsi"/>
                <w:b/>
                <w:vertAlign w:val="superscript"/>
              </w:rPr>
              <w:footnoteReference w:id="94"/>
            </w:r>
            <w:r w:rsidRPr="00BA4F8E">
              <w:rPr>
                <w:rFonts w:cstheme="minorHAnsi"/>
                <w:b/>
              </w:rPr>
              <w:t xml:space="preserve">: </w:t>
            </w:r>
          </w:p>
          <w:p w14:paraId="61F76791" w14:textId="77777777" w:rsidR="004854E2" w:rsidRPr="00BA4F8E" w:rsidRDefault="004854E2" w:rsidP="004854E2">
            <w:pPr>
              <w:spacing w:after="0" w:line="288" w:lineRule="auto"/>
              <w:jc w:val="both"/>
              <w:rPr>
                <w:rFonts w:eastAsia="Times New Roman" w:cstheme="minorHAnsi"/>
                <w:lang w:eastAsia="cs-CZ"/>
              </w:rPr>
            </w:pPr>
            <w:r w:rsidRPr="00BA4F8E">
              <w:rPr>
                <w:rFonts w:eastAsia="Times New Roman" w:cstheme="minorHAnsi"/>
                <w:lang w:eastAsia="cs-CZ"/>
              </w:rPr>
              <w:t xml:space="preserve">Realizace </w:t>
            </w:r>
            <w:r w:rsidRPr="00BA4F8E">
              <w:rPr>
                <w:rFonts w:eastAsia="Times New Roman" w:cstheme="minorHAnsi"/>
                <w:i/>
                <w:lang w:eastAsia="cs-CZ"/>
              </w:rPr>
              <w:t>regulatorních opatření</w:t>
            </w:r>
            <w:r w:rsidRPr="00BA4F8E">
              <w:rPr>
                <w:rFonts w:eastAsia="Times New Roman" w:cstheme="minorHAnsi"/>
                <w:lang w:eastAsia="cs-CZ"/>
              </w:rPr>
              <w:t xml:space="preserve"> zaměřených na zefektivnění řízení výzkumné politiky, zejména v oblasti:</w:t>
            </w:r>
          </w:p>
          <w:p w14:paraId="6B4D1936" w14:textId="77777777" w:rsidR="004854E2" w:rsidRPr="00BA4F8E" w:rsidRDefault="004854E2" w:rsidP="00543C1B">
            <w:pPr>
              <w:numPr>
                <w:ilvl w:val="0"/>
                <w:numId w:val="33"/>
              </w:numPr>
              <w:spacing w:after="0" w:line="288" w:lineRule="auto"/>
              <w:contextualSpacing/>
              <w:jc w:val="both"/>
              <w:rPr>
                <w:rFonts w:eastAsia="Times New Roman" w:cstheme="minorHAnsi"/>
              </w:rPr>
            </w:pPr>
            <w:r w:rsidRPr="00BA4F8E">
              <w:rPr>
                <w:rFonts w:eastAsia="Times New Roman" w:cstheme="minorHAnsi"/>
              </w:rPr>
              <w:t>změny governance politiky VaV (včetně nezbytné novelizace zákona 130/2002) s cílem posílit tvorbu konsenzu nad strategií a dosáhnout skutečné prioritizace a následného posílení kritické masy v oblastech kvalitního VaV;</w:t>
            </w:r>
          </w:p>
          <w:p w14:paraId="07CD3045" w14:textId="77777777" w:rsidR="004854E2" w:rsidRPr="00BA4F8E" w:rsidRDefault="004854E2" w:rsidP="00543C1B">
            <w:pPr>
              <w:numPr>
                <w:ilvl w:val="0"/>
                <w:numId w:val="33"/>
              </w:numPr>
              <w:spacing w:after="0" w:line="288" w:lineRule="auto"/>
              <w:contextualSpacing/>
              <w:jc w:val="both"/>
              <w:rPr>
                <w:rFonts w:eastAsia="Times New Roman" w:cstheme="minorHAnsi"/>
              </w:rPr>
            </w:pPr>
            <w:r w:rsidRPr="00BA4F8E">
              <w:rPr>
                <w:rFonts w:eastAsia="Times New Roman" w:cstheme="minorHAnsi"/>
              </w:rPr>
              <w:t>od roku 2016 zavést novou metodiku hodnocení kvality výzkumu (podle dobré mezinárodní praxe, s prvkem peer review, kombinací hodnocení retrospektivy a hodnocení plánů do budoucna, zohledněním mezioborových rozdílů, posílením prvku aplikační relevance v hodnocení a užším provázáním financování s původcem výsledků) a souvisejícího institucionálního financování s výraznou preferencí (diferenciací) kvality nad průměrností</w:t>
            </w:r>
          </w:p>
          <w:p w14:paraId="65C18016" w14:textId="094C447A" w:rsidR="004854E2" w:rsidRPr="00BA4F8E" w:rsidRDefault="004854E2" w:rsidP="00543C1B">
            <w:pPr>
              <w:numPr>
                <w:ilvl w:val="0"/>
                <w:numId w:val="33"/>
              </w:numPr>
              <w:spacing w:after="0" w:line="288" w:lineRule="auto"/>
              <w:contextualSpacing/>
              <w:jc w:val="both"/>
              <w:rPr>
                <w:rFonts w:eastAsia="Times New Roman" w:cstheme="minorHAnsi"/>
              </w:rPr>
            </w:pPr>
            <w:r w:rsidRPr="00BA4F8E">
              <w:rPr>
                <w:rFonts w:eastAsia="Times New Roman" w:cstheme="minorHAnsi"/>
              </w:rPr>
              <w:t>posílení složky institucionálního financování nad účelovým s cílem zvýšit finanční stabilitu a</w:t>
            </w:r>
            <w:r w:rsidR="0057235F">
              <w:rPr>
                <w:rFonts w:eastAsia="Times New Roman" w:cstheme="minorHAnsi"/>
              </w:rPr>
              <w:t> </w:t>
            </w:r>
            <w:r w:rsidRPr="00BA4F8E">
              <w:rPr>
                <w:rFonts w:eastAsia="Times New Roman" w:cstheme="minorHAnsi"/>
              </w:rPr>
              <w:t xml:space="preserve">předvídatelnost </w:t>
            </w:r>
          </w:p>
          <w:p w14:paraId="4B5BAE99" w14:textId="77777777" w:rsidR="004854E2" w:rsidRPr="00BA4F8E" w:rsidRDefault="004854E2" w:rsidP="004854E2">
            <w:pPr>
              <w:spacing w:after="0" w:line="276" w:lineRule="auto"/>
              <w:jc w:val="both"/>
              <w:rPr>
                <w:rFonts w:cstheme="minorHAnsi"/>
              </w:rPr>
            </w:pPr>
            <w:r w:rsidRPr="00BA4F8E">
              <w:rPr>
                <w:rFonts w:cstheme="minorHAnsi"/>
              </w:rPr>
              <w:t xml:space="preserve">Výše uvedené změny bude nutné promítnout do odpovídající </w:t>
            </w:r>
            <w:r w:rsidRPr="00BA4F8E">
              <w:rPr>
                <w:rFonts w:cstheme="minorHAnsi"/>
                <w:i/>
              </w:rPr>
              <w:t>legislativy</w:t>
            </w:r>
            <w:r w:rsidRPr="00BA4F8E">
              <w:rPr>
                <w:rFonts w:cstheme="minorHAnsi"/>
              </w:rPr>
              <w:t>, zejm. do zákona 130/2001 Sb., o podpoře výzkumu a vývoje z veřejných prostředků.</w:t>
            </w:r>
          </w:p>
          <w:p w14:paraId="1745FEEC" w14:textId="77777777" w:rsidR="004854E2" w:rsidRPr="00BA4F8E" w:rsidRDefault="004854E2" w:rsidP="004854E2">
            <w:pPr>
              <w:spacing w:after="0" w:line="276" w:lineRule="auto"/>
              <w:jc w:val="both"/>
              <w:rPr>
                <w:rFonts w:eastAsia="Times New Roman" w:cstheme="minorHAnsi"/>
                <w:lang w:eastAsia="cs-CZ"/>
              </w:rPr>
            </w:pPr>
            <w:r w:rsidRPr="00BA4F8E">
              <w:rPr>
                <w:rFonts w:eastAsia="Times New Roman" w:cstheme="minorHAnsi"/>
                <w:lang w:eastAsia="cs-CZ"/>
              </w:rPr>
              <w:t xml:space="preserve">Systémová opatření na zvyšování </w:t>
            </w:r>
            <w:r w:rsidRPr="00BA4F8E">
              <w:rPr>
                <w:rFonts w:eastAsia="Times New Roman" w:cstheme="minorHAnsi"/>
                <w:i/>
                <w:lang w:eastAsia="cs-CZ"/>
              </w:rPr>
              <w:t>kvality výkonu státní správy</w:t>
            </w:r>
            <w:r w:rsidRPr="00BA4F8E">
              <w:rPr>
                <w:rFonts w:eastAsia="Times New Roman" w:cstheme="minorHAnsi"/>
                <w:lang w:eastAsia="cs-CZ"/>
              </w:rPr>
              <w:t xml:space="preserve"> v oblasti VaV, zejména:</w:t>
            </w:r>
          </w:p>
          <w:p w14:paraId="73516751" w14:textId="77777777" w:rsidR="004854E2" w:rsidRPr="00BA4F8E" w:rsidRDefault="004854E2" w:rsidP="00543C1B">
            <w:pPr>
              <w:numPr>
                <w:ilvl w:val="0"/>
                <w:numId w:val="33"/>
              </w:numPr>
              <w:spacing w:after="0" w:line="276" w:lineRule="auto"/>
              <w:contextualSpacing/>
              <w:jc w:val="both"/>
              <w:rPr>
                <w:rFonts w:cstheme="minorHAnsi"/>
                <w:b/>
                <w:i/>
              </w:rPr>
            </w:pPr>
            <w:r w:rsidRPr="00BA4F8E">
              <w:rPr>
                <w:b/>
                <w:i/>
              </w:rPr>
              <w:t>jasně daná kompetence pro koordinaci programů financovaných a kofinancovaných z národních zdrojů) tak, aby bylo možné důsledně propojit financování definovaných priorit inteligentní specializace současně z prostředků určených na regionální politiku (ESIF) i z národních zdrojů</w:t>
            </w:r>
          </w:p>
          <w:p w14:paraId="14F5887D" w14:textId="77777777" w:rsidR="004854E2" w:rsidRPr="00BA4F8E" w:rsidRDefault="004854E2" w:rsidP="00543C1B">
            <w:pPr>
              <w:numPr>
                <w:ilvl w:val="0"/>
                <w:numId w:val="33"/>
              </w:numPr>
              <w:spacing w:after="0" w:line="276" w:lineRule="auto"/>
              <w:contextualSpacing/>
              <w:jc w:val="both"/>
              <w:rPr>
                <w:rFonts w:cstheme="minorHAnsi"/>
                <w:i/>
              </w:rPr>
            </w:pPr>
            <w:r w:rsidRPr="00BA4F8E">
              <w:rPr>
                <w:rFonts w:eastAsia="Times New Roman" w:cstheme="minorHAnsi"/>
              </w:rPr>
              <w:t>stabilizace státních úředníků v odpovědných institucích a zvyšování jejich kvalifikace s cílem zlepšit schopnost implementovat odsouhlasené strategie VaVaI</w:t>
            </w:r>
          </w:p>
          <w:p w14:paraId="2A81D2D7" w14:textId="1C2B055A" w:rsidR="004854E2" w:rsidRPr="00BA4F8E" w:rsidRDefault="004854E2" w:rsidP="00543C1B">
            <w:pPr>
              <w:numPr>
                <w:ilvl w:val="0"/>
                <w:numId w:val="33"/>
              </w:numPr>
              <w:spacing w:after="0" w:line="276" w:lineRule="auto"/>
              <w:contextualSpacing/>
              <w:jc w:val="both"/>
              <w:rPr>
                <w:rFonts w:cstheme="minorHAnsi"/>
                <w:i/>
              </w:rPr>
            </w:pPr>
            <w:r w:rsidRPr="00BA4F8E">
              <w:rPr>
                <w:rFonts w:eastAsia="Times New Roman" w:cstheme="minorHAnsi"/>
              </w:rPr>
              <w:t>zlepšování metodické úrovně programů podpory s cílem systematicky snižovat administrativní zátěž výzkumníků, soustavná péče o snižování administrativní zátěže a</w:t>
            </w:r>
            <w:r w:rsidR="005A1FA3">
              <w:rPr>
                <w:rFonts w:eastAsia="Times New Roman" w:cstheme="minorHAnsi"/>
              </w:rPr>
              <w:t> </w:t>
            </w:r>
            <w:r w:rsidRPr="00BA4F8E">
              <w:rPr>
                <w:rFonts w:eastAsia="Times New Roman" w:cstheme="minorHAnsi"/>
              </w:rPr>
              <w:t>koordinace této snahy napříč poskytovateli účelové podpory</w:t>
            </w:r>
          </w:p>
          <w:p w14:paraId="51825B1F" w14:textId="77777777" w:rsidR="004854E2" w:rsidRPr="00BA4F8E" w:rsidRDefault="004854E2" w:rsidP="00543C1B">
            <w:pPr>
              <w:numPr>
                <w:ilvl w:val="0"/>
                <w:numId w:val="33"/>
              </w:numPr>
              <w:spacing w:after="0" w:line="276" w:lineRule="auto"/>
              <w:contextualSpacing/>
              <w:jc w:val="both"/>
              <w:rPr>
                <w:rFonts w:cstheme="minorHAnsi"/>
                <w:i/>
              </w:rPr>
            </w:pPr>
            <w:r w:rsidRPr="00BA4F8E">
              <w:rPr>
                <w:rFonts w:eastAsia="Times New Roman" w:cstheme="minorHAnsi"/>
              </w:rPr>
              <w:t>zlepšit postupy hodnocení projektů VaV i programů podpory (ex-ante i ex-post), včetně vyššího zapojení zahraničních hodnotitelů</w:t>
            </w:r>
          </w:p>
          <w:p w14:paraId="10EE8603" w14:textId="77777777" w:rsidR="004854E2" w:rsidRPr="00BA4F8E" w:rsidRDefault="004854E2" w:rsidP="00543C1B">
            <w:pPr>
              <w:numPr>
                <w:ilvl w:val="0"/>
                <w:numId w:val="33"/>
              </w:numPr>
              <w:spacing w:after="0" w:line="276" w:lineRule="auto"/>
              <w:contextualSpacing/>
              <w:jc w:val="both"/>
              <w:rPr>
                <w:rFonts w:cstheme="minorHAnsi"/>
                <w:i/>
              </w:rPr>
            </w:pPr>
            <w:r w:rsidRPr="00BA4F8E">
              <w:rPr>
                <w:rFonts w:eastAsia="Times New Roman" w:cstheme="minorHAnsi"/>
              </w:rPr>
              <w:t>rozvoj strategického řízení politiky VaVaI (foresighting, mapování trendů) pro potřeby zacílení programů účelové podpory VaV</w:t>
            </w:r>
          </w:p>
          <w:p w14:paraId="2997DB16" w14:textId="5AA23729" w:rsidR="004854E2" w:rsidRPr="00BA4F8E" w:rsidRDefault="004854E2" w:rsidP="00543C1B">
            <w:pPr>
              <w:numPr>
                <w:ilvl w:val="0"/>
                <w:numId w:val="33"/>
              </w:numPr>
              <w:spacing w:after="0" w:line="276" w:lineRule="auto"/>
              <w:contextualSpacing/>
              <w:jc w:val="both"/>
              <w:rPr>
                <w:rFonts w:cstheme="minorHAnsi"/>
                <w:i/>
              </w:rPr>
            </w:pPr>
            <w:r w:rsidRPr="00BA4F8E">
              <w:rPr>
                <w:rFonts w:eastAsia="Times New Roman" w:cstheme="minorHAnsi"/>
              </w:rPr>
              <w:t>budování institucionální kapacity a strategické inteligence veřejné správy v oblasti VaVaI a</w:t>
            </w:r>
            <w:r w:rsidR="005A1FA3">
              <w:rPr>
                <w:rFonts w:eastAsia="Times New Roman" w:cstheme="minorHAnsi"/>
              </w:rPr>
              <w:t> </w:t>
            </w:r>
            <w:r w:rsidRPr="00BA4F8E">
              <w:rPr>
                <w:rFonts w:eastAsia="Times New Roman" w:cstheme="minorHAnsi"/>
              </w:rPr>
              <w:t>implementace RIS3 na národní i regionální úrovni</w:t>
            </w:r>
          </w:p>
          <w:p w14:paraId="41BCA519" w14:textId="77777777" w:rsidR="004854E2" w:rsidRPr="00BA4F8E" w:rsidRDefault="004854E2" w:rsidP="00543C1B">
            <w:pPr>
              <w:numPr>
                <w:ilvl w:val="0"/>
                <w:numId w:val="33"/>
              </w:numPr>
              <w:spacing w:after="0" w:line="276" w:lineRule="auto"/>
              <w:contextualSpacing/>
              <w:jc w:val="both"/>
              <w:rPr>
                <w:rFonts w:cstheme="minorHAnsi"/>
                <w:i/>
              </w:rPr>
            </w:pPr>
            <w:r w:rsidRPr="00BA4F8E">
              <w:rPr>
                <w:rFonts w:eastAsia="Times New Roman" w:cstheme="minorHAnsi"/>
              </w:rPr>
              <w:lastRenderedPageBreak/>
              <w:t>zvyšování veřejných výdajů na VaV s cílem dosáhnout do roku 2020 podílu 1 % HDP</w:t>
            </w:r>
          </w:p>
          <w:p w14:paraId="7D167C35" w14:textId="77777777" w:rsidR="004854E2" w:rsidRPr="00BA4F8E" w:rsidRDefault="004854E2" w:rsidP="00543C1B">
            <w:pPr>
              <w:numPr>
                <w:ilvl w:val="0"/>
                <w:numId w:val="33"/>
              </w:numPr>
              <w:spacing w:after="0" w:line="276" w:lineRule="auto"/>
              <w:contextualSpacing/>
              <w:jc w:val="both"/>
              <w:rPr>
                <w:rFonts w:cstheme="minorHAnsi"/>
                <w:i/>
              </w:rPr>
            </w:pPr>
            <w:r w:rsidRPr="00BA4F8E">
              <w:rPr>
                <w:rFonts w:eastAsia="Times New Roman" w:cstheme="minorHAnsi"/>
              </w:rPr>
              <w:t>zpracování dlouhodobého finančního výhledu rozpočtu VaV na 7 let, včetně zafixování částky na realizaci Národních priorit 2030.</w:t>
            </w:r>
          </w:p>
          <w:p w14:paraId="62A7EC12" w14:textId="77777777" w:rsidR="004854E2" w:rsidRPr="00BA4F8E" w:rsidRDefault="004854E2" w:rsidP="00543C1B">
            <w:pPr>
              <w:numPr>
                <w:ilvl w:val="0"/>
                <w:numId w:val="33"/>
              </w:numPr>
              <w:spacing w:after="0" w:line="276" w:lineRule="auto"/>
              <w:contextualSpacing/>
              <w:jc w:val="both"/>
              <w:rPr>
                <w:rFonts w:cstheme="minorHAnsi"/>
                <w:i/>
              </w:rPr>
            </w:pPr>
            <w:r w:rsidRPr="00BA4F8E">
              <w:rPr>
                <w:rFonts w:eastAsia="Times New Roman" w:cstheme="minorHAnsi"/>
              </w:rPr>
              <w:t>aktualizace Národní cestovní mapy velkých infrastruktur do roku 2020, včetně navázání jejích finančních nároků na dlouhodobý finanční výhled</w:t>
            </w:r>
          </w:p>
          <w:p w14:paraId="5F186141" w14:textId="7F8FBC99" w:rsidR="009B0425" w:rsidRPr="00BA4F8E" w:rsidRDefault="004854E2" w:rsidP="00543C1B">
            <w:pPr>
              <w:numPr>
                <w:ilvl w:val="0"/>
                <w:numId w:val="33"/>
              </w:numPr>
              <w:spacing w:after="0" w:line="276" w:lineRule="auto"/>
              <w:contextualSpacing/>
              <w:jc w:val="both"/>
              <w:rPr>
                <w:rFonts w:cstheme="minorHAnsi"/>
                <w:i/>
              </w:rPr>
            </w:pPr>
            <w:r w:rsidRPr="00BA4F8E">
              <w:rPr>
                <w:rFonts w:eastAsia="Times New Roman" w:cstheme="minorHAnsi"/>
              </w:rPr>
              <w:t>zavedení nové metodiky hodnocení programů účelové podpory</w:t>
            </w:r>
          </w:p>
        </w:tc>
      </w:tr>
    </w:tbl>
    <w:p w14:paraId="0C307BA2" w14:textId="77777777" w:rsidR="004854E2" w:rsidRPr="00BA4F8E" w:rsidRDefault="004854E2" w:rsidP="004854E2">
      <w:pPr>
        <w:rPr>
          <w:rFonts w:eastAsia="Times New Roman" w:cs="Arial"/>
          <w:lang w:eastAsia="cs-CZ"/>
        </w:rPr>
      </w:pPr>
    </w:p>
    <w:p w14:paraId="7B443002" w14:textId="77777777" w:rsidR="00BF332B" w:rsidRPr="00BA4F8E" w:rsidRDefault="00BF332B" w:rsidP="00BF332B">
      <w:pPr>
        <w:spacing w:line="276" w:lineRule="auto"/>
        <w:jc w:val="both"/>
        <w:rPr>
          <w:rFonts w:cs="Arial"/>
        </w:rPr>
      </w:pPr>
      <w:r w:rsidRPr="00BA4F8E">
        <w:rPr>
          <w:rFonts w:cs="Arial"/>
          <w:b/>
        </w:rPr>
        <w:t>Klíčová oblast změn C</w:t>
      </w:r>
      <w:r w:rsidRPr="00BA4F8E">
        <w:rPr>
          <w:rFonts w:cs="Arial"/>
        </w:rPr>
        <w:t xml:space="preserve">: </w:t>
      </w:r>
      <w:r w:rsidRPr="00BA4F8E">
        <w:rPr>
          <w:rFonts w:cs="Arial"/>
          <w:b/>
        </w:rPr>
        <w:t>Zvýšení ekonomických přínosů veřejného výzkumu</w:t>
      </w:r>
    </w:p>
    <w:p w14:paraId="01F2C374" w14:textId="432C78F4" w:rsidR="00BF332B" w:rsidRPr="00BA4F8E" w:rsidRDefault="00BF332B" w:rsidP="00607F45">
      <w:pPr>
        <w:spacing w:after="0" w:line="360" w:lineRule="auto"/>
        <w:ind w:firstLine="708"/>
        <w:jc w:val="both"/>
        <w:rPr>
          <w:rFonts w:cs="Arial"/>
        </w:rPr>
      </w:pPr>
      <w:r w:rsidRPr="00BA4F8E">
        <w:rPr>
          <w:rFonts w:cs="Arial"/>
        </w:rPr>
        <w:t>Z hlediska interakce veřejného výzkumu s partnery z aplikační sféry vykazují české výzkumné organizace výrazné nedostatky, které jsou ještě patrnější při mezinárodním srovnání. V naprosté většině oblastí vykazují české výzkumné organizace jen minimální míru komerčního zhodnocování svých výzkumných výsledků a znalostí, ať už formou přímé komercializace výsledků (prodej licencí k duševnímu vlastnictví, zakládání technologických firem s využitím duševního vlastnictví výzkumných organizací), nebo spoluprací s</w:t>
      </w:r>
      <w:r w:rsidR="008F1D25" w:rsidRPr="00BA4F8E">
        <w:rPr>
          <w:rFonts w:cs="Arial"/>
        </w:rPr>
        <w:t> </w:t>
      </w:r>
      <w:r w:rsidRPr="00BA4F8E">
        <w:rPr>
          <w:rFonts w:cs="Arial"/>
        </w:rPr>
        <w:t>aplikační sférou (smluvní výzkum, společné projekty a</w:t>
      </w:r>
      <w:r w:rsidR="00E17E27" w:rsidRPr="00BA4F8E">
        <w:rPr>
          <w:rFonts w:cs="Arial"/>
        </w:rPr>
        <w:t> </w:t>
      </w:r>
      <w:r w:rsidRPr="00BA4F8E">
        <w:rPr>
          <w:rFonts w:cs="Arial"/>
        </w:rPr>
        <w:t>společná publikační činnost). V důsledku se pak rostoucí veřejné investice do výzkumu jen málo projevují v podobě ekonomické a společenské návratnosti, vyšší přidané hodnoty a</w:t>
      </w:r>
      <w:r w:rsidR="00E17E27" w:rsidRPr="00BA4F8E">
        <w:rPr>
          <w:rFonts w:cs="Arial"/>
        </w:rPr>
        <w:t> </w:t>
      </w:r>
      <w:r w:rsidRPr="00BA4F8E">
        <w:rPr>
          <w:rFonts w:cs="Arial"/>
        </w:rPr>
        <w:t>konkurenceschopnosti ČR.</w:t>
      </w:r>
    </w:p>
    <w:p w14:paraId="5940DD08" w14:textId="45046DB1" w:rsidR="00BF332B" w:rsidRPr="00BA4F8E" w:rsidRDefault="00BF332B" w:rsidP="00607F45">
      <w:pPr>
        <w:spacing w:after="0" w:line="360" w:lineRule="auto"/>
        <w:ind w:firstLine="708"/>
        <w:jc w:val="both"/>
        <w:rPr>
          <w:rFonts w:cs="Arial"/>
        </w:rPr>
      </w:pPr>
      <w:r w:rsidRPr="00BA4F8E">
        <w:rPr>
          <w:rFonts w:cs="Arial"/>
        </w:rPr>
        <w:t>Příčiny neuspokojivého stavu je nutné řešit současně ve třech rovinách: (i) změnami v regulatorních podmínkách, které musejí být nastaveny tak, aby stimulovaly větší zájem o komerční zhodnocení výsledků na straně výzkumných organizací, zejména z hlediska zohlednění aspektu spolupráce s aplikační sférou v hodnocení kvality výzkumu a  institucionálním financováním; (ii)</w:t>
      </w:r>
      <w:r w:rsidR="004722C6">
        <w:rPr>
          <w:rFonts w:cs="Arial"/>
        </w:rPr>
        <w:t> </w:t>
      </w:r>
      <w:r w:rsidRPr="00BA4F8E">
        <w:rPr>
          <w:rFonts w:cs="Arial"/>
        </w:rPr>
        <w:t>zlepšováním připravenosti výzkumných organizací na spolupráci s aplikační sférou změnami a</w:t>
      </w:r>
      <w:r w:rsidR="004722C6">
        <w:rPr>
          <w:rFonts w:cs="Arial"/>
        </w:rPr>
        <w:t> </w:t>
      </w:r>
      <w:r w:rsidRPr="00BA4F8E">
        <w:rPr>
          <w:rFonts w:cs="Arial"/>
        </w:rPr>
        <w:t>zkvalitňováním interních postupů a mechanismů; (iii) realizací podpůrných nástrojů a intervencí, které zajistí co nejvyšší míru interakce mezi výzkumnými organizacemi a aplikační sférou, včetně společné výchovy doktorandů.</w:t>
      </w:r>
      <w:r w:rsidRPr="00BA4F8E">
        <w:rPr>
          <w:rStyle w:val="Znakapoznpodarou"/>
          <w:rFonts w:cs="Arial"/>
        </w:rPr>
        <w:footnoteReference w:id="95"/>
      </w:r>
      <w:r w:rsidRPr="00BA4F8E">
        <w:rPr>
          <w:rFonts w:cs="Arial"/>
        </w:rPr>
        <w:t xml:space="preserve"> </w:t>
      </w:r>
    </w:p>
    <w:p w14:paraId="286C55F9" w14:textId="7E7A536B" w:rsidR="00BF332B" w:rsidRPr="00BA4F8E" w:rsidRDefault="00BF332B" w:rsidP="00607F45">
      <w:pPr>
        <w:spacing w:after="0" w:line="360" w:lineRule="auto"/>
        <w:ind w:firstLine="708"/>
        <w:jc w:val="both"/>
        <w:rPr>
          <w:rFonts w:cs="Arial"/>
        </w:rPr>
      </w:pPr>
      <w:r w:rsidRPr="00BA4F8E">
        <w:rPr>
          <w:rFonts w:cs="Arial"/>
        </w:rPr>
        <w:t xml:space="preserve">Změny regulatorních podmínek a zlepšování připravenosti výzkumných organizací na spolupráci s aplikační sférou mají povahu horizontálních opatření, která by měla zasáhnout co nejširší okruh výzkumných organizací, bez ohledu na jejich oborové zaměření. Realizace podpůrných nástrojů by měla mít zejména formu vertikálních opatření, tj. intervencí zaměřených prioritně na výzkumné týmy a výzkumná a aplikační témata relevantní pro inteligentní specializaci. </w:t>
      </w:r>
    </w:p>
    <w:p w14:paraId="5F2B08AC" w14:textId="53FE6EBC" w:rsidR="00BF332B" w:rsidRDefault="00BF332B" w:rsidP="00607F45">
      <w:pPr>
        <w:spacing w:after="0" w:line="360" w:lineRule="auto"/>
        <w:ind w:firstLine="576"/>
        <w:jc w:val="both"/>
        <w:rPr>
          <w:rFonts w:cs="Arial"/>
        </w:rPr>
      </w:pPr>
      <w:r w:rsidRPr="00BA4F8E">
        <w:rPr>
          <w:rFonts w:cs="Arial"/>
        </w:rPr>
        <w:t xml:space="preserve">Cílovým stavem je zlepšení připravenosti výzkumných organizací na spolupráci a současně vytvoření stimulujících podmínek pro spolupráci mezi veřejným výzkumem a aplikační sférou. Dále je cílovým stavem vytvoření mechanismů pro intenzivní dlouhodobou interakci mezi výzkumnými organizacemi a firmami, zejména podporou jejich spolupráce při společném výzkumu ve směrech </w:t>
      </w:r>
      <w:r w:rsidRPr="00BA4F8E">
        <w:rPr>
          <w:rFonts w:cs="Arial"/>
        </w:rPr>
        <w:lastRenderedPageBreak/>
        <w:t>významných pro posílení konkurenční výhody firem v ČR (viz kap</w:t>
      </w:r>
      <w:r w:rsidR="005D57D4">
        <w:rPr>
          <w:rFonts w:cs="Arial"/>
        </w:rPr>
        <w:t xml:space="preserve">. </w:t>
      </w:r>
      <w:r w:rsidR="00247174">
        <w:rPr>
          <w:rFonts w:cs="Arial"/>
        </w:rPr>
        <w:fldChar w:fldCharType="begin"/>
      </w:r>
      <w:r w:rsidR="00247174">
        <w:rPr>
          <w:rFonts w:cs="Arial"/>
        </w:rPr>
        <w:instrText xml:space="preserve"> REF _Ref521397310 \r \h </w:instrText>
      </w:r>
      <w:r w:rsidR="00247174">
        <w:rPr>
          <w:rFonts w:cs="Arial"/>
        </w:rPr>
      </w:r>
      <w:r w:rsidR="00247174">
        <w:rPr>
          <w:rFonts w:cs="Arial"/>
        </w:rPr>
        <w:fldChar w:fldCharType="separate"/>
      </w:r>
      <w:r w:rsidR="00247174">
        <w:rPr>
          <w:rFonts w:cs="Arial"/>
        </w:rPr>
        <w:t>4</w:t>
      </w:r>
      <w:r w:rsidR="00247174">
        <w:rPr>
          <w:rFonts w:cs="Arial"/>
        </w:rPr>
        <w:fldChar w:fldCharType="end"/>
      </w:r>
      <w:r w:rsidR="00247174">
        <w:rPr>
          <w:rFonts w:cs="Arial"/>
        </w:rPr>
        <w:fldChar w:fldCharType="begin"/>
      </w:r>
      <w:r w:rsidR="00247174">
        <w:rPr>
          <w:rFonts w:cs="Arial"/>
        </w:rPr>
        <w:instrText xml:space="preserve"> REF _Ref521397310 \h </w:instrText>
      </w:r>
      <w:r w:rsidR="00247174">
        <w:rPr>
          <w:rFonts w:cs="Arial"/>
        </w:rPr>
      </w:r>
      <w:r w:rsidR="00247174">
        <w:rPr>
          <w:rFonts w:cs="Arial"/>
        </w:rPr>
        <w:fldChar w:fldCharType="separate"/>
      </w:r>
      <w:r w:rsidR="00247174" w:rsidRPr="006A19EB">
        <w:t>Výzkumná a ekonomická specializace ČR</w:t>
      </w:r>
      <w:r w:rsidR="00247174">
        <w:rPr>
          <w:rFonts w:cs="Arial"/>
        </w:rPr>
        <w:fldChar w:fldCharType="end"/>
      </w:r>
      <w:r w:rsidR="005D57D4">
        <w:rPr>
          <w:rFonts w:cs="Arial"/>
        </w:rPr>
        <w:t xml:space="preserve"> </w:t>
      </w:r>
      <w:r w:rsidRPr="00BA4F8E">
        <w:rPr>
          <w:rFonts w:cs="Arial"/>
        </w:rPr>
        <w:t>).</w:t>
      </w:r>
    </w:p>
    <w:p w14:paraId="135B607C" w14:textId="77777777" w:rsidR="00607F45" w:rsidRPr="00BA4F8E" w:rsidRDefault="00607F45" w:rsidP="00607F45">
      <w:pPr>
        <w:spacing w:after="0" w:line="360" w:lineRule="auto"/>
        <w:ind w:firstLine="576"/>
        <w:jc w:val="both"/>
        <w:rPr>
          <w:rFonts w:cs="Arial"/>
        </w:rPr>
      </w:pPr>
    </w:p>
    <w:tbl>
      <w:tblPr>
        <w:tblW w:w="9634" w:type="dxa"/>
        <w:tblLook w:val="04A0" w:firstRow="1" w:lastRow="0" w:firstColumn="1" w:lastColumn="0" w:noHBand="0" w:noVBand="1"/>
      </w:tblPr>
      <w:tblGrid>
        <w:gridCol w:w="2972"/>
        <w:gridCol w:w="98"/>
        <w:gridCol w:w="3249"/>
        <w:gridCol w:w="3315"/>
      </w:tblGrid>
      <w:tr w:rsidR="00E17E27" w:rsidRPr="00BA4F8E" w14:paraId="483A90AB" w14:textId="77777777" w:rsidTr="003F15C6">
        <w:trPr>
          <w:trHeight w:val="387"/>
        </w:trPr>
        <w:tc>
          <w:tcPr>
            <w:tcW w:w="9634" w:type="dxa"/>
            <w:gridSpan w:val="4"/>
            <w:tcBorders>
              <w:top w:val="single" w:sz="4" w:space="0" w:color="auto"/>
              <w:left w:val="single" w:sz="4" w:space="0" w:color="auto"/>
              <w:bottom w:val="single" w:sz="4" w:space="0" w:color="auto"/>
              <w:right w:val="single" w:sz="4" w:space="0" w:color="auto"/>
            </w:tcBorders>
            <w:shd w:val="clear" w:color="auto" w:fill="006FA0" w:themeFill="accent3" w:themeFillShade="BF"/>
            <w:vAlign w:val="center"/>
          </w:tcPr>
          <w:p w14:paraId="7189A2E1" w14:textId="77777777" w:rsidR="00E17E27" w:rsidRPr="00BA4F8E" w:rsidRDefault="00E17E27" w:rsidP="00E17E27">
            <w:pPr>
              <w:spacing w:after="0" w:line="276" w:lineRule="auto"/>
              <w:jc w:val="both"/>
              <w:rPr>
                <w:rFonts w:cstheme="minorHAnsi"/>
                <w:b/>
                <w:color w:val="FFFFFF" w:themeColor="background1"/>
              </w:rPr>
            </w:pPr>
            <w:r w:rsidRPr="00BA4F8E">
              <w:rPr>
                <w:rFonts w:cstheme="minorHAnsi"/>
                <w:b/>
                <w:color w:val="FFFFFF" w:themeColor="background1"/>
              </w:rPr>
              <w:t>Klíčová oblast změn C: Zvýšení ekonomických přínosů veřejného výzkumu</w:t>
            </w:r>
          </w:p>
        </w:tc>
      </w:tr>
      <w:tr w:rsidR="00E17E27" w:rsidRPr="00BA4F8E" w14:paraId="3B74DDA4" w14:textId="77777777" w:rsidTr="003F15C6">
        <w:tc>
          <w:tcPr>
            <w:tcW w:w="2972" w:type="dxa"/>
            <w:tcBorders>
              <w:top w:val="single" w:sz="4" w:space="0" w:color="auto"/>
              <w:left w:val="single" w:sz="4" w:space="0" w:color="auto"/>
              <w:bottom w:val="single" w:sz="4" w:space="0" w:color="auto"/>
              <w:right w:val="single" w:sz="4" w:space="0" w:color="auto"/>
            </w:tcBorders>
            <w:shd w:val="clear" w:color="auto" w:fill="006FA0" w:themeFill="accent3" w:themeFillShade="BF"/>
          </w:tcPr>
          <w:p w14:paraId="09CCBE93" w14:textId="77777777" w:rsidR="00E17E27" w:rsidRPr="00BA4F8E" w:rsidRDefault="00E17E27" w:rsidP="00E17E27">
            <w:pPr>
              <w:spacing w:after="0" w:line="276" w:lineRule="auto"/>
              <w:jc w:val="both"/>
              <w:rPr>
                <w:rFonts w:cstheme="minorHAnsi"/>
                <w:color w:val="FFFFFF" w:themeColor="background1"/>
              </w:rPr>
            </w:pPr>
            <w:r w:rsidRPr="00BA4F8E">
              <w:rPr>
                <w:rFonts w:cstheme="minorHAnsi"/>
                <w:b/>
                <w:color w:val="FFFFFF" w:themeColor="background1"/>
              </w:rPr>
              <w:t>Strategické cíle v klíčové oblasti změn C:</w:t>
            </w:r>
          </w:p>
        </w:tc>
        <w:tc>
          <w:tcPr>
            <w:tcW w:w="6662" w:type="dxa"/>
            <w:gridSpan w:val="3"/>
            <w:tcBorders>
              <w:top w:val="single" w:sz="4" w:space="0" w:color="auto"/>
              <w:left w:val="single" w:sz="4" w:space="0" w:color="auto"/>
              <w:bottom w:val="single" w:sz="4" w:space="0" w:color="auto"/>
              <w:right w:val="single" w:sz="4" w:space="0" w:color="auto"/>
            </w:tcBorders>
            <w:shd w:val="clear" w:color="auto" w:fill="006FA0" w:themeFill="accent3" w:themeFillShade="BF"/>
          </w:tcPr>
          <w:p w14:paraId="0EB7C7B3" w14:textId="77777777" w:rsidR="00E17E27" w:rsidRPr="00BA4F8E" w:rsidRDefault="00E17E27" w:rsidP="00E17E27">
            <w:pPr>
              <w:spacing w:after="0" w:line="276" w:lineRule="auto"/>
              <w:jc w:val="both"/>
              <w:rPr>
                <w:rFonts w:cstheme="minorHAnsi"/>
                <w:color w:val="FFFFFF" w:themeColor="background1"/>
              </w:rPr>
            </w:pPr>
            <w:r w:rsidRPr="00BA4F8E">
              <w:rPr>
                <w:rFonts w:cstheme="minorHAnsi"/>
                <w:b/>
                <w:color w:val="FFFFFF" w:themeColor="background1"/>
              </w:rPr>
              <w:t xml:space="preserve">               Indikátory strategických cílů/klíčové oblasti změn:</w:t>
            </w:r>
          </w:p>
        </w:tc>
      </w:tr>
      <w:tr w:rsidR="00E17E27" w:rsidRPr="00BA4F8E" w14:paraId="42E9C9F4" w14:textId="77777777" w:rsidTr="003F15C6">
        <w:tc>
          <w:tcPr>
            <w:tcW w:w="2972" w:type="dxa"/>
            <w:tcBorders>
              <w:top w:val="single" w:sz="4" w:space="0" w:color="auto"/>
              <w:left w:val="single" w:sz="4" w:space="0" w:color="auto"/>
              <w:bottom w:val="single" w:sz="4" w:space="0" w:color="auto"/>
              <w:right w:val="single" w:sz="4" w:space="0" w:color="auto"/>
            </w:tcBorders>
            <w:shd w:val="clear" w:color="auto" w:fill="006FA0" w:themeFill="accent3" w:themeFillShade="BF"/>
          </w:tcPr>
          <w:p w14:paraId="0D67BE96" w14:textId="77777777" w:rsidR="00E17E27" w:rsidRPr="00BA4F8E" w:rsidRDefault="00E17E27" w:rsidP="00E17E27">
            <w:pPr>
              <w:spacing w:after="0" w:line="276" w:lineRule="auto"/>
              <w:jc w:val="both"/>
              <w:rPr>
                <w:rFonts w:cstheme="minorHAnsi"/>
                <w:color w:val="FFFFFF" w:themeColor="background1"/>
              </w:rPr>
            </w:pPr>
            <w:r w:rsidRPr="00BA4F8E">
              <w:rPr>
                <w:rFonts w:cstheme="minorHAnsi"/>
                <w:color w:val="FFFFFF" w:themeColor="background1"/>
              </w:rPr>
              <w:t>C: Zvýšení ekonomických přínosů veřejného výzkumu</w:t>
            </w:r>
          </w:p>
        </w:tc>
        <w:tc>
          <w:tcPr>
            <w:tcW w:w="6662" w:type="dxa"/>
            <w:gridSpan w:val="3"/>
            <w:tcBorders>
              <w:top w:val="single" w:sz="4" w:space="0" w:color="auto"/>
              <w:left w:val="single" w:sz="4" w:space="0" w:color="auto"/>
              <w:bottom w:val="single" w:sz="4" w:space="0" w:color="auto"/>
              <w:right w:val="single" w:sz="4" w:space="0" w:color="auto"/>
            </w:tcBorders>
            <w:shd w:val="clear" w:color="auto" w:fill="006FA0" w:themeFill="accent3" w:themeFillShade="BF"/>
          </w:tcPr>
          <w:p w14:paraId="60074A72" w14:textId="77777777" w:rsidR="00E17E27" w:rsidRPr="00BA4F8E" w:rsidRDefault="00E17E27" w:rsidP="00E17E27">
            <w:pPr>
              <w:spacing w:after="0" w:line="276" w:lineRule="auto"/>
              <w:ind w:left="700" w:hanging="700"/>
              <w:jc w:val="both"/>
              <w:rPr>
                <w:rFonts w:cstheme="minorHAnsi"/>
                <w:color w:val="FFFFFF" w:themeColor="background1"/>
              </w:rPr>
            </w:pPr>
            <w:r w:rsidRPr="00BA4F8E">
              <w:rPr>
                <w:rFonts w:cstheme="minorHAnsi"/>
                <w:color w:val="FFFFFF" w:themeColor="background1"/>
              </w:rPr>
              <w:t>54070</w:t>
            </w:r>
            <w:r w:rsidRPr="00BA4F8E">
              <w:rPr>
                <w:rFonts w:cstheme="minorHAnsi"/>
                <w:color w:val="FFFFFF" w:themeColor="background1"/>
              </w:rPr>
              <w:tab/>
              <w:t>Podíl VaV ve vládním sektoru financovaného podnikatelským sektorem</w:t>
            </w:r>
          </w:p>
          <w:p w14:paraId="12BFDBF9" w14:textId="77777777" w:rsidR="00E17E27" w:rsidRPr="00BA4F8E" w:rsidRDefault="00E17E27" w:rsidP="00E17E27">
            <w:pPr>
              <w:spacing w:after="0" w:line="276" w:lineRule="auto"/>
              <w:ind w:left="700" w:hanging="700"/>
              <w:jc w:val="both"/>
              <w:rPr>
                <w:rFonts w:cstheme="minorHAnsi"/>
                <w:color w:val="FFFFFF" w:themeColor="background1"/>
              </w:rPr>
            </w:pPr>
            <w:r w:rsidRPr="00BA4F8E">
              <w:rPr>
                <w:rFonts w:cstheme="minorHAnsi"/>
                <w:color w:val="FFFFFF" w:themeColor="background1"/>
              </w:rPr>
              <w:t>54071</w:t>
            </w:r>
            <w:r w:rsidRPr="00BA4F8E">
              <w:rPr>
                <w:rFonts w:cstheme="minorHAnsi"/>
                <w:color w:val="FFFFFF" w:themeColor="background1"/>
              </w:rPr>
              <w:tab/>
              <w:t>Podíl VaV ve vládním sektoru financovaného podnikatelským sektorem z ČR</w:t>
            </w:r>
          </w:p>
          <w:p w14:paraId="656689CA" w14:textId="77777777" w:rsidR="00E17E27" w:rsidRPr="00BA4F8E" w:rsidRDefault="00E17E27" w:rsidP="00E17E27">
            <w:pPr>
              <w:spacing w:after="0" w:line="276" w:lineRule="auto"/>
              <w:ind w:left="700" w:hanging="700"/>
              <w:jc w:val="both"/>
              <w:rPr>
                <w:rFonts w:cstheme="minorHAnsi"/>
                <w:color w:val="FFFFFF" w:themeColor="background1"/>
              </w:rPr>
            </w:pPr>
            <w:r w:rsidRPr="00BA4F8E">
              <w:rPr>
                <w:rFonts w:cstheme="minorHAnsi"/>
                <w:color w:val="FFFFFF" w:themeColor="background1"/>
              </w:rPr>
              <w:t>54072</w:t>
            </w:r>
            <w:r w:rsidRPr="00BA4F8E">
              <w:rPr>
                <w:rFonts w:cstheme="minorHAnsi"/>
                <w:color w:val="FFFFFF" w:themeColor="background1"/>
              </w:rPr>
              <w:tab/>
              <w:t>Podíl VaV ve vládním sektoru financovaného podnikatelským sektorem ze zahraničí</w:t>
            </w:r>
          </w:p>
          <w:p w14:paraId="29C0FC47" w14:textId="77777777" w:rsidR="00E17E27" w:rsidRPr="00BA4F8E" w:rsidRDefault="00E17E27" w:rsidP="00E17E27">
            <w:pPr>
              <w:spacing w:after="0" w:line="276" w:lineRule="auto"/>
              <w:ind w:left="700" w:hanging="700"/>
              <w:jc w:val="both"/>
              <w:rPr>
                <w:rFonts w:cstheme="minorHAnsi"/>
                <w:color w:val="FFFFFF" w:themeColor="background1"/>
              </w:rPr>
            </w:pPr>
            <w:r w:rsidRPr="00BA4F8E">
              <w:rPr>
                <w:rFonts w:cstheme="minorHAnsi"/>
                <w:color w:val="FFFFFF" w:themeColor="background1"/>
              </w:rPr>
              <w:t>54080</w:t>
            </w:r>
            <w:r w:rsidRPr="00BA4F8E">
              <w:rPr>
                <w:rFonts w:cstheme="minorHAnsi"/>
                <w:color w:val="FFFFFF" w:themeColor="background1"/>
              </w:rPr>
              <w:tab/>
              <w:t>Podíl VaV ve vysokoškolském sektoru financovaného podnikatelským sektorem</w:t>
            </w:r>
          </w:p>
          <w:p w14:paraId="6B9AE6DD" w14:textId="77777777" w:rsidR="00E17E27" w:rsidRPr="00BA4F8E" w:rsidRDefault="00E17E27" w:rsidP="00E17E27">
            <w:pPr>
              <w:spacing w:after="0" w:line="276" w:lineRule="auto"/>
              <w:ind w:left="700" w:hanging="700"/>
              <w:jc w:val="both"/>
              <w:rPr>
                <w:rFonts w:cstheme="minorHAnsi"/>
                <w:color w:val="FFFFFF" w:themeColor="background1"/>
              </w:rPr>
            </w:pPr>
            <w:r w:rsidRPr="00BA4F8E">
              <w:rPr>
                <w:rFonts w:cstheme="minorHAnsi"/>
                <w:color w:val="FFFFFF" w:themeColor="background1"/>
              </w:rPr>
              <w:t>54081</w:t>
            </w:r>
            <w:r w:rsidRPr="00BA4F8E">
              <w:rPr>
                <w:rFonts w:cstheme="minorHAnsi"/>
                <w:color w:val="FFFFFF" w:themeColor="background1"/>
              </w:rPr>
              <w:tab/>
              <w:t>Podíl VaV ve vysokoškolském sektoru financovaného podnikatelským sektorem z ČR</w:t>
            </w:r>
          </w:p>
          <w:p w14:paraId="30979988" w14:textId="77777777" w:rsidR="00E17E27" w:rsidRPr="00BA4F8E" w:rsidRDefault="00E17E27" w:rsidP="00E17E27">
            <w:pPr>
              <w:spacing w:after="0" w:line="276" w:lineRule="auto"/>
              <w:ind w:left="700" w:hanging="700"/>
              <w:jc w:val="both"/>
              <w:rPr>
                <w:rFonts w:cstheme="minorHAnsi"/>
                <w:color w:val="FFFFFF" w:themeColor="background1"/>
              </w:rPr>
            </w:pPr>
            <w:r w:rsidRPr="00BA4F8E">
              <w:rPr>
                <w:rFonts w:cstheme="minorHAnsi"/>
                <w:color w:val="FFFFFF" w:themeColor="background1"/>
              </w:rPr>
              <w:t>54082</w:t>
            </w:r>
            <w:r w:rsidRPr="00BA4F8E">
              <w:rPr>
                <w:rFonts w:cstheme="minorHAnsi"/>
                <w:color w:val="FFFFFF" w:themeColor="background1"/>
              </w:rPr>
              <w:tab/>
              <w:t>Podíl VaV ve vysokoškolském sektoru financovaného podnikatelským sektorem ze zahraničí</w:t>
            </w:r>
          </w:p>
        </w:tc>
      </w:tr>
      <w:tr w:rsidR="00E17E27" w:rsidRPr="00BA4F8E" w14:paraId="4D040F30" w14:textId="77777777" w:rsidTr="003F15C6">
        <w:tc>
          <w:tcPr>
            <w:tcW w:w="2972" w:type="dxa"/>
            <w:tcBorders>
              <w:top w:val="single" w:sz="4" w:space="0" w:color="auto"/>
              <w:left w:val="single" w:sz="4" w:space="0" w:color="auto"/>
              <w:bottom w:val="single" w:sz="4" w:space="0" w:color="auto"/>
              <w:right w:val="single" w:sz="4" w:space="0" w:color="auto"/>
            </w:tcBorders>
            <w:shd w:val="clear" w:color="auto" w:fill="006FA0" w:themeFill="accent3" w:themeFillShade="BF"/>
          </w:tcPr>
          <w:p w14:paraId="1DF55D6D" w14:textId="77777777" w:rsidR="00E17E27" w:rsidRPr="00BA4F8E" w:rsidRDefault="00E17E27" w:rsidP="00E17E27">
            <w:pPr>
              <w:spacing w:after="0" w:line="276" w:lineRule="auto"/>
              <w:jc w:val="both"/>
              <w:rPr>
                <w:rFonts w:cstheme="minorHAnsi"/>
                <w:color w:val="FFFFFF" w:themeColor="background1"/>
              </w:rPr>
            </w:pPr>
            <w:r w:rsidRPr="00BA4F8E">
              <w:rPr>
                <w:rFonts w:cstheme="minorHAnsi"/>
                <w:color w:val="FFFFFF" w:themeColor="background1"/>
              </w:rPr>
              <w:t>C.1: Zvýšit relevanci výzkumu pro potřeby aplikační sféry</w:t>
            </w:r>
          </w:p>
        </w:tc>
        <w:tc>
          <w:tcPr>
            <w:tcW w:w="6662" w:type="dxa"/>
            <w:gridSpan w:val="3"/>
            <w:tcBorders>
              <w:top w:val="single" w:sz="4" w:space="0" w:color="auto"/>
              <w:left w:val="single" w:sz="4" w:space="0" w:color="auto"/>
              <w:bottom w:val="single" w:sz="4" w:space="0" w:color="auto"/>
              <w:right w:val="single" w:sz="4" w:space="0" w:color="auto"/>
            </w:tcBorders>
            <w:shd w:val="clear" w:color="auto" w:fill="006FA0" w:themeFill="accent3" w:themeFillShade="BF"/>
          </w:tcPr>
          <w:p w14:paraId="690DD285" w14:textId="77777777" w:rsidR="00E17E27" w:rsidRPr="00BA4F8E" w:rsidRDefault="00E17E27" w:rsidP="00E17E27">
            <w:pPr>
              <w:spacing w:after="0" w:line="276" w:lineRule="auto"/>
              <w:ind w:left="700" w:hanging="700"/>
              <w:jc w:val="both"/>
              <w:rPr>
                <w:rFonts w:cstheme="minorHAnsi"/>
                <w:color w:val="FFFFFF" w:themeColor="background1"/>
              </w:rPr>
            </w:pPr>
            <w:r w:rsidRPr="00BA4F8E">
              <w:rPr>
                <w:rFonts w:cstheme="minorHAnsi"/>
                <w:color w:val="FFFFFF" w:themeColor="background1"/>
              </w:rPr>
              <w:t>21021</w:t>
            </w:r>
            <w:r w:rsidRPr="00BA4F8E">
              <w:rPr>
                <w:rFonts w:cstheme="minorHAnsi"/>
                <w:color w:val="FFFFFF" w:themeColor="background1"/>
              </w:rPr>
              <w:tab/>
              <w:t>Výdaje podnikatelského sektoru na provádění VaV ve vládním a vysokoškolském sektoru v hl. městě Praze jako % celkových výdajů na provádění VaV v těchto sektorech</w:t>
            </w:r>
          </w:p>
          <w:p w14:paraId="525233CC" w14:textId="77777777" w:rsidR="00E17E27" w:rsidRPr="00BA4F8E" w:rsidRDefault="00E17E27" w:rsidP="00E17E27">
            <w:pPr>
              <w:spacing w:after="0" w:line="276" w:lineRule="auto"/>
              <w:ind w:left="700" w:hanging="700"/>
              <w:jc w:val="both"/>
              <w:rPr>
                <w:rFonts w:cstheme="minorHAnsi"/>
                <w:color w:val="FFFFFF" w:themeColor="background1"/>
              </w:rPr>
            </w:pPr>
            <w:r w:rsidRPr="00BA4F8E">
              <w:rPr>
                <w:rFonts w:cstheme="minorHAnsi"/>
                <w:color w:val="FFFFFF" w:themeColor="background1"/>
              </w:rPr>
              <w:t>21011</w:t>
            </w:r>
            <w:r w:rsidRPr="00BA4F8E">
              <w:rPr>
                <w:rFonts w:cstheme="minorHAnsi"/>
                <w:color w:val="FFFFFF" w:themeColor="background1"/>
              </w:rPr>
              <w:tab/>
              <w:t>Výdaje podnikatelského sektoru na provádění VaV ve vládním a vysokoškolském sektoru jako % celkových výdajů na provádění VaV v těchto sektorech</w:t>
            </w:r>
          </w:p>
          <w:p w14:paraId="369A0023" w14:textId="77777777" w:rsidR="00E17E27" w:rsidRPr="00BA4F8E" w:rsidRDefault="00E17E27" w:rsidP="00E17E27">
            <w:pPr>
              <w:spacing w:after="0" w:line="276" w:lineRule="auto"/>
              <w:ind w:left="700" w:hanging="700"/>
              <w:jc w:val="both"/>
              <w:rPr>
                <w:rFonts w:cstheme="minorHAnsi"/>
                <w:color w:val="FFFFFF" w:themeColor="background1"/>
              </w:rPr>
            </w:pPr>
            <w:r w:rsidRPr="00BA4F8E">
              <w:rPr>
                <w:rFonts w:cstheme="minorHAnsi"/>
                <w:color w:val="FFFFFF" w:themeColor="background1"/>
              </w:rPr>
              <w:t>20101</w:t>
            </w:r>
            <w:r w:rsidRPr="00BA4F8E">
              <w:rPr>
                <w:rFonts w:cstheme="minorHAnsi"/>
                <w:color w:val="FFFFFF" w:themeColor="background1"/>
              </w:rPr>
              <w:tab/>
              <w:t>Počet výzkumných organizací spolupracujících s firmami</w:t>
            </w:r>
          </w:p>
        </w:tc>
      </w:tr>
      <w:tr w:rsidR="00E17E27" w:rsidRPr="00BA4F8E" w14:paraId="12C45382" w14:textId="77777777" w:rsidTr="003F15C6">
        <w:tc>
          <w:tcPr>
            <w:tcW w:w="9634" w:type="dxa"/>
            <w:gridSpan w:val="4"/>
            <w:tcBorders>
              <w:top w:val="single" w:sz="4" w:space="0" w:color="auto"/>
              <w:left w:val="single" w:sz="4" w:space="0" w:color="auto"/>
              <w:bottom w:val="single" w:sz="4" w:space="0" w:color="auto"/>
              <w:right w:val="single" w:sz="4" w:space="0" w:color="auto"/>
            </w:tcBorders>
            <w:shd w:val="clear" w:color="auto" w:fill="88DBFF" w:themeFill="accent3" w:themeFillTint="66"/>
          </w:tcPr>
          <w:p w14:paraId="2FC7816D" w14:textId="77777777" w:rsidR="00E17E27" w:rsidRPr="00BA4F8E" w:rsidRDefault="00E17E27" w:rsidP="00E17E27">
            <w:pPr>
              <w:spacing w:after="0" w:line="276" w:lineRule="auto"/>
              <w:jc w:val="both"/>
              <w:rPr>
                <w:rFonts w:cstheme="minorHAnsi"/>
                <w:i/>
              </w:rPr>
            </w:pPr>
            <w:r w:rsidRPr="00BA4F8E">
              <w:rPr>
                <w:rFonts w:cstheme="minorHAnsi"/>
                <w:b/>
              </w:rPr>
              <w:t>Strategický cíl C.1: Zvýšit relevanci výzkumu</w:t>
            </w:r>
          </w:p>
          <w:p w14:paraId="13BCF609" w14:textId="77777777" w:rsidR="00E17E27" w:rsidRPr="00BA4F8E" w:rsidRDefault="00E17E27" w:rsidP="00E17E27">
            <w:pPr>
              <w:spacing w:after="0" w:line="276" w:lineRule="auto"/>
              <w:jc w:val="both"/>
              <w:rPr>
                <w:rFonts w:cstheme="minorHAnsi"/>
              </w:rPr>
            </w:pPr>
            <w:r w:rsidRPr="00BA4F8E">
              <w:rPr>
                <w:rFonts w:cstheme="minorHAnsi"/>
              </w:rPr>
              <w:t>Relevance výzkumné činnosti je přímo závislá na intenzitě interakce a spolupráce s uživateli výsledků, s aplikační sférou, která je nezbytným partnerem pro správné definování výzkumného problému. Pro zvýšení relevance výzkumu financovaného z veřejných zdrojů je proto nutné všemi prostředky podporovat spolupráci, mobilitu a posilovat partnerské vztahy mezi výzkumnými organizacemi a aplikační sférou. Pro zvýšení ekonomických přínosů výzkumu realizovaného výzkumnými organizacemi je pak nezbytné zlepšení podpůrných procesů pro komerční zhodnocení výsledků VaV.</w:t>
            </w:r>
          </w:p>
          <w:p w14:paraId="53377D07" w14:textId="77777777" w:rsidR="00E17E27" w:rsidRPr="00BA4F8E" w:rsidRDefault="00E17E27" w:rsidP="00E17E27">
            <w:pPr>
              <w:spacing w:after="0" w:line="276" w:lineRule="auto"/>
              <w:jc w:val="both"/>
              <w:rPr>
                <w:rFonts w:cstheme="minorHAnsi"/>
              </w:rPr>
            </w:pPr>
            <w:r w:rsidRPr="00BA4F8E">
              <w:rPr>
                <w:rFonts w:cstheme="minorHAnsi"/>
              </w:rPr>
              <w:t>Zvýšení intenzity interakcí mezi výzkumnými organizacemi a firmami se projeví vyšší intenzitou společně připravovaných a realizovaných projektů, jakož i objemem smluvního výzkumu. Zlepšení procesů na podporu komercializace se projeví růstem počtu licencí poskytnutých VO na výsledky své výzkumné činnosti a počtem technologických firem, které využijí duševní vlastnictví VO.</w:t>
            </w:r>
          </w:p>
        </w:tc>
      </w:tr>
      <w:tr w:rsidR="00E17E27" w:rsidRPr="00BA4F8E" w14:paraId="2857D101" w14:textId="77777777" w:rsidTr="003F15C6">
        <w:tc>
          <w:tcPr>
            <w:tcW w:w="3070" w:type="dxa"/>
            <w:gridSpan w:val="2"/>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10C44D2A" w14:textId="77777777" w:rsidR="00E17E27" w:rsidRPr="00BA4F8E" w:rsidRDefault="00E17E27" w:rsidP="00E17E27">
            <w:pPr>
              <w:spacing w:after="0" w:line="276" w:lineRule="auto"/>
              <w:jc w:val="both"/>
              <w:rPr>
                <w:rFonts w:cstheme="minorHAnsi"/>
                <w:b/>
                <w:i/>
              </w:rPr>
            </w:pPr>
            <w:r w:rsidRPr="00BA4F8E">
              <w:rPr>
                <w:rFonts w:cstheme="minorHAnsi"/>
                <w:b/>
                <w:i/>
              </w:rPr>
              <w:t xml:space="preserve">Specifické cíle  </w:t>
            </w:r>
          </w:p>
        </w:tc>
        <w:tc>
          <w:tcPr>
            <w:tcW w:w="3249"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55D0FACE" w14:textId="77777777" w:rsidR="00E17E27" w:rsidRPr="00BA4F8E" w:rsidRDefault="00E17E27" w:rsidP="00E17E27">
            <w:pPr>
              <w:spacing w:after="0" w:line="276" w:lineRule="auto"/>
              <w:jc w:val="both"/>
              <w:rPr>
                <w:rFonts w:cstheme="minorHAnsi"/>
                <w:b/>
                <w:i/>
              </w:rPr>
            </w:pPr>
            <w:r w:rsidRPr="00BA4F8E">
              <w:rPr>
                <w:rFonts w:cstheme="minorHAnsi"/>
                <w:b/>
                <w:i/>
              </w:rPr>
              <w:t>Indikátory specifického cíle</w:t>
            </w: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D3293AA" w14:textId="77777777" w:rsidR="00E17E27" w:rsidRPr="00BA4F8E" w:rsidRDefault="00E17E27" w:rsidP="00E17E27">
            <w:pPr>
              <w:spacing w:after="0" w:line="276" w:lineRule="auto"/>
              <w:jc w:val="both"/>
              <w:rPr>
                <w:rFonts w:cstheme="minorHAnsi"/>
                <w:b/>
                <w:i/>
              </w:rPr>
            </w:pPr>
            <w:r w:rsidRPr="00BA4F8E">
              <w:rPr>
                <w:rFonts w:cstheme="minorHAnsi"/>
                <w:b/>
                <w:i/>
              </w:rPr>
              <w:t>Typové aktivity/projekty/operace</w:t>
            </w:r>
          </w:p>
        </w:tc>
      </w:tr>
      <w:tr w:rsidR="00E17E27" w:rsidRPr="00BA4F8E" w14:paraId="22B0F125" w14:textId="77777777" w:rsidTr="003F15C6">
        <w:trPr>
          <w:trHeight w:val="163"/>
        </w:trPr>
        <w:tc>
          <w:tcPr>
            <w:tcW w:w="3070" w:type="dxa"/>
            <w:gridSpan w:val="2"/>
            <w:vMerge w:val="restart"/>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BF9CA96" w14:textId="77777777" w:rsidR="00E17E27" w:rsidRPr="00BA4F8E" w:rsidRDefault="00E17E27" w:rsidP="00E17E27">
            <w:pPr>
              <w:spacing w:after="0" w:line="276" w:lineRule="auto"/>
              <w:jc w:val="both"/>
              <w:rPr>
                <w:rFonts w:cstheme="minorHAnsi"/>
                <w:i/>
              </w:rPr>
            </w:pPr>
            <w:r w:rsidRPr="00BA4F8E">
              <w:rPr>
                <w:rFonts w:cstheme="minorHAnsi"/>
                <w:b/>
              </w:rPr>
              <w:t>C.1.1: Posílit spolupráci a interakci mezi VO a aplikační sférou</w:t>
            </w:r>
            <w:r w:rsidRPr="00BA4F8E">
              <w:rPr>
                <w:rFonts w:cstheme="minorHAnsi"/>
                <w:b/>
                <w:vertAlign w:val="superscript"/>
              </w:rPr>
              <w:footnoteReference w:id="96"/>
            </w:r>
          </w:p>
        </w:tc>
        <w:tc>
          <w:tcPr>
            <w:tcW w:w="3249" w:type="dxa"/>
            <w:vMerge w:val="restart"/>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8DDB150" w14:textId="77777777" w:rsidR="00E17E27" w:rsidRPr="00BA4F8E" w:rsidRDefault="00E17E27" w:rsidP="00E17E27">
            <w:pPr>
              <w:spacing w:after="0" w:line="276" w:lineRule="auto"/>
              <w:ind w:left="700" w:hanging="700"/>
              <w:rPr>
                <w:rFonts w:cstheme="minorHAnsi"/>
              </w:rPr>
            </w:pPr>
            <w:r w:rsidRPr="00BA4F8E">
              <w:rPr>
                <w:rFonts w:cstheme="minorHAnsi"/>
              </w:rPr>
              <w:t>10000</w:t>
            </w:r>
            <w:r w:rsidRPr="00BA4F8E">
              <w:rPr>
                <w:rFonts w:cstheme="minorHAnsi"/>
              </w:rPr>
              <w:tab/>
              <w:t xml:space="preserve">Počet podniků pobírajících podporu </w:t>
            </w:r>
          </w:p>
          <w:p w14:paraId="7BE81536" w14:textId="77777777" w:rsidR="00E17E27" w:rsidRPr="00BA4F8E" w:rsidRDefault="00E17E27" w:rsidP="00E17E27">
            <w:pPr>
              <w:spacing w:after="0" w:line="276" w:lineRule="auto"/>
              <w:ind w:left="700" w:hanging="700"/>
              <w:rPr>
                <w:rFonts w:cstheme="minorHAnsi"/>
              </w:rPr>
            </w:pPr>
            <w:r w:rsidRPr="00BA4F8E">
              <w:rPr>
                <w:rFonts w:cstheme="minorHAnsi"/>
              </w:rPr>
              <w:t>20000</w:t>
            </w:r>
            <w:r w:rsidRPr="00BA4F8E">
              <w:rPr>
                <w:rFonts w:cstheme="minorHAnsi"/>
              </w:rPr>
              <w:tab/>
              <w:t>Počet podniků spolupracujících s výzkumnými institucemi</w:t>
            </w:r>
          </w:p>
          <w:p w14:paraId="1182BFF1" w14:textId="19775961" w:rsidR="00E17E27" w:rsidRPr="00BA4F8E" w:rsidRDefault="00E17E27" w:rsidP="00E17E27">
            <w:pPr>
              <w:spacing w:after="0" w:line="276" w:lineRule="auto"/>
              <w:ind w:left="700" w:hanging="700"/>
              <w:rPr>
                <w:rFonts w:cstheme="minorHAnsi"/>
              </w:rPr>
            </w:pPr>
            <w:r w:rsidRPr="00BA4F8E">
              <w:rPr>
                <w:rFonts w:cstheme="minorHAnsi"/>
              </w:rPr>
              <w:lastRenderedPageBreak/>
              <w:t>20213</w:t>
            </w:r>
            <w:r w:rsidRPr="00BA4F8E">
              <w:rPr>
                <w:rFonts w:cstheme="minorHAnsi"/>
              </w:rPr>
              <w:tab/>
              <w:t>Podíl odborných publikací ve spoluautorství výzkumných organizací a</w:t>
            </w:r>
            <w:r w:rsidR="00EC4CC0">
              <w:rPr>
                <w:rFonts w:cstheme="minorHAnsi"/>
              </w:rPr>
              <w:t> </w:t>
            </w:r>
            <w:r w:rsidRPr="00BA4F8E">
              <w:rPr>
                <w:rFonts w:cstheme="minorHAnsi"/>
              </w:rPr>
              <w:t>podniků</w:t>
            </w:r>
          </w:p>
          <w:p w14:paraId="600A35D3" w14:textId="77777777" w:rsidR="00E17E27" w:rsidRPr="00BA4F8E" w:rsidRDefault="00E17E27" w:rsidP="00E17E27">
            <w:pPr>
              <w:spacing w:after="0" w:line="276" w:lineRule="auto"/>
              <w:ind w:left="700" w:hanging="700"/>
              <w:rPr>
                <w:rFonts w:cstheme="minorHAnsi"/>
              </w:rPr>
            </w:pPr>
            <w:r w:rsidRPr="00BA4F8E">
              <w:rPr>
                <w:rFonts w:cstheme="minorHAnsi"/>
              </w:rPr>
              <w:t>20400</w:t>
            </w:r>
            <w:r w:rsidRPr="00BA4F8E">
              <w:rPr>
                <w:rFonts w:cstheme="minorHAnsi"/>
              </w:rPr>
              <w:tab/>
              <w:t>Počet nových výzkumných pracovníků v podporovaných subjektech</w:t>
            </w:r>
          </w:p>
          <w:p w14:paraId="02BFBF1D" w14:textId="77777777" w:rsidR="00E17E27" w:rsidRPr="00BA4F8E" w:rsidRDefault="00E17E27" w:rsidP="00E17E27">
            <w:pPr>
              <w:spacing w:after="0" w:line="276" w:lineRule="auto"/>
              <w:ind w:left="700" w:hanging="700"/>
              <w:rPr>
                <w:rFonts w:cstheme="minorHAnsi"/>
              </w:rPr>
            </w:pPr>
            <w:r w:rsidRPr="00BA4F8E">
              <w:rPr>
                <w:rFonts w:cstheme="minorHAnsi"/>
              </w:rPr>
              <w:t>20800</w:t>
            </w:r>
            <w:r w:rsidRPr="00BA4F8E">
              <w:rPr>
                <w:rFonts w:cstheme="minorHAnsi"/>
              </w:rPr>
              <w:tab/>
              <w:t>Počet podpořených výzkumných a akademických pracovníků</w:t>
            </w:r>
          </w:p>
          <w:p w14:paraId="11137EC0" w14:textId="77777777" w:rsidR="00E17E27" w:rsidRPr="00BA4F8E" w:rsidRDefault="00E17E27" w:rsidP="00E17E27">
            <w:pPr>
              <w:spacing w:after="0" w:line="276" w:lineRule="auto"/>
              <w:ind w:left="700" w:hanging="700"/>
              <w:rPr>
                <w:rFonts w:cstheme="minorHAnsi"/>
              </w:rPr>
            </w:pPr>
            <w:r w:rsidRPr="00BA4F8E">
              <w:rPr>
                <w:rFonts w:cstheme="minorHAnsi"/>
              </w:rPr>
              <w:t>20803</w:t>
            </w:r>
            <w:r w:rsidRPr="00BA4F8E">
              <w:rPr>
                <w:rFonts w:cstheme="minorHAnsi"/>
              </w:rPr>
              <w:tab/>
              <w:t>Počet podpořených administrativních a technických pracovníků ve VaV</w:t>
            </w:r>
          </w:p>
          <w:p w14:paraId="33F23C9B" w14:textId="77777777" w:rsidR="00E17E27" w:rsidRPr="00BA4F8E" w:rsidRDefault="00E17E27" w:rsidP="00E17E27">
            <w:pPr>
              <w:spacing w:after="0" w:line="276" w:lineRule="auto"/>
              <w:ind w:left="700" w:hanging="700"/>
              <w:rPr>
                <w:rFonts w:cstheme="minorHAnsi"/>
              </w:rPr>
            </w:pPr>
            <w:r w:rsidRPr="00BA4F8E">
              <w:rPr>
                <w:rFonts w:cstheme="minorHAnsi"/>
              </w:rPr>
              <w:t>21610</w:t>
            </w:r>
            <w:r w:rsidRPr="00BA4F8E">
              <w:rPr>
                <w:rFonts w:cstheme="minorHAnsi"/>
              </w:rPr>
              <w:tab/>
              <w:t>Počet nových přihlášených výsledků aplikovaného výzkumu</w:t>
            </w:r>
          </w:p>
          <w:p w14:paraId="6F0BE145" w14:textId="77777777" w:rsidR="00E17E27" w:rsidRPr="00BA4F8E" w:rsidRDefault="00E17E27" w:rsidP="00E17E27">
            <w:pPr>
              <w:spacing w:after="0" w:line="276" w:lineRule="auto"/>
              <w:ind w:left="700" w:hanging="700"/>
              <w:rPr>
                <w:rFonts w:cstheme="minorHAnsi"/>
              </w:rPr>
            </w:pPr>
            <w:r w:rsidRPr="00BA4F8E">
              <w:rPr>
                <w:rFonts w:cstheme="minorHAnsi"/>
              </w:rPr>
              <w:t>21810</w:t>
            </w:r>
            <w:r w:rsidRPr="00BA4F8E">
              <w:rPr>
                <w:rFonts w:cstheme="minorHAnsi"/>
              </w:rPr>
              <w:tab/>
              <w:t>Počet realizovaných transferů technologií a znalostí do praxe</w:t>
            </w:r>
          </w:p>
          <w:p w14:paraId="35CE018A" w14:textId="77777777" w:rsidR="00E17E27" w:rsidRPr="00BA4F8E" w:rsidRDefault="00E17E27" w:rsidP="00E17E27">
            <w:pPr>
              <w:spacing w:after="0" w:line="276" w:lineRule="auto"/>
              <w:ind w:left="700" w:hanging="700"/>
              <w:rPr>
                <w:rFonts w:cstheme="minorHAnsi"/>
              </w:rPr>
            </w:pPr>
            <w:r w:rsidRPr="00BA4F8E">
              <w:rPr>
                <w:rFonts w:cstheme="minorHAnsi"/>
              </w:rPr>
              <w:t>22502</w:t>
            </w:r>
            <w:r w:rsidRPr="00BA4F8E">
              <w:rPr>
                <w:rFonts w:cstheme="minorHAnsi"/>
              </w:rPr>
              <w:tab/>
              <w:t>Inovační vouchery</w:t>
            </w:r>
          </w:p>
          <w:p w14:paraId="3B1DCD25" w14:textId="77777777" w:rsidR="00E17E27" w:rsidRPr="00BA4F8E" w:rsidRDefault="00E17E27" w:rsidP="00E17E27">
            <w:pPr>
              <w:spacing w:after="0" w:line="276" w:lineRule="auto"/>
              <w:ind w:left="700" w:hanging="700"/>
              <w:rPr>
                <w:rFonts w:cstheme="minorHAnsi"/>
              </w:rPr>
            </w:pPr>
            <w:r w:rsidRPr="00BA4F8E">
              <w:rPr>
                <w:rFonts w:cstheme="minorHAnsi"/>
              </w:rPr>
              <w:t>54310</w:t>
            </w:r>
            <w:r w:rsidRPr="00BA4F8E">
              <w:rPr>
                <w:rFonts w:cstheme="minorHAnsi"/>
              </w:rPr>
              <w:tab/>
              <w:t xml:space="preserve"> Počet podpořených spoluprací</w:t>
            </w:r>
          </w:p>
          <w:p w14:paraId="0153DF42" w14:textId="77777777" w:rsidR="00E17E27" w:rsidRPr="00BA4F8E" w:rsidRDefault="00E17E27" w:rsidP="00E17E27">
            <w:pPr>
              <w:spacing w:after="0" w:line="276" w:lineRule="auto"/>
              <w:ind w:left="700" w:hanging="700"/>
              <w:rPr>
                <w:rFonts w:cstheme="minorHAnsi"/>
              </w:rPr>
            </w:pPr>
            <w:r w:rsidRPr="00BA4F8E">
              <w:rPr>
                <w:rFonts w:cstheme="minorHAnsi"/>
              </w:rPr>
              <w:tab/>
            </w:r>
          </w:p>
          <w:p w14:paraId="09A8A027" w14:textId="77777777" w:rsidR="00E17E27" w:rsidRPr="00BA4F8E" w:rsidRDefault="00E17E27" w:rsidP="00E17E27">
            <w:pPr>
              <w:spacing w:after="0" w:line="276" w:lineRule="auto"/>
              <w:ind w:left="700" w:hanging="700"/>
              <w:rPr>
                <w:rFonts w:cstheme="minorHAns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25149BFD" w14:textId="14140784" w:rsidR="00E17E27" w:rsidRPr="00BA4F8E" w:rsidRDefault="00E17E27" w:rsidP="008C47F8">
            <w:pPr>
              <w:spacing w:after="0" w:line="276" w:lineRule="auto"/>
              <w:jc w:val="both"/>
              <w:rPr>
                <w:rFonts w:cstheme="minorHAnsi"/>
                <w:i/>
              </w:rPr>
            </w:pPr>
            <w:r w:rsidRPr="00BA4F8E">
              <w:rPr>
                <w:rFonts w:cstheme="minorHAnsi"/>
                <w:i/>
              </w:rPr>
              <w:lastRenderedPageBreak/>
              <w:t>Podpora přípravy a realizace společných projektů VO a</w:t>
            </w:r>
            <w:r w:rsidR="008C47F8">
              <w:rPr>
                <w:rFonts w:cstheme="minorHAnsi"/>
                <w:i/>
              </w:rPr>
              <w:t> </w:t>
            </w:r>
            <w:r w:rsidRPr="00BA4F8E">
              <w:rPr>
                <w:rFonts w:cstheme="minorHAnsi"/>
                <w:i/>
              </w:rPr>
              <w:t>aplikačních partnerů ve VaV a</w:t>
            </w:r>
            <w:r w:rsidR="008C47F8">
              <w:rPr>
                <w:rFonts w:cstheme="minorHAnsi"/>
                <w:i/>
              </w:rPr>
              <w:t> </w:t>
            </w:r>
            <w:r w:rsidRPr="00BA4F8E">
              <w:rPr>
                <w:rFonts w:cstheme="minorHAnsi"/>
                <w:i/>
              </w:rPr>
              <w:t xml:space="preserve">vzdělávání s důrazem na mezioborové přístupy a definici </w:t>
            </w:r>
            <w:r w:rsidRPr="00BA4F8E">
              <w:rPr>
                <w:rFonts w:cstheme="minorHAnsi"/>
                <w:i/>
              </w:rPr>
              <w:lastRenderedPageBreak/>
              <w:t xml:space="preserve">zaměření aktivit ve spolupráci s aplikační sférou (projekty typu kompetenčních center). </w:t>
            </w:r>
          </w:p>
        </w:tc>
      </w:tr>
      <w:tr w:rsidR="00E17E27" w:rsidRPr="00BA4F8E" w14:paraId="4CAADC42" w14:textId="77777777" w:rsidTr="003F15C6">
        <w:trPr>
          <w:trHeight w:val="163"/>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791FEB6C" w14:textId="77777777" w:rsidR="00E17E27" w:rsidRPr="00BA4F8E" w:rsidRDefault="00E17E27" w:rsidP="00E17E27">
            <w:pPr>
              <w:spacing w:after="0" w:line="276" w:lineRule="auto"/>
              <w:jc w:val="both"/>
              <w:rPr>
                <w:rFonts w:cstheme="minorHAnsi"/>
                <w:b/>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589781A9" w14:textId="77777777" w:rsidR="00E17E27" w:rsidRPr="00BA4F8E" w:rsidRDefault="00E17E27" w:rsidP="00543C1B">
            <w:pPr>
              <w:numPr>
                <w:ilvl w:val="0"/>
                <w:numId w:val="34"/>
              </w:numPr>
              <w:spacing w:after="0" w:line="276" w:lineRule="auto"/>
              <w:contextualSpacing/>
              <w:jc w:val="both"/>
              <w:rPr>
                <w:rFonts w:cstheme="minorHAns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7561686" w14:textId="2A6915A6" w:rsidR="00E17E27" w:rsidRPr="00BA4F8E" w:rsidRDefault="00E17E27" w:rsidP="00EC4CC0">
            <w:pPr>
              <w:spacing w:after="0" w:line="276" w:lineRule="auto"/>
              <w:jc w:val="both"/>
              <w:rPr>
                <w:rFonts w:cstheme="minorHAnsi"/>
                <w:i/>
              </w:rPr>
            </w:pPr>
            <w:r w:rsidRPr="00BA4F8E">
              <w:rPr>
                <w:rFonts w:cstheme="minorHAnsi"/>
                <w:i/>
              </w:rPr>
              <w:t>Dlouhodobé, problémově orientované výzkumné programy</w:t>
            </w:r>
            <w:r w:rsidRPr="00BA4F8E">
              <w:rPr>
                <w:rFonts w:cstheme="minorHAnsi"/>
                <w:i/>
                <w:vertAlign w:val="superscript"/>
              </w:rPr>
              <w:footnoteReference w:id="97"/>
            </w:r>
            <w:r w:rsidRPr="00BA4F8E">
              <w:rPr>
                <w:rFonts w:cstheme="minorHAnsi"/>
                <w:i/>
              </w:rPr>
              <w:t xml:space="preserve"> reagující na střednědobé potřeby aplikační sféry; důraz na síťování předních českých pracovišť a</w:t>
            </w:r>
            <w:r w:rsidR="00EC4CC0">
              <w:rPr>
                <w:rFonts w:cstheme="minorHAnsi"/>
                <w:i/>
              </w:rPr>
              <w:t> </w:t>
            </w:r>
            <w:r w:rsidRPr="00BA4F8E">
              <w:rPr>
                <w:rFonts w:cstheme="minorHAnsi"/>
                <w:i/>
              </w:rPr>
              <w:t>subjektů z aplikační sféry (zejm. technologicky vyspělých firem) v klíčových ekonomických odvětvích a mezioborová témata s potenciálem širokého uplatnění výsledků v praxi.</w:t>
            </w:r>
          </w:p>
        </w:tc>
      </w:tr>
      <w:tr w:rsidR="00E17E27" w:rsidRPr="00BA4F8E" w14:paraId="29D25B36" w14:textId="77777777" w:rsidTr="003F15C6">
        <w:trPr>
          <w:trHeight w:val="230"/>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51D0B80D"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F31B006"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03AC633" w14:textId="77777777" w:rsidR="00E17E27" w:rsidRPr="00BA4F8E" w:rsidRDefault="00E17E27" w:rsidP="00E17E27">
            <w:pPr>
              <w:spacing w:after="0" w:line="276" w:lineRule="auto"/>
              <w:jc w:val="both"/>
              <w:rPr>
                <w:rFonts w:cstheme="minorHAnsi"/>
                <w:i/>
              </w:rPr>
            </w:pPr>
            <w:r w:rsidRPr="00BA4F8E">
              <w:rPr>
                <w:rFonts w:cstheme="minorHAnsi"/>
                <w:i/>
              </w:rPr>
              <w:t>Letní školy realizované ve spolupráci VO s aplikační sférou.</w:t>
            </w:r>
          </w:p>
        </w:tc>
      </w:tr>
      <w:tr w:rsidR="00E17E27" w:rsidRPr="00BA4F8E" w14:paraId="0B97F1F2" w14:textId="77777777" w:rsidTr="003F15C6">
        <w:trPr>
          <w:trHeight w:val="434"/>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0601E171"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11324FB8"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52290B00" w14:textId="77777777" w:rsidR="00E17E27" w:rsidRPr="00BA4F8E" w:rsidRDefault="00E17E27" w:rsidP="00E17E27">
            <w:pPr>
              <w:spacing w:after="0" w:line="276" w:lineRule="auto"/>
              <w:jc w:val="both"/>
              <w:rPr>
                <w:rFonts w:cstheme="minorHAnsi"/>
              </w:rPr>
            </w:pPr>
            <w:r w:rsidRPr="00BA4F8E">
              <w:rPr>
                <w:rFonts w:cstheme="minorHAnsi"/>
              </w:rPr>
              <w:t>Mobility studentů, společná výchova PhD studentů pod dohledem VŠ a firmy (Knowledge Transfer Partnership).</w:t>
            </w:r>
          </w:p>
        </w:tc>
      </w:tr>
      <w:tr w:rsidR="00E17E27" w:rsidRPr="00BA4F8E" w14:paraId="0A64ABD8" w14:textId="77777777" w:rsidTr="003F15C6">
        <w:trPr>
          <w:trHeight w:val="434"/>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5F297674"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54B21A0E"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F9E63BA" w14:textId="77777777" w:rsidR="00E17E27" w:rsidRPr="00BA4F8E" w:rsidRDefault="00E17E27" w:rsidP="00E17E27">
            <w:pPr>
              <w:spacing w:after="0" w:line="276" w:lineRule="auto"/>
              <w:jc w:val="both"/>
              <w:rPr>
                <w:rFonts w:cstheme="minorHAnsi"/>
              </w:rPr>
            </w:pPr>
            <w:r w:rsidRPr="00BA4F8E">
              <w:rPr>
                <w:rFonts w:cstheme="minorHAnsi"/>
              </w:rPr>
              <w:t>Průmyslové profesury (profesorské pozice pro zkušené odborníky z praxe).</w:t>
            </w:r>
          </w:p>
        </w:tc>
      </w:tr>
      <w:tr w:rsidR="00E17E27" w:rsidRPr="00BA4F8E" w14:paraId="24CF41EA" w14:textId="77777777" w:rsidTr="003F15C6">
        <w:trPr>
          <w:trHeight w:val="263"/>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532125B4"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39B058FC"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3D529948" w14:textId="77777777" w:rsidR="00E17E27" w:rsidRPr="00BA4F8E" w:rsidRDefault="00E17E27" w:rsidP="00E17E27">
            <w:pPr>
              <w:spacing w:after="0" w:line="276" w:lineRule="auto"/>
              <w:jc w:val="both"/>
              <w:rPr>
                <w:rFonts w:cstheme="minorHAnsi"/>
              </w:rPr>
            </w:pPr>
            <w:r w:rsidRPr="00BA4F8E">
              <w:rPr>
                <w:rFonts w:cstheme="minorHAnsi"/>
              </w:rPr>
              <w:t>Inovační vouchery.</w:t>
            </w:r>
          </w:p>
        </w:tc>
      </w:tr>
      <w:tr w:rsidR="00E17E27" w:rsidRPr="00BA4F8E" w14:paraId="29948CDE" w14:textId="77777777" w:rsidTr="003F15C6">
        <w:trPr>
          <w:trHeight w:val="434"/>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3E2070EB"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7D98C913"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6966D8B5" w14:textId="77777777" w:rsidR="00E17E27" w:rsidRPr="00BA4F8E" w:rsidRDefault="00E17E27" w:rsidP="00E17E27">
            <w:pPr>
              <w:spacing w:after="0" w:line="276" w:lineRule="auto"/>
              <w:jc w:val="both"/>
              <w:rPr>
                <w:rFonts w:cstheme="minorHAnsi"/>
                <w:i/>
              </w:rPr>
            </w:pPr>
            <w:r w:rsidRPr="00BA4F8E">
              <w:rPr>
                <w:rFonts w:cstheme="minorHAnsi"/>
                <w:i/>
              </w:rPr>
              <w:t>Ustavení inovačních platforem pro prioritní oblasti RIS3 (oblasti vertikální specializace) na národní úrovni při identifikaci slibných dlouhodobých témat VaV reagujících na potřeby aplikační sféry a na identifikované společenské výzvy.</w:t>
            </w:r>
          </w:p>
        </w:tc>
      </w:tr>
      <w:tr w:rsidR="00E17E27" w:rsidRPr="00BA4F8E" w14:paraId="77EB6E1A" w14:textId="77777777" w:rsidTr="003F15C6">
        <w:trPr>
          <w:trHeight w:val="434"/>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2ECF6D1"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17C5856C"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0F9C3D61" w14:textId="77777777" w:rsidR="00E17E27" w:rsidRPr="00BA4F8E" w:rsidRDefault="00E17E27" w:rsidP="00E17E27">
            <w:pPr>
              <w:spacing w:after="0" w:line="276" w:lineRule="auto"/>
              <w:jc w:val="both"/>
              <w:rPr>
                <w:rFonts w:cstheme="minorHAnsi"/>
              </w:rPr>
            </w:pPr>
            <w:r w:rsidRPr="00BA4F8E">
              <w:rPr>
                <w:rFonts w:cstheme="minorHAnsi"/>
              </w:rPr>
              <w:t>Zpřístupnění přístrojového vybavení výzkumných organizací pro potřeby externích uživatelů - vytvoření centrální celostátní databáze přístrojového vybavení dostupného ve VO, vyjednání podmínek a nastavení pravidel zpřístupnění přístrojů.</w:t>
            </w:r>
          </w:p>
        </w:tc>
      </w:tr>
      <w:tr w:rsidR="00E17E27" w:rsidRPr="00BA4F8E" w14:paraId="3ABA075C" w14:textId="77777777" w:rsidTr="003F15C6">
        <w:trPr>
          <w:trHeight w:val="434"/>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1DEBE0AC"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7D16D875"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707B069F" w14:textId="77777777" w:rsidR="00E17E27" w:rsidRPr="00BA4F8E" w:rsidRDefault="00E17E27" w:rsidP="00E17E27">
            <w:pPr>
              <w:spacing w:after="0" w:line="240" w:lineRule="auto"/>
              <w:jc w:val="both"/>
              <w:rPr>
                <w:rFonts w:cstheme="minorHAnsi"/>
              </w:rPr>
            </w:pPr>
            <w:r w:rsidRPr="00BA4F8E">
              <w:rPr>
                <w:rFonts w:cstheme="minorHAnsi"/>
              </w:rPr>
              <w:t xml:space="preserve">Aktivity na posilování kontaktů a budování důvěry mezi VO a podnikatelskou sférou (vznik </w:t>
            </w:r>
            <w:r w:rsidRPr="00BA4F8E">
              <w:rPr>
                <w:rFonts w:cstheme="minorHAnsi"/>
              </w:rPr>
              <w:lastRenderedPageBreak/>
              <w:t>informačních a kooperačních platforem, networkingové akce, apod.).</w:t>
            </w:r>
          </w:p>
        </w:tc>
      </w:tr>
      <w:tr w:rsidR="00E17E27" w:rsidRPr="00BA4F8E" w14:paraId="37A538E6" w14:textId="77777777" w:rsidTr="003F15C6">
        <w:trPr>
          <w:trHeight w:val="380"/>
        </w:trPr>
        <w:tc>
          <w:tcPr>
            <w:tcW w:w="3070" w:type="dxa"/>
            <w:gridSpan w:val="2"/>
            <w:vMerge w:val="restart"/>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0DB9292B" w14:textId="77777777" w:rsidR="00E17E27" w:rsidRPr="00BA4F8E" w:rsidRDefault="00E17E27" w:rsidP="00E17E27">
            <w:pPr>
              <w:spacing w:after="0" w:line="276" w:lineRule="auto"/>
              <w:jc w:val="both"/>
              <w:rPr>
                <w:rFonts w:cstheme="minorHAnsi"/>
                <w:i/>
              </w:rPr>
            </w:pPr>
            <w:r w:rsidRPr="00BA4F8E">
              <w:rPr>
                <w:rFonts w:cstheme="minorHAnsi"/>
                <w:b/>
              </w:rPr>
              <w:lastRenderedPageBreak/>
              <w:t>C.1.2: Zvýšit komerční využití výsledků VaV a znalostí VO</w:t>
            </w:r>
          </w:p>
        </w:tc>
        <w:tc>
          <w:tcPr>
            <w:tcW w:w="3249" w:type="dxa"/>
            <w:vMerge w:val="restart"/>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136D1ACF" w14:textId="77777777" w:rsidR="00E17E27" w:rsidRPr="00BA4F8E" w:rsidRDefault="00E17E27" w:rsidP="00E17E27">
            <w:pPr>
              <w:spacing w:after="0" w:line="276" w:lineRule="auto"/>
              <w:ind w:left="700" w:hanging="700"/>
              <w:rPr>
                <w:rFonts w:cstheme="minorHAnsi"/>
              </w:rPr>
            </w:pPr>
            <w:r w:rsidRPr="00BA4F8E">
              <w:rPr>
                <w:rFonts w:cstheme="minorHAnsi"/>
              </w:rPr>
              <w:t>21502</w:t>
            </w:r>
            <w:r w:rsidRPr="00BA4F8E">
              <w:rPr>
                <w:rFonts w:cstheme="minorHAnsi"/>
              </w:rPr>
              <w:tab/>
              <w:t xml:space="preserve">Počet nových produktů modernizujících systémy strategického řízení ve výzkumných organizacích </w:t>
            </w:r>
          </w:p>
          <w:p w14:paraId="5BAA35EA" w14:textId="77777777" w:rsidR="00E17E27" w:rsidRPr="00BA4F8E" w:rsidRDefault="00E17E27" w:rsidP="00E17E27">
            <w:pPr>
              <w:spacing w:after="0" w:line="276" w:lineRule="auto"/>
              <w:ind w:left="700" w:hanging="700"/>
              <w:rPr>
                <w:rFonts w:cstheme="minorHAnsi"/>
              </w:rPr>
            </w:pPr>
            <w:r w:rsidRPr="00BA4F8E">
              <w:rPr>
                <w:rFonts w:cstheme="minorHAnsi"/>
              </w:rPr>
              <w:t>22011</w:t>
            </w:r>
            <w:r w:rsidRPr="00BA4F8E">
              <w:rPr>
                <w:rFonts w:cstheme="minorHAnsi"/>
              </w:rPr>
              <w:tab/>
              <w:t>Mezinárodní patentové přihlášky (PCT) vytvořené podpořenými subjekty</w:t>
            </w:r>
          </w:p>
          <w:p w14:paraId="2BE32D1F" w14:textId="77777777" w:rsidR="00E17E27" w:rsidRPr="00BA4F8E" w:rsidRDefault="00E17E27" w:rsidP="00E17E27">
            <w:pPr>
              <w:spacing w:after="0" w:line="276" w:lineRule="auto"/>
              <w:ind w:left="700" w:hanging="700"/>
              <w:rPr>
                <w:rFonts w:cstheme="minorHAnsi"/>
              </w:rPr>
            </w:pPr>
            <w:r w:rsidRPr="00BA4F8E">
              <w:rPr>
                <w:rFonts w:cstheme="minorHAnsi"/>
              </w:rPr>
              <w:t>52900</w:t>
            </w:r>
            <w:r w:rsidRPr="00BA4F8E">
              <w:rPr>
                <w:rFonts w:cstheme="minorHAnsi"/>
              </w:rPr>
              <w:tab/>
              <w:t>Počet studijních programů celkem</w:t>
            </w:r>
          </w:p>
          <w:p w14:paraId="4546D34E" w14:textId="77777777" w:rsidR="00E17E27" w:rsidRPr="00BA4F8E" w:rsidRDefault="00E17E27" w:rsidP="00E17E27">
            <w:pPr>
              <w:spacing w:after="0" w:line="276" w:lineRule="auto"/>
              <w:ind w:left="700" w:hanging="700"/>
              <w:rPr>
                <w:rFonts w:cstheme="minorHAnsi"/>
              </w:rPr>
            </w:pPr>
            <w:r w:rsidRPr="00BA4F8E">
              <w:rPr>
                <w:rFonts w:cstheme="minorHAnsi"/>
              </w:rPr>
              <w:t>52901</w:t>
            </w:r>
            <w:r w:rsidRPr="00BA4F8E">
              <w:rPr>
                <w:rFonts w:cstheme="minorHAnsi"/>
              </w:rPr>
              <w:tab/>
              <w:t>Počet nově vytvořených akreditovaných studijních programů v českém jazyce</w:t>
            </w:r>
          </w:p>
          <w:p w14:paraId="49253765" w14:textId="77777777" w:rsidR="00E17E27" w:rsidRPr="00BA4F8E" w:rsidRDefault="00E17E27" w:rsidP="00E17E27">
            <w:pPr>
              <w:spacing w:after="0" w:line="276" w:lineRule="auto"/>
              <w:ind w:left="700" w:hanging="700"/>
              <w:rPr>
                <w:rFonts w:cstheme="minorHAnsi"/>
              </w:rPr>
            </w:pPr>
            <w:r w:rsidRPr="00BA4F8E">
              <w:rPr>
                <w:rFonts w:cstheme="minorHAnsi"/>
              </w:rPr>
              <w:t>52902</w:t>
            </w:r>
            <w:r w:rsidRPr="00BA4F8E">
              <w:rPr>
                <w:rFonts w:cstheme="minorHAnsi"/>
              </w:rPr>
              <w:tab/>
              <w:t>Počet studijních programů s alespoň jedním předmětem nově vyučovaným v cizím jazyce</w:t>
            </w:r>
          </w:p>
          <w:p w14:paraId="33CAF249" w14:textId="77777777" w:rsidR="00E17E27" w:rsidRPr="00BA4F8E" w:rsidRDefault="00E17E27" w:rsidP="00E17E27">
            <w:pPr>
              <w:spacing w:after="0" w:line="276" w:lineRule="auto"/>
              <w:ind w:left="700" w:hanging="700"/>
              <w:rPr>
                <w:rFonts w:cstheme="minorHAnsi"/>
              </w:rPr>
            </w:pPr>
            <w:r w:rsidRPr="00BA4F8E">
              <w:rPr>
                <w:rFonts w:cstheme="minorHAnsi"/>
              </w:rPr>
              <w:t>52910</w:t>
            </w:r>
            <w:r w:rsidRPr="00BA4F8E">
              <w:rPr>
                <w:rFonts w:cstheme="minorHAnsi"/>
              </w:rPr>
              <w:tab/>
              <w:t>Podíl studijních programů vyučovaných v cizím jazyce 53101</w:t>
            </w:r>
            <w:r w:rsidRPr="00BA4F8E">
              <w:rPr>
                <w:rFonts w:cstheme="minorHAnsi"/>
              </w:rPr>
              <w:tab/>
              <w:t>Počet studijních programů zaměřených na praxi</w:t>
            </w:r>
          </w:p>
          <w:p w14:paraId="0BBDB722" w14:textId="77777777" w:rsidR="00E17E27" w:rsidRPr="00BA4F8E" w:rsidRDefault="00E17E27" w:rsidP="00E17E27">
            <w:pPr>
              <w:spacing w:after="0" w:line="276" w:lineRule="auto"/>
              <w:ind w:left="700" w:hanging="700"/>
              <w:rPr>
                <w:rFonts w:cstheme="minorHAnsi"/>
              </w:rPr>
            </w:pPr>
            <w:r w:rsidRPr="00BA4F8E">
              <w:rPr>
                <w:rFonts w:cstheme="minorHAnsi"/>
              </w:rPr>
              <w:t>53105</w:t>
            </w:r>
            <w:r w:rsidRPr="00BA4F8E">
              <w:rPr>
                <w:rFonts w:cstheme="minorHAnsi"/>
              </w:rPr>
              <w:tab/>
              <w:t>Počet nových studijních programů celkem</w:t>
            </w:r>
          </w:p>
          <w:p w14:paraId="08275A50" w14:textId="77777777" w:rsidR="00E17E27" w:rsidRPr="00BA4F8E" w:rsidRDefault="00E17E27" w:rsidP="00E17E27">
            <w:pPr>
              <w:spacing w:after="0" w:line="276" w:lineRule="auto"/>
              <w:ind w:left="700" w:hanging="700"/>
              <w:rPr>
                <w:rFonts w:cstheme="minorHAns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68C06310" w14:textId="3B59A75B" w:rsidR="00E17E27" w:rsidRPr="00BA4F8E" w:rsidRDefault="00E17E27" w:rsidP="00F310A5">
            <w:pPr>
              <w:spacing w:after="0" w:line="276" w:lineRule="auto"/>
              <w:jc w:val="both"/>
              <w:rPr>
                <w:rFonts w:cstheme="minorHAnsi"/>
              </w:rPr>
            </w:pPr>
            <w:r w:rsidRPr="00BA4F8E">
              <w:rPr>
                <w:rFonts w:cstheme="minorHAnsi"/>
              </w:rPr>
              <w:t>Aktivity na posílení podnikavosti studentů vysokých škol a</w:t>
            </w:r>
            <w:r w:rsidR="00F310A5">
              <w:rPr>
                <w:rFonts w:cstheme="minorHAnsi"/>
              </w:rPr>
              <w:t> </w:t>
            </w:r>
            <w:r w:rsidRPr="00BA4F8E">
              <w:rPr>
                <w:rFonts w:cstheme="minorHAnsi"/>
              </w:rPr>
              <w:t>výzkumných pracovníků (studentské soutěže, vzdělávání v základech podnikání…).</w:t>
            </w:r>
          </w:p>
        </w:tc>
      </w:tr>
      <w:tr w:rsidR="00E17E27" w:rsidRPr="00BA4F8E" w14:paraId="1E6C5B42" w14:textId="77777777" w:rsidTr="003F15C6">
        <w:trPr>
          <w:trHeight w:val="380"/>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5884B275"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75BF29B6"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1B02AF2" w14:textId="77777777" w:rsidR="00E17E27" w:rsidRPr="00BA4F8E" w:rsidRDefault="00E17E27" w:rsidP="00E17E27">
            <w:pPr>
              <w:spacing w:after="0" w:line="276" w:lineRule="auto"/>
              <w:jc w:val="both"/>
              <w:rPr>
                <w:rFonts w:cstheme="minorHAnsi"/>
              </w:rPr>
            </w:pPr>
            <w:r w:rsidRPr="00BA4F8E">
              <w:rPr>
                <w:rFonts w:cstheme="minorHAnsi"/>
              </w:rPr>
              <w:t>Implementace interních pobídkových nástrojů (uvnitř VO) na podporu spolupráce s aplikační sférou.</w:t>
            </w:r>
          </w:p>
        </w:tc>
      </w:tr>
      <w:tr w:rsidR="00E17E27" w:rsidRPr="00BA4F8E" w14:paraId="7442A81F" w14:textId="77777777" w:rsidTr="003F15C6">
        <w:trPr>
          <w:trHeight w:val="377"/>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3DF5C88C"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191B66F9"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4B4A1634" w14:textId="77777777" w:rsidR="00E17E27" w:rsidRPr="00BA4F8E" w:rsidRDefault="00E17E27" w:rsidP="00E17E27">
            <w:pPr>
              <w:spacing w:after="0" w:line="276" w:lineRule="auto"/>
              <w:jc w:val="both"/>
              <w:rPr>
                <w:rFonts w:cstheme="minorHAnsi"/>
              </w:rPr>
            </w:pPr>
            <w:r w:rsidRPr="00BA4F8E">
              <w:rPr>
                <w:rFonts w:cstheme="minorHAnsi"/>
              </w:rPr>
              <w:t xml:space="preserve">Podpora vzniku akademických start-upů (tj. firmy založené na výsledcích výzkumu), včetně služeb dočasného managementu pro řízení vzniku a rozvoje firem.  </w:t>
            </w:r>
          </w:p>
        </w:tc>
      </w:tr>
      <w:tr w:rsidR="00E17E27" w:rsidRPr="00BA4F8E" w14:paraId="50DDCCB7" w14:textId="77777777" w:rsidTr="003F15C6">
        <w:trPr>
          <w:trHeight w:val="216"/>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3C38A84B"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649D28F9"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7C39CF97" w14:textId="77777777" w:rsidR="00E17E27" w:rsidRPr="00BA4F8E" w:rsidRDefault="00E17E27" w:rsidP="00E17E27">
            <w:pPr>
              <w:spacing w:after="0" w:line="276" w:lineRule="auto"/>
              <w:jc w:val="both"/>
              <w:rPr>
                <w:rFonts w:cstheme="minorHAnsi"/>
              </w:rPr>
            </w:pPr>
            <w:r w:rsidRPr="00BA4F8E">
              <w:rPr>
                <w:rFonts w:cstheme="minorHAnsi"/>
              </w:rPr>
              <w:t>Vzdělávání studentů a výzkumníků v oblasti duševního vlastnictví.</w:t>
            </w:r>
          </w:p>
        </w:tc>
      </w:tr>
      <w:tr w:rsidR="00E17E27" w:rsidRPr="00BA4F8E" w14:paraId="50DA55FC" w14:textId="77777777" w:rsidTr="003F15C6">
        <w:trPr>
          <w:trHeight w:val="377"/>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680361DE"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64CE763C"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5F9ACDE9" w14:textId="470552FB" w:rsidR="00E17E27" w:rsidRPr="00BA4F8E" w:rsidRDefault="00E17E27" w:rsidP="00001396">
            <w:pPr>
              <w:spacing w:after="0" w:line="276" w:lineRule="auto"/>
              <w:jc w:val="both"/>
              <w:rPr>
                <w:rFonts w:cstheme="minorHAnsi"/>
              </w:rPr>
            </w:pPr>
            <w:r w:rsidRPr="00BA4F8E">
              <w:rPr>
                <w:rFonts w:cstheme="minorHAnsi"/>
              </w:rPr>
              <w:t>Zajištění interních i expertních kapacit pro transfer technologií (licencování, smluvní výzkum) z</w:t>
            </w:r>
            <w:r w:rsidR="00001396">
              <w:rPr>
                <w:rFonts w:cstheme="minorHAnsi"/>
              </w:rPr>
              <w:t> </w:t>
            </w:r>
            <w:r w:rsidRPr="00BA4F8E">
              <w:rPr>
                <w:rFonts w:cstheme="minorHAnsi"/>
              </w:rPr>
              <w:t>výzkumných organizací do praxe, zefektivnění a profesionalizace procesů při komercializaci, včetně zajištění mechanismu financování patentové ochrany výsledků VO.</w:t>
            </w:r>
          </w:p>
        </w:tc>
      </w:tr>
      <w:tr w:rsidR="00E17E27" w:rsidRPr="00BA4F8E" w14:paraId="76307E97" w14:textId="77777777" w:rsidTr="003F15C6">
        <w:trPr>
          <w:trHeight w:val="283"/>
        </w:trPr>
        <w:tc>
          <w:tcPr>
            <w:tcW w:w="3070" w:type="dxa"/>
            <w:gridSpan w:val="2"/>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6321856D" w14:textId="77777777" w:rsidR="00E17E27" w:rsidRPr="00BA4F8E" w:rsidRDefault="00E17E27" w:rsidP="00E17E27">
            <w:pPr>
              <w:spacing w:after="0" w:line="276" w:lineRule="auto"/>
              <w:jc w:val="both"/>
              <w:rPr>
                <w:rFonts w:cstheme="minorHAnsi"/>
                <w:i/>
              </w:rPr>
            </w:pPr>
          </w:p>
        </w:tc>
        <w:tc>
          <w:tcPr>
            <w:tcW w:w="3249" w:type="dxa"/>
            <w:vMerge/>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1808A17C" w14:textId="77777777" w:rsidR="00E17E27" w:rsidRPr="00BA4F8E" w:rsidRDefault="00E17E27" w:rsidP="00E17E27">
            <w:pPr>
              <w:spacing w:after="0" w:line="276" w:lineRule="auto"/>
              <w:jc w:val="both"/>
              <w:rPr>
                <w:rFonts w:cstheme="minorHAnsi"/>
                <w:i/>
              </w:rPr>
            </w:pPr>
          </w:p>
        </w:tc>
        <w:tc>
          <w:tcPr>
            <w:tcW w:w="3315" w:type="dxa"/>
            <w:tcBorders>
              <w:top w:val="single" w:sz="4" w:space="0" w:color="auto"/>
              <w:left w:val="single" w:sz="4" w:space="0" w:color="auto"/>
              <w:bottom w:val="single" w:sz="4" w:space="0" w:color="auto"/>
              <w:right w:val="single" w:sz="4" w:space="0" w:color="auto"/>
            </w:tcBorders>
            <w:shd w:val="clear" w:color="auto" w:fill="C3EDFF" w:themeFill="accent3" w:themeFillTint="33"/>
          </w:tcPr>
          <w:p w14:paraId="1E27C154" w14:textId="77777777" w:rsidR="00E17E27" w:rsidRPr="00BA4F8E" w:rsidRDefault="00E17E27" w:rsidP="00E17E27">
            <w:pPr>
              <w:spacing w:after="0" w:line="276" w:lineRule="auto"/>
              <w:jc w:val="both"/>
              <w:rPr>
                <w:rFonts w:cstheme="minorHAnsi"/>
              </w:rPr>
            </w:pPr>
            <w:r w:rsidRPr="00BA4F8E">
              <w:rPr>
                <w:rFonts w:cstheme="minorHAnsi"/>
              </w:rPr>
              <w:t xml:space="preserve">Medializace výsledků v oblasti komercializace výzkumu. </w:t>
            </w:r>
          </w:p>
        </w:tc>
      </w:tr>
      <w:tr w:rsidR="00E17E27" w:rsidRPr="00BA4F8E" w14:paraId="4D610C00" w14:textId="77777777" w:rsidTr="003F15C6">
        <w:tc>
          <w:tcPr>
            <w:tcW w:w="9634" w:type="dxa"/>
            <w:gridSpan w:val="4"/>
            <w:tcBorders>
              <w:top w:val="single" w:sz="4" w:space="0" w:color="auto"/>
              <w:left w:val="single" w:sz="4" w:space="0" w:color="auto"/>
              <w:bottom w:val="single" w:sz="4" w:space="0" w:color="auto"/>
              <w:right w:val="single" w:sz="4" w:space="0" w:color="auto"/>
            </w:tcBorders>
            <w:shd w:val="clear" w:color="auto" w:fill="88DBFF" w:themeFill="accent3" w:themeFillTint="66"/>
          </w:tcPr>
          <w:p w14:paraId="3D756735" w14:textId="77777777" w:rsidR="00E17E27" w:rsidRPr="00BA4F8E" w:rsidRDefault="00E17E27" w:rsidP="005F5180">
            <w:pPr>
              <w:spacing w:after="0" w:line="276" w:lineRule="auto"/>
              <w:jc w:val="both"/>
              <w:rPr>
                <w:rFonts w:cstheme="minorHAnsi"/>
                <w:b/>
              </w:rPr>
            </w:pPr>
            <w:r w:rsidRPr="00BA4F8E">
              <w:rPr>
                <w:rFonts w:cstheme="minorHAnsi"/>
                <w:b/>
              </w:rPr>
              <w:t>Strategie a národní dokumenty, k nimž se strategické a specifické cíle vztahují:</w:t>
            </w:r>
          </w:p>
          <w:p w14:paraId="5C053BF0" w14:textId="77777777" w:rsidR="00E17E27" w:rsidRPr="00BA4F8E" w:rsidRDefault="00E17E27" w:rsidP="00543C1B">
            <w:pPr>
              <w:numPr>
                <w:ilvl w:val="0"/>
                <w:numId w:val="24"/>
              </w:numPr>
              <w:spacing w:after="0" w:line="276" w:lineRule="auto"/>
              <w:contextualSpacing/>
              <w:jc w:val="both"/>
              <w:rPr>
                <w:rFonts w:cstheme="minorHAnsi"/>
              </w:rPr>
            </w:pPr>
            <w:r w:rsidRPr="00BA4F8E">
              <w:rPr>
                <w:rFonts w:cstheme="minorHAnsi"/>
              </w:rPr>
              <w:t>Národní politika výzkumu, vývoje a inovací ČR na léta 2009–2015,</w:t>
            </w:r>
          </w:p>
          <w:p w14:paraId="4FD93E4D" w14:textId="77777777" w:rsidR="00E17E27" w:rsidRPr="00BA4F8E" w:rsidRDefault="00E17E27" w:rsidP="00543C1B">
            <w:pPr>
              <w:numPr>
                <w:ilvl w:val="0"/>
                <w:numId w:val="24"/>
              </w:numPr>
              <w:spacing w:after="0" w:line="276" w:lineRule="auto"/>
              <w:contextualSpacing/>
              <w:jc w:val="both"/>
              <w:rPr>
                <w:rFonts w:cstheme="minorHAnsi"/>
              </w:rPr>
            </w:pPr>
            <w:r w:rsidRPr="00BA4F8E">
              <w:rPr>
                <w:rFonts w:cstheme="minorHAnsi"/>
              </w:rPr>
              <w:t>Národní inovační strategie České republiky</w:t>
            </w:r>
          </w:p>
          <w:p w14:paraId="5C380130" w14:textId="77777777" w:rsidR="00E17E27" w:rsidRPr="00BA4F8E" w:rsidRDefault="00E17E27" w:rsidP="00543C1B">
            <w:pPr>
              <w:numPr>
                <w:ilvl w:val="0"/>
                <w:numId w:val="24"/>
              </w:numPr>
              <w:spacing w:after="0" w:line="276" w:lineRule="auto"/>
              <w:contextualSpacing/>
              <w:jc w:val="both"/>
              <w:rPr>
                <w:rFonts w:cstheme="minorHAnsi"/>
              </w:rPr>
            </w:pPr>
            <w:r w:rsidRPr="00BA4F8E">
              <w:rPr>
                <w:rFonts w:cstheme="minorHAnsi"/>
              </w:rPr>
              <w:t>Strategie mezinárodní konkurenceschopnosti České republiky pro období 2012 až 2020</w:t>
            </w:r>
          </w:p>
          <w:p w14:paraId="6B9279E2" w14:textId="77777777" w:rsidR="00E17E27" w:rsidRPr="00BA4F8E" w:rsidRDefault="00E17E27" w:rsidP="00543C1B">
            <w:pPr>
              <w:numPr>
                <w:ilvl w:val="0"/>
                <w:numId w:val="24"/>
              </w:numPr>
              <w:spacing w:after="0" w:line="276" w:lineRule="auto"/>
              <w:contextualSpacing/>
              <w:jc w:val="both"/>
              <w:rPr>
                <w:rFonts w:cstheme="minorHAnsi"/>
              </w:rPr>
            </w:pPr>
            <w:r w:rsidRPr="00BA4F8E">
              <w:rPr>
                <w:rFonts w:cstheme="minorHAnsi"/>
              </w:rPr>
              <w:t>Mezinárodní audit VaVaI v ČR</w:t>
            </w:r>
          </w:p>
          <w:p w14:paraId="6D5ABF12" w14:textId="77777777" w:rsidR="00E17E27" w:rsidRPr="00BA4F8E" w:rsidRDefault="00E17E27" w:rsidP="00543C1B">
            <w:pPr>
              <w:numPr>
                <w:ilvl w:val="0"/>
                <w:numId w:val="24"/>
              </w:numPr>
              <w:spacing w:after="0" w:line="276" w:lineRule="auto"/>
              <w:contextualSpacing/>
              <w:jc w:val="both"/>
              <w:rPr>
                <w:rFonts w:cstheme="minorHAnsi"/>
              </w:rPr>
            </w:pPr>
            <w:r w:rsidRPr="00BA4F8E">
              <w:rPr>
                <w:rFonts w:cstheme="minorHAnsi"/>
              </w:rPr>
              <w:t>Národní program reforem České republiky 2014</w:t>
            </w:r>
          </w:p>
        </w:tc>
      </w:tr>
      <w:tr w:rsidR="00E17E27" w:rsidRPr="00BA4F8E" w14:paraId="178B36A1" w14:textId="77777777" w:rsidTr="003F15C6">
        <w:tc>
          <w:tcPr>
            <w:tcW w:w="9634" w:type="dxa"/>
            <w:gridSpan w:val="4"/>
            <w:tcBorders>
              <w:top w:val="single" w:sz="4" w:space="0" w:color="auto"/>
              <w:left w:val="single" w:sz="4" w:space="0" w:color="auto"/>
              <w:bottom w:val="single" w:sz="4" w:space="0" w:color="auto"/>
              <w:right w:val="single" w:sz="4" w:space="0" w:color="auto"/>
            </w:tcBorders>
            <w:shd w:val="clear" w:color="auto" w:fill="4DC9FF" w:themeFill="accent3" w:themeFillTint="99"/>
          </w:tcPr>
          <w:p w14:paraId="1F163C96" w14:textId="77777777" w:rsidR="00E17E27" w:rsidRPr="00BA4F8E" w:rsidRDefault="00E17E27" w:rsidP="00E17E27">
            <w:pPr>
              <w:spacing w:after="0" w:line="276" w:lineRule="auto"/>
              <w:jc w:val="both"/>
              <w:rPr>
                <w:rFonts w:cstheme="minorHAnsi"/>
                <w:i/>
              </w:rPr>
            </w:pPr>
            <w:r w:rsidRPr="00BA4F8E">
              <w:rPr>
                <w:rFonts w:cstheme="minorHAnsi"/>
                <w:b/>
              </w:rPr>
              <w:t xml:space="preserve">Podmínky a bariéry realizace intervencí v této klíčové oblasti změn: </w:t>
            </w:r>
          </w:p>
          <w:p w14:paraId="331EFF24" w14:textId="77777777" w:rsidR="00E17E27" w:rsidRPr="00BA4F8E" w:rsidRDefault="00E17E27" w:rsidP="00E17E27">
            <w:pPr>
              <w:spacing w:after="0" w:line="288" w:lineRule="auto"/>
              <w:jc w:val="both"/>
              <w:rPr>
                <w:rFonts w:eastAsia="Times New Roman" w:cstheme="minorHAnsi"/>
                <w:lang w:eastAsia="cs-CZ"/>
              </w:rPr>
            </w:pPr>
            <w:r w:rsidRPr="00BA4F8E">
              <w:rPr>
                <w:rFonts w:eastAsia="Times New Roman" w:cstheme="minorHAnsi"/>
                <w:lang w:eastAsia="cs-CZ"/>
              </w:rPr>
              <w:t>Realizace regulatorních opatření zaměřených na posílení aspektu spolupráce s aplikační sférou v celkovém hodnocení kvality výzkumu:</w:t>
            </w:r>
          </w:p>
          <w:p w14:paraId="472EC7D8" w14:textId="77777777" w:rsidR="00E17E27" w:rsidRPr="00BA4F8E" w:rsidRDefault="00E17E27" w:rsidP="00543C1B">
            <w:pPr>
              <w:numPr>
                <w:ilvl w:val="0"/>
                <w:numId w:val="35"/>
              </w:numPr>
              <w:spacing w:after="0" w:line="276" w:lineRule="auto"/>
              <w:contextualSpacing/>
              <w:jc w:val="both"/>
              <w:rPr>
                <w:rFonts w:cstheme="minorHAnsi"/>
              </w:rPr>
            </w:pPr>
            <w:r w:rsidRPr="00BA4F8E">
              <w:rPr>
                <w:rFonts w:cstheme="minorHAnsi"/>
              </w:rPr>
              <w:t>vyčlenění části institucionálních prostředků pro VO, které budou rozdělovány formou dodatečného finančního bonusu na základě hodnocení spolupráce s aplikační sférou (analogie systému zavedeného pro anglické univerzity).</w:t>
            </w:r>
          </w:p>
          <w:p w14:paraId="68B5730C" w14:textId="1F837863" w:rsidR="00E17E27" w:rsidRPr="00BA4F8E" w:rsidRDefault="00E17E27" w:rsidP="00543C1B">
            <w:pPr>
              <w:numPr>
                <w:ilvl w:val="0"/>
                <w:numId w:val="35"/>
              </w:numPr>
              <w:spacing w:after="0" w:line="276" w:lineRule="auto"/>
              <w:contextualSpacing/>
              <w:jc w:val="both"/>
              <w:rPr>
                <w:rFonts w:cstheme="minorHAnsi"/>
                <w:i/>
              </w:rPr>
            </w:pPr>
            <w:r w:rsidRPr="00BA4F8E">
              <w:rPr>
                <w:rFonts w:cstheme="minorHAnsi"/>
              </w:rPr>
              <w:t>revize stávajícího systému přidělování institucionálních prostředků tak, aby byla zohledněna i</w:t>
            </w:r>
            <w:r w:rsidR="00C4720A">
              <w:rPr>
                <w:rFonts w:cstheme="minorHAnsi"/>
              </w:rPr>
              <w:t> </w:t>
            </w:r>
            <w:r w:rsidRPr="00BA4F8E">
              <w:rPr>
                <w:rFonts w:cstheme="minorHAnsi"/>
              </w:rPr>
              <w:t>aplikační relevance a kvalita aplikovaných výsledků (nová metodika hodnocení od roku 2016)</w:t>
            </w:r>
          </w:p>
          <w:p w14:paraId="140B7B70" w14:textId="77777777" w:rsidR="00E17E27" w:rsidRPr="00BA4F8E" w:rsidRDefault="00E17E27" w:rsidP="00543C1B">
            <w:pPr>
              <w:numPr>
                <w:ilvl w:val="0"/>
                <w:numId w:val="35"/>
              </w:numPr>
              <w:spacing w:after="0" w:line="276" w:lineRule="auto"/>
              <w:contextualSpacing/>
              <w:jc w:val="both"/>
              <w:rPr>
                <w:rFonts w:cstheme="minorHAnsi"/>
                <w:i/>
              </w:rPr>
            </w:pPr>
            <w:r w:rsidRPr="00BA4F8E">
              <w:rPr>
                <w:rFonts w:cstheme="minorHAnsi"/>
              </w:rPr>
              <w:t xml:space="preserve">odstraňování systémových bariér spolupráce VO a praxe, zejména v oblasti smluvního výzkumu a komercializace výsledků VaV (závazný výklad pravidel veřejné podpory, který nebude nadměrně </w:t>
            </w:r>
            <w:r w:rsidRPr="00BA4F8E">
              <w:rPr>
                <w:rFonts w:cstheme="minorHAnsi"/>
              </w:rPr>
              <w:lastRenderedPageBreak/>
              <w:t>omezovat smluvní výzkum, využívání dotovaných zařízení a duševního vlastnictví pro komerční účely, atp.)</w:t>
            </w:r>
          </w:p>
        </w:tc>
      </w:tr>
    </w:tbl>
    <w:p w14:paraId="35A316B7" w14:textId="77777777" w:rsidR="00FE6BBC" w:rsidRPr="00BA4F8E" w:rsidRDefault="00FE6BBC" w:rsidP="00BF332B">
      <w:pPr>
        <w:pStyle w:val="Nadpis2"/>
        <w:numPr>
          <w:ilvl w:val="0"/>
          <w:numId w:val="0"/>
        </w:numPr>
        <w:ind w:left="576" w:hanging="576"/>
        <w:rPr>
          <w:rFonts w:asciiTheme="minorHAnsi" w:hAnsiTheme="minorHAnsi"/>
          <w:sz w:val="22"/>
          <w:szCs w:val="22"/>
        </w:rPr>
      </w:pPr>
    </w:p>
    <w:p w14:paraId="46DEFA63" w14:textId="77777777" w:rsidR="0005738D" w:rsidRPr="00BA4F8E" w:rsidRDefault="0005738D" w:rsidP="0005738D"/>
    <w:p w14:paraId="47382DA2" w14:textId="43971001" w:rsidR="000C5CAD" w:rsidRPr="00F76546" w:rsidRDefault="000C5CAD" w:rsidP="000F33D2">
      <w:pPr>
        <w:pStyle w:val="Nadpis2"/>
        <w:spacing w:after="240"/>
      </w:pPr>
      <w:bookmarkStart w:id="116" w:name="_Toc525716208"/>
      <w:r w:rsidRPr="00F76546">
        <w:t>Lidské zdroje</w:t>
      </w:r>
      <w:bookmarkEnd w:id="116"/>
    </w:p>
    <w:p w14:paraId="42125607" w14:textId="77777777" w:rsidR="00E17E27" w:rsidRPr="00BA4F8E" w:rsidRDefault="00E17E27" w:rsidP="000F33D2">
      <w:pPr>
        <w:spacing w:after="240" w:line="360" w:lineRule="auto"/>
        <w:jc w:val="both"/>
        <w:rPr>
          <w:rFonts w:cs="Arial"/>
          <w:b/>
        </w:rPr>
      </w:pPr>
      <w:r w:rsidRPr="00BA4F8E">
        <w:rPr>
          <w:rFonts w:cs="Arial"/>
          <w:b/>
        </w:rPr>
        <w:t>Klíčová oblast změn D: Lepší dostupnost lidských zdrojů v počtu i kvalitě pro inovační podnikání, výzkum a vývoj</w:t>
      </w:r>
    </w:p>
    <w:p w14:paraId="547B11E0" w14:textId="77777777" w:rsidR="00E17E27" w:rsidRPr="00BA4F8E" w:rsidRDefault="00E17E27" w:rsidP="00181EF5">
      <w:pPr>
        <w:spacing w:after="0" w:line="360" w:lineRule="auto"/>
        <w:ind w:firstLine="708"/>
        <w:jc w:val="both"/>
        <w:rPr>
          <w:rFonts w:cs="Arial"/>
        </w:rPr>
      </w:pPr>
      <w:r w:rsidRPr="00BA4F8E">
        <w:rPr>
          <w:rFonts w:cs="Arial"/>
        </w:rPr>
        <w:t xml:space="preserve">Lidské zdroje představují klíčovou determinantu konkurenceschopnosti země, zejména pokud se jedná o konkurenceschopnost na znalostně náročných trzích. Z tohoto pohledu jsou velmi důležité tři vzájemně propojené úrovně tvorby a rozvoje výzkumného a inovativního potenciálu lidí. </w:t>
      </w:r>
    </w:p>
    <w:p w14:paraId="10699538" w14:textId="494A3687" w:rsidR="00E17E27" w:rsidRPr="00BA4F8E" w:rsidRDefault="00E17E27" w:rsidP="00181EF5">
      <w:pPr>
        <w:spacing w:after="0" w:line="360" w:lineRule="auto"/>
        <w:ind w:firstLine="708"/>
        <w:jc w:val="both"/>
        <w:rPr>
          <w:rFonts w:cs="Arial"/>
        </w:rPr>
      </w:pPr>
      <w:r w:rsidRPr="00BA4F8E">
        <w:rPr>
          <w:rFonts w:cs="Arial"/>
        </w:rPr>
        <w:t>První úroveň lze vnímat jako všeobecnou míru vybavenosti reálně aplikovatelnými znalostmi a</w:t>
      </w:r>
      <w:r w:rsidR="00D229F4" w:rsidRPr="00BA4F8E">
        <w:rPr>
          <w:rFonts w:cs="Arial"/>
        </w:rPr>
        <w:t> </w:t>
      </w:r>
      <w:r w:rsidRPr="00BA4F8E">
        <w:rPr>
          <w:rFonts w:cs="Arial"/>
        </w:rPr>
        <w:t xml:space="preserve"> dovednostmi, které se v praxi projevují zejména ve schopnosti vytvářet komerčně využitelné inovace. Z tohoto pohledu lze jak u dospělé populace, tak populace žáků ve věku 15 let identifikovat některé dovednosti, které jsou ve srovnání se zeměmi OECD nadprůměrné. Avšak aplikaci současných, převážně průměrných dovedností české populace dále omezuje nedostatečná úroveň měkkých dovedností, kterými jsou např. podnikavost, spolupráce, flexibilita nebo orientace na zákazníka, které jsou pro úspěch na znalostně náročných trzích nezbytné. Také nedostatečné jazykové schopnosti brzdí potenciál ekonomiky využívat globalizaci trhu a díky ní např. rychle a</w:t>
      </w:r>
      <w:r w:rsidR="00D229F4" w:rsidRPr="00BA4F8E">
        <w:rPr>
          <w:rFonts w:cs="Arial"/>
        </w:rPr>
        <w:t> </w:t>
      </w:r>
      <w:r w:rsidRPr="00BA4F8E">
        <w:rPr>
          <w:rFonts w:cs="Arial"/>
        </w:rPr>
        <w:t xml:space="preserve"> kvalifikovaně využívat nové postupy nebo těžit z inovací objevujících se v zahraničí. Bez souhry odbornosti, měkkých kompetencí a</w:t>
      </w:r>
      <w:r w:rsidR="00CD248E" w:rsidRPr="00BA4F8E">
        <w:rPr>
          <w:rFonts w:cs="Arial"/>
        </w:rPr>
        <w:t> </w:t>
      </w:r>
      <w:r w:rsidRPr="00BA4F8E">
        <w:rPr>
          <w:rFonts w:cs="Arial"/>
        </w:rPr>
        <w:t xml:space="preserve">jazykové vybavenosti větší části populace poskytuje Česká republika jen omezené zázemí pro inovativní tuzemské i zahraniční firmy. </w:t>
      </w:r>
    </w:p>
    <w:p w14:paraId="3D8E4CD3" w14:textId="5C6EAB07" w:rsidR="00E17E27" w:rsidRPr="00BA4F8E" w:rsidRDefault="00E17E27" w:rsidP="00181EF5">
      <w:pPr>
        <w:spacing w:after="0" w:line="360" w:lineRule="auto"/>
        <w:ind w:firstLine="708"/>
        <w:jc w:val="both"/>
        <w:rPr>
          <w:rFonts w:cs="Arial"/>
        </w:rPr>
      </w:pPr>
      <w:r w:rsidRPr="00BA4F8E">
        <w:rPr>
          <w:rFonts w:cs="Arial"/>
        </w:rPr>
        <w:t>Rozvoj mixu kompetencí, které podporují vznik inovací a zvyšují potenciál pro znalostně náročně aktivity, včetně výzkumu a vývoje, představuje pouze výchozí podmínku úspěchu. „Stavebním kamenem“ druhé úrovně je využití právě těch charakteristik jednotlivých lidí, které mohou vytvářet největší hodnoty. Jedná se v podstatě o nalezení a rozvoj přirozených talentů, přičemž pro diskutované téma jsou nejdůležitější podnikatelský talent, technický talent a talent pro výzkumnou a</w:t>
      </w:r>
      <w:r w:rsidR="00D229F4" w:rsidRPr="00BA4F8E">
        <w:rPr>
          <w:rFonts w:cs="Arial"/>
        </w:rPr>
        <w:t> </w:t>
      </w:r>
      <w:r w:rsidRPr="00BA4F8E">
        <w:rPr>
          <w:rFonts w:cs="Arial"/>
        </w:rPr>
        <w:t>vývojovou práci. Bohužel v českém systému vzdělávání chybí identifikace osobnostních předpokladů pro kariéru, v níž bude jedinec nejproduktivnější, a podpora jeho rozvoje tímto směrem. To pak negativně ovlivňuje míru využití potenciálu lidských zdrojů, snižuje efektivitu investic do vzdělání u velké části populace (včetně nedostatku absolventů technických oborů) a</w:t>
      </w:r>
      <w:r w:rsidR="00F32E27" w:rsidRPr="00BA4F8E">
        <w:rPr>
          <w:rFonts w:cs="Arial"/>
        </w:rPr>
        <w:t> </w:t>
      </w:r>
      <w:r w:rsidRPr="00BA4F8E">
        <w:rPr>
          <w:rFonts w:cs="Arial"/>
        </w:rPr>
        <w:t xml:space="preserve">omezuje inkluzivní funkci vzdělávání. Zavedení uvedeného systému práce s talenty by umožnilo identifikovat ty nejlepší a intenzivně s nimi pracovat již od útlého věku. K získávání talentů patří kromě lepšího využití zdrojů vlastní země také účelné lákání talentů ze zahraničí. </w:t>
      </w:r>
    </w:p>
    <w:p w14:paraId="17261F6F" w14:textId="77777777" w:rsidR="00E17E27" w:rsidRPr="00BA4F8E" w:rsidRDefault="00E17E27" w:rsidP="00181EF5">
      <w:pPr>
        <w:spacing w:after="0" w:line="360" w:lineRule="auto"/>
        <w:ind w:firstLine="708"/>
        <w:jc w:val="both"/>
        <w:rPr>
          <w:rFonts w:cs="Arial"/>
        </w:rPr>
      </w:pPr>
      <w:r w:rsidRPr="00BA4F8E">
        <w:rPr>
          <w:rFonts w:cs="Arial"/>
        </w:rPr>
        <w:lastRenderedPageBreak/>
        <w:t xml:space="preserve">Nejvyšší úroveň pak představuje práce s lidmi, jejichž profesí je výzkum a vývoj, neboť ti mají největší předpoklady k tvorbě znalostí, jež mohou znamenat velký posun v konkurenceschopnosti země. Ukazuje se, že již v počáteční fázi výchovy absolventů vysokých škol je patrné nedostatečné využití poznatků vývoje a výzkumu v praktické přípravě a v následných znalostech studentů, v důsledku čehož dochází k nedostatečnému přenosu nových poznatků do praxe. Současně se však také ukazuje, že samotní výzkumní pracovníci nemají vhodné podmínky ke svému rozvoji, zejména pak ve veřejném sektoru. Zde panuje nedostatečně otevřené a následně pak slabé (v některých případech dokonce nezdravé) konkurenční prostředí, které neposkytuje dostatek prostoru, ale ani motivace, k rozvoji velké části zaměstnanců tohoto sektoru. Je proto zapotřebí stanovit správný směr vývoje jednotlivých výzkumných organizací a vysokých škol a tomu přizpůsobit také práci s lidskými zdroji. </w:t>
      </w:r>
    </w:p>
    <w:p w14:paraId="51BE5519" w14:textId="77777777" w:rsidR="007078B4" w:rsidRDefault="00E17E27" w:rsidP="00F869F6">
      <w:pPr>
        <w:spacing w:line="360" w:lineRule="auto"/>
        <w:ind w:firstLine="709"/>
        <w:jc w:val="both"/>
        <w:rPr>
          <w:rFonts w:cs="Arial"/>
        </w:rPr>
      </w:pPr>
      <w:r w:rsidRPr="00BA4F8E">
        <w:rPr>
          <w:rFonts w:cs="Arial"/>
        </w:rPr>
        <w:t>Souběžná realizace opatření ve všech třech úrovních zajistí systémovou změnu ve využití lidských zdrojů pro práci ve výzkumu, vývoji a inovačním podnikání.</w:t>
      </w:r>
    </w:p>
    <w:p w14:paraId="7EAF975D" w14:textId="5F478CA3" w:rsidR="00181EF5" w:rsidRPr="00BA4F8E" w:rsidRDefault="007078B4" w:rsidP="00F869F6">
      <w:pPr>
        <w:spacing w:line="360" w:lineRule="auto"/>
        <w:ind w:firstLine="709"/>
        <w:jc w:val="both"/>
        <w:rPr>
          <w:rFonts w:cs="Arial"/>
        </w:rPr>
      </w:pPr>
      <w:r w:rsidRPr="00BA70B0">
        <w:rPr>
          <w:rFonts w:ascii="Calibri" w:hAnsi="Calibri"/>
          <w:szCs w:val="20"/>
        </w:rPr>
        <w:t xml:space="preserve">Strategie RIS3 stanoví pro tuto klíčovou oblast změn následující strategické cíle, </w:t>
      </w:r>
      <w:r>
        <w:rPr>
          <w:rFonts w:ascii="Calibri" w:hAnsi="Calibri"/>
          <w:szCs w:val="20"/>
        </w:rPr>
        <w:t>pro oblast regionálního školství se jedná o indikativní návrhy aktivit a indikátorů.</w:t>
      </w:r>
    </w:p>
    <w:tbl>
      <w:tblPr>
        <w:tblW w:w="0" w:type="auto"/>
        <w:tblLook w:val="04A0" w:firstRow="1" w:lastRow="0" w:firstColumn="1" w:lastColumn="0" w:noHBand="0" w:noVBand="1"/>
      </w:tblPr>
      <w:tblGrid>
        <w:gridCol w:w="1974"/>
        <w:gridCol w:w="3164"/>
        <w:gridCol w:w="78"/>
        <w:gridCol w:w="3846"/>
      </w:tblGrid>
      <w:tr w:rsidR="006F19D4" w:rsidRPr="00BA4F8E" w14:paraId="5B4558CA" w14:textId="77777777" w:rsidTr="003F15C6">
        <w:trPr>
          <w:trHeight w:val="387"/>
        </w:trPr>
        <w:tc>
          <w:tcPr>
            <w:tcW w:w="9628" w:type="dxa"/>
            <w:gridSpan w:val="4"/>
            <w:tcBorders>
              <w:top w:val="single" w:sz="4" w:space="0" w:color="auto"/>
              <w:left w:val="single" w:sz="4" w:space="0" w:color="auto"/>
              <w:bottom w:val="single" w:sz="4" w:space="0" w:color="auto"/>
              <w:right w:val="single" w:sz="4" w:space="0" w:color="auto"/>
            </w:tcBorders>
            <w:shd w:val="clear" w:color="auto" w:fill="003769" w:themeFill="accent2" w:themeFillShade="BF"/>
            <w:vAlign w:val="center"/>
          </w:tcPr>
          <w:p w14:paraId="63FC25DC" w14:textId="77777777" w:rsidR="006F19D4" w:rsidRPr="00BA4F8E" w:rsidRDefault="006F19D4" w:rsidP="006F19D4">
            <w:pPr>
              <w:spacing w:after="0" w:line="276" w:lineRule="auto"/>
              <w:jc w:val="both"/>
              <w:rPr>
                <w:b/>
                <w:color w:val="FFFFFF" w:themeColor="background1"/>
              </w:rPr>
            </w:pPr>
            <w:r w:rsidRPr="00BA4F8E">
              <w:rPr>
                <w:b/>
                <w:color w:val="FFFFFF" w:themeColor="background1"/>
              </w:rPr>
              <w:t>Klíčová oblast změn D: Lepší dostupnost lidských zdrojů v počtu i kvalitě pro inovační podnikání, výzkum a vývoj</w:t>
            </w:r>
          </w:p>
        </w:tc>
      </w:tr>
      <w:tr w:rsidR="006F19D4" w:rsidRPr="00BA4F8E" w14:paraId="2F0CFD06" w14:textId="77777777" w:rsidTr="003F15C6">
        <w:tc>
          <w:tcPr>
            <w:tcW w:w="5328"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0E6C1E7E" w14:textId="77777777" w:rsidR="006F19D4" w:rsidRPr="00BA4F8E" w:rsidRDefault="006F19D4" w:rsidP="006F19D4">
            <w:pPr>
              <w:spacing w:after="0" w:line="276" w:lineRule="auto"/>
              <w:jc w:val="both"/>
              <w:rPr>
                <w:color w:val="FFFFFF" w:themeColor="background1"/>
              </w:rPr>
            </w:pPr>
            <w:r w:rsidRPr="00BA4F8E">
              <w:rPr>
                <w:b/>
                <w:color w:val="FFFFFF" w:themeColor="background1"/>
              </w:rPr>
              <w:t>Strategické cíle v klíčové oblasti změn D:</w:t>
            </w:r>
          </w:p>
        </w:tc>
        <w:tc>
          <w:tcPr>
            <w:tcW w:w="4300"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64DA8AD5" w14:textId="77777777" w:rsidR="006F19D4" w:rsidRPr="00BA4F8E" w:rsidRDefault="006F19D4" w:rsidP="006F19D4">
            <w:pPr>
              <w:spacing w:after="0" w:line="276" w:lineRule="auto"/>
              <w:jc w:val="both"/>
              <w:rPr>
                <w:color w:val="FFFFFF" w:themeColor="background1"/>
              </w:rPr>
            </w:pPr>
            <w:r w:rsidRPr="00BA4F8E">
              <w:rPr>
                <w:b/>
                <w:color w:val="FFFFFF" w:themeColor="background1"/>
              </w:rPr>
              <w:t>Indikátory strategických cílů/klíčové oblasti změn:</w:t>
            </w:r>
          </w:p>
        </w:tc>
      </w:tr>
      <w:tr w:rsidR="006F19D4" w:rsidRPr="00BA4F8E" w14:paraId="68A189A9" w14:textId="77777777" w:rsidTr="003F15C6">
        <w:tc>
          <w:tcPr>
            <w:tcW w:w="5328"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20539B62" w14:textId="77777777" w:rsidR="006F19D4" w:rsidRPr="00BA4F8E" w:rsidRDefault="006F19D4" w:rsidP="006F19D4">
            <w:pPr>
              <w:spacing w:after="0" w:line="276" w:lineRule="auto"/>
              <w:jc w:val="both"/>
              <w:rPr>
                <w:color w:val="FFFFFF" w:themeColor="background1"/>
              </w:rPr>
            </w:pPr>
            <w:r w:rsidRPr="00BA4F8E">
              <w:rPr>
                <w:color w:val="FFFFFF" w:themeColor="background1"/>
              </w:rPr>
              <w:t xml:space="preserve">D: Lepší dostupnost lidských zdrojů </w:t>
            </w:r>
          </w:p>
          <w:p w14:paraId="427CCE07" w14:textId="77777777" w:rsidR="006F19D4" w:rsidRPr="00BA4F8E" w:rsidRDefault="006F19D4" w:rsidP="006F19D4">
            <w:pPr>
              <w:spacing w:after="0" w:line="276" w:lineRule="auto"/>
              <w:jc w:val="both"/>
              <w:rPr>
                <w:color w:val="FFFFFF" w:themeColor="background1"/>
              </w:rPr>
            </w:pPr>
            <w:r w:rsidRPr="00BA4F8E">
              <w:rPr>
                <w:color w:val="FFFFFF" w:themeColor="background1"/>
              </w:rPr>
              <w:t>v počtu i kvalitě pro inovační podnikání, výzkum a vývoj</w:t>
            </w:r>
          </w:p>
        </w:tc>
        <w:tc>
          <w:tcPr>
            <w:tcW w:w="4300"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48F8AAB3" w14:textId="77777777" w:rsidR="006F19D4" w:rsidRPr="00BA4F8E" w:rsidRDefault="006F19D4" w:rsidP="006F19D4">
            <w:pPr>
              <w:spacing w:after="0" w:line="276" w:lineRule="auto"/>
              <w:ind w:left="700" w:hanging="700"/>
              <w:jc w:val="both"/>
              <w:rPr>
                <w:rFonts w:cstheme="minorHAnsi"/>
                <w:color w:val="FFFFFF" w:themeColor="background1"/>
              </w:rPr>
            </w:pPr>
            <w:r w:rsidRPr="00BA4F8E">
              <w:rPr>
                <w:rFonts w:cstheme="minorHAnsi"/>
                <w:color w:val="FFFFFF" w:themeColor="background1"/>
              </w:rPr>
              <w:t>54040</w:t>
            </w:r>
            <w:r w:rsidRPr="00BA4F8E">
              <w:rPr>
                <w:rFonts w:cstheme="minorHAnsi"/>
                <w:color w:val="FFFFFF" w:themeColor="background1"/>
              </w:rPr>
              <w:tab/>
              <w:t>Celkový počet zaměstnaných ve VaV na 1000 zaměstnaných v národním hospodářství</w:t>
            </w:r>
          </w:p>
          <w:p w14:paraId="06B96BCC" w14:textId="77777777" w:rsidR="006F19D4" w:rsidRPr="00BA4F8E" w:rsidRDefault="006F19D4" w:rsidP="006F19D4">
            <w:pPr>
              <w:spacing w:after="0" w:line="276" w:lineRule="auto"/>
              <w:ind w:left="700" w:hanging="700"/>
              <w:jc w:val="both"/>
              <w:rPr>
                <w:rFonts w:cstheme="minorHAnsi"/>
                <w:color w:val="FFFFFF" w:themeColor="background1"/>
              </w:rPr>
            </w:pPr>
            <w:r w:rsidRPr="00BA4F8E">
              <w:rPr>
                <w:rFonts w:cstheme="minorHAnsi"/>
                <w:color w:val="FFFFFF" w:themeColor="background1"/>
              </w:rPr>
              <w:t>54050</w:t>
            </w:r>
            <w:r w:rsidRPr="00BA4F8E">
              <w:rPr>
                <w:rFonts w:cstheme="minorHAnsi"/>
                <w:color w:val="FFFFFF" w:themeColor="background1"/>
              </w:rPr>
              <w:tab/>
              <w:t>Celkový počet výzkumných pracovníků na 1000 zaměstnaných v národním hospodářství</w:t>
            </w:r>
          </w:p>
          <w:p w14:paraId="126931A0" w14:textId="0CA75A47" w:rsidR="006F19D4" w:rsidRPr="00BA4F8E" w:rsidRDefault="006F19D4" w:rsidP="006F19D4">
            <w:pPr>
              <w:spacing w:after="0" w:line="276" w:lineRule="auto"/>
              <w:ind w:left="700" w:hanging="700"/>
              <w:jc w:val="both"/>
              <w:rPr>
                <w:rFonts w:cstheme="minorHAnsi"/>
                <w:color w:val="FFFFFF" w:themeColor="background1"/>
              </w:rPr>
            </w:pPr>
            <w:r w:rsidRPr="00BA4F8E">
              <w:rPr>
                <w:rFonts w:cstheme="minorHAnsi"/>
                <w:color w:val="FFFFFF" w:themeColor="background1"/>
              </w:rPr>
              <w:t>60020</w:t>
            </w:r>
            <w:r w:rsidRPr="00BA4F8E">
              <w:rPr>
                <w:rFonts w:cstheme="minorHAnsi"/>
                <w:color w:val="FFFFFF" w:themeColor="background1"/>
              </w:rPr>
              <w:tab/>
              <w:t>Míra účasti zaměstnaných v</w:t>
            </w:r>
            <w:r w:rsidR="00F869F6">
              <w:rPr>
                <w:rFonts w:cstheme="minorHAnsi"/>
                <w:color w:val="FFFFFF" w:themeColor="background1"/>
              </w:rPr>
              <w:t> </w:t>
            </w:r>
            <w:r w:rsidRPr="00BA4F8E">
              <w:rPr>
                <w:rFonts w:cstheme="minorHAnsi"/>
                <w:color w:val="FFFFFF" w:themeColor="background1"/>
              </w:rPr>
              <w:t xml:space="preserve"> dalším vzdělávání (25-64let)</w:t>
            </w:r>
          </w:p>
        </w:tc>
      </w:tr>
      <w:tr w:rsidR="006F19D4" w:rsidRPr="00BA4F8E" w14:paraId="64F5E95D" w14:textId="77777777" w:rsidTr="003F15C6">
        <w:tc>
          <w:tcPr>
            <w:tcW w:w="5328"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182AFDA0" w14:textId="77777777" w:rsidR="006F19D4" w:rsidRPr="00BA4F8E" w:rsidRDefault="006F19D4" w:rsidP="006F19D4">
            <w:pPr>
              <w:spacing w:after="0" w:line="276" w:lineRule="auto"/>
              <w:jc w:val="both"/>
              <w:rPr>
                <w:color w:val="FFFFFF" w:themeColor="background1"/>
              </w:rPr>
            </w:pPr>
            <w:r w:rsidRPr="00BA4F8E">
              <w:rPr>
                <w:color w:val="FFFFFF" w:themeColor="background1"/>
              </w:rPr>
              <w:t>D.1: Zvýšit kvalitu absolventů škol</w:t>
            </w:r>
          </w:p>
        </w:tc>
        <w:tc>
          <w:tcPr>
            <w:tcW w:w="4300"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4450A5D0" w14:textId="77777777" w:rsidR="006F19D4" w:rsidRPr="00BA4F8E" w:rsidRDefault="006F19D4" w:rsidP="006F19D4">
            <w:pPr>
              <w:spacing w:after="0" w:line="276" w:lineRule="auto"/>
              <w:ind w:left="700" w:hanging="700"/>
              <w:jc w:val="both"/>
              <w:rPr>
                <w:rFonts w:cstheme="minorHAnsi"/>
                <w:color w:val="FFFFFF" w:themeColor="background1"/>
              </w:rPr>
            </w:pPr>
            <w:r w:rsidRPr="00BA4F8E">
              <w:rPr>
                <w:rFonts w:cstheme="minorHAnsi"/>
                <w:color w:val="FFFFFF" w:themeColor="background1"/>
              </w:rPr>
              <w:t>52810</w:t>
            </w:r>
            <w:r w:rsidRPr="00BA4F8E">
              <w:rPr>
                <w:rFonts w:cstheme="minorHAnsi"/>
                <w:color w:val="FFFFFF" w:themeColor="background1"/>
              </w:rPr>
              <w:tab/>
              <w:t>Počet absolventů prvních ročníků v nových či modernizovaných výzkumně zaměřených studijních programech akreditovaných i pro výuku v cizím jazyce</w:t>
            </w:r>
          </w:p>
        </w:tc>
      </w:tr>
      <w:tr w:rsidR="006F19D4" w:rsidRPr="00BA4F8E" w14:paraId="61853CA3" w14:textId="77777777" w:rsidTr="003F15C6">
        <w:tc>
          <w:tcPr>
            <w:tcW w:w="5328"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49067598" w14:textId="77777777" w:rsidR="006F19D4" w:rsidRPr="00BA4F8E" w:rsidRDefault="006F19D4" w:rsidP="006F19D4">
            <w:pPr>
              <w:spacing w:after="0" w:line="276" w:lineRule="auto"/>
              <w:jc w:val="both"/>
              <w:rPr>
                <w:color w:val="FFFFFF" w:themeColor="background1"/>
              </w:rPr>
            </w:pPr>
            <w:r w:rsidRPr="00BA4F8E">
              <w:rPr>
                <w:color w:val="FFFFFF" w:themeColor="background1"/>
              </w:rPr>
              <w:t>D.2: Identifikovat a využít talenty</w:t>
            </w:r>
          </w:p>
        </w:tc>
        <w:tc>
          <w:tcPr>
            <w:tcW w:w="4300"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17DA15C6" w14:textId="77777777" w:rsidR="006F19D4" w:rsidRPr="00BA4F8E" w:rsidRDefault="006F19D4" w:rsidP="006F19D4">
            <w:pPr>
              <w:spacing w:after="0" w:line="276" w:lineRule="auto"/>
              <w:ind w:left="700" w:hanging="700"/>
              <w:jc w:val="both"/>
              <w:rPr>
                <w:rFonts w:cstheme="minorHAnsi"/>
                <w:color w:val="FFFFFF" w:themeColor="background1"/>
              </w:rPr>
            </w:pPr>
            <w:r w:rsidRPr="00BA4F8E">
              <w:rPr>
                <w:rFonts w:cstheme="minorHAnsi"/>
                <w:color w:val="FFFFFF" w:themeColor="background1"/>
              </w:rPr>
              <w:t>20403</w:t>
            </w:r>
            <w:r w:rsidRPr="00BA4F8E">
              <w:rPr>
                <w:rFonts w:cstheme="minorHAnsi"/>
                <w:color w:val="FFFFFF" w:themeColor="background1"/>
              </w:rPr>
              <w:tab/>
              <w:t>Počet služeb poskytovaných nově příchozími výzkumnými pracovníky ze zahraničí</w:t>
            </w:r>
          </w:p>
          <w:p w14:paraId="24820055" w14:textId="0B56791F" w:rsidR="006F19D4" w:rsidRPr="00BA4F8E" w:rsidRDefault="006F19D4" w:rsidP="006F19D4">
            <w:pPr>
              <w:spacing w:after="0" w:line="276" w:lineRule="auto"/>
              <w:ind w:left="700" w:hanging="700"/>
              <w:jc w:val="both"/>
              <w:rPr>
                <w:rFonts w:cstheme="minorHAnsi"/>
                <w:color w:val="FFFFFF" w:themeColor="background1"/>
              </w:rPr>
            </w:pPr>
            <w:r w:rsidRPr="00BA4F8E">
              <w:rPr>
                <w:rFonts w:cstheme="minorHAnsi"/>
                <w:color w:val="FFFFFF" w:themeColor="background1"/>
              </w:rPr>
              <w:t>20410</w:t>
            </w:r>
            <w:r w:rsidRPr="00BA4F8E">
              <w:rPr>
                <w:rFonts w:cstheme="minorHAnsi"/>
                <w:color w:val="FFFFFF" w:themeColor="background1"/>
              </w:rPr>
              <w:tab/>
              <w:t>Podíl výzkumných pracovníků s</w:t>
            </w:r>
            <w:r w:rsidR="00F869F6">
              <w:rPr>
                <w:rFonts w:cstheme="minorHAnsi"/>
                <w:color w:val="FFFFFF" w:themeColor="background1"/>
              </w:rPr>
              <w:t> </w:t>
            </w:r>
            <w:r w:rsidRPr="00BA4F8E">
              <w:rPr>
                <w:rFonts w:cstheme="minorHAnsi"/>
                <w:color w:val="FFFFFF" w:themeColor="background1"/>
              </w:rPr>
              <w:t>cizím státním občanstvím</w:t>
            </w:r>
            <w:r w:rsidRPr="00BA4F8E">
              <w:rPr>
                <w:rFonts w:cstheme="minorHAnsi"/>
                <w:color w:val="FFFFFF" w:themeColor="background1"/>
              </w:rPr>
              <w:tab/>
            </w:r>
          </w:p>
          <w:p w14:paraId="2A538796" w14:textId="77777777" w:rsidR="006F19D4" w:rsidRPr="00BA4F8E" w:rsidRDefault="006F19D4" w:rsidP="006F19D4">
            <w:pPr>
              <w:spacing w:after="0" w:line="276" w:lineRule="auto"/>
              <w:ind w:left="700" w:hanging="700"/>
              <w:jc w:val="both"/>
              <w:rPr>
                <w:rFonts w:cstheme="minorHAnsi"/>
                <w:color w:val="FFFFFF" w:themeColor="background1"/>
              </w:rPr>
            </w:pPr>
            <w:r w:rsidRPr="00BA4F8E">
              <w:rPr>
                <w:rFonts w:cstheme="minorHAnsi"/>
                <w:color w:val="FFFFFF" w:themeColor="background1"/>
              </w:rPr>
              <w:t>54510</w:t>
            </w:r>
            <w:r w:rsidRPr="00BA4F8E">
              <w:rPr>
                <w:rFonts w:cstheme="minorHAnsi"/>
                <w:color w:val="FFFFFF" w:themeColor="background1"/>
              </w:rPr>
              <w:tab/>
              <w:t>Podíl studentů doktorského studia využívajících infrastrukturu</w:t>
            </w:r>
          </w:p>
        </w:tc>
      </w:tr>
      <w:tr w:rsidR="006F19D4" w:rsidRPr="00BA4F8E" w14:paraId="77CCD23F" w14:textId="77777777" w:rsidTr="003F15C6">
        <w:tc>
          <w:tcPr>
            <w:tcW w:w="5328"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4F742D6E" w14:textId="77777777" w:rsidR="006F19D4" w:rsidRPr="00BA4F8E" w:rsidRDefault="006F19D4" w:rsidP="006F19D4">
            <w:pPr>
              <w:spacing w:after="0" w:line="276" w:lineRule="auto"/>
              <w:jc w:val="both"/>
              <w:rPr>
                <w:color w:val="FFFFFF" w:themeColor="background1"/>
              </w:rPr>
            </w:pPr>
            <w:r w:rsidRPr="00BA4F8E">
              <w:rPr>
                <w:color w:val="FFFFFF" w:themeColor="background1"/>
              </w:rPr>
              <w:lastRenderedPageBreak/>
              <w:t>D.3: Zvýšit kvalitu pracovníků ve výzkumu a vývoji</w:t>
            </w:r>
          </w:p>
        </w:tc>
        <w:tc>
          <w:tcPr>
            <w:tcW w:w="4300" w:type="dxa"/>
            <w:gridSpan w:val="2"/>
            <w:tcBorders>
              <w:top w:val="single" w:sz="4" w:space="0" w:color="auto"/>
              <w:left w:val="single" w:sz="4" w:space="0" w:color="auto"/>
              <w:bottom w:val="single" w:sz="4" w:space="0" w:color="auto"/>
              <w:right w:val="single" w:sz="4" w:space="0" w:color="auto"/>
            </w:tcBorders>
            <w:shd w:val="clear" w:color="auto" w:fill="003769" w:themeFill="accent2" w:themeFillShade="BF"/>
          </w:tcPr>
          <w:p w14:paraId="36FFA43C" w14:textId="77777777" w:rsidR="006F19D4" w:rsidRPr="00BA4F8E" w:rsidRDefault="006F19D4" w:rsidP="006F19D4">
            <w:pPr>
              <w:spacing w:after="0" w:line="276" w:lineRule="auto"/>
              <w:ind w:left="700" w:hanging="700"/>
              <w:jc w:val="both"/>
              <w:rPr>
                <w:rFonts w:cstheme="minorHAnsi"/>
                <w:color w:val="FFFFFF" w:themeColor="background1"/>
              </w:rPr>
            </w:pPr>
            <w:r w:rsidRPr="00BA4F8E">
              <w:rPr>
                <w:rFonts w:cstheme="minorHAnsi"/>
                <w:color w:val="FFFFFF" w:themeColor="background1"/>
              </w:rPr>
              <w:t>66810</w:t>
            </w:r>
            <w:r w:rsidRPr="00BA4F8E">
              <w:rPr>
                <w:rFonts w:cstheme="minorHAnsi"/>
                <w:color w:val="FFFFFF" w:themeColor="background1"/>
              </w:rPr>
              <w:tab/>
              <w:t>Podíl účastníků kurzů dalšího odborného vzdělávání na celkovém počtu zaměstnaných osob u malých podniků</w:t>
            </w:r>
          </w:p>
          <w:p w14:paraId="084C7262" w14:textId="77777777" w:rsidR="006F19D4" w:rsidRPr="00BA4F8E" w:rsidRDefault="006F19D4" w:rsidP="006F19D4">
            <w:pPr>
              <w:spacing w:after="0" w:line="276" w:lineRule="auto"/>
              <w:ind w:left="700" w:hanging="700"/>
              <w:jc w:val="both"/>
              <w:rPr>
                <w:rFonts w:cstheme="minorHAnsi"/>
                <w:color w:val="FFFFFF" w:themeColor="background1"/>
              </w:rPr>
            </w:pPr>
            <w:r w:rsidRPr="00BA4F8E">
              <w:rPr>
                <w:rFonts w:cstheme="minorHAnsi"/>
                <w:color w:val="FFFFFF" w:themeColor="background1"/>
              </w:rPr>
              <w:t>66820</w:t>
            </w:r>
            <w:r w:rsidRPr="00BA4F8E">
              <w:rPr>
                <w:rFonts w:cstheme="minorHAnsi"/>
                <w:color w:val="FFFFFF" w:themeColor="background1"/>
              </w:rPr>
              <w:tab/>
              <w:t>Podíl účastníků kurzů dalšího odborného vzdělávání na celkovém počtu zaměstnaných osob u středních podniků</w:t>
            </w:r>
          </w:p>
        </w:tc>
      </w:tr>
      <w:tr w:rsidR="006F19D4" w:rsidRPr="00BA4F8E" w14:paraId="192B3E61" w14:textId="77777777" w:rsidTr="003F15C6">
        <w:tc>
          <w:tcPr>
            <w:tcW w:w="9628" w:type="dxa"/>
            <w:gridSpan w:val="4"/>
            <w:tcBorders>
              <w:top w:val="single" w:sz="4" w:space="0" w:color="auto"/>
              <w:left w:val="single" w:sz="4" w:space="0" w:color="auto"/>
              <w:bottom w:val="single" w:sz="4" w:space="0" w:color="auto"/>
              <w:right w:val="single" w:sz="4" w:space="0" w:color="auto"/>
            </w:tcBorders>
            <w:shd w:val="clear" w:color="auto" w:fill="6BB9FF" w:themeFill="accent2" w:themeFillTint="66"/>
          </w:tcPr>
          <w:p w14:paraId="07AAA105" w14:textId="77777777" w:rsidR="006F19D4" w:rsidRPr="00BA4F8E" w:rsidRDefault="006F19D4" w:rsidP="006F19D4">
            <w:pPr>
              <w:spacing w:after="0" w:line="276" w:lineRule="auto"/>
              <w:jc w:val="both"/>
              <w:rPr>
                <w:i/>
              </w:rPr>
            </w:pPr>
            <w:r w:rsidRPr="00BA4F8E">
              <w:rPr>
                <w:b/>
              </w:rPr>
              <w:t>Strategický cíl D.1:</w:t>
            </w:r>
            <w:r w:rsidRPr="00BA4F8E">
              <w:rPr>
                <w:i/>
              </w:rPr>
              <w:t xml:space="preserve"> </w:t>
            </w:r>
            <w:r w:rsidRPr="00BA4F8E">
              <w:rPr>
                <w:b/>
              </w:rPr>
              <w:t xml:space="preserve">Zvýšit kvalitu absolventů škol </w:t>
            </w:r>
          </w:p>
          <w:p w14:paraId="37EFE01C" w14:textId="0045361F" w:rsidR="006F19D4" w:rsidRPr="00BA4F8E" w:rsidRDefault="006F19D4" w:rsidP="006F19D4">
            <w:pPr>
              <w:widowControl w:val="0"/>
              <w:autoSpaceDE w:val="0"/>
              <w:autoSpaceDN w:val="0"/>
              <w:adjustRightInd w:val="0"/>
              <w:spacing w:after="0" w:line="276" w:lineRule="auto"/>
              <w:jc w:val="both"/>
            </w:pPr>
            <w:r w:rsidRPr="00BA4F8E">
              <w:t xml:space="preserve">Kvalita lidských zdrojů představuje v současné znalostně orientované ekonomice klíčovou determinantu mezinárodní konkurenceschopnosti. Proto se všechny země soustřeďují na jednotlivé úrovně svých systémů počátečního vzdělávání s cílem zvýšit jejich efektivitu. Není náhodné, že země s nejlépe fungujícími školskými systémy jsou tahouny v oblasti výzkumu a inovací a dosahují nadprůměrných temp růstu (silný vztah mezi vzdělaností obyvatelstva a ekonomickým růstem dokládají např. </w:t>
            </w:r>
            <w:r w:rsidRPr="00BA4F8E">
              <w:rPr>
                <w:rFonts w:cs="ê0˘ø\◊"/>
              </w:rPr>
              <w:t>Münich</w:t>
            </w:r>
            <w:r w:rsidRPr="00BA4F8E">
              <w:rPr>
                <w:rFonts w:cs="Times New Roman"/>
              </w:rPr>
              <w:t xml:space="preserve"> a </w:t>
            </w:r>
            <w:r w:rsidRPr="00BA4F8E">
              <w:rPr>
                <w:rFonts w:cs="ê0˘ø\◊"/>
              </w:rPr>
              <w:t>Protivínský</w:t>
            </w:r>
            <w:r w:rsidRPr="00BA4F8E">
              <w:rPr>
                <w:vertAlign w:val="superscript"/>
              </w:rPr>
              <w:footnoteReference w:id="98"/>
            </w:r>
            <w:r w:rsidRPr="00BA4F8E">
              <w:rPr>
                <w:rFonts w:cs="ê0˘ø\◊"/>
              </w:rPr>
              <w:t>)</w:t>
            </w:r>
            <w:r w:rsidRPr="00BA4F8E">
              <w:t>. Z tohoto pohledu je zcela nezbytné, aby také Česká republika zaměřila svou pozornost na urychlené zvyšování kvality výstupů jednotlivých úrovní vzdělávacího systému. V současné době sice Česká republika dosahuje nadprůměrných výsledků v přírodovědné gramotnosti žáků, numerické gramotnosti dospělé populace a ve vysokém zájmu o</w:t>
            </w:r>
            <w:r w:rsidR="00CD38BB" w:rsidRPr="00BA4F8E">
              <w:t> </w:t>
            </w:r>
            <w:r w:rsidRPr="00BA4F8E">
              <w:t>studium technických a přírodovědných oborů mezi studenty doktorských studií, ale dlouhodobý trend snižování kvality výstupů ve vzdělávání, nedostatečný rozvoj měkkých kompetencí a</w:t>
            </w:r>
            <w:r w:rsidR="00F869F6">
              <w:t> </w:t>
            </w:r>
            <w:r w:rsidRPr="00BA4F8E">
              <w:t>jazykových dovedností, vysoký podíl neúspěšných studentů doktorských studijních programů a</w:t>
            </w:r>
            <w:r w:rsidR="00F869F6">
              <w:t> </w:t>
            </w:r>
            <w:r w:rsidRPr="00BA4F8E">
              <w:t xml:space="preserve">nevyvážená struktura studijních oborů vzhledem k potřebám trhu práce nejen že neumožňuje uvedené přednosti využít, ale do budoucna představuje hrozbu české konkurenceschopnosti. </w:t>
            </w:r>
          </w:p>
          <w:p w14:paraId="08755ADB" w14:textId="77777777" w:rsidR="006F19D4" w:rsidRPr="00BA4F8E" w:rsidRDefault="006F19D4" w:rsidP="006F19D4">
            <w:pPr>
              <w:spacing w:after="0" w:line="276" w:lineRule="auto"/>
              <w:ind w:left="360"/>
              <w:contextualSpacing/>
              <w:jc w:val="both"/>
              <w:rPr>
                <w:i/>
              </w:rPr>
            </w:pPr>
          </w:p>
        </w:tc>
      </w:tr>
      <w:tr w:rsidR="006F19D4" w:rsidRPr="00BA4F8E" w14:paraId="56F34E5B"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2B04D945" w14:textId="77777777" w:rsidR="006F19D4" w:rsidRPr="00BA4F8E" w:rsidRDefault="006F19D4" w:rsidP="006F19D4">
            <w:pPr>
              <w:spacing w:after="0" w:line="276" w:lineRule="auto"/>
              <w:jc w:val="both"/>
              <w:rPr>
                <w:b/>
                <w:i/>
              </w:rPr>
            </w:pPr>
            <w:r w:rsidRPr="00BA4F8E">
              <w:rPr>
                <w:b/>
                <w:i/>
              </w:rPr>
              <w:t xml:space="preserve">Specifické cíle  </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740FF139" w14:textId="77777777" w:rsidR="006F19D4" w:rsidRPr="00BA4F8E" w:rsidRDefault="006F19D4" w:rsidP="006F19D4">
            <w:pPr>
              <w:spacing w:after="0" w:line="276" w:lineRule="auto"/>
              <w:jc w:val="both"/>
              <w:rPr>
                <w:b/>
                <w:i/>
              </w:rPr>
            </w:pPr>
            <w:r w:rsidRPr="00BA4F8E">
              <w:rPr>
                <w:b/>
                <w:i/>
              </w:rPr>
              <w:t>Indikátory specifického cíle</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22A60AA6" w14:textId="77777777" w:rsidR="006F19D4" w:rsidRPr="00BA4F8E" w:rsidRDefault="006F19D4" w:rsidP="006F19D4">
            <w:pPr>
              <w:spacing w:after="0" w:line="276" w:lineRule="auto"/>
              <w:jc w:val="both"/>
              <w:rPr>
                <w:b/>
                <w:i/>
              </w:rPr>
            </w:pPr>
            <w:r w:rsidRPr="00BA4F8E">
              <w:rPr>
                <w:b/>
                <w:i/>
              </w:rPr>
              <w:t>Typové aktivity/projekty/operace</w:t>
            </w:r>
          </w:p>
        </w:tc>
      </w:tr>
      <w:tr w:rsidR="006F19D4" w:rsidRPr="00BA4F8E" w14:paraId="10D507AA"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4F11E0E9" w14:textId="77777777" w:rsidR="006F19D4" w:rsidRPr="00BA4F8E" w:rsidRDefault="006F19D4" w:rsidP="006F19D4">
            <w:pPr>
              <w:spacing w:after="0" w:line="276" w:lineRule="auto"/>
              <w:jc w:val="both"/>
            </w:pPr>
            <w:r w:rsidRPr="00BA4F8E">
              <w:rPr>
                <w:b/>
              </w:rPr>
              <w:t>D.1.1: Vytvořit funkční vztah mezi školami a zaměstnavateli</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7BEE1B0A" w14:textId="77777777" w:rsidR="006F19D4" w:rsidRPr="00BA4F8E" w:rsidRDefault="006F19D4" w:rsidP="006F19D4">
            <w:pPr>
              <w:spacing w:after="0" w:line="276" w:lineRule="auto"/>
              <w:ind w:left="700" w:hanging="700"/>
              <w:rPr>
                <w:rFonts w:cstheme="minorHAnsi"/>
              </w:rPr>
            </w:pPr>
            <w:r w:rsidRPr="00BA4F8E">
              <w:rPr>
                <w:rFonts w:cstheme="minorHAnsi"/>
              </w:rPr>
              <w:t>51212</w:t>
            </w:r>
            <w:r w:rsidRPr="00BA4F8E">
              <w:rPr>
                <w:rFonts w:cstheme="minorHAnsi"/>
              </w:rPr>
              <w:tab/>
              <w:t>Počet mimoškolních aktivit vedoucích k rozvoji kompetencí</w:t>
            </w:r>
          </w:p>
          <w:p w14:paraId="78904B03" w14:textId="77777777" w:rsidR="006F19D4" w:rsidRPr="00BA4F8E" w:rsidRDefault="006F19D4" w:rsidP="006F19D4">
            <w:pPr>
              <w:spacing w:after="0" w:line="276" w:lineRule="auto"/>
              <w:ind w:left="700" w:hanging="700"/>
              <w:rPr>
                <w:rFonts w:cstheme="minorHAnsi"/>
              </w:rPr>
            </w:pPr>
            <w:r w:rsidRPr="00BA4F8E">
              <w:rPr>
                <w:rFonts w:cstheme="minorHAnsi"/>
              </w:rPr>
              <w:t>51301</w:t>
            </w:r>
            <w:r w:rsidRPr="00BA4F8E">
              <w:rPr>
                <w:rFonts w:cstheme="minorHAnsi"/>
              </w:rPr>
              <w:tab/>
              <w:t xml:space="preserve">Počet vzdělávacích modulů s metodikou a vzdělávacím programem </w:t>
            </w:r>
          </w:p>
          <w:p w14:paraId="529AA002" w14:textId="77777777" w:rsidR="006F19D4" w:rsidRPr="00BA4F8E" w:rsidRDefault="006F19D4" w:rsidP="006F19D4">
            <w:pPr>
              <w:spacing w:after="0" w:line="276" w:lineRule="auto"/>
              <w:ind w:left="700" w:hanging="700"/>
              <w:rPr>
                <w:rFonts w:cstheme="minorHAnsi"/>
              </w:rPr>
            </w:pPr>
            <w:r w:rsidRPr="00BA4F8E">
              <w:rPr>
                <w:rFonts w:cstheme="minorHAnsi"/>
              </w:rPr>
              <w:t>51510</w:t>
            </w:r>
            <w:r w:rsidRPr="00BA4F8E">
              <w:rPr>
                <w:rFonts w:cstheme="minorHAnsi"/>
              </w:rPr>
              <w:tab/>
              <w:t xml:space="preserve">Celkový počet dětí, žáků a studentů v podpořených organizacích </w:t>
            </w:r>
          </w:p>
          <w:p w14:paraId="10F9588D" w14:textId="77777777" w:rsidR="006F19D4" w:rsidRPr="00BA4F8E" w:rsidRDefault="006F19D4" w:rsidP="006F19D4">
            <w:pPr>
              <w:spacing w:after="0" w:line="276" w:lineRule="auto"/>
              <w:ind w:left="700" w:hanging="700"/>
              <w:rPr>
                <w:rFonts w:cstheme="minorHAnsi"/>
              </w:rPr>
            </w:pPr>
            <w:r w:rsidRPr="00BA4F8E">
              <w:rPr>
                <w:rFonts w:cstheme="minorHAnsi"/>
              </w:rPr>
              <w:t>52105</w:t>
            </w:r>
            <w:r w:rsidRPr="00BA4F8E">
              <w:rPr>
                <w:rFonts w:cstheme="minorHAnsi"/>
              </w:rPr>
              <w:tab/>
              <w:t>Počet produktů vzdělávání k podnikavosti52601</w:t>
            </w:r>
            <w:r w:rsidRPr="00BA4F8E">
              <w:rPr>
                <w:rFonts w:cstheme="minorHAnsi"/>
              </w:rPr>
              <w:tab/>
              <w:t>Počet poskytnutých služeb individuální podpory pedagogům</w:t>
            </w:r>
          </w:p>
          <w:p w14:paraId="48C6DB4F" w14:textId="77777777" w:rsidR="006F19D4" w:rsidRPr="00BA4F8E" w:rsidRDefault="006F19D4" w:rsidP="006F19D4">
            <w:pPr>
              <w:spacing w:after="0" w:line="276" w:lineRule="auto"/>
              <w:ind w:left="700" w:hanging="700"/>
              <w:rPr>
                <w:rFonts w:cstheme="minorHAnsi"/>
              </w:rPr>
            </w:pPr>
            <w:r w:rsidRPr="00BA4F8E">
              <w:rPr>
                <w:rFonts w:cstheme="minorHAnsi"/>
              </w:rPr>
              <w:lastRenderedPageBreak/>
              <w:t>52106</w:t>
            </w:r>
            <w:r w:rsidRPr="00BA4F8E">
              <w:rPr>
                <w:rFonts w:cstheme="minorHAnsi"/>
              </w:rPr>
              <w:tab/>
              <w:t>Počet produktů polytechnického vzdělávání</w:t>
            </w:r>
          </w:p>
          <w:p w14:paraId="0FD8477C" w14:textId="77777777" w:rsidR="006F19D4" w:rsidRPr="00BA4F8E" w:rsidRDefault="006F19D4" w:rsidP="006F19D4">
            <w:pPr>
              <w:spacing w:after="0" w:line="276" w:lineRule="auto"/>
              <w:ind w:left="700" w:hanging="700"/>
              <w:rPr>
                <w:rFonts w:cstheme="minorHAnsi"/>
              </w:rPr>
            </w:pPr>
            <w:r w:rsidRPr="00BA4F8E">
              <w:rPr>
                <w:rFonts w:cstheme="minorHAnsi"/>
              </w:rPr>
              <w:t>52510</w:t>
            </w:r>
            <w:r w:rsidRPr="00BA4F8E">
              <w:rPr>
                <w:rFonts w:cstheme="minorHAnsi"/>
              </w:rPr>
              <w:tab/>
              <w:t>Počet pracovníků ve vzdělávaná, kteří v praxi uplatňují nově získané poznatky a dovednosti</w:t>
            </w:r>
          </w:p>
          <w:p w14:paraId="773B1518" w14:textId="77777777" w:rsidR="006F19D4" w:rsidRPr="00BA4F8E" w:rsidRDefault="006F19D4" w:rsidP="006F19D4">
            <w:pPr>
              <w:spacing w:after="0" w:line="276" w:lineRule="auto"/>
              <w:ind w:left="700" w:hanging="700"/>
              <w:rPr>
                <w:rFonts w:cstheme="minorHAnsi"/>
              </w:rPr>
            </w:pPr>
            <w:r w:rsidRPr="00BA4F8E">
              <w:rPr>
                <w:rFonts w:cstheme="minorHAnsi"/>
              </w:rPr>
              <w:t>52602</w:t>
            </w:r>
            <w:r w:rsidRPr="00BA4F8E">
              <w:rPr>
                <w:rFonts w:cstheme="minorHAnsi"/>
              </w:rPr>
              <w:tab/>
              <w:t>Počet platforem pro odborná tematická setkání</w:t>
            </w:r>
          </w:p>
          <w:p w14:paraId="30A52AA3" w14:textId="77777777" w:rsidR="006F19D4" w:rsidRPr="00BA4F8E" w:rsidRDefault="006F19D4" w:rsidP="006F19D4">
            <w:pPr>
              <w:spacing w:after="0" w:line="276" w:lineRule="auto"/>
              <w:ind w:left="700" w:hanging="700"/>
              <w:rPr>
                <w:rFonts w:cstheme="minorHAnsi"/>
              </w:rPr>
            </w:pPr>
            <w:r w:rsidRPr="00BA4F8E">
              <w:rPr>
                <w:rFonts w:cstheme="minorHAnsi"/>
              </w:rPr>
              <w:t>53101</w:t>
            </w:r>
            <w:r w:rsidRPr="00BA4F8E">
              <w:rPr>
                <w:rFonts w:cstheme="minorHAnsi"/>
              </w:rPr>
              <w:tab/>
              <w:t xml:space="preserve">Počet nových studijních programů zaměřených na praxi </w:t>
            </w:r>
          </w:p>
          <w:p w14:paraId="4B617EDD" w14:textId="77777777" w:rsidR="006F19D4" w:rsidRPr="00BA4F8E" w:rsidRDefault="006F19D4" w:rsidP="006F19D4">
            <w:pPr>
              <w:spacing w:after="0" w:line="276" w:lineRule="auto"/>
              <w:ind w:left="700" w:hanging="700"/>
              <w:rPr>
                <w:rFonts w:cstheme="minorHAnsi"/>
              </w:rPr>
            </w:pPr>
            <w:r w:rsidRPr="00BA4F8E">
              <w:rPr>
                <w:rFonts w:cstheme="minorHAnsi"/>
              </w:rPr>
              <w:t>53501</w:t>
            </w:r>
            <w:r w:rsidRPr="00BA4F8E">
              <w:rPr>
                <w:rFonts w:cstheme="minorHAnsi"/>
              </w:rPr>
              <w:tab/>
              <w:t>Počet vytvořených produktů pro zkvalitnění strategického řízení a systému hodnocení VŠ</w:t>
            </w:r>
          </w:p>
          <w:p w14:paraId="764CC158" w14:textId="77777777" w:rsidR="006F19D4" w:rsidRPr="00BA4F8E" w:rsidRDefault="006F19D4" w:rsidP="006F19D4">
            <w:pPr>
              <w:spacing w:after="0" w:line="276" w:lineRule="auto"/>
              <w:ind w:left="700" w:hanging="700"/>
              <w:rPr>
                <w:rFonts w:cstheme="minorHAnsi"/>
              </w:rPr>
            </w:pPr>
            <w:r w:rsidRPr="00BA4F8E">
              <w:rPr>
                <w:rFonts w:cstheme="minorHAnsi"/>
              </w:rPr>
              <w:t>54000</w:t>
            </w:r>
            <w:r w:rsidRPr="00BA4F8E">
              <w:rPr>
                <w:rFonts w:cstheme="minorHAnsi"/>
              </w:rPr>
              <w:tab/>
              <w:t>Počet podpořených osob - pracovníci ve vzdělávání</w:t>
            </w:r>
          </w:p>
          <w:p w14:paraId="79A23DBC" w14:textId="77777777" w:rsidR="006F19D4" w:rsidRPr="00BA4F8E" w:rsidRDefault="006F19D4" w:rsidP="006F19D4">
            <w:pPr>
              <w:spacing w:after="0" w:line="276" w:lineRule="auto"/>
              <w:ind w:left="700" w:hanging="700"/>
              <w:rPr>
                <w:rFonts w:cstheme="minorHAnsi"/>
              </w:rPr>
            </w:pPr>
            <w:r w:rsidRPr="00BA4F8E">
              <w:rPr>
                <w:rFonts w:cstheme="minorHAnsi"/>
              </w:rPr>
              <w:t>54310</w:t>
            </w:r>
            <w:r w:rsidRPr="00BA4F8E">
              <w:rPr>
                <w:rFonts w:cstheme="minorHAnsi"/>
              </w:rPr>
              <w:tab/>
              <w:t>Počet podpořených spoluprací</w:t>
            </w:r>
          </w:p>
          <w:p w14:paraId="60273D5F" w14:textId="77777777" w:rsidR="006F19D4" w:rsidRPr="00BA4F8E" w:rsidRDefault="006F19D4" w:rsidP="006F19D4">
            <w:pPr>
              <w:spacing w:after="0" w:line="276" w:lineRule="auto"/>
              <w:ind w:left="700" w:hanging="700"/>
              <w:rPr>
                <w:rFonts w:cstheme="minorHAnsi"/>
              </w:rPr>
            </w:pPr>
            <w:r w:rsidRPr="00BA4F8E">
              <w:rPr>
                <w:rFonts w:cstheme="minorHAnsi"/>
              </w:rPr>
              <w:t>60000</w:t>
            </w:r>
            <w:r w:rsidRPr="00BA4F8E">
              <w:rPr>
                <w:rFonts w:cstheme="minorHAnsi"/>
              </w:rPr>
              <w:tab/>
              <w:t>Celkový počet účastníků</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5C6A4AE3" w14:textId="77777777" w:rsidR="006F19D4" w:rsidRPr="00BA4F8E" w:rsidRDefault="006F19D4" w:rsidP="00543C1B">
            <w:pPr>
              <w:numPr>
                <w:ilvl w:val="0"/>
                <w:numId w:val="36"/>
              </w:numPr>
              <w:spacing w:after="0" w:line="276" w:lineRule="auto"/>
              <w:ind w:left="284" w:hanging="284"/>
              <w:contextualSpacing/>
              <w:jc w:val="both"/>
            </w:pPr>
            <w:r w:rsidRPr="00BA4F8E">
              <w:lastRenderedPageBreak/>
              <w:t>Definice očekávaných výstupů vzdělávání, lze říci kompetenčních modelů absolventů, které budou pro jednotlivé úrovně systému počátečního vzdělávání uvádět nejen požadované kompetence, ale také jejich obsah a jejich cílové úrovně; tyto očekávané výstupy budou zpracovány pro jednotlivé skupiny povolání a budou tak představovat doporučení pro úpravu kurikul jednotlivých škol (cílem tohoto opatření je konkrétní popis cílů vzdělávání na základě potřeb zaměstnavatelů).</w:t>
            </w:r>
            <w:r w:rsidRPr="00BA4F8E">
              <w:rPr>
                <w:rFonts w:cs="Times New Roman"/>
              </w:rPr>
              <w:t xml:space="preserve"> Ke zpracování kompetenčních modelů lze využít např. relevantní vstupy z Národní </w:t>
            </w:r>
            <w:r w:rsidRPr="00BA4F8E">
              <w:rPr>
                <w:rFonts w:cs="Times New Roman"/>
              </w:rPr>
              <w:lastRenderedPageBreak/>
              <w:t>soustavy kvalifikací a Národní soustavy povolání.</w:t>
            </w:r>
          </w:p>
          <w:p w14:paraId="74C7DD73" w14:textId="2972FE09" w:rsidR="006F19D4" w:rsidRPr="00BA4F8E" w:rsidRDefault="006F19D4" w:rsidP="00543C1B">
            <w:pPr>
              <w:numPr>
                <w:ilvl w:val="0"/>
                <w:numId w:val="36"/>
              </w:numPr>
              <w:spacing w:after="0" w:line="276" w:lineRule="auto"/>
              <w:ind w:left="284" w:hanging="284"/>
              <w:contextualSpacing/>
              <w:jc w:val="both"/>
            </w:pPr>
            <w:r w:rsidRPr="00BA4F8E">
              <w:t>Zavedení systému (nejlépe dlouhodobých) stáží pedagogů působících v počátečním vzdělávání u zaměstnavatelů a jeho propojení s</w:t>
            </w:r>
            <w:r w:rsidR="000B367B" w:rsidRPr="00BA4F8E">
              <w:t> </w:t>
            </w:r>
            <w:r w:rsidRPr="00BA4F8E">
              <w:t>kariérní dráhou učitele.</w:t>
            </w:r>
          </w:p>
          <w:p w14:paraId="32876FB3" w14:textId="77777777" w:rsidR="006F19D4" w:rsidRPr="00BA4F8E" w:rsidRDefault="006F19D4" w:rsidP="00543C1B">
            <w:pPr>
              <w:numPr>
                <w:ilvl w:val="0"/>
                <w:numId w:val="36"/>
              </w:numPr>
              <w:spacing w:after="0" w:line="276" w:lineRule="auto"/>
              <w:ind w:left="284" w:hanging="284"/>
              <w:contextualSpacing/>
              <w:jc w:val="both"/>
            </w:pPr>
            <w:r w:rsidRPr="00BA4F8E">
              <w:t>Realizace aktivit vedoucích k praktické orientaci výuky na VŠ a SŠ např. ve formě stáží, stínování nebo zadávání témat prací zaměstnavateli.</w:t>
            </w:r>
          </w:p>
        </w:tc>
      </w:tr>
      <w:tr w:rsidR="006F19D4" w:rsidRPr="00BA4F8E" w14:paraId="17563AA1"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5793ABDF" w14:textId="77777777" w:rsidR="006F19D4" w:rsidRPr="00BA4F8E" w:rsidRDefault="006F19D4" w:rsidP="006F19D4">
            <w:pPr>
              <w:spacing w:after="0" w:line="276" w:lineRule="auto"/>
              <w:jc w:val="both"/>
              <w:rPr>
                <w:b/>
              </w:rPr>
            </w:pPr>
            <w:r w:rsidRPr="00BA4F8E">
              <w:rPr>
                <w:b/>
              </w:rPr>
              <w:lastRenderedPageBreak/>
              <w:t>D.1.2: Zvýšit úroveň podnikavosti a dalších měkkých kompetencí</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57355CCE" w14:textId="77777777" w:rsidR="006F19D4" w:rsidRPr="00BA4F8E" w:rsidRDefault="006F19D4" w:rsidP="006F19D4">
            <w:pPr>
              <w:spacing w:after="0" w:line="276" w:lineRule="auto"/>
              <w:ind w:left="700" w:hanging="700"/>
              <w:rPr>
                <w:rFonts w:cstheme="minorHAnsi"/>
              </w:rPr>
            </w:pPr>
            <w:r w:rsidRPr="00BA4F8E">
              <w:rPr>
                <w:rFonts w:cstheme="minorHAnsi"/>
              </w:rPr>
              <w:t>51212</w:t>
            </w:r>
            <w:r w:rsidRPr="00BA4F8E">
              <w:rPr>
                <w:rFonts w:cstheme="minorHAnsi"/>
              </w:rPr>
              <w:tab/>
              <w:t>Počet mimoškolních aktivit vedoucích k rozvoji kompetencí</w:t>
            </w:r>
          </w:p>
          <w:p w14:paraId="35364006" w14:textId="77777777" w:rsidR="006F19D4" w:rsidRPr="00BA4F8E" w:rsidRDefault="006F19D4" w:rsidP="006F19D4">
            <w:pPr>
              <w:spacing w:after="0" w:line="276" w:lineRule="auto"/>
              <w:ind w:left="700" w:hanging="700"/>
              <w:rPr>
                <w:rFonts w:cstheme="minorHAnsi"/>
              </w:rPr>
            </w:pPr>
            <w:r w:rsidRPr="00BA4F8E">
              <w:rPr>
                <w:rFonts w:cstheme="minorHAnsi"/>
              </w:rPr>
              <w:t>51301</w:t>
            </w:r>
            <w:r w:rsidRPr="00BA4F8E">
              <w:rPr>
                <w:rFonts w:cstheme="minorHAnsi"/>
              </w:rPr>
              <w:tab/>
              <w:t>Počet vzdělávacích modulů s metodikou a vzdělávacím programem</w:t>
            </w:r>
          </w:p>
          <w:p w14:paraId="7D430350" w14:textId="77777777" w:rsidR="006F19D4" w:rsidRPr="00BA4F8E" w:rsidRDefault="006F19D4" w:rsidP="006F19D4">
            <w:pPr>
              <w:spacing w:after="0" w:line="276" w:lineRule="auto"/>
              <w:ind w:left="700" w:hanging="700"/>
              <w:rPr>
                <w:rFonts w:cstheme="minorHAnsi"/>
              </w:rPr>
            </w:pPr>
            <w:r w:rsidRPr="00BA4F8E">
              <w:rPr>
                <w:rFonts w:cstheme="minorHAnsi"/>
              </w:rPr>
              <w:t>51510</w:t>
            </w:r>
            <w:r w:rsidRPr="00BA4F8E">
              <w:rPr>
                <w:rFonts w:cstheme="minorHAnsi"/>
              </w:rPr>
              <w:tab/>
              <w:t>Celkový počet dětí, žáků a studentů v podpořených organizacích 52105</w:t>
            </w:r>
            <w:r w:rsidRPr="00BA4F8E">
              <w:rPr>
                <w:rFonts w:cstheme="minorHAnsi"/>
              </w:rPr>
              <w:tab/>
              <w:t xml:space="preserve">Počet produktů vzdělávání k podnikavosti </w:t>
            </w:r>
          </w:p>
          <w:p w14:paraId="0EE30BCD" w14:textId="77777777" w:rsidR="006F19D4" w:rsidRPr="00BA4F8E" w:rsidRDefault="006F19D4" w:rsidP="006F19D4">
            <w:pPr>
              <w:spacing w:after="0" w:line="276" w:lineRule="auto"/>
              <w:ind w:left="700" w:hanging="700"/>
              <w:rPr>
                <w:rFonts w:cstheme="minorHAnsi"/>
              </w:rPr>
            </w:pPr>
            <w:r w:rsidRPr="00BA4F8E">
              <w:rPr>
                <w:rFonts w:cstheme="minorHAnsi"/>
              </w:rPr>
              <w:t>52106</w:t>
            </w:r>
            <w:r w:rsidRPr="00BA4F8E">
              <w:rPr>
                <w:rFonts w:cstheme="minorHAnsi"/>
              </w:rPr>
              <w:tab/>
              <w:t>Počet produktů polytechnického vzdělávání</w:t>
            </w:r>
          </w:p>
          <w:p w14:paraId="37487524" w14:textId="77777777" w:rsidR="006F19D4" w:rsidRPr="00BA4F8E" w:rsidRDefault="006F19D4" w:rsidP="006F19D4">
            <w:pPr>
              <w:spacing w:after="0" w:line="276" w:lineRule="auto"/>
              <w:ind w:left="700" w:hanging="700"/>
              <w:rPr>
                <w:rFonts w:cstheme="minorHAnsi"/>
              </w:rPr>
            </w:pPr>
            <w:r w:rsidRPr="00BA4F8E">
              <w:rPr>
                <w:rFonts w:cstheme="minorHAnsi"/>
              </w:rPr>
              <w:t>52601</w:t>
            </w:r>
            <w:r w:rsidRPr="00BA4F8E">
              <w:rPr>
                <w:rFonts w:cstheme="minorHAnsi"/>
              </w:rPr>
              <w:tab/>
              <w:t xml:space="preserve">Počet poskytnutých služeb individuální podpory pedagogům </w:t>
            </w:r>
          </w:p>
          <w:p w14:paraId="71C2AC5C" w14:textId="77777777" w:rsidR="006F19D4" w:rsidRPr="00BA4F8E" w:rsidRDefault="006F19D4" w:rsidP="006F19D4">
            <w:pPr>
              <w:spacing w:after="0" w:line="276" w:lineRule="auto"/>
              <w:ind w:left="700" w:hanging="700"/>
              <w:rPr>
                <w:rFonts w:cstheme="minorHAnsi"/>
              </w:rPr>
            </w:pPr>
            <w:r w:rsidRPr="00BA4F8E">
              <w:rPr>
                <w:rFonts w:cstheme="minorHAnsi"/>
              </w:rPr>
              <w:t>52602</w:t>
            </w:r>
            <w:r w:rsidRPr="00BA4F8E">
              <w:rPr>
                <w:rFonts w:cstheme="minorHAnsi"/>
              </w:rPr>
              <w:tab/>
              <w:t>Počet platforem pro odborná tematická setkání</w:t>
            </w:r>
          </w:p>
          <w:p w14:paraId="545B2DCC" w14:textId="77777777" w:rsidR="006F19D4" w:rsidRPr="00BA4F8E" w:rsidRDefault="006F19D4" w:rsidP="006F19D4">
            <w:pPr>
              <w:spacing w:after="0" w:line="276" w:lineRule="auto"/>
              <w:ind w:left="700" w:hanging="700"/>
              <w:rPr>
                <w:rFonts w:cstheme="minorHAnsi"/>
              </w:rPr>
            </w:pPr>
            <w:r w:rsidRPr="00BA4F8E">
              <w:rPr>
                <w:rFonts w:cstheme="minorHAnsi"/>
              </w:rPr>
              <w:t>52901</w:t>
            </w:r>
            <w:r w:rsidRPr="00BA4F8E">
              <w:rPr>
                <w:rFonts w:cstheme="minorHAnsi"/>
              </w:rPr>
              <w:tab/>
              <w:t xml:space="preserve">Počet nově vytvořených akreditovaných studijních </w:t>
            </w:r>
            <w:r w:rsidRPr="00BA4F8E">
              <w:rPr>
                <w:rFonts w:cstheme="minorHAnsi"/>
              </w:rPr>
              <w:lastRenderedPageBreak/>
              <w:t>programů v českém jazyce</w:t>
            </w:r>
          </w:p>
          <w:p w14:paraId="48F8C5FF" w14:textId="77777777" w:rsidR="006F19D4" w:rsidRPr="00BA4F8E" w:rsidRDefault="006F19D4" w:rsidP="006F19D4">
            <w:pPr>
              <w:spacing w:after="0" w:line="276" w:lineRule="auto"/>
              <w:ind w:left="700" w:hanging="700"/>
              <w:rPr>
                <w:rFonts w:cstheme="minorHAnsi"/>
              </w:rPr>
            </w:pPr>
            <w:r w:rsidRPr="00BA4F8E">
              <w:rPr>
                <w:rFonts w:cstheme="minorHAnsi"/>
              </w:rPr>
              <w:t>53101</w:t>
            </w:r>
            <w:r w:rsidRPr="00BA4F8E">
              <w:rPr>
                <w:rFonts w:cstheme="minorHAnsi"/>
              </w:rPr>
              <w:tab/>
              <w:t xml:space="preserve">Počet nových studijních programů zaměřených na praxi </w:t>
            </w:r>
          </w:p>
          <w:p w14:paraId="0AD0AE24" w14:textId="77777777" w:rsidR="006F19D4" w:rsidRPr="00BA4F8E" w:rsidRDefault="006F19D4" w:rsidP="006F19D4">
            <w:pPr>
              <w:spacing w:after="0" w:line="276" w:lineRule="auto"/>
              <w:ind w:left="700" w:hanging="700"/>
              <w:rPr>
                <w:rFonts w:cstheme="minorHAnsi"/>
              </w:rPr>
            </w:pPr>
            <w:r w:rsidRPr="00BA4F8E">
              <w:rPr>
                <w:rFonts w:cstheme="minorHAnsi"/>
              </w:rPr>
              <w:t>53103</w:t>
            </w:r>
            <w:r w:rsidRPr="00BA4F8E">
              <w:rPr>
                <w:rFonts w:cstheme="minorHAnsi"/>
              </w:rPr>
              <w:tab/>
              <w:t>Počet nových bakalářských studijních oborů zaměřených na praxi</w:t>
            </w:r>
          </w:p>
          <w:p w14:paraId="02B56124" w14:textId="77777777" w:rsidR="006F19D4" w:rsidRPr="00BA4F8E" w:rsidRDefault="006F19D4" w:rsidP="006F19D4">
            <w:pPr>
              <w:spacing w:after="0" w:line="276" w:lineRule="auto"/>
              <w:ind w:left="700" w:hanging="700"/>
              <w:rPr>
                <w:rFonts w:cstheme="minorHAnsi"/>
              </w:rPr>
            </w:pPr>
            <w:r w:rsidRPr="00BA4F8E">
              <w:rPr>
                <w:rFonts w:cstheme="minorHAnsi"/>
              </w:rPr>
              <w:t>53110</w:t>
            </w:r>
            <w:r w:rsidRPr="00BA4F8E">
              <w:rPr>
                <w:rFonts w:cstheme="minorHAnsi"/>
              </w:rPr>
              <w:tab/>
              <w:t>Počet absolventů prvních ročníků nových studijních oborů zaměřených na praxi</w:t>
            </w:r>
          </w:p>
          <w:p w14:paraId="035C4F30" w14:textId="77777777" w:rsidR="006F19D4" w:rsidRPr="00BA4F8E" w:rsidRDefault="006F19D4" w:rsidP="006F19D4">
            <w:pPr>
              <w:spacing w:after="0" w:line="276" w:lineRule="auto"/>
              <w:ind w:left="700" w:hanging="700"/>
              <w:rPr>
                <w:rFonts w:cstheme="minorHAnsi"/>
              </w:rPr>
            </w:pPr>
            <w:r w:rsidRPr="00BA4F8E">
              <w:rPr>
                <w:rFonts w:cstheme="minorHAnsi"/>
              </w:rPr>
              <w:t>54000</w:t>
            </w:r>
            <w:r w:rsidRPr="00BA4F8E">
              <w:rPr>
                <w:rFonts w:cstheme="minorHAnsi"/>
              </w:rPr>
              <w:tab/>
              <w:t xml:space="preserve">Počet podpořených osob - pracovníci ve vzdělávání </w:t>
            </w:r>
          </w:p>
          <w:p w14:paraId="0756A542" w14:textId="77777777" w:rsidR="006F19D4" w:rsidRPr="00BA4F8E" w:rsidRDefault="006F19D4" w:rsidP="006F19D4">
            <w:pPr>
              <w:spacing w:after="0" w:line="276" w:lineRule="auto"/>
              <w:ind w:left="700" w:hanging="700"/>
              <w:rPr>
                <w:rFonts w:cstheme="minorHAnsi"/>
              </w:rPr>
            </w:pPr>
            <w:r w:rsidRPr="00BA4F8E">
              <w:rPr>
                <w:rFonts w:cstheme="minorHAnsi"/>
              </w:rPr>
              <w:t>54301</w:t>
            </w:r>
            <w:r w:rsidRPr="00BA4F8E">
              <w:rPr>
                <w:rFonts w:cstheme="minorHAnsi"/>
              </w:rPr>
              <w:tab/>
              <w:t>Počet nových projektových záměrů připravených za podpory Smart Akcelerátoru</w:t>
            </w:r>
          </w:p>
          <w:p w14:paraId="220E7DA8" w14:textId="77777777" w:rsidR="006F19D4" w:rsidRPr="00BA4F8E" w:rsidRDefault="006F19D4" w:rsidP="006F19D4">
            <w:pPr>
              <w:spacing w:after="0" w:line="276" w:lineRule="auto"/>
              <w:ind w:left="700" w:hanging="700"/>
              <w:rPr>
                <w:rFonts w:cstheme="minorHAnsi"/>
              </w:rPr>
            </w:pPr>
            <w:r w:rsidRPr="00BA4F8E">
              <w:rPr>
                <w:rFonts w:cstheme="minorHAnsi"/>
              </w:rPr>
              <w:t>54310</w:t>
            </w:r>
            <w:r w:rsidRPr="00BA4F8E">
              <w:rPr>
                <w:rFonts w:cstheme="minorHAnsi"/>
              </w:rPr>
              <w:tab/>
              <w:t>Počet podpořených spoluprací</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20F75274" w14:textId="77777777" w:rsidR="006F19D4" w:rsidRPr="00BA4F8E" w:rsidRDefault="006F19D4" w:rsidP="00543C1B">
            <w:pPr>
              <w:numPr>
                <w:ilvl w:val="0"/>
                <w:numId w:val="36"/>
              </w:numPr>
              <w:spacing w:after="0" w:line="276" w:lineRule="auto"/>
              <w:ind w:left="284" w:hanging="284"/>
              <w:contextualSpacing/>
              <w:jc w:val="both"/>
            </w:pPr>
            <w:r w:rsidRPr="00BA4F8E">
              <w:lastRenderedPageBreak/>
              <w:t xml:space="preserve">Plošné zavedení ověřených nástrojů k diagnostice a rozvoji podnikavosti a měkkých kompetencí definovaných Národní soustavou povolání na všech úrovních vzdělávacího systému, včetně proškolení pedagogů pro práci s těmito nástroji. </w:t>
            </w:r>
          </w:p>
          <w:p w14:paraId="4B22F678" w14:textId="59BF2C69" w:rsidR="006F19D4" w:rsidRPr="00BA4F8E" w:rsidRDefault="006F19D4" w:rsidP="00543C1B">
            <w:pPr>
              <w:numPr>
                <w:ilvl w:val="0"/>
                <w:numId w:val="36"/>
              </w:numPr>
              <w:spacing w:after="0" w:line="276" w:lineRule="auto"/>
              <w:ind w:left="284" w:hanging="284"/>
              <w:contextualSpacing/>
              <w:jc w:val="both"/>
            </w:pPr>
            <w:r w:rsidRPr="00BA4F8E">
              <w:t>Realizace aktivit vedoucích k praktické orientaci výuky (viz</w:t>
            </w:r>
            <w:r w:rsidR="008F7EB6">
              <w:t> </w:t>
            </w:r>
            <w:r w:rsidRPr="00BA4F8E">
              <w:t>aktivita v rámci cíle D.1.1).</w:t>
            </w:r>
          </w:p>
        </w:tc>
      </w:tr>
      <w:tr w:rsidR="006F19D4" w:rsidRPr="00BA4F8E" w14:paraId="49F19D6E"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6213EE94" w14:textId="77777777" w:rsidR="006F19D4" w:rsidRPr="00BA4F8E" w:rsidRDefault="006F19D4" w:rsidP="006F19D4">
            <w:pPr>
              <w:spacing w:after="0" w:line="276" w:lineRule="auto"/>
              <w:jc w:val="both"/>
              <w:rPr>
                <w:b/>
              </w:rPr>
            </w:pPr>
            <w:r w:rsidRPr="00BA4F8E">
              <w:rPr>
                <w:b/>
              </w:rPr>
              <w:t>D.1.3: Zvýšit aktivní znalost angličtiny a dalšího cizího jazyka</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31B49788" w14:textId="77777777" w:rsidR="006F19D4" w:rsidRPr="00BA4F8E" w:rsidRDefault="006F19D4" w:rsidP="006F19D4">
            <w:pPr>
              <w:spacing w:after="0" w:line="276" w:lineRule="auto"/>
              <w:ind w:left="700" w:hanging="700"/>
              <w:rPr>
                <w:rFonts w:cstheme="minorHAnsi"/>
              </w:rPr>
            </w:pPr>
            <w:r w:rsidRPr="00BA4F8E">
              <w:rPr>
                <w:rFonts w:cstheme="minorHAnsi"/>
              </w:rPr>
              <w:t>20403</w:t>
            </w:r>
            <w:r w:rsidRPr="00BA4F8E">
              <w:rPr>
                <w:rFonts w:cstheme="minorHAnsi"/>
              </w:rPr>
              <w:tab/>
              <w:t>Počet služeb poskytovanými nově příchozími pracovníky ze zahraničí</w:t>
            </w:r>
          </w:p>
          <w:p w14:paraId="7826083B" w14:textId="77777777" w:rsidR="006F19D4" w:rsidRPr="00BA4F8E" w:rsidRDefault="006F19D4" w:rsidP="006F19D4">
            <w:pPr>
              <w:spacing w:after="0" w:line="276" w:lineRule="auto"/>
              <w:ind w:left="700" w:hanging="700"/>
              <w:rPr>
                <w:rFonts w:cstheme="minorHAnsi"/>
              </w:rPr>
            </w:pPr>
            <w:r w:rsidRPr="00BA4F8E">
              <w:rPr>
                <w:rFonts w:cstheme="minorHAnsi"/>
              </w:rPr>
              <w:t>20415</w:t>
            </w:r>
            <w:r w:rsidRPr="00BA4F8E">
              <w:rPr>
                <w:rFonts w:cstheme="minorHAnsi"/>
              </w:rPr>
              <w:tab/>
              <w:t xml:space="preserve">Počet výzkumných organizací s nově příchozími výzkumnými pracovníky ze zahraničí nebo soukromého sektoru </w:t>
            </w:r>
          </w:p>
          <w:p w14:paraId="6616B8BE" w14:textId="77777777" w:rsidR="006F19D4" w:rsidRPr="00BA4F8E" w:rsidRDefault="006F19D4" w:rsidP="006F19D4">
            <w:pPr>
              <w:spacing w:after="0" w:line="276" w:lineRule="auto"/>
              <w:ind w:left="700" w:hanging="700"/>
              <w:rPr>
                <w:rFonts w:cstheme="minorHAnsi"/>
              </w:rPr>
            </w:pPr>
            <w:r w:rsidRPr="00BA4F8E">
              <w:rPr>
                <w:rFonts w:cstheme="minorHAnsi"/>
              </w:rPr>
              <w:t>20810</w:t>
            </w:r>
            <w:r w:rsidRPr="00BA4F8E">
              <w:rPr>
                <w:rFonts w:cstheme="minorHAnsi"/>
              </w:rPr>
              <w:tab/>
              <w:t>Počet organizací, jejichž pracovníci zvýšili svou kvalifikaci ve VaV</w:t>
            </w:r>
          </w:p>
          <w:p w14:paraId="10BA2DDD" w14:textId="77777777" w:rsidR="006F19D4" w:rsidRPr="00BA4F8E" w:rsidRDefault="006F19D4" w:rsidP="006F19D4">
            <w:pPr>
              <w:spacing w:after="0" w:line="276" w:lineRule="auto"/>
              <w:ind w:left="700" w:hanging="700"/>
              <w:rPr>
                <w:rFonts w:cstheme="minorHAnsi"/>
              </w:rPr>
            </w:pPr>
            <w:r w:rsidRPr="00BA4F8E">
              <w:rPr>
                <w:rFonts w:cstheme="minorHAnsi"/>
              </w:rPr>
              <w:t>25210</w:t>
            </w:r>
            <w:r w:rsidRPr="00BA4F8E">
              <w:rPr>
                <w:rFonts w:cstheme="minorHAnsi"/>
              </w:rPr>
              <w:tab/>
              <w:t xml:space="preserve">Počet pracovníků ve vzdělávání, kteří v praxi uplatňují nově získané poznatky a dovednosti </w:t>
            </w:r>
          </w:p>
          <w:p w14:paraId="517E2CC9" w14:textId="77777777" w:rsidR="006F19D4" w:rsidRPr="00BA4F8E" w:rsidRDefault="006F19D4" w:rsidP="006F19D4">
            <w:pPr>
              <w:spacing w:after="0" w:line="276" w:lineRule="auto"/>
              <w:ind w:left="700" w:hanging="700"/>
              <w:rPr>
                <w:rFonts w:cstheme="minorHAnsi"/>
              </w:rPr>
            </w:pPr>
            <w:r w:rsidRPr="00BA4F8E">
              <w:rPr>
                <w:rFonts w:cstheme="minorHAnsi"/>
              </w:rPr>
              <w:t>51301</w:t>
            </w:r>
            <w:r w:rsidRPr="00BA4F8E">
              <w:rPr>
                <w:rFonts w:cstheme="minorHAnsi"/>
              </w:rPr>
              <w:tab/>
              <w:t>Počet vzdělávacích modulů s metodikou a vzdělávacím programem 52106</w:t>
            </w:r>
            <w:r w:rsidRPr="00BA4F8E">
              <w:rPr>
                <w:rFonts w:cstheme="minorHAnsi"/>
              </w:rPr>
              <w:tab/>
              <w:t>Počet produktů polytechnického vzdělávání</w:t>
            </w:r>
          </w:p>
          <w:p w14:paraId="7088E904" w14:textId="77777777" w:rsidR="006F19D4" w:rsidRPr="00BA4F8E" w:rsidRDefault="006F19D4" w:rsidP="006F19D4">
            <w:pPr>
              <w:spacing w:after="0" w:line="276" w:lineRule="auto"/>
              <w:ind w:left="700" w:hanging="700"/>
              <w:rPr>
                <w:rFonts w:cstheme="minorHAnsi"/>
              </w:rPr>
            </w:pPr>
            <w:r w:rsidRPr="00BA4F8E">
              <w:rPr>
                <w:rFonts w:cstheme="minorHAnsi"/>
              </w:rPr>
              <w:lastRenderedPageBreak/>
              <w:t>52510</w:t>
            </w:r>
            <w:r w:rsidRPr="00BA4F8E">
              <w:rPr>
                <w:rFonts w:cstheme="minorHAnsi"/>
              </w:rPr>
              <w:tab/>
              <w:t xml:space="preserve">Počet pracovníků ve vzdělávaná, kteří v praxi uplatňují nově získané poznatky a dovednosti </w:t>
            </w:r>
          </w:p>
          <w:p w14:paraId="4F604207" w14:textId="77777777" w:rsidR="006F19D4" w:rsidRPr="00BA4F8E" w:rsidRDefault="006F19D4" w:rsidP="006F19D4">
            <w:pPr>
              <w:spacing w:after="0" w:line="276" w:lineRule="auto"/>
              <w:ind w:left="700" w:hanging="700"/>
              <w:rPr>
                <w:rFonts w:cstheme="minorHAnsi"/>
              </w:rPr>
            </w:pPr>
            <w:r w:rsidRPr="00BA4F8E">
              <w:rPr>
                <w:rFonts w:cstheme="minorHAnsi"/>
              </w:rPr>
              <w:t>52902</w:t>
            </w:r>
            <w:r w:rsidRPr="00BA4F8E">
              <w:rPr>
                <w:rFonts w:cstheme="minorHAnsi"/>
              </w:rPr>
              <w:tab/>
              <w:t>Počet studijních programů s alespoň jedním předmětem nově vyučovaným v cizím jazyce</w:t>
            </w:r>
          </w:p>
          <w:p w14:paraId="3AD1DEE2" w14:textId="77777777" w:rsidR="006F19D4" w:rsidRPr="00BA4F8E" w:rsidRDefault="006F19D4" w:rsidP="006F19D4">
            <w:pPr>
              <w:spacing w:after="0" w:line="276" w:lineRule="auto"/>
              <w:ind w:left="700" w:hanging="700"/>
              <w:rPr>
                <w:rFonts w:cstheme="minorHAnsi"/>
              </w:rPr>
            </w:pPr>
            <w:r w:rsidRPr="00BA4F8E">
              <w:rPr>
                <w:rFonts w:cstheme="minorHAnsi"/>
              </w:rPr>
              <w:t>52910</w:t>
            </w:r>
            <w:r w:rsidRPr="00BA4F8E">
              <w:rPr>
                <w:rFonts w:cstheme="minorHAnsi"/>
              </w:rPr>
              <w:tab/>
              <w:t>Podíl studijních programů vyučovaných v cizím jazyce</w:t>
            </w:r>
          </w:p>
          <w:p w14:paraId="206063DD" w14:textId="77777777" w:rsidR="006F19D4" w:rsidRPr="00BA4F8E" w:rsidRDefault="006F19D4" w:rsidP="006F19D4">
            <w:pPr>
              <w:spacing w:after="0" w:line="276" w:lineRule="auto"/>
              <w:ind w:left="700" w:hanging="700"/>
              <w:rPr>
                <w:rFonts w:cstheme="minorHAnsi"/>
              </w:rPr>
            </w:pPr>
            <w:r w:rsidRPr="00BA4F8E">
              <w:rPr>
                <w:rFonts w:cstheme="minorHAnsi"/>
              </w:rPr>
              <w:t>54000</w:t>
            </w:r>
            <w:r w:rsidRPr="00BA4F8E">
              <w:rPr>
                <w:rFonts w:cstheme="minorHAnsi"/>
              </w:rPr>
              <w:tab/>
              <w:t>Počet podpořených osob - pracovníci ve vzdělávání</w:t>
            </w:r>
          </w:p>
          <w:p w14:paraId="2CE3CE02" w14:textId="77777777" w:rsidR="006F19D4" w:rsidRPr="00BA4F8E" w:rsidRDefault="006F19D4" w:rsidP="006F19D4">
            <w:pPr>
              <w:spacing w:after="0" w:line="276" w:lineRule="auto"/>
              <w:ind w:left="700" w:hanging="700"/>
              <w:rPr>
                <w:rFonts w:cstheme="minorHAnsi"/>
              </w:rPr>
            </w:pPr>
            <w:r w:rsidRPr="00BA4F8E">
              <w:rPr>
                <w:rFonts w:cstheme="minorHAnsi"/>
              </w:rPr>
              <w:t>54001</w:t>
            </w:r>
            <w:r w:rsidRPr="00BA4F8E">
              <w:rPr>
                <w:rFonts w:cstheme="minorHAnsi"/>
              </w:rPr>
              <w:tab/>
              <w:t>Počet podpořených pracovníků VŠ</w:t>
            </w:r>
          </w:p>
          <w:p w14:paraId="3A62E976" w14:textId="77777777" w:rsidR="006F19D4" w:rsidRPr="00BA4F8E" w:rsidRDefault="006F19D4" w:rsidP="006F19D4">
            <w:pPr>
              <w:spacing w:after="0" w:line="276" w:lineRule="auto"/>
              <w:ind w:left="700" w:hanging="700"/>
              <w:rPr>
                <w:rFonts w:cstheme="minorHAnsi"/>
              </w:rPr>
            </w:pPr>
            <w:r w:rsidRPr="00BA4F8E">
              <w:rPr>
                <w:rFonts w:cstheme="minorHAnsi"/>
              </w:rPr>
              <w:t>54310</w:t>
            </w:r>
            <w:r w:rsidRPr="00BA4F8E">
              <w:rPr>
                <w:rFonts w:cstheme="minorHAnsi"/>
              </w:rPr>
              <w:tab/>
              <w:t xml:space="preserve">Počet podpořených spoluprací </w:t>
            </w:r>
          </w:p>
          <w:p w14:paraId="7FA31952" w14:textId="77777777" w:rsidR="006F19D4" w:rsidRPr="00BA4F8E" w:rsidRDefault="006F19D4" w:rsidP="006F19D4">
            <w:pPr>
              <w:spacing w:after="0" w:line="276" w:lineRule="auto"/>
              <w:ind w:left="700" w:hanging="700"/>
              <w:rPr>
                <w:rFonts w:cstheme="minorHAnsi"/>
              </w:rPr>
            </w:pPr>
            <w:r w:rsidRPr="00BA4F8E">
              <w:rPr>
                <w:rFonts w:cstheme="minorHAnsi"/>
              </w:rPr>
              <w:t>54601</w:t>
            </w:r>
            <w:r w:rsidRPr="00BA4F8E">
              <w:rPr>
                <w:rFonts w:cstheme="minorHAnsi"/>
              </w:rPr>
              <w:tab/>
              <w:t>Počet studentů výzkumně zaměřený studijních programů a Ph.D. studentů, kteří se zúčastnili stáže</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2F0F6D9B" w14:textId="77777777" w:rsidR="006F19D4" w:rsidRPr="00BA4F8E" w:rsidRDefault="006F19D4" w:rsidP="00543C1B">
            <w:pPr>
              <w:numPr>
                <w:ilvl w:val="0"/>
                <w:numId w:val="36"/>
              </w:numPr>
              <w:spacing w:after="0" w:line="276" w:lineRule="auto"/>
              <w:ind w:left="284" w:hanging="284"/>
              <w:contextualSpacing/>
              <w:jc w:val="both"/>
            </w:pPr>
            <w:r w:rsidRPr="00BA4F8E">
              <w:lastRenderedPageBreak/>
              <w:t xml:space="preserve">Zavedení povinné výuky anglického jazyka na ZŠ a SŠ ukončené </w:t>
            </w:r>
            <w:r w:rsidRPr="00BA4F8E">
              <w:rPr>
                <w:rFonts w:cs="Times New Roman"/>
              </w:rPr>
              <w:t xml:space="preserve">zkouškou s požadavky na </w:t>
            </w:r>
            <w:r w:rsidRPr="00BA4F8E">
              <w:t>odpovídající úrovni dle společného evropského referenčního rámce (ZŠ - A2, SŠ ukončené jinak než maturitní zkouškou - B1, SŠ ukončené maturitní zkouškou - B2); ostatní jazyky by byly vyučovány jako druhý cizí jazyk.</w:t>
            </w:r>
          </w:p>
          <w:p w14:paraId="7DEC8EE0" w14:textId="0AE4E2B4" w:rsidR="006F19D4" w:rsidRPr="00BA4F8E" w:rsidRDefault="006F19D4" w:rsidP="00543C1B">
            <w:pPr>
              <w:numPr>
                <w:ilvl w:val="0"/>
                <w:numId w:val="36"/>
              </w:numPr>
              <w:spacing w:after="0" w:line="276" w:lineRule="auto"/>
              <w:ind w:left="284" w:hanging="284"/>
              <w:contextualSpacing/>
              <w:jc w:val="both"/>
            </w:pPr>
            <w:r w:rsidRPr="00BA4F8E">
              <w:t>Rozvoj odborného cizího jazyka na středních odborných školách a</w:t>
            </w:r>
            <w:r w:rsidR="00333660">
              <w:t> </w:t>
            </w:r>
            <w:r w:rsidRPr="00BA4F8E">
              <w:t xml:space="preserve">vysokých školách. </w:t>
            </w:r>
          </w:p>
          <w:p w14:paraId="773210B9" w14:textId="77777777" w:rsidR="006F19D4" w:rsidRPr="00BA4F8E" w:rsidRDefault="006F19D4" w:rsidP="00543C1B">
            <w:pPr>
              <w:numPr>
                <w:ilvl w:val="0"/>
                <w:numId w:val="36"/>
              </w:numPr>
              <w:spacing w:after="0" w:line="276" w:lineRule="auto"/>
              <w:ind w:left="284" w:hanging="284"/>
              <w:contextualSpacing/>
              <w:jc w:val="both"/>
            </w:pPr>
            <w:r w:rsidRPr="00BA4F8E">
              <w:t>Zapojení rodilých mluvčích do výuky angličtiny v systému počátečního vzdělávání.</w:t>
            </w:r>
          </w:p>
          <w:p w14:paraId="56B87208" w14:textId="77777777" w:rsidR="006F19D4" w:rsidRPr="00BA4F8E" w:rsidRDefault="006F19D4" w:rsidP="00543C1B">
            <w:pPr>
              <w:numPr>
                <w:ilvl w:val="0"/>
                <w:numId w:val="36"/>
              </w:numPr>
              <w:spacing w:after="0" w:line="276" w:lineRule="auto"/>
              <w:ind w:left="284" w:hanging="284"/>
              <w:contextualSpacing/>
              <w:jc w:val="both"/>
            </w:pPr>
            <w:r w:rsidRPr="00BA4F8E">
              <w:t>Zapojení zahraničních odborníků do výuky na VŠ.</w:t>
            </w:r>
          </w:p>
          <w:p w14:paraId="7CFB7B3D" w14:textId="77777777" w:rsidR="006F19D4" w:rsidRPr="00BA4F8E" w:rsidRDefault="006F19D4" w:rsidP="00543C1B">
            <w:pPr>
              <w:numPr>
                <w:ilvl w:val="0"/>
                <w:numId w:val="36"/>
              </w:numPr>
              <w:spacing w:after="0" w:line="276" w:lineRule="auto"/>
              <w:ind w:left="284" w:hanging="284"/>
              <w:contextualSpacing/>
              <w:jc w:val="both"/>
            </w:pPr>
            <w:r w:rsidRPr="00BA4F8E">
              <w:t>Zavedení systému zahraničních jazykových kurzů pro pedagogy a jeho propojení s kariérní dráhou učitele.</w:t>
            </w:r>
          </w:p>
          <w:p w14:paraId="56B3C74C" w14:textId="6A83EC54" w:rsidR="006F19D4" w:rsidRPr="00BA4F8E" w:rsidRDefault="006F19D4" w:rsidP="00543C1B">
            <w:pPr>
              <w:numPr>
                <w:ilvl w:val="0"/>
                <w:numId w:val="36"/>
              </w:numPr>
              <w:spacing w:after="0" w:line="276" w:lineRule="auto"/>
              <w:ind w:left="284" w:hanging="284"/>
              <w:contextualSpacing/>
              <w:jc w:val="both"/>
            </w:pPr>
            <w:r w:rsidRPr="00BA4F8E">
              <w:t>Zavedení povinnosti aktivního použití cizího jazyka během studií na všech VŠ a</w:t>
            </w:r>
            <w:r w:rsidR="00D95BB6" w:rsidRPr="00BA4F8E">
              <w:t> </w:t>
            </w:r>
            <w:r w:rsidRPr="00BA4F8E">
              <w:t xml:space="preserve">SŠ, např. ve formě studia některých předmětů v anglickém </w:t>
            </w:r>
            <w:r w:rsidRPr="00BA4F8E">
              <w:lastRenderedPageBreak/>
              <w:t>jazyce nebo realizace studijního pobytu v zahraničí (mimo Slovenské republiky).</w:t>
            </w:r>
          </w:p>
        </w:tc>
      </w:tr>
      <w:tr w:rsidR="006F19D4" w:rsidRPr="00BA4F8E" w14:paraId="2E3BAE3C" w14:textId="77777777" w:rsidTr="003F15C6">
        <w:tc>
          <w:tcPr>
            <w:tcW w:w="9628" w:type="dxa"/>
            <w:gridSpan w:val="4"/>
            <w:tcBorders>
              <w:top w:val="single" w:sz="4" w:space="0" w:color="auto"/>
              <w:left w:val="single" w:sz="4" w:space="0" w:color="auto"/>
              <w:bottom w:val="single" w:sz="4" w:space="0" w:color="auto"/>
              <w:right w:val="single" w:sz="4" w:space="0" w:color="auto"/>
            </w:tcBorders>
            <w:shd w:val="clear" w:color="auto" w:fill="6BB9FF" w:themeFill="accent2" w:themeFillTint="66"/>
          </w:tcPr>
          <w:p w14:paraId="5531513D" w14:textId="77777777" w:rsidR="006F19D4" w:rsidRPr="00BA4F8E" w:rsidRDefault="006F19D4" w:rsidP="006F19D4">
            <w:pPr>
              <w:spacing w:after="0" w:line="276" w:lineRule="auto"/>
              <w:jc w:val="both"/>
            </w:pPr>
            <w:r w:rsidRPr="00BA4F8E">
              <w:rPr>
                <w:b/>
              </w:rPr>
              <w:lastRenderedPageBreak/>
              <w:t>Strategický cíl D.2: Identifikovat a využít talenty</w:t>
            </w:r>
          </w:p>
          <w:p w14:paraId="6006678D" w14:textId="77777777" w:rsidR="006F19D4" w:rsidRPr="00BA4F8E" w:rsidRDefault="006F19D4" w:rsidP="006F19D4">
            <w:pPr>
              <w:spacing w:after="0" w:line="252" w:lineRule="auto"/>
              <w:jc w:val="both"/>
            </w:pPr>
            <w:r w:rsidRPr="00BA4F8E">
              <w:t xml:space="preserve">Identifikace oblasti činností, v nichž jedinec bude nejproduktivnější (neboť má např. umělecké či sportovní nadání, řemeslné předpoklady, podnikatelské vlohy aj.) a jeho rozvoj tímto směrem je podstatou práce s talenty. Ta bohužel v českém systému vzdělávání chybí. Každý žák či student </w:t>
            </w:r>
            <w:r w:rsidRPr="00BA4F8E">
              <w:rPr>
                <w:rFonts w:cs="Times New Roman"/>
              </w:rPr>
              <w:t>má pro něco přirozené nadání</w:t>
            </w:r>
            <w:r w:rsidRPr="00BA4F8E">
              <w:t xml:space="preserve"> (není brána v úvahu pouze mimořádná úroveň talentu) a podle toho by měl volit svou vzdělávací dráhu. Často se však stává, že člověk objevuje sv</w:t>
            </w:r>
            <w:r w:rsidRPr="00BA4F8E">
              <w:rPr>
                <w:rFonts w:cs="Times New Roman"/>
              </w:rPr>
              <w:t>é nadání</w:t>
            </w:r>
            <w:r w:rsidRPr="00BA4F8E">
              <w:t xml:space="preserve"> až ke konci své vzdělávací dráhy, po jejím ukončení nebo je neobjeví vůbec. V těchto případech dochází k neefektivnímu vynakládání zdrojů na nesprávně zaměřené vzdělání a následnému nevyužití nebo pouze částečnému využití produktivního potenciálu jedince. Snižuje se také šance jednotlivce uspět v životě osobně i profesionálně. Včasná identifikace </w:t>
            </w:r>
            <w:r w:rsidRPr="00BA4F8E">
              <w:rPr>
                <w:rFonts w:cs="Times New Roman"/>
              </w:rPr>
              <w:t xml:space="preserve">přirozeného nadání </w:t>
            </w:r>
            <w:r w:rsidRPr="00BA4F8E">
              <w:t xml:space="preserve">každého jedince, jeho správné nasměrování a jeho cílený rozvoj by tak mohly přispět ke značné redukci neefektivit ve vzdělávání, stejně tak jako k dalšímu růstu konkurenceschopnosti. Podle zacílení těchto nástrojů by Česká republika mohla vědomě podporovat rozvoj podnikatelských talentů, zmenšit problém s nedostatkem pracovní síly s technickým vzděláním a pěstovat si špičkové talenty pro výzkumné týmy již od jejich dětství. Toto opatření má také inkluzivní charakter, neboť pomůže s uplatněním osob, které vykazují nízké studijní výsledky, a není jim v současném systému vzdělávání věnována dostatečná pozornost. Nedostatečný počet „domácích talentů“ v jednotlivých oblastech může být řešen také podporou jejich příchodu z jiných zemí.  </w:t>
            </w:r>
          </w:p>
          <w:p w14:paraId="70BF769E" w14:textId="77777777" w:rsidR="006F19D4" w:rsidRPr="00BA4F8E" w:rsidRDefault="006F19D4" w:rsidP="006F19D4">
            <w:pPr>
              <w:widowControl w:val="0"/>
              <w:autoSpaceDE w:val="0"/>
              <w:autoSpaceDN w:val="0"/>
              <w:adjustRightInd w:val="0"/>
              <w:spacing w:after="0" w:line="276" w:lineRule="auto"/>
              <w:jc w:val="both"/>
            </w:pPr>
            <w:r w:rsidRPr="00BA4F8E">
              <w:t>Závazné indikátory cíle D.2:</w:t>
            </w:r>
          </w:p>
          <w:p w14:paraId="7C3688E6" w14:textId="77777777" w:rsidR="006F19D4" w:rsidRPr="00BA4F8E" w:rsidRDefault="006F19D4" w:rsidP="00543C1B">
            <w:pPr>
              <w:numPr>
                <w:ilvl w:val="0"/>
                <w:numId w:val="37"/>
              </w:numPr>
              <w:spacing w:after="0" w:line="276" w:lineRule="auto"/>
              <w:contextualSpacing/>
              <w:jc w:val="both"/>
            </w:pPr>
            <w:r w:rsidRPr="00BA4F8E">
              <w:t>Podíl ZŠ a SŠ se zavedeným systémem identifikace přirozeného nadání žáků</w:t>
            </w:r>
          </w:p>
          <w:p w14:paraId="532EE959" w14:textId="77777777" w:rsidR="006F19D4" w:rsidRPr="00BA4F8E" w:rsidRDefault="006F19D4" w:rsidP="00543C1B">
            <w:pPr>
              <w:numPr>
                <w:ilvl w:val="0"/>
                <w:numId w:val="37"/>
              </w:numPr>
              <w:spacing w:after="0" w:line="276" w:lineRule="auto"/>
              <w:contextualSpacing/>
              <w:jc w:val="both"/>
            </w:pPr>
            <w:r w:rsidRPr="00BA4F8E">
              <w:t>Podíl ZŠ a SŠ se zavedeným programem pro rozvoj přirozeného nadání</w:t>
            </w:r>
          </w:p>
          <w:p w14:paraId="49BAD6AB" w14:textId="77777777" w:rsidR="006F19D4" w:rsidRPr="00BA4F8E" w:rsidRDefault="006F19D4" w:rsidP="00543C1B">
            <w:pPr>
              <w:numPr>
                <w:ilvl w:val="0"/>
                <w:numId w:val="37"/>
              </w:numPr>
              <w:spacing w:after="0" w:line="276" w:lineRule="auto"/>
              <w:contextualSpacing/>
              <w:jc w:val="both"/>
            </w:pPr>
            <w:r w:rsidRPr="00BA4F8E">
              <w:t xml:space="preserve">Počet osob zapojených do vysoce individualizovaných programů na rozvoj jedinců s mimořádným talentem  </w:t>
            </w:r>
          </w:p>
          <w:p w14:paraId="1FCA4812" w14:textId="77777777" w:rsidR="006F19D4" w:rsidRPr="00BA4F8E" w:rsidRDefault="006F19D4" w:rsidP="00543C1B">
            <w:pPr>
              <w:numPr>
                <w:ilvl w:val="0"/>
                <w:numId w:val="37"/>
              </w:numPr>
              <w:spacing w:after="0" w:line="276" w:lineRule="auto"/>
              <w:contextualSpacing/>
              <w:jc w:val="both"/>
            </w:pPr>
            <w:r w:rsidRPr="00BA4F8E">
              <w:lastRenderedPageBreak/>
              <w:t>Počet zahraničních studentů na VŠ</w:t>
            </w:r>
          </w:p>
        </w:tc>
      </w:tr>
      <w:tr w:rsidR="006F19D4" w:rsidRPr="00BA4F8E" w14:paraId="19C09CA2"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42980984" w14:textId="77777777" w:rsidR="006F19D4" w:rsidRPr="00BA4F8E" w:rsidRDefault="006F19D4" w:rsidP="006F19D4">
            <w:pPr>
              <w:spacing w:after="0" w:line="276" w:lineRule="auto"/>
              <w:jc w:val="both"/>
              <w:rPr>
                <w:b/>
                <w:i/>
              </w:rPr>
            </w:pPr>
            <w:r w:rsidRPr="00BA4F8E">
              <w:rPr>
                <w:b/>
                <w:i/>
              </w:rPr>
              <w:lastRenderedPageBreak/>
              <w:t xml:space="preserve">Specifické cíle  </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5DB1DF00" w14:textId="77777777" w:rsidR="006F19D4" w:rsidRPr="00BA4F8E" w:rsidRDefault="006F19D4" w:rsidP="006F19D4">
            <w:pPr>
              <w:spacing w:after="0" w:line="276" w:lineRule="auto"/>
              <w:jc w:val="both"/>
              <w:rPr>
                <w:b/>
                <w:i/>
              </w:rPr>
            </w:pPr>
            <w:r w:rsidRPr="00BA4F8E">
              <w:rPr>
                <w:b/>
                <w:i/>
              </w:rPr>
              <w:t>Indikátory specifického cíle</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0BC4D8DF" w14:textId="77777777" w:rsidR="006F19D4" w:rsidRPr="00BA4F8E" w:rsidRDefault="006F19D4" w:rsidP="006F19D4">
            <w:pPr>
              <w:spacing w:after="0" w:line="276" w:lineRule="auto"/>
              <w:jc w:val="both"/>
              <w:rPr>
                <w:b/>
                <w:i/>
              </w:rPr>
            </w:pPr>
            <w:r w:rsidRPr="00BA4F8E">
              <w:rPr>
                <w:b/>
                <w:i/>
              </w:rPr>
              <w:t>Typové aktivity/projekty/operace</w:t>
            </w:r>
          </w:p>
        </w:tc>
      </w:tr>
      <w:tr w:rsidR="006F19D4" w:rsidRPr="00BA4F8E" w14:paraId="616280FF"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0D45C07B" w14:textId="77777777" w:rsidR="006F19D4" w:rsidRPr="00BA4F8E" w:rsidRDefault="006F19D4" w:rsidP="006F19D4">
            <w:pPr>
              <w:spacing w:after="0" w:line="276" w:lineRule="auto"/>
              <w:jc w:val="both"/>
            </w:pPr>
            <w:r w:rsidRPr="00BA4F8E">
              <w:rPr>
                <w:b/>
              </w:rPr>
              <w:t xml:space="preserve">D.2.1: Vytvořit systém identifikace a rozvoje </w:t>
            </w:r>
            <w:r w:rsidRPr="00BA4F8E">
              <w:rPr>
                <w:rFonts w:cs="Times New Roman"/>
                <w:b/>
              </w:rPr>
              <w:t xml:space="preserve">přirozeného nadání </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47F5E90D" w14:textId="77777777" w:rsidR="006F19D4" w:rsidRPr="00BA4F8E" w:rsidRDefault="006F19D4" w:rsidP="006F19D4">
            <w:pPr>
              <w:spacing w:after="0" w:line="276" w:lineRule="auto"/>
              <w:ind w:left="700" w:hanging="700"/>
              <w:rPr>
                <w:rFonts w:cstheme="minorHAnsi"/>
              </w:rPr>
            </w:pPr>
            <w:r w:rsidRPr="00BA4F8E">
              <w:rPr>
                <w:rFonts w:cstheme="minorHAnsi"/>
              </w:rPr>
              <w:t>51212</w:t>
            </w:r>
            <w:r w:rsidRPr="00BA4F8E">
              <w:rPr>
                <w:rFonts w:cstheme="minorHAnsi"/>
              </w:rPr>
              <w:tab/>
              <w:t xml:space="preserve">Počet mimoškolních aktivit vedoucích k rozvoji kompetencí </w:t>
            </w:r>
          </w:p>
          <w:p w14:paraId="3FFA84AB" w14:textId="020B2BB2" w:rsidR="006F19D4" w:rsidRPr="00BA4F8E" w:rsidRDefault="006F19D4" w:rsidP="006F19D4">
            <w:pPr>
              <w:spacing w:after="0" w:line="276" w:lineRule="auto"/>
              <w:ind w:left="700" w:hanging="700"/>
              <w:rPr>
                <w:rFonts w:cstheme="minorHAnsi"/>
              </w:rPr>
            </w:pPr>
            <w:r w:rsidRPr="00BA4F8E">
              <w:rPr>
                <w:rFonts w:cstheme="minorHAnsi"/>
              </w:rPr>
              <w:t>51301</w:t>
            </w:r>
            <w:r w:rsidRPr="00BA4F8E">
              <w:rPr>
                <w:rFonts w:cstheme="minorHAnsi"/>
              </w:rPr>
              <w:tab/>
              <w:t>Počet vzdělávacích modulů s metodikou a</w:t>
            </w:r>
            <w:r w:rsidR="00333660">
              <w:rPr>
                <w:rFonts w:cstheme="minorHAnsi"/>
              </w:rPr>
              <w:t> </w:t>
            </w:r>
            <w:r w:rsidRPr="00BA4F8E">
              <w:rPr>
                <w:rFonts w:cstheme="minorHAnsi"/>
              </w:rPr>
              <w:t xml:space="preserve">vzdělávacím programem </w:t>
            </w:r>
          </w:p>
          <w:p w14:paraId="08C07203" w14:textId="77777777" w:rsidR="006F19D4" w:rsidRPr="00BA4F8E" w:rsidRDefault="006F19D4" w:rsidP="006F19D4">
            <w:pPr>
              <w:spacing w:after="0" w:line="276" w:lineRule="auto"/>
              <w:ind w:left="700" w:hanging="700"/>
              <w:rPr>
                <w:rFonts w:cstheme="minorHAnsi"/>
              </w:rPr>
            </w:pPr>
            <w:r w:rsidRPr="00BA4F8E">
              <w:rPr>
                <w:rFonts w:cstheme="minorHAnsi"/>
              </w:rPr>
              <w:t>51510</w:t>
            </w:r>
            <w:r w:rsidRPr="00BA4F8E">
              <w:rPr>
                <w:rFonts w:cstheme="minorHAnsi"/>
              </w:rPr>
              <w:tab/>
              <w:t xml:space="preserve">Celkový počet dětí, žáků a studentů v podpořených organizacích </w:t>
            </w:r>
          </w:p>
          <w:p w14:paraId="59E2810E" w14:textId="77777777" w:rsidR="006F19D4" w:rsidRPr="00BA4F8E" w:rsidRDefault="006F19D4" w:rsidP="006F19D4">
            <w:pPr>
              <w:spacing w:after="0" w:line="276" w:lineRule="auto"/>
              <w:ind w:left="700" w:hanging="700"/>
              <w:rPr>
                <w:rFonts w:cstheme="minorHAnsi"/>
              </w:rPr>
            </w:pPr>
            <w:r w:rsidRPr="00BA4F8E">
              <w:rPr>
                <w:rFonts w:cstheme="minorHAnsi"/>
              </w:rPr>
              <w:t>52105</w:t>
            </w:r>
            <w:r w:rsidRPr="00BA4F8E">
              <w:rPr>
                <w:rFonts w:cstheme="minorHAnsi"/>
              </w:rPr>
              <w:tab/>
              <w:t>Počet produktů vzdělávání k podnikavosti</w:t>
            </w:r>
          </w:p>
          <w:p w14:paraId="617DD71E" w14:textId="77777777" w:rsidR="006F19D4" w:rsidRPr="00BA4F8E" w:rsidRDefault="006F19D4" w:rsidP="006F19D4">
            <w:pPr>
              <w:spacing w:after="0" w:line="276" w:lineRule="auto"/>
              <w:ind w:left="700" w:hanging="700"/>
              <w:rPr>
                <w:rFonts w:cstheme="minorHAnsi"/>
              </w:rPr>
            </w:pPr>
            <w:r w:rsidRPr="00BA4F8E">
              <w:rPr>
                <w:rFonts w:cstheme="minorHAnsi"/>
              </w:rPr>
              <w:t>52106</w:t>
            </w:r>
            <w:r w:rsidRPr="00BA4F8E">
              <w:rPr>
                <w:rFonts w:cstheme="minorHAnsi"/>
              </w:rPr>
              <w:tab/>
              <w:t xml:space="preserve">Počet produktů polytechnického vzdělávání </w:t>
            </w:r>
          </w:p>
          <w:p w14:paraId="33B27C5B" w14:textId="77777777" w:rsidR="006F19D4" w:rsidRPr="00BA4F8E" w:rsidRDefault="006F19D4" w:rsidP="006F19D4">
            <w:pPr>
              <w:spacing w:after="0" w:line="276" w:lineRule="auto"/>
              <w:ind w:left="700" w:hanging="700"/>
              <w:rPr>
                <w:rFonts w:cstheme="minorHAnsi"/>
              </w:rPr>
            </w:pPr>
            <w:r w:rsidRPr="00BA4F8E">
              <w:rPr>
                <w:rFonts w:cstheme="minorHAnsi"/>
              </w:rPr>
              <w:t>52510</w:t>
            </w:r>
            <w:r w:rsidRPr="00BA4F8E">
              <w:rPr>
                <w:rFonts w:cstheme="minorHAnsi"/>
              </w:rPr>
              <w:tab/>
              <w:t xml:space="preserve">Počet pracovníků ve vzdělávaná, kteří v praxi uplatňují nově získané poznatky a dovednosti </w:t>
            </w:r>
          </w:p>
          <w:p w14:paraId="61597C75" w14:textId="77777777" w:rsidR="006F19D4" w:rsidRPr="00BA4F8E" w:rsidRDefault="006F19D4" w:rsidP="006F19D4">
            <w:pPr>
              <w:spacing w:after="0" w:line="276" w:lineRule="auto"/>
              <w:ind w:left="700" w:hanging="700"/>
              <w:rPr>
                <w:rFonts w:cstheme="minorHAnsi"/>
              </w:rPr>
            </w:pPr>
            <w:r w:rsidRPr="00BA4F8E">
              <w:rPr>
                <w:rFonts w:cstheme="minorHAnsi"/>
              </w:rPr>
              <w:t>52601</w:t>
            </w:r>
            <w:r w:rsidRPr="00BA4F8E">
              <w:rPr>
                <w:rFonts w:cstheme="minorHAnsi"/>
              </w:rPr>
              <w:tab/>
              <w:t>Počet poskytnutých služeb individuální podpory pedagogům</w:t>
            </w:r>
          </w:p>
          <w:p w14:paraId="410886B2" w14:textId="77777777" w:rsidR="006F19D4" w:rsidRPr="00BA4F8E" w:rsidRDefault="006F19D4" w:rsidP="006F19D4">
            <w:pPr>
              <w:spacing w:after="0" w:line="276" w:lineRule="auto"/>
              <w:ind w:left="700" w:hanging="700"/>
              <w:rPr>
                <w:rFonts w:cstheme="minorHAnsi"/>
              </w:rPr>
            </w:pPr>
            <w:r w:rsidRPr="00BA4F8E">
              <w:rPr>
                <w:rFonts w:cstheme="minorHAnsi"/>
              </w:rPr>
              <w:t>52602</w:t>
            </w:r>
            <w:r w:rsidRPr="00BA4F8E">
              <w:rPr>
                <w:rFonts w:cstheme="minorHAnsi"/>
              </w:rPr>
              <w:tab/>
              <w:t>Počet platforem pro odborná tematická setkání</w:t>
            </w:r>
          </w:p>
          <w:p w14:paraId="7F242D9B" w14:textId="77777777" w:rsidR="006F19D4" w:rsidRPr="00BA4F8E" w:rsidRDefault="006F19D4" w:rsidP="006F19D4">
            <w:pPr>
              <w:spacing w:after="0" w:line="276" w:lineRule="auto"/>
              <w:ind w:left="700" w:hanging="700"/>
              <w:rPr>
                <w:rFonts w:cstheme="minorHAnsi"/>
              </w:rPr>
            </w:pPr>
            <w:r w:rsidRPr="00BA4F8E">
              <w:rPr>
                <w:rFonts w:cstheme="minorHAnsi"/>
              </w:rPr>
              <w:t>54000</w:t>
            </w:r>
            <w:r w:rsidRPr="00BA4F8E">
              <w:rPr>
                <w:rFonts w:cstheme="minorHAnsi"/>
              </w:rPr>
              <w:tab/>
              <w:t>Počet podpořených osob - pracovníci ve vzdělávání</w:t>
            </w:r>
          </w:p>
          <w:p w14:paraId="29F6966F" w14:textId="77777777" w:rsidR="006F19D4" w:rsidRPr="00BA4F8E" w:rsidRDefault="006F19D4" w:rsidP="006F19D4">
            <w:pPr>
              <w:spacing w:after="0" w:line="276" w:lineRule="auto"/>
              <w:ind w:left="700" w:hanging="700"/>
              <w:rPr>
                <w:rFonts w:cstheme="minorHAnsi"/>
              </w:rPr>
            </w:pPr>
            <w:r w:rsidRPr="00BA4F8E">
              <w:rPr>
                <w:rFonts w:cstheme="minorHAnsi"/>
              </w:rPr>
              <w:t>54310</w:t>
            </w:r>
            <w:r w:rsidRPr="00BA4F8E">
              <w:rPr>
                <w:rFonts w:cstheme="minorHAnsi"/>
              </w:rPr>
              <w:tab/>
              <w:t>Počet podpořených spoluprací</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73F5F55D" w14:textId="77777777" w:rsidR="006F19D4" w:rsidRPr="00BA4F8E" w:rsidRDefault="006F19D4" w:rsidP="00543C1B">
            <w:pPr>
              <w:numPr>
                <w:ilvl w:val="0"/>
                <w:numId w:val="36"/>
              </w:numPr>
              <w:spacing w:after="0" w:line="276" w:lineRule="auto"/>
              <w:ind w:left="284" w:hanging="284"/>
              <w:contextualSpacing/>
              <w:jc w:val="both"/>
            </w:pPr>
            <w:r w:rsidRPr="00BA4F8E">
              <w:t xml:space="preserve">Tvorba a zavedení nástrojů na identifikaci </w:t>
            </w:r>
            <w:r w:rsidRPr="00BA4F8E">
              <w:rPr>
                <w:rFonts w:cs="Times New Roman"/>
              </w:rPr>
              <w:t xml:space="preserve">přirozeného nadání žáků pro podnikání, pro technické profese a pro </w:t>
            </w:r>
            <w:r w:rsidRPr="00BA4F8E">
              <w:t>výzkum a vývoj.</w:t>
            </w:r>
          </w:p>
          <w:p w14:paraId="3DD2F735" w14:textId="77777777" w:rsidR="006F19D4" w:rsidRPr="00BA4F8E" w:rsidRDefault="006F19D4" w:rsidP="00543C1B">
            <w:pPr>
              <w:numPr>
                <w:ilvl w:val="0"/>
                <w:numId w:val="36"/>
              </w:numPr>
              <w:spacing w:after="0" w:line="276" w:lineRule="auto"/>
              <w:ind w:left="284" w:hanging="284"/>
              <w:contextualSpacing/>
              <w:jc w:val="both"/>
            </w:pPr>
            <w:r w:rsidRPr="00BA4F8E">
              <w:t xml:space="preserve">Tvorba a aplikace rozvojových programů pro uvedené typy </w:t>
            </w:r>
            <w:r w:rsidRPr="00BA4F8E">
              <w:rPr>
                <w:rFonts w:cs="Times New Roman"/>
              </w:rPr>
              <w:t>přirozeného nadání</w:t>
            </w:r>
            <w:r w:rsidRPr="00BA4F8E">
              <w:t xml:space="preserve">, včetně přípravy poradců </w:t>
            </w:r>
            <w:r w:rsidRPr="00BA4F8E">
              <w:rPr>
                <w:rFonts w:cs="Times New Roman"/>
              </w:rPr>
              <w:t>k</w:t>
            </w:r>
            <w:r w:rsidRPr="00BA4F8E">
              <w:t xml:space="preserve"> práci s </w:t>
            </w:r>
            <w:r w:rsidRPr="00BA4F8E">
              <w:rPr>
                <w:rFonts w:cs="Times New Roman"/>
              </w:rPr>
              <w:t>nimi</w:t>
            </w:r>
            <w:r w:rsidRPr="00BA4F8E">
              <w:t>.</w:t>
            </w:r>
          </w:p>
        </w:tc>
      </w:tr>
      <w:tr w:rsidR="006F19D4" w:rsidRPr="00BA4F8E" w14:paraId="14E4A36F"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1AFBA130" w14:textId="77777777" w:rsidR="006F19D4" w:rsidRPr="00BA4F8E" w:rsidRDefault="006F19D4" w:rsidP="006F19D4">
            <w:pPr>
              <w:spacing w:after="0" w:line="276" w:lineRule="auto"/>
              <w:rPr>
                <w:b/>
              </w:rPr>
            </w:pPr>
            <w:r w:rsidRPr="00BA4F8E">
              <w:rPr>
                <w:b/>
              </w:rPr>
              <w:t>D.2.2: Připravit inovátory příští generace</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42636D27" w14:textId="77777777" w:rsidR="006F19D4" w:rsidRPr="00BA4F8E" w:rsidRDefault="006F19D4" w:rsidP="006F19D4">
            <w:pPr>
              <w:spacing w:after="0" w:line="276" w:lineRule="auto"/>
              <w:ind w:left="700" w:hanging="700"/>
              <w:rPr>
                <w:rFonts w:cstheme="minorHAnsi"/>
              </w:rPr>
            </w:pPr>
            <w:r w:rsidRPr="00BA4F8E">
              <w:rPr>
                <w:rFonts w:cstheme="minorHAnsi"/>
              </w:rPr>
              <w:t>51212</w:t>
            </w:r>
            <w:r w:rsidRPr="00BA4F8E">
              <w:rPr>
                <w:rFonts w:cstheme="minorHAnsi"/>
              </w:rPr>
              <w:tab/>
              <w:t xml:space="preserve">Počet mimoškolních aktivit vedoucích k rozvoji kompetencí </w:t>
            </w:r>
          </w:p>
          <w:p w14:paraId="7B5F4C47" w14:textId="333E4AFB" w:rsidR="006F19D4" w:rsidRPr="00BA4F8E" w:rsidRDefault="006F19D4" w:rsidP="006F19D4">
            <w:pPr>
              <w:spacing w:after="0" w:line="276" w:lineRule="auto"/>
              <w:ind w:left="700" w:hanging="700"/>
              <w:rPr>
                <w:rFonts w:cstheme="minorHAnsi"/>
              </w:rPr>
            </w:pPr>
            <w:r w:rsidRPr="00BA4F8E">
              <w:rPr>
                <w:rFonts w:cstheme="minorHAnsi"/>
              </w:rPr>
              <w:t>51301</w:t>
            </w:r>
            <w:r w:rsidRPr="00BA4F8E">
              <w:rPr>
                <w:rFonts w:cstheme="minorHAnsi"/>
              </w:rPr>
              <w:tab/>
              <w:t>Počet vzdělávacích modulů s metodikou a</w:t>
            </w:r>
            <w:r w:rsidR="00125794">
              <w:rPr>
                <w:rFonts w:cstheme="minorHAnsi"/>
              </w:rPr>
              <w:t> </w:t>
            </w:r>
            <w:r w:rsidRPr="00BA4F8E">
              <w:rPr>
                <w:rFonts w:cstheme="minorHAnsi"/>
              </w:rPr>
              <w:t xml:space="preserve">vzdělávacím programem </w:t>
            </w:r>
          </w:p>
          <w:p w14:paraId="11FE3B34" w14:textId="77777777" w:rsidR="006F19D4" w:rsidRPr="00BA4F8E" w:rsidRDefault="006F19D4" w:rsidP="006F19D4">
            <w:pPr>
              <w:spacing w:after="0" w:line="276" w:lineRule="auto"/>
              <w:ind w:left="700" w:hanging="700"/>
              <w:rPr>
                <w:rFonts w:cstheme="minorHAnsi"/>
              </w:rPr>
            </w:pPr>
            <w:r w:rsidRPr="00BA4F8E">
              <w:rPr>
                <w:rFonts w:cstheme="minorHAnsi"/>
              </w:rPr>
              <w:t>51510</w:t>
            </w:r>
            <w:r w:rsidRPr="00BA4F8E">
              <w:rPr>
                <w:rFonts w:cstheme="minorHAnsi"/>
              </w:rPr>
              <w:tab/>
              <w:t xml:space="preserve">Celkový počet dětí, žáků a studentů v podpořených organizacích </w:t>
            </w:r>
          </w:p>
          <w:p w14:paraId="6131F3A9" w14:textId="77777777" w:rsidR="006F19D4" w:rsidRPr="00BA4F8E" w:rsidRDefault="006F19D4" w:rsidP="006F19D4">
            <w:pPr>
              <w:spacing w:after="0" w:line="276" w:lineRule="auto"/>
              <w:ind w:left="700" w:hanging="700"/>
              <w:rPr>
                <w:rFonts w:cstheme="minorHAnsi"/>
              </w:rPr>
            </w:pPr>
            <w:r w:rsidRPr="00BA4F8E">
              <w:rPr>
                <w:rFonts w:cstheme="minorHAnsi"/>
              </w:rPr>
              <w:t>52105</w:t>
            </w:r>
            <w:r w:rsidRPr="00BA4F8E">
              <w:rPr>
                <w:rFonts w:cstheme="minorHAnsi"/>
              </w:rPr>
              <w:tab/>
              <w:t>Počet produktů vzdělávání k podnikavosti</w:t>
            </w:r>
          </w:p>
          <w:p w14:paraId="545D75F5" w14:textId="77777777" w:rsidR="006F19D4" w:rsidRPr="00BA4F8E" w:rsidRDefault="006F19D4" w:rsidP="006F19D4">
            <w:pPr>
              <w:spacing w:after="0" w:line="276" w:lineRule="auto"/>
              <w:ind w:left="700" w:hanging="700"/>
              <w:rPr>
                <w:rFonts w:cstheme="minorHAnsi"/>
              </w:rPr>
            </w:pPr>
            <w:r w:rsidRPr="00BA4F8E">
              <w:rPr>
                <w:rFonts w:cstheme="minorHAnsi"/>
              </w:rPr>
              <w:lastRenderedPageBreak/>
              <w:t>52106</w:t>
            </w:r>
            <w:r w:rsidRPr="00BA4F8E">
              <w:rPr>
                <w:rFonts w:cstheme="minorHAnsi"/>
              </w:rPr>
              <w:tab/>
              <w:t xml:space="preserve">Počet produktů polytechnického vzdělávání </w:t>
            </w:r>
          </w:p>
          <w:p w14:paraId="2083107F" w14:textId="77777777" w:rsidR="006F19D4" w:rsidRPr="00BA4F8E" w:rsidRDefault="006F19D4" w:rsidP="006F19D4">
            <w:pPr>
              <w:spacing w:after="0" w:line="276" w:lineRule="auto"/>
              <w:ind w:left="700" w:hanging="700"/>
              <w:rPr>
                <w:rFonts w:cstheme="minorHAnsi"/>
              </w:rPr>
            </w:pPr>
            <w:r w:rsidRPr="00BA4F8E">
              <w:rPr>
                <w:rFonts w:cstheme="minorHAnsi"/>
              </w:rPr>
              <w:t>52510</w:t>
            </w:r>
            <w:r w:rsidRPr="00BA4F8E">
              <w:rPr>
                <w:rFonts w:cstheme="minorHAnsi"/>
              </w:rPr>
              <w:tab/>
              <w:t xml:space="preserve">Počet pracovníků ve vzdělávaná, kteří v praxi uplatňují nově získané poznatky a dovednosti </w:t>
            </w:r>
          </w:p>
          <w:p w14:paraId="5F1C9F78" w14:textId="77777777" w:rsidR="006F19D4" w:rsidRPr="00BA4F8E" w:rsidRDefault="006F19D4" w:rsidP="006F19D4">
            <w:pPr>
              <w:spacing w:after="0" w:line="276" w:lineRule="auto"/>
              <w:ind w:left="700" w:hanging="700"/>
              <w:rPr>
                <w:rFonts w:cstheme="minorHAnsi"/>
              </w:rPr>
            </w:pPr>
            <w:r w:rsidRPr="00BA4F8E">
              <w:rPr>
                <w:rFonts w:cstheme="minorHAnsi"/>
              </w:rPr>
              <w:t>52601</w:t>
            </w:r>
            <w:r w:rsidRPr="00BA4F8E">
              <w:rPr>
                <w:rFonts w:cstheme="minorHAnsi"/>
              </w:rPr>
              <w:tab/>
              <w:t>Počet poskytnutých služeb individuální podpory pedagogům</w:t>
            </w:r>
          </w:p>
          <w:p w14:paraId="681E956F" w14:textId="77777777" w:rsidR="006F19D4" w:rsidRPr="00BA4F8E" w:rsidRDefault="006F19D4" w:rsidP="006F19D4">
            <w:pPr>
              <w:spacing w:after="0" w:line="276" w:lineRule="auto"/>
              <w:ind w:left="700" w:hanging="700"/>
              <w:rPr>
                <w:rFonts w:cstheme="minorHAnsi"/>
              </w:rPr>
            </w:pPr>
            <w:r w:rsidRPr="00BA4F8E">
              <w:rPr>
                <w:rFonts w:cstheme="minorHAnsi"/>
              </w:rPr>
              <w:t>52602</w:t>
            </w:r>
            <w:r w:rsidRPr="00BA4F8E">
              <w:rPr>
                <w:rFonts w:cstheme="minorHAnsi"/>
              </w:rPr>
              <w:tab/>
              <w:t>Počet platforem pro odborná tematická setkání</w:t>
            </w:r>
          </w:p>
          <w:p w14:paraId="7857B12A" w14:textId="77777777" w:rsidR="006F19D4" w:rsidRPr="00BA4F8E" w:rsidRDefault="006F19D4" w:rsidP="006F19D4">
            <w:pPr>
              <w:spacing w:after="0" w:line="276" w:lineRule="auto"/>
              <w:ind w:left="700" w:hanging="700"/>
              <w:rPr>
                <w:rFonts w:cstheme="minorHAnsi"/>
              </w:rPr>
            </w:pPr>
            <w:r w:rsidRPr="00BA4F8E">
              <w:rPr>
                <w:rFonts w:cstheme="minorHAnsi"/>
              </w:rPr>
              <w:t>54000</w:t>
            </w:r>
            <w:r w:rsidRPr="00BA4F8E">
              <w:rPr>
                <w:rFonts w:cstheme="minorHAnsi"/>
              </w:rPr>
              <w:tab/>
              <w:t>Počet podpořených osob - pracovníci ve vzdělávání</w:t>
            </w:r>
          </w:p>
          <w:p w14:paraId="5734A366" w14:textId="77777777" w:rsidR="006F19D4" w:rsidRPr="00BA4F8E" w:rsidRDefault="006F19D4" w:rsidP="006F19D4">
            <w:pPr>
              <w:spacing w:after="0" w:line="276" w:lineRule="auto"/>
              <w:ind w:left="700" w:hanging="700"/>
              <w:rPr>
                <w:rFonts w:cstheme="minorHAnsi"/>
              </w:rPr>
            </w:pPr>
            <w:r w:rsidRPr="00BA4F8E">
              <w:rPr>
                <w:rFonts w:cstheme="minorHAnsi"/>
              </w:rPr>
              <w:t>54310</w:t>
            </w:r>
            <w:r w:rsidRPr="00BA4F8E">
              <w:rPr>
                <w:rFonts w:cstheme="minorHAnsi"/>
              </w:rPr>
              <w:tab/>
              <w:t>Počet podpořených spoluprací</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196D65BC" w14:textId="77777777" w:rsidR="006F19D4" w:rsidRPr="00BA4F8E" w:rsidRDefault="006F19D4" w:rsidP="00543C1B">
            <w:pPr>
              <w:numPr>
                <w:ilvl w:val="0"/>
                <w:numId w:val="36"/>
              </w:numPr>
              <w:spacing w:after="0" w:line="276" w:lineRule="auto"/>
              <w:ind w:left="284" w:hanging="284"/>
              <w:contextualSpacing/>
              <w:jc w:val="both"/>
              <w:rPr>
                <w:i/>
              </w:rPr>
            </w:pPr>
            <w:r w:rsidRPr="00BA4F8E">
              <w:lastRenderedPageBreak/>
              <w:t>Realizace vysoce individualizovaných programů na rozvoj jedinců s mimořádným podnikatelským talentem, technickým talentem nebo talentem pro výzkumnou a vývojovou práci.</w:t>
            </w:r>
          </w:p>
        </w:tc>
      </w:tr>
      <w:tr w:rsidR="006F19D4" w:rsidRPr="00BA4F8E" w14:paraId="1CE5ECAD"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225E8D67" w14:textId="77777777" w:rsidR="006F19D4" w:rsidRPr="00BA4F8E" w:rsidRDefault="006F19D4" w:rsidP="006F19D4">
            <w:pPr>
              <w:spacing w:after="0" w:line="276" w:lineRule="auto"/>
              <w:rPr>
                <w:b/>
              </w:rPr>
            </w:pPr>
            <w:r w:rsidRPr="00BA4F8E">
              <w:rPr>
                <w:b/>
              </w:rPr>
              <w:t xml:space="preserve">D.2.3: Vytvořit systém </w:t>
            </w:r>
            <w:r w:rsidRPr="00BA4F8E">
              <w:rPr>
                <w:rFonts w:cs="Times New Roman"/>
                <w:b/>
              </w:rPr>
              <w:t xml:space="preserve">pro získání a adaptaci </w:t>
            </w:r>
            <w:r w:rsidRPr="00BA4F8E">
              <w:rPr>
                <w:b/>
              </w:rPr>
              <w:t>vysoce kvalifikovaných lidí do ČR</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2063651D" w14:textId="77777777" w:rsidR="006F19D4" w:rsidRPr="00BA4F8E" w:rsidRDefault="006F19D4" w:rsidP="006F19D4">
            <w:pPr>
              <w:spacing w:after="0" w:line="276" w:lineRule="auto"/>
              <w:ind w:left="700" w:hanging="700"/>
              <w:rPr>
                <w:rFonts w:cstheme="minorHAnsi"/>
              </w:rPr>
            </w:pPr>
            <w:r w:rsidRPr="00BA4F8E">
              <w:rPr>
                <w:rFonts w:cstheme="minorHAnsi"/>
              </w:rPr>
              <w:t>20403</w:t>
            </w:r>
            <w:r w:rsidRPr="00BA4F8E">
              <w:rPr>
                <w:rFonts w:cstheme="minorHAnsi"/>
              </w:rPr>
              <w:tab/>
              <w:t xml:space="preserve">Počet služeb poskytovanými nově příchozími pracovníky ze zahraničí </w:t>
            </w:r>
          </w:p>
          <w:p w14:paraId="202AC1F5" w14:textId="77777777" w:rsidR="006F19D4" w:rsidRPr="00BA4F8E" w:rsidRDefault="006F19D4" w:rsidP="006F19D4">
            <w:pPr>
              <w:spacing w:after="0" w:line="276" w:lineRule="auto"/>
              <w:ind w:left="700" w:hanging="700"/>
              <w:rPr>
                <w:rFonts w:cstheme="minorHAnsi"/>
              </w:rPr>
            </w:pPr>
            <w:r w:rsidRPr="00BA4F8E">
              <w:rPr>
                <w:rFonts w:cstheme="minorHAnsi"/>
              </w:rPr>
              <w:t>20415</w:t>
            </w:r>
            <w:r w:rsidRPr="00BA4F8E">
              <w:rPr>
                <w:rFonts w:cstheme="minorHAnsi"/>
              </w:rPr>
              <w:tab/>
              <w:t xml:space="preserve">Počet výzkumných organizací s nově příchozími výzkumnými pracovníky ze zahraničí nebo soukromého sektoru </w:t>
            </w:r>
          </w:p>
          <w:p w14:paraId="235FA53A" w14:textId="77777777" w:rsidR="006F19D4" w:rsidRPr="00BA4F8E" w:rsidRDefault="006F19D4" w:rsidP="006F19D4">
            <w:pPr>
              <w:spacing w:after="0" w:line="276" w:lineRule="auto"/>
              <w:ind w:left="700" w:hanging="700"/>
              <w:rPr>
                <w:rFonts w:cstheme="minorHAnsi"/>
              </w:rPr>
            </w:pPr>
            <w:r w:rsidRPr="00BA4F8E">
              <w:rPr>
                <w:rFonts w:cstheme="minorHAnsi"/>
              </w:rPr>
              <w:t>20810</w:t>
            </w:r>
            <w:r w:rsidRPr="00BA4F8E">
              <w:rPr>
                <w:rFonts w:cstheme="minorHAnsi"/>
              </w:rPr>
              <w:tab/>
              <w:t>Počet organizací, jejichž pracovníci zvýšili svoji kvalifikaci ve  VaV, jeho řízení a oblastech souvisejících</w:t>
            </w:r>
          </w:p>
          <w:p w14:paraId="27527804" w14:textId="77777777" w:rsidR="006F19D4" w:rsidRPr="00BA4F8E" w:rsidRDefault="006F19D4" w:rsidP="006F19D4">
            <w:pPr>
              <w:spacing w:after="0" w:line="276" w:lineRule="auto"/>
              <w:ind w:left="700" w:hanging="700"/>
              <w:rPr>
                <w:rFonts w:cstheme="minorHAnsi"/>
              </w:rPr>
            </w:pPr>
            <w:r w:rsidRPr="00BA4F8E">
              <w:rPr>
                <w:rFonts w:cstheme="minorHAnsi"/>
              </w:rPr>
              <w:t>52602</w:t>
            </w:r>
            <w:r w:rsidRPr="00BA4F8E">
              <w:rPr>
                <w:rFonts w:cstheme="minorHAnsi"/>
              </w:rPr>
              <w:tab/>
              <w:t>Počet platforem pro odborná tematická setkání</w:t>
            </w:r>
          </w:p>
          <w:p w14:paraId="21D2F20B" w14:textId="77777777" w:rsidR="006F19D4" w:rsidRPr="00BA4F8E" w:rsidRDefault="006F19D4" w:rsidP="006F19D4">
            <w:pPr>
              <w:spacing w:after="0" w:line="276" w:lineRule="auto"/>
              <w:ind w:left="700" w:hanging="700"/>
              <w:rPr>
                <w:rFonts w:cstheme="minorHAnsi"/>
              </w:rPr>
            </w:pPr>
            <w:r w:rsidRPr="00BA4F8E">
              <w:rPr>
                <w:rFonts w:cstheme="minorHAnsi"/>
              </w:rPr>
              <w:t>52902</w:t>
            </w:r>
            <w:r w:rsidRPr="00BA4F8E">
              <w:rPr>
                <w:rFonts w:cstheme="minorHAnsi"/>
              </w:rPr>
              <w:tab/>
              <w:t xml:space="preserve">Počet studijních programů s alespoň jedním předmětem nově vyučovaným v cizím jazyce </w:t>
            </w:r>
          </w:p>
          <w:p w14:paraId="349C5980" w14:textId="77777777" w:rsidR="006F19D4" w:rsidRPr="00BA4F8E" w:rsidRDefault="006F19D4" w:rsidP="006F19D4">
            <w:pPr>
              <w:spacing w:after="0" w:line="276" w:lineRule="auto"/>
              <w:ind w:left="700" w:hanging="700"/>
              <w:rPr>
                <w:rFonts w:cstheme="minorHAnsi"/>
              </w:rPr>
            </w:pPr>
            <w:r w:rsidRPr="00BA4F8E">
              <w:rPr>
                <w:rFonts w:cstheme="minorHAnsi"/>
              </w:rPr>
              <w:t>52910</w:t>
            </w:r>
            <w:r w:rsidRPr="00BA4F8E">
              <w:rPr>
                <w:rFonts w:cstheme="minorHAnsi"/>
              </w:rPr>
              <w:tab/>
              <w:t>Podíl studijních programů vyučovaných v cizím jazyce</w:t>
            </w:r>
          </w:p>
          <w:p w14:paraId="6D22649B" w14:textId="77777777" w:rsidR="006F19D4" w:rsidRPr="00BA4F8E" w:rsidRDefault="006F19D4" w:rsidP="006F19D4">
            <w:pPr>
              <w:spacing w:after="0" w:line="276" w:lineRule="auto"/>
              <w:ind w:left="700" w:hanging="700"/>
              <w:rPr>
                <w:rFonts w:cstheme="minorHAnsi"/>
              </w:rPr>
            </w:pPr>
            <w:r w:rsidRPr="00BA4F8E">
              <w:rPr>
                <w:rFonts w:cstheme="minorHAnsi"/>
              </w:rPr>
              <w:t>54310</w:t>
            </w:r>
            <w:r w:rsidRPr="00BA4F8E">
              <w:rPr>
                <w:rFonts w:cstheme="minorHAnsi"/>
              </w:rPr>
              <w:tab/>
              <w:t xml:space="preserve">Počet podpořených spoluprací </w:t>
            </w:r>
          </w:p>
          <w:p w14:paraId="5B7A77BB" w14:textId="77777777" w:rsidR="006F19D4" w:rsidRPr="00BA4F8E" w:rsidRDefault="006F19D4" w:rsidP="006F19D4">
            <w:pPr>
              <w:spacing w:after="0" w:line="276" w:lineRule="auto"/>
              <w:ind w:left="700" w:hanging="700"/>
              <w:rPr>
                <w:rFonts w:cstheme="minorHAnsi"/>
              </w:rPr>
            </w:pPr>
            <w:r w:rsidRPr="00BA4F8E">
              <w:rPr>
                <w:rFonts w:cstheme="minorHAnsi"/>
              </w:rPr>
              <w:lastRenderedPageBreak/>
              <w:t>54311</w:t>
            </w:r>
            <w:r w:rsidRPr="00BA4F8E">
              <w:rPr>
                <w:rFonts w:cstheme="minorHAnsi"/>
              </w:rPr>
              <w:tab/>
              <w:t>Počet studentů studujících v zahraničí</w:t>
            </w:r>
          </w:p>
          <w:p w14:paraId="045030A8" w14:textId="77777777" w:rsidR="006F19D4" w:rsidRPr="00BA4F8E" w:rsidRDefault="006F19D4" w:rsidP="006F19D4">
            <w:pPr>
              <w:spacing w:after="0" w:line="276" w:lineRule="auto"/>
              <w:ind w:left="700" w:hanging="700"/>
              <w:rPr>
                <w:rFonts w:cstheme="minorHAnsi"/>
              </w:rPr>
            </w:pPr>
            <w:r w:rsidRPr="00BA4F8E">
              <w:rPr>
                <w:rFonts w:cstheme="minorHAnsi"/>
              </w:rPr>
              <w:t>54601</w:t>
            </w:r>
            <w:r w:rsidRPr="00BA4F8E">
              <w:rPr>
                <w:rFonts w:cstheme="minorHAnsi"/>
              </w:rPr>
              <w:tab/>
              <w:t>Počet studentů výzkumně zaměřených studijních programů a Ph.D. studentů, kteří se zúčastnili stáže</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136749D7" w14:textId="77777777" w:rsidR="006F19D4" w:rsidRPr="00BA4F8E" w:rsidRDefault="006F19D4" w:rsidP="00543C1B">
            <w:pPr>
              <w:numPr>
                <w:ilvl w:val="0"/>
                <w:numId w:val="36"/>
              </w:numPr>
              <w:spacing w:after="0" w:line="276" w:lineRule="auto"/>
              <w:ind w:left="284" w:hanging="284"/>
              <w:contextualSpacing/>
              <w:jc w:val="both"/>
            </w:pPr>
            <w:r w:rsidRPr="00BA4F8E">
              <w:lastRenderedPageBreak/>
              <w:t>Podpora zahraničních studentů ke studiu na českých VŠ (např. propagace českých VŠ v zahraničí, zavedení angličtiny jako druhého úředního jazyka na VŠ, zavedení povinných předmětů v angličtině, nákup zahraniční literatury do knihoven apod.).</w:t>
            </w:r>
          </w:p>
          <w:p w14:paraId="7C888868" w14:textId="77777777" w:rsidR="006F19D4" w:rsidRPr="00BA4F8E" w:rsidRDefault="006F19D4" w:rsidP="00543C1B">
            <w:pPr>
              <w:numPr>
                <w:ilvl w:val="0"/>
                <w:numId w:val="36"/>
              </w:numPr>
              <w:spacing w:after="0" w:line="276" w:lineRule="auto"/>
              <w:ind w:left="284" w:hanging="284"/>
              <w:contextualSpacing/>
              <w:jc w:val="both"/>
            </w:pPr>
            <w:r w:rsidRPr="00BA4F8E">
              <w:t xml:space="preserve">Podpora vysoce kvalifikovaných cizinců (zejména v technických profesích) k práci v ČR. </w:t>
            </w:r>
          </w:p>
        </w:tc>
      </w:tr>
      <w:tr w:rsidR="006F19D4" w:rsidRPr="00BA4F8E" w14:paraId="5109BDD7" w14:textId="77777777" w:rsidTr="003F15C6">
        <w:tc>
          <w:tcPr>
            <w:tcW w:w="9628" w:type="dxa"/>
            <w:gridSpan w:val="4"/>
            <w:tcBorders>
              <w:top w:val="single" w:sz="4" w:space="0" w:color="auto"/>
              <w:left w:val="single" w:sz="4" w:space="0" w:color="auto"/>
              <w:bottom w:val="single" w:sz="4" w:space="0" w:color="auto"/>
              <w:right w:val="single" w:sz="4" w:space="0" w:color="auto"/>
            </w:tcBorders>
            <w:shd w:val="clear" w:color="auto" w:fill="6BB9FF" w:themeFill="accent2" w:themeFillTint="66"/>
          </w:tcPr>
          <w:p w14:paraId="3BB57C18" w14:textId="77777777" w:rsidR="006F19D4" w:rsidRPr="00BA4F8E" w:rsidRDefault="006F19D4" w:rsidP="006F19D4">
            <w:pPr>
              <w:keepNext/>
              <w:spacing w:after="0" w:line="276" w:lineRule="auto"/>
              <w:jc w:val="both"/>
              <w:rPr>
                <w:b/>
              </w:rPr>
            </w:pPr>
            <w:r w:rsidRPr="00BA4F8E">
              <w:rPr>
                <w:b/>
              </w:rPr>
              <w:t>Strategický cíl D.3: Zvýšit kvalitu pracovníků ve výzkumu a vývoji</w:t>
            </w:r>
          </w:p>
          <w:p w14:paraId="3C6676FE" w14:textId="42B77EFC" w:rsidR="006F19D4" w:rsidRPr="00BA4F8E" w:rsidRDefault="006F19D4" w:rsidP="006F19D4">
            <w:pPr>
              <w:spacing w:after="0" w:line="252" w:lineRule="auto"/>
              <w:jc w:val="both"/>
            </w:pPr>
            <w:r w:rsidRPr="00BA4F8E">
              <w:t>Kvalita výzkumu a vývoje záleží především na kvalitě dostupných lidských zdrojů a efektivitě jejich využití. Přítomnost konkurenčních tlaků a nutnosti přežití v soukromém sektoru vytváří vhodné prostředí vyvolávající potřebu se oběma výše uvedenými faktory intenzivně zabývat. Prostředí veřejného výzkumu se však do značné míry od prostředí soukromého sektoru liší, a to zejména v intenzitě tlaku na výsledky a efektivitu výzkumu a vývoje (ty se dále velmi liší mezi jednotlivými výzkumnými organizacemi). Proto lze prostředí veřejného výzkumu v ČR obecně vnímat jako méně konkurenční a s nižším tlakem na výkon, než je tomu v soukromém sektoru nebo ve výzkumu v rozvinutých zemích. Uvedené se často odráží v nejasné koncepci rozvoje jednotlivých výzkumných organizací (včetně implementačního rámce), v nedostatečném fungování personálních procesů a</w:t>
            </w:r>
            <w:r w:rsidR="003B0F5C">
              <w:t> </w:t>
            </w:r>
            <w:r w:rsidRPr="00BA4F8E">
              <w:t>také v nedostatečném působení nástrojů či jejich absenci, které by pomohly zmíněné nedostatky současného systému eliminovat. Před veřejnými výzkumnými organizacemi tak stojí velmi náročný úkol změny kultury tohoto sektoru, stanovení směru vývoje (včetně identifikace prioritních oblastí výzkumu), vybudování podpůrných struktur a zahájení cílené práce spojené s rozvojem lidských zdrojů a zvýšení efektivity jejich využití.</w:t>
            </w:r>
          </w:p>
          <w:p w14:paraId="41EFB2AF" w14:textId="77777777" w:rsidR="006F19D4" w:rsidRPr="00BA4F8E" w:rsidRDefault="006F19D4" w:rsidP="006F19D4">
            <w:pPr>
              <w:widowControl w:val="0"/>
              <w:autoSpaceDE w:val="0"/>
              <w:autoSpaceDN w:val="0"/>
              <w:adjustRightInd w:val="0"/>
              <w:spacing w:after="0" w:line="276" w:lineRule="auto"/>
              <w:jc w:val="both"/>
            </w:pPr>
            <w:r w:rsidRPr="00BA4F8E">
              <w:t>Závazné indikátory cíle D.3:</w:t>
            </w:r>
          </w:p>
          <w:p w14:paraId="23A6B732" w14:textId="77777777" w:rsidR="006F19D4" w:rsidRPr="00BA4F8E" w:rsidRDefault="006F19D4" w:rsidP="00543C1B">
            <w:pPr>
              <w:numPr>
                <w:ilvl w:val="0"/>
                <w:numId w:val="38"/>
              </w:numPr>
              <w:spacing w:after="0" w:line="271" w:lineRule="auto"/>
              <w:contextualSpacing/>
              <w:jc w:val="both"/>
            </w:pPr>
            <w:r w:rsidRPr="00BA4F8E">
              <w:t>Počet výzkumných organizací s modernizovaným systémem strategického řízení</w:t>
            </w:r>
          </w:p>
          <w:p w14:paraId="4DCEC7EA" w14:textId="77777777" w:rsidR="006F19D4" w:rsidRPr="00BA4F8E" w:rsidRDefault="006F19D4" w:rsidP="00543C1B">
            <w:pPr>
              <w:numPr>
                <w:ilvl w:val="0"/>
                <w:numId w:val="38"/>
              </w:numPr>
              <w:spacing w:after="0" w:line="271" w:lineRule="auto"/>
              <w:contextualSpacing/>
              <w:jc w:val="both"/>
            </w:pPr>
            <w:r w:rsidRPr="00BA4F8E">
              <w:t xml:space="preserve">Podíl studentů doktorského studia, kteří úspěšně ukončili studium </w:t>
            </w:r>
          </w:p>
          <w:p w14:paraId="4040BC8F" w14:textId="0D4D0F21" w:rsidR="00D06664" w:rsidRDefault="006F19D4" w:rsidP="00543C1B">
            <w:pPr>
              <w:numPr>
                <w:ilvl w:val="0"/>
                <w:numId w:val="38"/>
              </w:numPr>
              <w:spacing w:after="0" w:line="271" w:lineRule="auto"/>
              <w:contextualSpacing/>
              <w:jc w:val="both"/>
            </w:pPr>
            <w:r w:rsidRPr="00BA4F8E">
              <w:t>Podíl studentů doktorského studia, kteří studovali alespoň jeden semestr v</w:t>
            </w:r>
            <w:r w:rsidR="00DD3634">
              <w:t> </w:t>
            </w:r>
            <w:r w:rsidRPr="00BA4F8E">
              <w:t>zahraničí</w:t>
            </w:r>
          </w:p>
          <w:p w14:paraId="10D8322E" w14:textId="0DE0B477" w:rsidR="00DD3634" w:rsidRPr="00E81E72" w:rsidRDefault="00DD3634" w:rsidP="00DD3634">
            <w:pPr>
              <w:spacing w:after="0" w:line="271" w:lineRule="auto"/>
              <w:contextualSpacing/>
              <w:jc w:val="both"/>
            </w:pPr>
          </w:p>
        </w:tc>
      </w:tr>
      <w:tr w:rsidR="006F19D4" w:rsidRPr="00BA4F8E" w14:paraId="13FF3C5C"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7DC4C49B" w14:textId="77777777" w:rsidR="006F19D4" w:rsidRPr="00BA4F8E" w:rsidRDefault="006F19D4" w:rsidP="006F19D4">
            <w:pPr>
              <w:spacing w:after="0" w:line="276" w:lineRule="auto"/>
              <w:jc w:val="both"/>
              <w:rPr>
                <w:b/>
                <w:i/>
              </w:rPr>
            </w:pPr>
            <w:r w:rsidRPr="00BA4F8E">
              <w:rPr>
                <w:b/>
                <w:i/>
              </w:rPr>
              <w:t xml:space="preserve">Specifické cíle  </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00B776E8" w14:textId="77777777" w:rsidR="006F19D4" w:rsidRPr="00BA4F8E" w:rsidRDefault="006F19D4" w:rsidP="006F19D4">
            <w:pPr>
              <w:spacing w:after="0" w:line="276" w:lineRule="auto"/>
              <w:jc w:val="both"/>
              <w:rPr>
                <w:b/>
                <w:i/>
              </w:rPr>
            </w:pPr>
            <w:r w:rsidRPr="00BA4F8E">
              <w:rPr>
                <w:b/>
                <w:i/>
              </w:rPr>
              <w:t>Indikátory specifického cíle</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19595ADB" w14:textId="77777777" w:rsidR="006F19D4" w:rsidRPr="00BA4F8E" w:rsidRDefault="006F19D4" w:rsidP="006F19D4">
            <w:pPr>
              <w:spacing w:after="0" w:line="276" w:lineRule="auto"/>
              <w:jc w:val="both"/>
              <w:rPr>
                <w:b/>
                <w:i/>
              </w:rPr>
            </w:pPr>
            <w:r w:rsidRPr="00BA4F8E">
              <w:rPr>
                <w:b/>
                <w:i/>
              </w:rPr>
              <w:t>Typové aktivity/projekty/operace</w:t>
            </w:r>
          </w:p>
        </w:tc>
      </w:tr>
      <w:tr w:rsidR="006F19D4" w:rsidRPr="00BA4F8E" w14:paraId="70EA2B77"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41BB4843" w14:textId="77777777" w:rsidR="006F19D4" w:rsidRPr="00BA4F8E" w:rsidRDefault="006F19D4" w:rsidP="006F19D4">
            <w:pPr>
              <w:spacing w:after="0" w:line="271" w:lineRule="auto"/>
              <w:rPr>
                <w:b/>
                <w:i/>
              </w:rPr>
            </w:pPr>
            <w:r w:rsidRPr="00BA4F8E">
              <w:rPr>
                <w:b/>
              </w:rPr>
              <w:t>D.3.1: Zvýšit úroveň strategického i operativního řízení a vytvořit předpoklady pro zvýšení kvality výzkumných organizací</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48D00253" w14:textId="77777777" w:rsidR="006F19D4" w:rsidRPr="00BA4F8E" w:rsidRDefault="006F19D4" w:rsidP="006F19D4">
            <w:pPr>
              <w:spacing w:after="0" w:line="276" w:lineRule="auto"/>
              <w:ind w:left="700" w:hanging="700"/>
              <w:rPr>
                <w:rFonts w:cstheme="minorHAnsi"/>
              </w:rPr>
            </w:pPr>
            <w:r w:rsidRPr="00BA4F8E">
              <w:rPr>
                <w:rFonts w:cstheme="minorHAnsi"/>
              </w:rPr>
              <w:t>20800</w:t>
            </w:r>
            <w:r w:rsidRPr="00BA4F8E">
              <w:rPr>
                <w:rFonts w:cstheme="minorHAnsi"/>
              </w:rPr>
              <w:tab/>
              <w:t>Počet podpořený výzkumných a akademických pracovníků</w:t>
            </w:r>
          </w:p>
          <w:p w14:paraId="6EF61359" w14:textId="77777777" w:rsidR="006F19D4" w:rsidRPr="00BA4F8E" w:rsidRDefault="006F19D4" w:rsidP="006F19D4">
            <w:pPr>
              <w:spacing w:after="0" w:line="276" w:lineRule="auto"/>
              <w:ind w:left="700" w:hanging="700"/>
              <w:rPr>
                <w:rFonts w:cstheme="minorHAnsi"/>
              </w:rPr>
            </w:pPr>
            <w:r w:rsidRPr="00BA4F8E">
              <w:rPr>
                <w:rFonts w:cstheme="minorHAnsi"/>
              </w:rPr>
              <w:t>20803</w:t>
            </w:r>
            <w:r w:rsidRPr="00BA4F8E">
              <w:rPr>
                <w:rFonts w:cstheme="minorHAnsi"/>
              </w:rPr>
              <w:tab/>
              <w:t>Počet podpořených administrativních a technických pracovníků ve VaV</w:t>
            </w:r>
          </w:p>
          <w:p w14:paraId="71513E6E" w14:textId="77777777" w:rsidR="006F19D4" w:rsidRPr="00BA4F8E" w:rsidRDefault="006F19D4" w:rsidP="006F19D4">
            <w:pPr>
              <w:spacing w:after="0" w:line="276" w:lineRule="auto"/>
              <w:ind w:left="700" w:hanging="700"/>
              <w:rPr>
                <w:rFonts w:cstheme="minorHAnsi"/>
              </w:rPr>
            </w:pPr>
            <w:r w:rsidRPr="00BA4F8E">
              <w:rPr>
                <w:rFonts w:cstheme="minorHAnsi"/>
              </w:rPr>
              <w:t>20810</w:t>
            </w:r>
            <w:r w:rsidRPr="00BA4F8E">
              <w:rPr>
                <w:rFonts w:cstheme="minorHAnsi"/>
              </w:rPr>
              <w:tab/>
              <w:t xml:space="preserve">Počet organizací, jejichž pracovníci zvýšili svoji kvalifikaci ve  VaV, jeho řízení a oblastech souvisejících </w:t>
            </w:r>
          </w:p>
          <w:p w14:paraId="54D500F7" w14:textId="77777777" w:rsidR="006F19D4" w:rsidRPr="00BA4F8E" w:rsidRDefault="006F19D4" w:rsidP="006F19D4">
            <w:pPr>
              <w:spacing w:after="0" w:line="276" w:lineRule="auto"/>
              <w:ind w:left="700" w:hanging="700"/>
              <w:rPr>
                <w:rFonts w:cstheme="minorHAnsi"/>
              </w:rPr>
            </w:pPr>
            <w:r w:rsidRPr="00BA4F8E">
              <w:rPr>
                <w:rFonts w:cstheme="minorHAnsi"/>
              </w:rPr>
              <w:t>21502</w:t>
            </w:r>
            <w:r w:rsidRPr="00BA4F8E">
              <w:rPr>
                <w:rFonts w:cstheme="minorHAnsi"/>
              </w:rPr>
              <w:tab/>
              <w:t xml:space="preserve">Počet nových produktů modernizujících systémy strategického řízení ve výzkumných organizacích </w:t>
            </w:r>
          </w:p>
          <w:p w14:paraId="0A92D914" w14:textId="77777777" w:rsidR="006F19D4" w:rsidRPr="00BA4F8E" w:rsidRDefault="006F19D4" w:rsidP="006F19D4">
            <w:pPr>
              <w:spacing w:after="0" w:line="276" w:lineRule="auto"/>
              <w:ind w:left="700" w:hanging="700"/>
              <w:rPr>
                <w:rFonts w:cstheme="minorHAnsi"/>
              </w:rPr>
            </w:pPr>
            <w:r w:rsidRPr="00BA4F8E">
              <w:rPr>
                <w:rFonts w:cstheme="minorHAnsi"/>
              </w:rPr>
              <w:t>53501</w:t>
            </w:r>
            <w:r w:rsidRPr="00BA4F8E">
              <w:rPr>
                <w:rFonts w:cstheme="minorHAnsi"/>
              </w:rPr>
              <w:tab/>
              <w:t xml:space="preserve">Počet vytvořených produktů pro zkvalitnění </w:t>
            </w:r>
            <w:r w:rsidRPr="00BA4F8E">
              <w:rPr>
                <w:rFonts w:cstheme="minorHAnsi"/>
              </w:rPr>
              <w:lastRenderedPageBreak/>
              <w:t>strategického řízení a systému hodnocení VŠ</w:t>
            </w:r>
          </w:p>
          <w:p w14:paraId="3E9E8379" w14:textId="77777777" w:rsidR="006F19D4" w:rsidRPr="00BA4F8E" w:rsidRDefault="006F19D4" w:rsidP="006F19D4">
            <w:pPr>
              <w:spacing w:after="0" w:line="276" w:lineRule="auto"/>
              <w:ind w:left="700" w:hanging="700"/>
              <w:rPr>
                <w:rFonts w:cstheme="minorHAnsi"/>
              </w:rPr>
            </w:pPr>
            <w:r w:rsidRPr="00BA4F8E">
              <w:rPr>
                <w:rFonts w:cstheme="minorHAnsi"/>
              </w:rPr>
              <w:t>53510</w:t>
            </w:r>
            <w:r w:rsidRPr="00BA4F8E">
              <w:rPr>
                <w:rFonts w:cstheme="minorHAnsi"/>
              </w:rPr>
              <w:tab/>
              <w:t xml:space="preserve">Počet VŠ se zavedenými transparentními systémy hodnocení kvality </w:t>
            </w:r>
          </w:p>
          <w:p w14:paraId="62267D11" w14:textId="77777777" w:rsidR="006F19D4" w:rsidRPr="00BA4F8E" w:rsidRDefault="006F19D4" w:rsidP="006F19D4">
            <w:pPr>
              <w:spacing w:after="0" w:line="276" w:lineRule="auto"/>
              <w:ind w:left="700" w:hanging="700"/>
              <w:rPr>
                <w:rFonts w:cstheme="minorHAnsi"/>
              </w:rPr>
            </w:pPr>
            <w:r w:rsidRPr="00BA4F8E">
              <w:rPr>
                <w:rFonts w:cstheme="minorHAnsi"/>
              </w:rPr>
              <w:t>28011</w:t>
            </w:r>
            <w:r w:rsidRPr="00BA4F8E">
              <w:rPr>
                <w:rFonts w:cstheme="minorHAnsi"/>
              </w:rPr>
              <w:tab/>
              <w:t>Počet výzkumných organizací s modernizovaným systémem strategického řízení</w:t>
            </w:r>
          </w:p>
          <w:p w14:paraId="7998D348" w14:textId="77777777" w:rsidR="006F19D4" w:rsidRPr="00BA4F8E" w:rsidRDefault="006F19D4" w:rsidP="006F19D4">
            <w:pPr>
              <w:spacing w:after="0" w:line="276" w:lineRule="auto"/>
              <w:ind w:left="700" w:hanging="700"/>
              <w:rPr>
                <w:rFonts w:cstheme="minorHAnsi"/>
              </w:rPr>
            </w:pPr>
            <w:r w:rsidRPr="00BA4F8E">
              <w:rPr>
                <w:rFonts w:cstheme="minorHAnsi"/>
              </w:rPr>
              <w:t>60000</w:t>
            </w:r>
            <w:r w:rsidRPr="00BA4F8E">
              <w:rPr>
                <w:rFonts w:cstheme="minorHAnsi"/>
              </w:rPr>
              <w:tab/>
              <w:t>Počet podpořených účastníků programu</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76EE76C0" w14:textId="77777777" w:rsidR="006F19D4" w:rsidRPr="00BA4F8E" w:rsidRDefault="006F19D4" w:rsidP="00543C1B">
            <w:pPr>
              <w:numPr>
                <w:ilvl w:val="0"/>
                <w:numId w:val="36"/>
              </w:numPr>
              <w:spacing w:after="0" w:line="271" w:lineRule="auto"/>
              <w:ind w:left="284" w:hanging="284"/>
              <w:contextualSpacing/>
              <w:jc w:val="both"/>
            </w:pPr>
            <w:r w:rsidRPr="00BA4F8E">
              <w:lastRenderedPageBreak/>
              <w:t>Manažerské vzdělávání pro vedoucí pracovníky výzkumných ústavů, vysokých škol a jejich fakult, a to zejména v oblasti strategického řízení, leadershipu a řízení změn.</w:t>
            </w:r>
          </w:p>
          <w:p w14:paraId="354E9EDC" w14:textId="77777777" w:rsidR="006F19D4" w:rsidRPr="00BA4F8E" w:rsidRDefault="006F19D4" w:rsidP="00543C1B">
            <w:pPr>
              <w:numPr>
                <w:ilvl w:val="0"/>
                <w:numId w:val="36"/>
              </w:numPr>
              <w:spacing w:after="0" w:line="271" w:lineRule="auto"/>
              <w:ind w:left="284" w:hanging="284"/>
              <w:contextualSpacing/>
              <w:jc w:val="both"/>
            </w:pPr>
            <w:r w:rsidRPr="00BA4F8E">
              <w:t xml:space="preserve">Aktualizace a implementace strategických plánů rozvoje fakult, vysokých škol a výzkumných ústavů, jejichž cílem bude dosažení evropské kvality ve výzkumné i pedagogické oblasti (předpokladem uvedeného je změna kultury těchto organizací směrem k tzv. „challenge culture“). </w:t>
            </w:r>
          </w:p>
          <w:p w14:paraId="2431222F" w14:textId="77777777" w:rsidR="006F19D4" w:rsidRPr="00BA4F8E" w:rsidRDefault="006F19D4" w:rsidP="00543C1B">
            <w:pPr>
              <w:numPr>
                <w:ilvl w:val="0"/>
                <w:numId w:val="36"/>
              </w:numPr>
              <w:spacing w:after="0" w:line="271" w:lineRule="auto"/>
              <w:ind w:left="284" w:hanging="284"/>
              <w:contextualSpacing/>
              <w:jc w:val="both"/>
            </w:pPr>
            <w:r w:rsidRPr="00BA4F8E">
              <w:t xml:space="preserve">Optimalizace vnitřních procesů výzkumných organizací, redukce administrativní zátěže a definice metrik kvality. </w:t>
            </w:r>
          </w:p>
          <w:p w14:paraId="0BF92AC3" w14:textId="77777777" w:rsidR="006F19D4" w:rsidRPr="00BA4F8E" w:rsidRDefault="006F19D4" w:rsidP="00543C1B">
            <w:pPr>
              <w:numPr>
                <w:ilvl w:val="0"/>
                <w:numId w:val="36"/>
              </w:numPr>
              <w:spacing w:after="0" w:line="271" w:lineRule="auto"/>
              <w:ind w:left="284" w:hanging="284"/>
              <w:contextualSpacing/>
              <w:jc w:val="both"/>
            </w:pPr>
            <w:r w:rsidRPr="00BA4F8E">
              <w:lastRenderedPageBreak/>
              <w:t>Zavedení anglického jazyka jako druhého provozního jazyka výzkumných organizací.</w:t>
            </w:r>
            <w:r w:rsidRPr="00BA4F8E">
              <w:rPr>
                <w:highlight w:val="yellow"/>
              </w:rPr>
              <w:t xml:space="preserve"> </w:t>
            </w:r>
          </w:p>
        </w:tc>
      </w:tr>
      <w:tr w:rsidR="006F19D4" w:rsidRPr="00BA4F8E" w14:paraId="0930239A"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62927003" w14:textId="77777777" w:rsidR="006F19D4" w:rsidRPr="00BA4F8E" w:rsidRDefault="006F19D4" w:rsidP="006F19D4">
            <w:pPr>
              <w:spacing w:after="0" w:line="271" w:lineRule="auto"/>
              <w:rPr>
                <w:b/>
                <w:i/>
              </w:rPr>
            </w:pPr>
            <w:r w:rsidRPr="00BA4F8E">
              <w:rPr>
                <w:b/>
              </w:rPr>
              <w:lastRenderedPageBreak/>
              <w:t xml:space="preserve">D.3.2: Zavést efektivní systém řízení lidských zdrojů ve výzkumných ústavech, vysokých školách a jejich fakultách  </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26DFFFA1" w14:textId="2377E618" w:rsidR="006F19D4" w:rsidRPr="00BA4F8E" w:rsidRDefault="006F19D4" w:rsidP="006F19D4">
            <w:pPr>
              <w:spacing w:after="0" w:line="276" w:lineRule="auto"/>
              <w:ind w:left="700" w:hanging="700"/>
              <w:rPr>
                <w:rFonts w:cstheme="minorHAnsi"/>
              </w:rPr>
            </w:pPr>
            <w:r w:rsidRPr="00BA4F8E">
              <w:rPr>
                <w:rFonts w:cstheme="minorHAnsi"/>
              </w:rPr>
              <w:t>20800</w:t>
            </w:r>
            <w:r w:rsidRPr="00BA4F8E">
              <w:rPr>
                <w:rFonts w:cstheme="minorHAnsi"/>
              </w:rPr>
              <w:tab/>
              <w:t>Počet podpořený výzkumných a</w:t>
            </w:r>
            <w:r w:rsidR="00A44185">
              <w:rPr>
                <w:rFonts w:cstheme="minorHAnsi"/>
              </w:rPr>
              <w:t> </w:t>
            </w:r>
            <w:r w:rsidRPr="00BA4F8E">
              <w:rPr>
                <w:rFonts w:cstheme="minorHAnsi"/>
              </w:rPr>
              <w:t>akademických pracovníků</w:t>
            </w:r>
          </w:p>
          <w:p w14:paraId="7A5E8379" w14:textId="77777777" w:rsidR="006F19D4" w:rsidRPr="00BA4F8E" w:rsidRDefault="006F19D4" w:rsidP="006F19D4">
            <w:pPr>
              <w:spacing w:after="0" w:line="276" w:lineRule="auto"/>
              <w:ind w:left="700" w:hanging="700"/>
              <w:rPr>
                <w:rFonts w:cstheme="minorHAnsi"/>
              </w:rPr>
            </w:pPr>
            <w:r w:rsidRPr="00BA4F8E">
              <w:rPr>
                <w:rFonts w:cstheme="minorHAnsi"/>
              </w:rPr>
              <w:t>20803</w:t>
            </w:r>
            <w:r w:rsidRPr="00BA4F8E">
              <w:rPr>
                <w:rFonts w:cstheme="minorHAnsi"/>
              </w:rPr>
              <w:tab/>
              <w:t>Počet podpořených administrativních a technických pracovníků ve VaV</w:t>
            </w:r>
          </w:p>
          <w:p w14:paraId="16E6BDCF" w14:textId="77777777" w:rsidR="006F19D4" w:rsidRPr="00BA4F8E" w:rsidRDefault="006F19D4" w:rsidP="006F19D4">
            <w:pPr>
              <w:spacing w:after="0" w:line="276" w:lineRule="auto"/>
              <w:ind w:left="700" w:hanging="700"/>
              <w:rPr>
                <w:rFonts w:cstheme="minorHAnsi"/>
              </w:rPr>
            </w:pPr>
            <w:r w:rsidRPr="00BA4F8E">
              <w:rPr>
                <w:rFonts w:cstheme="minorHAnsi"/>
              </w:rPr>
              <w:t>20810</w:t>
            </w:r>
            <w:r w:rsidRPr="00BA4F8E">
              <w:rPr>
                <w:rFonts w:cstheme="minorHAnsi"/>
              </w:rPr>
              <w:tab/>
              <w:t xml:space="preserve">Počet organizací, jejichž pracovníci zvýšili svoji kvalifikaci ve  VaV, jeho řízení a oblastech souvisejících </w:t>
            </w:r>
          </w:p>
          <w:p w14:paraId="2D0C63A0" w14:textId="77777777" w:rsidR="006F19D4" w:rsidRPr="00BA4F8E" w:rsidRDefault="006F19D4" w:rsidP="006F19D4">
            <w:pPr>
              <w:spacing w:after="0" w:line="276" w:lineRule="auto"/>
              <w:ind w:left="700" w:hanging="700"/>
              <w:rPr>
                <w:rFonts w:cstheme="minorHAnsi"/>
              </w:rPr>
            </w:pPr>
            <w:r w:rsidRPr="00BA4F8E">
              <w:rPr>
                <w:rFonts w:cstheme="minorHAnsi"/>
              </w:rPr>
              <w:t>21502</w:t>
            </w:r>
            <w:r w:rsidRPr="00BA4F8E">
              <w:rPr>
                <w:rFonts w:cstheme="minorHAnsi"/>
              </w:rPr>
              <w:tab/>
              <w:t xml:space="preserve">Počet nových produktů modernizujících systémy strategického řízení ve výzkumných organizacích </w:t>
            </w:r>
          </w:p>
          <w:p w14:paraId="4F56B828" w14:textId="77777777" w:rsidR="006F19D4" w:rsidRPr="00BA4F8E" w:rsidRDefault="006F19D4" w:rsidP="006F19D4">
            <w:pPr>
              <w:spacing w:after="0" w:line="276" w:lineRule="auto"/>
              <w:ind w:left="700" w:hanging="700"/>
              <w:rPr>
                <w:rFonts w:cstheme="minorHAnsi"/>
              </w:rPr>
            </w:pPr>
            <w:r w:rsidRPr="00BA4F8E">
              <w:rPr>
                <w:rFonts w:cstheme="minorHAnsi"/>
              </w:rPr>
              <w:t>53501</w:t>
            </w:r>
            <w:r w:rsidRPr="00BA4F8E">
              <w:rPr>
                <w:rFonts w:cstheme="minorHAnsi"/>
              </w:rPr>
              <w:tab/>
              <w:t>Počet vytvořených produktů pro zkvalitnění strategického řízení a systému hodnocení VŠ</w:t>
            </w:r>
          </w:p>
          <w:p w14:paraId="4CE3B7DD" w14:textId="77777777" w:rsidR="006F19D4" w:rsidRPr="00BA4F8E" w:rsidRDefault="006F19D4" w:rsidP="006F19D4">
            <w:pPr>
              <w:spacing w:after="0" w:line="276" w:lineRule="auto"/>
              <w:ind w:left="700" w:hanging="700"/>
              <w:rPr>
                <w:rFonts w:cstheme="minorHAnsi"/>
              </w:rPr>
            </w:pPr>
            <w:r w:rsidRPr="00BA4F8E">
              <w:rPr>
                <w:rFonts w:cstheme="minorHAnsi"/>
              </w:rPr>
              <w:t>53510</w:t>
            </w:r>
            <w:r w:rsidRPr="00BA4F8E">
              <w:rPr>
                <w:rFonts w:cstheme="minorHAnsi"/>
              </w:rPr>
              <w:tab/>
              <w:t xml:space="preserve">Počet VŠ se zavedenými transparentními systémy hodnocení kvality </w:t>
            </w:r>
          </w:p>
          <w:p w14:paraId="57117140" w14:textId="77777777" w:rsidR="006F19D4" w:rsidRPr="00BA4F8E" w:rsidRDefault="006F19D4" w:rsidP="006F19D4">
            <w:pPr>
              <w:spacing w:after="0" w:line="276" w:lineRule="auto"/>
              <w:ind w:left="700" w:hanging="700"/>
              <w:rPr>
                <w:rFonts w:cstheme="minorHAnsi"/>
              </w:rPr>
            </w:pPr>
            <w:r w:rsidRPr="00BA4F8E">
              <w:rPr>
                <w:rFonts w:cstheme="minorHAnsi"/>
              </w:rPr>
              <w:t>28011</w:t>
            </w:r>
            <w:r w:rsidRPr="00BA4F8E">
              <w:rPr>
                <w:rFonts w:cstheme="minorHAnsi"/>
              </w:rPr>
              <w:tab/>
              <w:t>Počet výzkumných organizací s modernizovaným systémem strategického řízení</w:t>
            </w:r>
          </w:p>
          <w:p w14:paraId="53328787" w14:textId="77777777" w:rsidR="006F19D4" w:rsidRPr="00BA4F8E" w:rsidRDefault="006F19D4" w:rsidP="006F19D4">
            <w:pPr>
              <w:spacing w:after="0" w:line="276" w:lineRule="auto"/>
              <w:ind w:left="700" w:hanging="700"/>
              <w:rPr>
                <w:rFonts w:cstheme="minorHAnsi"/>
              </w:rPr>
            </w:pPr>
            <w:r w:rsidRPr="00BA4F8E">
              <w:rPr>
                <w:rFonts w:cstheme="minorHAnsi"/>
              </w:rPr>
              <w:t>60000</w:t>
            </w:r>
            <w:r w:rsidRPr="00BA4F8E">
              <w:rPr>
                <w:rFonts w:cstheme="minorHAnsi"/>
              </w:rPr>
              <w:tab/>
              <w:t>Počet podpořených účastníků programu</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548639BB" w14:textId="77777777" w:rsidR="006F19D4" w:rsidRPr="00BA4F8E" w:rsidRDefault="006F19D4" w:rsidP="00543C1B">
            <w:pPr>
              <w:numPr>
                <w:ilvl w:val="0"/>
                <w:numId w:val="36"/>
              </w:numPr>
              <w:spacing w:after="0" w:line="271" w:lineRule="auto"/>
              <w:ind w:left="284" w:hanging="284"/>
              <w:contextualSpacing/>
              <w:jc w:val="both"/>
            </w:pPr>
            <w:r w:rsidRPr="00BA4F8E">
              <w:t>Změna stávajícího systému řízení lidských zdrojů dle moderních trendů a specifických potřeb každé organizace (analýza, návrh, zavedení, hodnocení a zlepšování).</w:t>
            </w:r>
          </w:p>
          <w:p w14:paraId="3C61A628" w14:textId="77777777" w:rsidR="006F19D4" w:rsidRPr="00BA4F8E" w:rsidRDefault="006F19D4" w:rsidP="00543C1B">
            <w:pPr>
              <w:numPr>
                <w:ilvl w:val="0"/>
                <w:numId w:val="36"/>
              </w:numPr>
              <w:spacing w:after="0" w:line="271" w:lineRule="auto"/>
              <w:ind w:left="284" w:hanging="284"/>
              <w:contextualSpacing/>
              <w:jc w:val="both"/>
            </w:pPr>
            <w:r w:rsidRPr="00BA4F8E">
              <w:t>Vzdělávání manažerů a relevantních pracovníků výzkumných organizací v oblasti řízení lidských zdrojů.</w:t>
            </w:r>
          </w:p>
        </w:tc>
      </w:tr>
      <w:tr w:rsidR="006F19D4" w:rsidRPr="00BA4F8E" w14:paraId="321272C5" w14:textId="77777777" w:rsidTr="003F15C6">
        <w:tc>
          <w:tcPr>
            <w:tcW w:w="2037"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16D280F9" w14:textId="77777777" w:rsidR="006F19D4" w:rsidRPr="00BA4F8E" w:rsidRDefault="006F19D4" w:rsidP="006F19D4">
            <w:pPr>
              <w:spacing w:after="0" w:line="271" w:lineRule="auto"/>
              <w:rPr>
                <w:b/>
              </w:rPr>
            </w:pPr>
            <w:r w:rsidRPr="00BA4F8E">
              <w:rPr>
                <w:b/>
              </w:rPr>
              <w:lastRenderedPageBreak/>
              <w:t>D.3.3: Zvýšit atraktivitu výzkumné kariéry a kvalitu přípravy budoucích výzkumných pracovníků</w:t>
            </w:r>
          </w:p>
        </w:tc>
        <w:tc>
          <w:tcPr>
            <w:tcW w:w="3379" w:type="dxa"/>
            <w:gridSpan w:val="2"/>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24AA8283" w14:textId="77777777" w:rsidR="006F19D4" w:rsidRPr="00BA4F8E" w:rsidRDefault="006F19D4" w:rsidP="006F19D4">
            <w:pPr>
              <w:spacing w:after="0" w:line="276" w:lineRule="auto"/>
              <w:ind w:left="700" w:hanging="700"/>
              <w:rPr>
                <w:rFonts w:cstheme="minorHAnsi"/>
              </w:rPr>
            </w:pPr>
            <w:r w:rsidRPr="00BA4F8E">
              <w:rPr>
                <w:rFonts w:cstheme="minorHAnsi"/>
              </w:rPr>
              <w:t>20800</w:t>
            </w:r>
            <w:r w:rsidRPr="00BA4F8E">
              <w:rPr>
                <w:rFonts w:cstheme="minorHAnsi"/>
              </w:rPr>
              <w:tab/>
              <w:t>Počet podpořený výzkumných a akademických pracovníků</w:t>
            </w:r>
          </w:p>
          <w:p w14:paraId="3C5D9BF4" w14:textId="77777777" w:rsidR="006F19D4" w:rsidRPr="00BA4F8E" w:rsidRDefault="006F19D4" w:rsidP="006F19D4">
            <w:pPr>
              <w:spacing w:after="0" w:line="276" w:lineRule="auto"/>
              <w:ind w:left="700" w:hanging="700"/>
              <w:rPr>
                <w:rFonts w:cstheme="minorHAnsi"/>
              </w:rPr>
            </w:pPr>
            <w:r w:rsidRPr="00BA4F8E">
              <w:rPr>
                <w:rFonts w:cstheme="minorHAnsi"/>
              </w:rPr>
              <w:t>20803</w:t>
            </w:r>
            <w:r w:rsidRPr="00BA4F8E">
              <w:rPr>
                <w:rFonts w:cstheme="minorHAnsi"/>
              </w:rPr>
              <w:tab/>
              <w:t>Počet podpořených administrativních a technických pracovníků ve VaV</w:t>
            </w:r>
          </w:p>
          <w:p w14:paraId="6E34BA9A" w14:textId="77777777" w:rsidR="006F19D4" w:rsidRPr="00BA4F8E" w:rsidRDefault="006F19D4" w:rsidP="006F19D4">
            <w:pPr>
              <w:spacing w:after="0" w:line="276" w:lineRule="auto"/>
              <w:ind w:left="700" w:hanging="700"/>
              <w:rPr>
                <w:rFonts w:cstheme="minorHAnsi"/>
              </w:rPr>
            </w:pPr>
            <w:r w:rsidRPr="00BA4F8E">
              <w:rPr>
                <w:rFonts w:cstheme="minorHAnsi"/>
              </w:rPr>
              <w:t>20811</w:t>
            </w:r>
            <w:r w:rsidRPr="00BA4F8E">
              <w:rPr>
                <w:rFonts w:cstheme="minorHAnsi"/>
              </w:rPr>
              <w:tab/>
              <w:t>Počet výzkumných organizací s modernizovaným systémem strategického řízení</w:t>
            </w:r>
          </w:p>
          <w:p w14:paraId="77E7936A" w14:textId="77777777" w:rsidR="006F19D4" w:rsidRPr="00BA4F8E" w:rsidRDefault="006F19D4" w:rsidP="006F19D4">
            <w:pPr>
              <w:spacing w:after="0" w:line="276" w:lineRule="auto"/>
              <w:ind w:left="700" w:hanging="700"/>
              <w:rPr>
                <w:rFonts w:cstheme="minorHAnsi"/>
              </w:rPr>
            </w:pPr>
            <w:r w:rsidRPr="00BA4F8E">
              <w:rPr>
                <w:rFonts w:cstheme="minorHAnsi"/>
              </w:rPr>
              <w:t>21502</w:t>
            </w:r>
            <w:r w:rsidRPr="00BA4F8E">
              <w:rPr>
                <w:rFonts w:cstheme="minorHAnsi"/>
              </w:rPr>
              <w:tab/>
              <w:t xml:space="preserve">Počet nových produktů modernizujících systémy strategického řízení ve výzkumných organizacích </w:t>
            </w:r>
          </w:p>
          <w:p w14:paraId="0A0F31E3" w14:textId="77777777" w:rsidR="006F19D4" w:rsidRPr="00BA4F8E" w:rsidRDefault="006F19D4" w:rsidP="006F19D4">
            <w:pPr>
              <w:spacing w:after="0" w:line="276" w:lineRule="auto"/>
              <w:ind w:left="700" w:hanging="700"/>
              <w:rPr>
                <w:rFonts w:cstheme="minorHAnsi"/>
              </w:rPr>
            </w:pPr>
            <w:r w:rsidRPr="00BA4F8E">
              <w:rPr>
                <w:rFonts w:cstheme="minorHAnsi"/>
              </w:rPr>
              <w:t>54601</w:t>
            </w:r>
            <w:r w:rsidRPr="00BA4F8E">
              <w:rPr>
                <w:rFonts w:cstheme="minorHAnsi"/>
              </w:rPr>
              <w:tab/>
              <w:t>Počet studentů výzkumně zaměřených studijních programů a Ph.D. studentů, kteří se zúčastnili stáže</w:t>
            </w:r>
          </w:p>
          <w:p w14:paraId="03F985FE" w14:textId="77777777" w:rsidR="006F19D4" w:rsidRPr="00BA4F8E" w:rsidRDefault="006F19D4" w:rsidP="006F19D4">
            <w:pPr>
              <w:spacing w:after="0" w:line="276" w:lineRule="auto"/>
              <w:ind w:left="700" w:hanging="700"/>
              <w:rPr>
                <w:rFonts w:cstheme="minorHAnsi"/>
              </w:rPr>
            </w:pPr>
            <w:r w:rsidRPr="00BA4F8E">
              <w:rPr>
                <w:rFonts w:cstheme="minorHAnsi"/>
              </w:rPr>
              <w:t>54701</w:t>
            </w:r>
            <w:r w:rsidRPr="00BA4F8E">
              <w:rPr>
                <w:rFonts w:cstheme="minorHAnsi"/>
              </w:rPr>
              <w:tab/>
              <w:t>Počet nově poskytovaných služeb akademickými pracovníky a odborníky ze zahraničí ve výzkumně zaměřených studijních programech</w:t>
            </w:r>
          </w:p>
          <w:p w14:paraId="1696216A" w14:textId="77777777" w:rsidR="006F19D4" w:rsidRPr="00BA4F8E" w:rsidRDefault="006F19D4" w:rsidP="006F19D4">
            <w:pPr>
              <w:spacing w:after="0" w:line="276" w:lineRule="auto"/>
              <w:ind w:left="700" w:hanging="700"/>
              <w:rPr>
                <w:rFonts w:cstheme="minorHAnsi"/>
              </w:rPr>
            </w:pPr>
            <w:r w:rsidRPr="00BA4F8E">
              <w:rPr>
                <w:rFonts w:cstheme="minorHAnsi"/>
              </w:rPr>
              <w:t>60000</w:t>
            </w:r>
            <w:r w:rsidRPr="00BA4F8E">
              <w:rPr>
                <w:rFonts w:cstheme="minorHAnsi"/>
              </w:rPr>
              <w:tab/>
              <w:t>Celkový počet účastníků</w:t>
            </w:r>
          </w:p>
        </w:tc>
        <w:tc>
          <w:tcPr>
            <w:tcW w:w="4212" w:type="dxa"/>
            <w:tcBorders>
              <w:top w:val="single" w:sz="4" w:space="0" w:color="auto"/>
              <w:left w:val="single" w:sz="4" w:space="0" w:color="auto"/>
              <w:bottom w:val="single" w:sz="4" w:space="0" w:color="auto"/>
              <w:right w:val="single" w:sz="4" w:space="0" w:color="auto"/>
            </w:tcBorders>
            <w:shd w:val="clear" w:color="auto" w:fill="B5DCFF" w:themeFill="accent2" w:themeFillTint="33"/>
          </w:tcPr>
          <w:p w14:paraId="188CA592" w14:textId="77777777" w:rsidR="006F19D4" w:rsidRPr="00BA4F8E" w:rsidRDefault="006F19D4" w:rsidP="00543C1B">
            <w:pPr>
              <w:numPr>
                <w:ilvl w:val="0"/>
                <w:numId w:val="36"/>
              </w:numPr>
              <w:spacing w:after="0" w:line="271" w:lineRule="auto"/>
              <w:ind w:left="284" w:hanging="284"/>
              <w:contextualSpacing/>
              <w:jc w:val="both"/>
              <w:rPr>
                <w:rFonts w:cstheme="minorHAnsi"/>
                <w:b/>
                <w:i/>
              </w:rPr>
            </w:pPr>
            <w:r w:rsidRPr="00BA4F8E">
              <w:rPr>
                <w:rFonts w:cstheme="minorHAnsi"/>
              </w:rPr>
              <w:t xml:space="preserve">Aktivity na popularizaci výzkumu s cílem zvýšit zájem mladé generace o výzkumnou činnost, včetně zkvalitňování infrastruktur pro popularizaci. </w:t>
            </w:r>
          </w:p>
          <w:p w14:paraId="66B87F25" w14:textId="77777777" w:rsidR="006F19D4" w:rsidRPr="00BA4F8E" w:rsidRDefault="006F19D4" w:rsidP="00543C1B">
            <w:pPr>
              <w:numPr>
                <w:ilvl w:val="0"/>
                <w:numId w:val="36"/>
              </w:numPr>
              <w:spacing w:after="0" w:line="271" w:lineRule="auto"/>
              <w:ind w:left="284" w:hanging="284"/>
              <w:contextualSpacing/>
              <w:jc w:val="both"/>
              <w:rPr>
                <w:rFonts w:cstheme="minorHAnsi"/>
              </w:rPr>
            </w:pPr>
            <w:r w:rsidRPr="00BA4F8E">
              <w:rPr>
                <w:rFonts w:cstheme="minorHAnsi"/>
              </w:rPr>
              <w:t>Programy pro talentované studenty (magisterského i doktorského stupně) se zvláštní preferencí prioritních oborů inteligentní specializace.</w:t>
            </w:r>
          </w:p>
          <w:p w14:paraId="4EF2959E" w14:textId="77777777" w:rsidR="006F19D4" w:rsidRPr="00BA4F8E" w:rsidRDefault="006F19D4" w:rsidP="00543C1B">
            <w:pPr>
              <w:numPr>
                <w:ilvl w:val="0"/>
                <w:numId w:val="36"/>
              </w:numPr>
              <w:spacing w:after="0" w:line="271" w:lineRule="auto"/>
              <w:ind w:left="284" w:hanging="284"/>
              <w:contextualSpacing/>
              <w:jc w:val="both"/>
              <w:rPr>
                <w:rFonts w:cstheme="minorHAnsi"/>
                <w:b/>
              </w:rPr>
            </w:pPr>
            <w:r w:rsidRPr="00BA4F8E">
              <w:rPr>
                <w:rFonts w:cstheme="minorHAnsi"/>
              </w:rPr>
              <w:t xml:space="preserve">Zvýšení kvality vědecké přípravy podporou realizace části doktorského studia v zahraničí, například formou dlouhodobé stáže v zahraniční organizaci zabývající se výzkumem a vývojem, nebo povinností realizovat stáž nebo stínování odpovídající profese v praxi. </w:t>
            </w:r>
          </w:p>
          <w:p w14:paraId="4B62ACCF" w14:textId="77777777" w:rsidR="006F19D4" w:rsidRPr="00BA4F8E" w:rsidRDefault="006F19D4" w:rsidP="00543C1B">
            <w:pPr>
              <w:numPr>
                <w:ilvl w:val="0"/>
                <w:numId w:val="36"/>
              </w:numPr>
              <w:spacing w:after="0" w:line="271" w:lineRule="auto"/>
              <w:ind w:left="284" w:hanging="284"/>
              <w:contextualSpacing/>
              <w:jc w:val="both"/>
              <w:rPr>
                <w:rFonts w:cstheme="minorHAnsi"/>
              </w:rPr>
            </w:pPr>
            <w:r w:rsidRPr="00BA4F8E">
              <w:rPr>
                <w:rFonts w:cstheme="minorHAnsi"/>
              </w:rPr>
              <w:t>Posílení mezinárodní mobility v evropském výzkumném prostoru (ERA).</w:t>
            </w:r>
          </w:p>
          <w:p w14:paraId="238C55F2" w14:textId="77777777" w:rsidR="006F19D4" w:rsidRPr="00BA4F8E" w:rsidRDefault="006F19D4" w:rsidP="00543C1B">
            <w:pPr>
              <w:numPr>
                <w:ilvl w:val="0"/>
                <w:numId w:val="36"/>
              </w:numPr>
              <w:spacing w:after="0" w:line="271" w:lineRule="auto"/>
              <w:ind w:left="284" w:hanging="284"/>
              <w:contextualSpacing/>
              <w:jc w:val="both"/>
              <w:rPr>
                <w:rFonts w:cstheme="minorHAnsi"/>
                <w:i/>
              </w:rPr>
            </w:pPr>
            <w:r w:rsidRPr="00BA4F8E">
              <w:rPr>
                <w:rFonts w:cstheme="minorHAnsi"/>
              </w:rPr>
              <w:t>Zvýšení kvality vědecké přípravy podporou aktivní účasti studentů doktorského studia na uznávaných mezinárodních konferencích.</w:t>
            </w:r>
          </w:p>
          <w:p w14:paraId="59C9E919" w14:textId="77777777" w:rsidR="006F19D4" w:rsidRPr="00BA4F8E" w:rsidRDefault="006F19D4" w:rsidP="00543C1B">
            <w:pPr>
              <w:numPr>
                <w:ilvl w:val="0"/>
                <w:numId w:val="36"/>
              </w:numPr>
              <w:spacing w:after="0" w:line="271" w:lineRule="auto"/>
              <w:ind w:left="284" w:hanging="284"/>
              <w:contextualSpacing/>
              <w:jc w:val="both"/>
              <w:rPr>
                <w:rFonts w:cstheme="minorHAnsi"/>
              </w:rPr>
            </w:pPr>
            <w:r w:rsidRPr="00BA4F8E">
              <w:rPr>
                <w:rFonts w:cstheme="minorHAnsi"/>
              </w:rPr>
              <w:t>Rozvoj relevantních jazykových kompetencí studentů doktorských studijních programů min. na úroveň C1.</w:t>
            </w:r>
          </w:p>
          <w:p w14:paraId="32004929" w14:textId="2F062AD4" w:rsidR="006F19D4" w:rsidRPr="00BA4F8E" w:rsidRDefault="006F19D4" w:rsidP="00543C1B">
            <w:pPr>
              <w:numPr>
                <w:ilvl w:val="0"/>
                <w:numId w:val="36"/>
              </w:numPr>
              <w:spacing w:after="0" w:line="271" w:lineRule="auto"/>
              <w:ind w:left="284" w:hanging="284"/>
              <w:contextualSpacing/>
              <w:jc w:val="both"/>
            </w:pPr>
            <w:r w:rsidRPr="00BA4F8E">
              <w:t xml:space="preserve">Rozvoj relevantních </w:t>
            </w:r>
            <w:r w:rsidRPr="00BA4F8E">
              <w:rPr>
                <w:rFonts w:cs="Times New Roman"/>
              </w:rPr>
              <w:t xml:space="preserve">měkkých </w:t>
            </w:r>
            <w:r w:rsidRPr="00BA4F8E">
              <w:t>kompetencí studentů doktorských studijních programů na nadprůměrnou úroveň, tj. úroveň 4</w:t>
            </w:r>
            <w:r w:rsidR="000A4266">
              <w:t> </w:t>
            </w:r>
            <w:r w:rsidRPr="00BA4F8E">
              <w:t>a</w:t>
            </w:r>
            <w:r w:rsidR="000A4266">
              <w:t> </w:t>
            </w:r>
            <w:r w:rsidRPr="00BA4F8E">
              <w:t>5 dle klasifikace měkkých kompetencí Národní soustavy povolání.</w:t>
            </w:r>
          </w:p>
          <w:p w14:paraId="50038502" w14:textId="795971FE" w:rsidR="006F19D4" w:rsidRPr="00BA4F8E" w:rsidRDefault="006F19D4" w:rsidP="00543C1B">
            <w:pPr>
              <w:numPr>
                <w:ilvl w:val="0"/>
                <w:numId w:val="36"/>
              </w:numPr>
              <w:spacing w:after="0" w:line="271" w:lineRule="auto"/>
              <w:ind w:left="284" w:hanging="284"/>
              <w:contextualSpacing/>
              <w:jc w:val="both"/>
              <w:rPr>
                <w:rFonts w:cstheme="minorHAnsi"/>
              </w:rPr>
            </w:pPr>
            <w:r w:rsidRPr="00BA4F8E">
              <w:rPr>
                <w:rFonts w:cstheme="minorHAnsi"/>
              </w:rPr>
              <w:t>Specifická opatření na posílení zastoupení žen ve výzkumu, včetně opatření na sladění mateřské a</w:t>
            </w:r>
            <w:r w:rsidR="000A4266">
              <w:rPr>
                <w:rFonts w:cstheme="minorHAnsi"/>
              </w:rPr>
              <w:t> </w:t>
            </w:r>
            <w:r w:rsidRPr="00BA4F8E">
              <w:rPr>
                <w:rFonts w:cstheme="minorHAnsi"/>
              </w:rPr>
              <w:t xml:space="preserve">rodičovské dovolené s kariérou ve vědě a výzkumu. </w:t>
            </w:r>
          </w:p>
        </w:tc>
      </w:tr>
      <w:tr w:rsidR="006F19D4" w:rsidRPr="00BA4F8E" w14:paraId="3A28B00D" w14:textId="77777777" w:rsidTr="003F15C6">
        <w:tc>
          <w:tcPr>
            <w:tcW w:w="9628" w:type="dxa"/>
            <w:gridSpan w:val="4"/>
            <w:tcBorders>
              <w:top w:val="single" w:sz="4" w:space="0" w:color="auto"/>
              <w:left w:val="single" w:sz="4" w:space="0" w:color="auto"/>
              <w:bottom w:val="single" w:sz="4" w:space="0" w:color="auto"/>
              <w:right w:val="single" w:sz="4" w:space="0" w:color="auto"/>
            </w:tcBorders>
            <w:shd w:val="clear" w:color="auto" w:fill="6BB9FF" w:themeFill="accent2" w:themeFillTint="66"/>
          </w:tcPr>
          <w:p w14:paraId="08C9CFA1" w14:textId="77777777" w:rsidR="006F19D4" w:rsidRPr="00BA4F8E" w:rsidRDefault="006F19D4" w:rsidP="006F19D4">
            <w:pPr>
              <w:spacing w:after="0" w:line="276" w:lineRule="auto"/>
              <w:jc w:val="both"/>
              <w:rPr>
                <w:b/>
              </w:rPr>
            </w:pPr>
            <w:r w:rsidRPr="00BA4F8E">
              <w:rPr>
                <w:rFonts w:cstheme="minorHAnsi"/>
                <w:b/>
              </w:rPr>
              <w:t>Strategie a národní dokumenty, k nimž se strategické a specifické cíle vztahují</w:t>
            </w:r>
            <w:r w:rsidRPr="00BA4F8E">
              <w:rPr>
                <w:b/>
              </w:rPr>
              <w:t>:</w:t>
            </w:r>
          </w:p>
          <w:p w14:paraId="412F01B8" w14:textId="77777777" w:rsidR="006F19D4" w:rsidRPr="00BA4F8E" w:rsidRDefault="006F19D4" w:rsidP="00543C1B">
            <w:pPr>
              <w:numPr>
                <w:ilvl w:val="0"/>
                <w:numId w:val="39"/>
              </w:numPr>
              <w:spacing w:after="0" w:line="276" w:lineRule="auto"/>
              <w:contextualSpacing/>
              <w:jc w:val="both"/>
            </w:pPr>
            <w:r w:rsidRPr="00BA4F8E">
              <w:t>Strategie vzdělávací politiky České republiky do roku 2020</w:t>
            </w:r>
          </w:p>
          <w:p w14:paraId="4361CC75" w14:textId="77777777" w:rsidR="006F19D4" w:rsidRPr="00BA4F8E" w:rsidRDefault="006F19D4" w:rsidP="00543C1B">
            <w:pPr>
              <w:numPr>
                <w:ilvl w:val="0"/>
                <w:numId w:val="39"/>
              </w:numPr>
              <w:spacing w:after="0" w:line="276" w:lineRule="auto"/>
              <w:contextualSpacing/>
              <w:jc w:val="both"/>
            </w:pPr>
            <w:r w:rsidRPr="00BA4F8E">
              <w:t>Strategie mezinárodní konkurenceschopnosti České republiky pro období 2012 až 2020</w:t>
            </w:r>
          </w:p>
          <w:p w14:paraId="19ED6B77" w14:textId="77777777" w:rsidR="006F19D4" w:rsidRPr="00BA4F8E" w:rsidRDefault="006F19D4" w:rsidP="00543C1B">
            <w:pPr>
              <w:numPr>
                <w:ilvl w:val="0"/>
                <w:numId w:val="39"/>
              </w:numPr>
              <w:spacing w:after="0" w:line="276" w:lineRule="auto"/>
              <w:contextualSpacing/>
              <w:jc w:val="both"/>
            </w:pPr>
            <w:r w:rsidRPr="00BA4F8E">
              <w:t>Strategie rozvoje lidských zdrojů pro Českou republiku</w:t>
            </w:r>
          </w:p>
          <w:p w14:paraId="4440683B" w14:textId="77777777" w:rsidR="006F19D4" w:rsidRPr="00BA4F8E" w:rsidRDefault="006F19D4" w:rsidP="00543C1B">
            <w:pPr>
              <w:numPr>
                <w:ilvl w:val="0"/>
                <w:numId w:val="39"/>
              </w:numPr>
              <w:spacing w:after="0" w:line="276" w:lineRule="auto"/>
              <w:contextualSpacing/>
              <w:jc w:val="both"/>
            </w:pPr>
            <w:r w:rsidRPr="00BA4F8E">
              <w:t>Strategie hospodářského růstu České republiky</w:t>
            </w:r>
          </w:p>
          <w:p w14:paraId="75EB7B84" w14:textId="77777777" w:rsidR="006F19D4" w:rsidRPr="00BA4F8E" w:rsidRDefault="006F19D4" w:rsidP="00543C1B">
            <w:pPr>
              <w:numPr>
                <w:ilvl w:val="0"/>
                <w:numId w:val="39"/>
              </w:numPr>
              <w:spacing w:after="0" w:line="276" w:lineRule="auto"/>
              <w:contextualSpacing/>
              <w:jc w:val="both"/>
            </w:pPr>
            <w:r w:rsidRPr="00BA4F8E">
              <w:lastRenderedPageBreak/>
              <w:t>Národní inovační strategie České republiky</w:t>
            </w:r>
          </w:p>
          <w:p w14:paraId="65EE8038" w14:textId="5B9CBA16" w:rsidR="006F19D4" w:rsidRPr="00BA4F8E" w:rsidRDefault="006F19D4" w:rsidP="00543C1B">
            <w:pPr>
              <w:numPr>
                <w:ilvl w:val="0"/>
                <w:numId w:val="39"/>
              </w:numPr>
              <w:spacing w:after="0" w:line="276" w:lineRule="auto"/>
              <w:contextualSpacing/>
              <w:jc w:val="both"/>
            </w:pPr>
            <w:r w:rsidRPr="00BA4F8E">
              <w:t>Aktualizace Národní politiky výzkumu, vývoje a inovací České republiky na léta 2009 až 2015 s</w:t>
            </w:r>
            <w:r w:rsidR="008F0529">
              <w:t> </w:t>
            </w:r>
            <w:r w:rsidRPr="00BA4F8E">
              <w:t>výhledem do roku 2020</w:t>
            </w:r>
          </w:p>
          <w:p w14:paraId="09B9DB8F" w14:textId="77777777" w:rsidR="006F19D4" w:rsidRPr="00BA4F8E" w:rsidRDefault="00663FF6" w:rsidP="00543C1B">
            <w:pPr>
              <w:numPr>
                <w:ilvl w:val="0"/>
                <w:numId w:val="39"/>
              </w:numPr>
              <w:spacing w:after="0" w:line="276" w:lineRule="auto"/>
              <w:contextualSpacing/>
              <w:jc w:val="both"/>
            </w:pPr>
            <w:hyperlink r:id="rId35" w:history="1">
              <w:r w:rsidR="006F19D4" w:rsidRPr="00BA4F8E">
                <w:t>Národní program reforem České republiky 2014</w:t>
              </w:r>
            </w:hyperlink>
          </w:p>
        </w:tc>
      </w:tr>
      <w:tr w:rsidR="006F19D4" w:rsidRPr="00BA4F8E" w14:paraId="659233FC" w14:textId="77777777" w:rsidTr="003F15C6">
        <w:tc>
          <w:tcPr>
            <w:tcW w:w="9628" w:type="dxa"/>
            <w:gridSpan w:val="4"/>
            <w:tcBorders>
              <w:top w:val="single" w:sz="4" w:space="0" w:color="auto"/>
              <w:left w:val="single" w:sz="4" w:space="0" w:color="auto"/>
              <w:bottom w:val="single" w:sz="4" w:space="0" w:color="auto"/>
              <w:right w:val="single" w:sz="4" w:space="0" w:color="auto"/>
            </w:tcBorders>
            <w:shd w:val="clear" w:color="auto" w:fill="6BB9FF" w:themeFill="accent2" w:themeFillTint="66"/>
          </w:tcPr>
          <w:p w14:paraId="45F6B7EB" w14:textId="77777777" w:rsidR="006F19D4" w:rsidRPr="00BA4F8E" w:rsidRDefault="006F19D4" w:rsidP="006F19D4">
            <w:pPr>
              <w:spacing w:after="0" w:line="276" w:lineRule="auto"/>
              <w:jc w:val="both"/>
              <w:rPr>
                <w:rFonts w:cstheme="minorHAnsi"/>
                <w:i/>
              </w:rPr>
            </w:pPr>
            <w:r w:rsidRPr="00BA4F8E">
              <w:rPr>
                <w:rFonts w:cstheme="minorHAnsi"/>
                <w:b/>
              </w:rPr>
              <w:lastRenderedPageBreak/>
              <w:t xml:space="preserve">Podmínky a bariéry realizace intervencí v této klíčové oblasti změn: </w:t>
            </w:r>
          </w:p>
          <w:p w14:paraId="24FA7A01" w14:textId="77777777" w:rsidR="006F19D4" w:rsidRPr="00BA4F8E" w:rsidRDefault="006F19D4" w:rsidP="00543C1B">
            <w:pPr>
              <w:numPr>
                <w:ilvl w:val="0"/>
                <w:numId w:val="40"/>
              </w:numPr>
              <w:spacing w:after="0" w:line="276" w:lineRule="auto"/>
              <w:contextualSpacing/>
              <w:jc w:val="both"/>
              <w:rPr>
                <w:b/>
              </w:rPr>
            </w:pPr>
            <w:r w:rsidRPr="00BA4F8E">
              <w:t xml:space="preserve">Zvýšení úrovně podnikavosti a dalších měkkých kompetencí (cíl D.1.2) </w:t>
            </w:r>
            <w:r w:rsidRPr="00BA4F8E">
              <w:rPr>
                <w:rFonts w:cs="Times New Roman"/>
              </w:rPr>
              <w:t xml:space="preserve">je nezbytné podpořit </w:t>
            </w:r>
            <w:r w:rsidRPr="00BA4F8E">
              <w:t xml:space="preserve">zavedením jednotného </w:t>
            </w:r>
            <w:r w:rsidRPr="00BA4F8E">
              <w:rPr>
                <w:rFonts w:cs="Times New Roman"/>
              </w:rPr>
              <w:t xml:space="preserve">metodického </w:t>
            </w:r>
            <w:r w:rsidRPr="00BA4F8E">
              <w:t xml:space="preserve">přístupu a poskytnutím vhodných nástrojů v rámci celého systému počátečního vzdělávání. </w:t>
            </w:r>
            <w:r w:rsidRPr="00BA4F8E">
              <w:rPr>
                <w:rFonts w:cs="Times New Roman"/>
              </w:rPr>
              <w:t xml:space="preserve">Současná praxe, kdy </w:t>
            </w:r>
            <w:r w:rsidRPr="00BA4F8E">
              <w:t xml:space="preserve">jednotlivé školy přistupovaly ke splnění tohoto cíle nejednotně na základě vlastních řešení, ukazuje, že tento přístup nezaručuje potřebné výsledky.    </w:t>
            </w:r>
          </w:p>
          <w:p w14:paraId="382744B7" w14:textId="77777777" w:rsidR="006F19D4" w:rsidRPr="00BA4F8E" w:rsidRDefault="006F19D4" w:rsidP="00543C1B">
            <w:pPr>
              <w:numPr>
                <w:ilvl w:val="0"/>
                <w:numId w:val="40"/>
              </w:numPr>
              <w:spacing w:after="0" w:line="276" w:lineRule="auto"/>
              <w:contextualSpacing/>
              <w:jc w:val="both"/>
              <w:rPr>
                <w:b/>
              </w:rPr>
            </w:pPr>
            <w:r w:rsidRPr="00BA4F8E">
              <w:t>Zavedení povinnosti aktivního použití cizího jazyka v rámci studia na SŠ a VŠ (cíl D.1.3) je podmíněno realizací ostatních navržených opatření v tomto cíli. Klíčové je zejména navýšení počtu zahraničních odborníků, kteří budou vyučovat na VŠ, a zapojení rodilých mluvčích do výuky na SŠ. Omezený počet českých pedagogů s odpovídající úrovní cizího jazyka nemusí být zásadní v tom smyslu, že pro každý ročník školy stačí zavedení 1 předmětu v angličtině, tj. stačí velmi omezený počet pedagogů, kteří tuto výuku zajistí. Podmínkou tohoto kroku je také změna příslušných zákonů, které umožní zařazení povinné výuky v cizím jazyce do českých studijních programů.</w:t>
            </w:r>
          </w:p>
          <w:p w14:paraId="5583FDD7" w14:textId="4BB9A1D1" w:rsidR="006F19D4" w:rsidRPr="00BA4F8E" w:rsidRDefault="006F19D4" w:rsidP="00543C1B">
            <w:pPr>
              <w:numPr>
                <w:ilvl w:val="0"/>
                <w:numId w:val="40"/>
              </w:numPr>
              <w:spacing w:after="0" w:line="276" w:lineRule="auto"/>
              <w:contextualSpacing/>
              <w:jc w:val="both"/>
              <w:rPr>
                <w:b/>
              </w:rPr>
            </w:pPr>
            <w:r w:rsidRPr="00BA4F8E">
              <w:t>Plošné zavedení systému identifikace a rozvoje talentů (cíl D.2.1) na všechny základní a střední školy zajistí, že u všech žáků (vzhledem k povinné školní docházce to znamená u celé populace ve věku 6–15 let) budou sledovány jejich předpoklady pro podnikání, technickou kariéru a</w:t>
            </w:r>
            <w:r w:rsidR="00184AFF">
              <w:t> </w:t>
            </w:r>
            <w:r w:rsidRPr="00BA4F8E">
              <w:t xml:space="preserve">kariéru ve vědě a výzkumu. S žáky, u kterých bude potenciál k některé z uvedených oblastí identifikován, bude dále pracováno ve smyslu rozvoje těchto předpokladů. Vzhledem k tomu, že se jedná o dlouhodobou práci s celou populací žáků v oblasti jejich rozvoje, je zcela logické, že tuto činnost budou zaštiťovat samotné školy. Za tímto účelem je nezbytné vytvořit funkční diagnostické a rozvojové nástroje, které budou rozšířeny na všechny základní a střední školy. Jednotný systém identifikace a rozvoje talentů zaručí stejný přístup k těmto žákům napříč celou Českou republikou.      </w:t>
            </w:r>
          </w:p>
          <w:p w14:paraId="43AE0762" w14:textId="77777777" w:rsidR="006F19D4" w:rsidRPr="00BA4F8E" w:rsidRDefault="006F19D4" w:rsidP="00543C1B">
            <w:pPr>
              <w:numPr>
                <w:ilvl w:val="0"/>
                <w:numId w:val="40"/>
              </w:numPr>
              <w:spacing w:after="0" w:line="276" w:lineRule="auto"/>
              <w:contextualSpacing/>
              <w:jc w:val="both"/>
            </w:pPr>
            <w:r w:rsidRPr="00BA4F8E">
              <w:t xml:space="preserve">Podmínkou úspěšné realizace cílů v této klíčové oblasti je zvýšení kvality učitelů na všech úrovních systému počátečního vzdělávání (např. realizací strategie vzdělávací politiky České republiky do roku 2020). </w:t>
            </w:r>
          </w:p>
          <w:p w14:paraId="065E121F" w14:textId="77777777" w:rsidR="006F19D4" w:rsidRPr="00BA4F8E" w:rsidRDefault="006F19D4" w:rsidP="00543C1B">
            <w:pPr>
              <w:numPr>
                <w:ilvl w:val="0"/>
                <w:numId w:val="40"/>
              </w:numPr>
              <w:spacing w:after="0" w:line="276" w:lineRule="auto"/>
              <w:contextualSpacing/>
              <w:jc w:val="both"/>
            </w:pPr>
            <w:r w:rsidRPr="00BA4F8E">
              <w:t xml:space="preserve">Rozvoj kvality výuky na základních školách a technicky orientovaných středních školách podporuje dosažení cílů této klíčové oblasti změn. Je proto zapotřebí zajistit spolupráci základních škol s podnikovou sférou, jež by napomohla lepší orientaci žáků na trhu práce a vedla by tak k odpovědnější volbě střední školy (tyto aktivity podporují efektivitu realizace cíle D.2.1), stejně tak jako zlepšování kvality výstupů vzdělávání (lze orientačně měřit prostřednictvím výsledků šetření PISA). Zároveň je zapotřebí rozvíjet informovanost o nabídce technických oborů (včetně vybraných oborů v oblasti přírodních věd) a zvýšit jejich atraktivitu zejména rozvojem jejich kvality. Toho lze dosáhnout např. změnou způsobu výuky některých předmětů (např. matematiky), zavedením prvků duálního vzdělávání, vytvořením systému pružné reakce škol na požadavky trhu práce (viz cíl D.1.1) apod.    </w:t>
            </w:r>
          </w:p>
          <w:p w14:paraId="61E9E8BB" w14:textId="77777777" w:rsidR="006F19D4" w:rsidRPr="00BA4F8E" w:rsidRDefault="006F19D4" w:rsidP="00543C1B">
            <w:pPr>
              <w:numPr>
                <w:ilvl w:val="0"/>
                <w:numId w:val="40"/>
              </w:numPr>
              <w:spacing w:after="0" w:line="276" w:lineRule="auto"/>
              <w:contextualSpacing/>
              <w:jc w:val="both"/>
            </w:pPr>
            <w:r w:rsidRPr="00BA4F8E">
              <w:t xml:space="preserve">Identifikace a rozvoj přirozeného nadání pro techniku a vědu (viz cíl D.2.1) vyžaduje také motivaci žáků a jejich rodin k uplatnění v těchto náročných oborech. V programovacím období 2007–2013 byla s pomocí prostředků fondů EU a státního rozpočtu vytvořena základní </w:t>
            </w:r>
            <w:r w:rsidRPr="00BA4F8E">
              <w:lastRenderedPageBreak/>
              <w:t>infrastruktura pro popularizaci vědy v národním měřítku, a to v podobě tzv. science learning center. Je proto vhodné zajistit další rozvoj a využití těchto center.</w:t>
            </w:r>
          </w:p>
        </w:tc>
      </w:tr>
    </w:tbl>
    <w:p w14:paraId="5609691D" w14:textId="77777777" w:rsidR="00E17E27" w:rsidRPr="00BA4F8E" w:rsidRDefault="00E17E27" w:rsidP="00E17E27"/>
    <w:p w14:paraId="05DE368C" w14:textId="77777777" w:rsidR="00313429" w:rsidRPr="00BA4F8E" w:rsidRDefault="00313429" w:rsidP="00E17E27"/>
    <w:p w14:paraId="16744741" w14:textId="0D70266F" w:rsidR="00313429" w:rsidRPr="00F76546" w:rsidRDefault="00313429" w:rsidP="00F76546">
      <w:pPr>
        <w:pStyle w:val="Nadpis2"/>
      </w:pPr>
      <w:bookmarkStart w:id="117" w:name="_Toc525716209"/>
      <w:r w:rsidRPr="00F76546">
        <w:t>Informační a komunikační technologie – digitální agenda</w:t>
      </w:r>
      <w:bookmarkEnd w:id="117"/>
    </w:p>
    <w:p w14:paraId="0438444C" w14:textId="77777777" w:rsidR="0005738D" w:rsidRPr="00BA4F8E" w:rsidRDefault="0005738D" w:rsidP="00313429">
      <w:pPr>
        <w:pStyle w:val="Nadpis2"/>
        <w:numPr>
          <w:ilvl w:val="0"/>
          <w:numId w:val="0"/>
        </w:numPr>
        <w:ind w:left="576"/>
        <w:rPr>
          <w:rFonts w:asciiTheme="minorHAnsi" w:hAnsiTheme="minorHAnsi"/>
          <w:sz w:val="22"/>
          <w:szCs w:val="22"/>
        </w:rPr>
      </w:pPr>
    </w:p>
    <w:p w14:paraId="7C04F3BE" w14:textId="77777777" w:rsidR="004550E7" w:rsidRPr="00BA4F8E" w:rsidRDefault="004550E7" w:rsidP="004550E7">
      <w:pPr>
        <w:spacing w:line="360" w:lineRule="auto"/>
        <w:jc w:val="both"/>
        <w:rPr>
          <w:rFonts w:cs="Arial"/>
          <w:b/>
        </w:rPr>
      </w:pPr>
      <w:r w:rsidRPr="00BA4F8E">
        <w:rPr>
          <w:rFonts w:cs="Arial"/>
          <w:b/>
        </w:rPr>
        <w:t>Klíčová oblast změn E. Rozvoj eGovernmentu a eBusinessu pro zvýšení konkurenceschopnosti</w:t>
      </w:r>
    </w:p>
    <w:p w14:paraId="6507C877" w14:textId="77777777" w:rsidR="004550E7" w:rsidRPr="00BA4F8E" w:rsidRDefault="004550E7" w:rsidP="00667E6E">
      <w:pPr>
        <w:spacing w:after="0" w:line="360" w:lineRule="auto"/>
        <w:ind w:firstLine="708"/>
        <w:jc w:val="both"/>
        <w:rPr>
          <w:rFonts w:cs="Arial"/>
        </w:rPr>
      </w:pPr>
      <w:r w:rsidRPr="00BA4F8E">
        <w:rPr>
          <w:rFonts w:cs="Arial"/>
        </w:rPr>
        <w:t>Elektronizace komunikace a distribuce informací dokáže velmi výrazně zefektivnit komunikaci jak na úrovni veřejné správy, tak komunikaci veřejné správy s občany, případně podnikatelskými subjekty. Díky této skutečnosti představuje podpora rozvoje a využití ICT základní předpoklad pro zvýšení konkurenceschopnosti celé ekonomiky.</w:t>
      </w:r>
    </w:p>
    <w:p w14:paraId="76A27497" w14:textId="77777777" w:rsidR="004550E7" w:rsidRPr="00BA4F8E" w:rsidRDefault="004550E7" w:rsidP="00667E6E">
      <w:pPr>
        <w:spacing w:after="0" w:line="360" w:lineRule="auto"/>
        <w:ind w:firstLine="708"/>
        <w:jc w:val="both"/>
        <w:rPr>
          <w:rFonts w:cs="Arial"/>
        </w:rPr>
      </w:pPr>
      <w:r w:rsidRPr="00BA4F8E">
        <w:rPr>
          <w:rFonts w:cs="Arial"/>
        </w:rPr>
        <w:t>V rámci dosavadních aktivit byl v ČR vytvořen základ v podobě základních registrů, které představují velmi významný vstupní krok pro rozvoj služeb eGovernmentu. Nicméně využití registrů jednotlivými službami je stále nedostačující, tzn., že tento segment je potřeba dále a cíleně rozvíjet.</w:t>
      </w:r>
    </w:p>
    <w:p w14:paraId="515FAC41" w14:textId="776DA1A1" w:rsidR="004550E7" w:rsidRPr="00BA4F8E" w:rsidRDefault="004550E7" w:rsidP="00667E6E">
      <w:pPr>
        <w:spacing w:after="0" w:line="360" w:lineRule="auto"/>
        <w:ind w:firstLine="708"/>
        <w:jc w:val="both"/>
        <w:rPr>
          <w:rFonts w:cs="Arial"/>
        </w:rPr>
      </w:pPr>
      <w:r w:rsidRPr="00BA4F8E">
        <w:rPr>
          <w:rFonts w:cs="Arial"/>
        </w:rPr>
        <w:t>Pro větší míru využívání služeb eGovernmentu a získání důvěry klientů (občané i podniky) je přitom důležitá elektronizace nabízených služeb, ale též elektronizace veřejné správy samotné, a to jak uvnitř jednotlivých úřadů, tak v komunikaci mezi různými resorty. Pouze plnohodnotně a funkčně vybavená správa může fungovat efektivně a být tak spolehlivým a důvěryhodným partnerem pro své klienty.</w:t>
      </w:r>
    </w:p>
    <w:p w14:paraId="5E602CED" w14:textId="77777777" w:rsidR="004550E7" w:rsidRPr="00BA4F8E" w:rsidRDefault="004550E7" w:rsidP="00667E6E">
      <w:pPr>
        <w:spacing w:after="0" w:line="360" w:lineRule="auto"/>
        <w:ind w:firstLine="708"/>
        <w:jc w:val="both"/>
        <w:rPr>
          <w:rFonts w:cs="Arial"/>
        </w:rPr>
      </w:pPr>
      <w:r w:rsidRPr="00BA4F8E">
        <w:rPr>
          <w:rFonts w:cs="Arial"/>
        </w:rPr>
        <w:t>Stejně jako může ICT přispět k vyšší efektivitě veřejné správy, představuje významný potenciál také pro rozvoj podnikání, a to jak díky vyššímu využití ICT v podnikání napříč všemi obory, tak vzhledem k novým možnostem v nových oborech, které se s výrazným rozvojem ICT objevují. Využití této příležitosti vyžaduje cílenou a velmi efektivní podporu využití ICT v podnikání, podporu nových firem v podobě start-upů a spin-offů a podporu výzkumu a vývoje v oblasti ICT a k využití ICT, které mohou ke vzniku těchto firem přispět.</w:t>
      </w:r>
    </w:p>
    <w:p w14:paraId="2AA86ED8" w14:textId="2C9FB4C3" w:rsidR="004550E7" w:rsidRPr="00BA4F8E" w:rsidRDefault="004550E7" w:rsidP="004E4AA8">
      <w:pPr>
        <w:spacing w:after="0" w:line="360" w:lineRule="auto"/>
        <w:ind w:firstLine="708"/>
        <w:jc w:val="both"/>
        <w:rPr>
          <w:rFonts w:cs="Arial"/>
        </w:rPr>
      </w:pPr>
      <w:r w:rsidRPr="00BA4F8E">
        <w:rPr>
          <w:rFonts w:cs="Arial"/>
        </w:rPr>
        <w:t>Nezbytným předpokladem pro rozvoj eGovernmentu i eBusinessu je existence kapacitní, kvalitní, bezpečné a dostupné infrastruktury, která zajistí rovné základní vstupní podmínky pro všechny občany a</w:t>
      </w:r>
      <w:r w:rsidR="00C44E12" w:rsidRPr="00BA4F8E">
        <w:rPr>
          <w:rFonts w:cs="Arial"/>
        </w:rPr>
        <w:t> </w:t>
      </w:r>
      <w:r w:rsidRPr="00BA4F8E">
        <w:rPr>
          <w:rFonts w:cs="Arial"/>
        </w:rPr>
        <w:t>podnikatele, kvalitní propojení všech zapojených institucí, a to na takové úrovni, která bude odpovídat nejen stávajícím požadavkům, ale i předpokládanému vývoji poptávky a využití ICT v horizontu minimálně roku 2020, respektive 2025.</w:t>
      </w:r>
    </w:p>
    <w:p w14:paraId="1AB119C8" w14:textId="77777777" w:rsidR="004550E7" w:rsidRDefault="004550E7" w:rsidP="004E4AA8">
      <w:pPr>
        <w:spacing w:after="0" w:line="360" w:lineRule="auto"/>
        <w:ind w:firstLine="708"/>
        <w:jc w:val="both"/>
        <w:rPr>
          <w:rFonts w:cs="Arial"/>
        </w:rPr>
      </w:pPr>
      <w:r w:rsidRPr="00BA4F8E">
        <w:rPr>
          <w:rFonts w:cs="Arial"/>
        </w:rPr>
        <w:lastRenderedPageBreak/>
        <w:t>Rozvoj potřebné infrastruktury musí zajistit podpora budování nových a modernizaci stávajících sítí, ale též zlepšování dostupnosti kapacitního připojení v periferních oblastech, kde je nedostatečná přenosová kapacita kritickým faktorem omezujícím rozvoj jakéhokoliv využití ICT</w:t>
      </w:r>
      <w:r w:rsidRPr="00BA4F8E">
        <w:rPr>
          <w:rStyle w:val="Znakapoznpodarou"/>
          <w:rFonts w:cs="Arial"/>
        </w:rPr>
        <w:footnoteReference w:id="99"/>
      </w:r>
      <w:r w:rsidRPr="00BA4F8E">
        <w:rPr>
          <w:rFonts w:cs="Arial"/>
        </w:rPr>
        <w:t>.</w:t>
      </w:r>
    </w:p>
    <w:p w14:paraId="06ADE6F0" w14:textId="77777777" w:rsidR="008D77C5" w:rsidRPr="00BA4F8E" w:rsidRDefault="008D77C5" w:rsidP="004E4AA8">
      <w:pPr>
        <w:spacing w:after="0" w:line="360" w:lineRule="auto"/>
        <w:ind w:firstLine="708"/>
        <w:jc w:val="both"/>
        <w:rPr>
          <w:rFonts w:cs="Arial"/>
        </w:rPr>
      </w:pPr>
    </w:p>
    <w:tbl>
      <w:tblPr>
        <w:tblStyle w:val="Mkatabulky2"/>
        <w:tblW w:w="0" w:type="auto"/>
        <w:tblLook w:val="04A0" w:firstRow="1" w:lastRow="0" w:firstColumn="1" w:lastColumn="0" w:noHBand="0" w:noVBand="1"/>
      </w:tblPr>
      <w:tblGrid>
        <w:gridCol w:w="2790"/>
        <w:gridCol w:w="15"/>
        <w:gridCol w:w="2032"/>
        <w:gridCol w:w="692"/>
        <w:gridCol w:w="323"/>
        <w:gridCol w:w="3210"/>
      </w:tblGrid>
      <w:tr w:rsidR="001C4FBA" w:rsidRPr="00BA4F8E" w14:paraId="5C2007E2" w14:textId="77777777" w:rsidTr="003F15C6">
        <w:trPr>
          <w:trHeight w:val="387"/>
        </w:trPr>
        <w:tc>
          <w:tcPr>
            <w:tcW w:w="9628" w:type="dxa"/>
            <w:gridSpan w:val="6"/>
            <w:shd w:val="clear" w:color="auto" w:fill="870D14" w:themeFill="accent4" w:themeFillShade="BF"/>
            <w:vAlign w:val="center"/>
          </w:tcPr>
          <w:p w14:paraId="17FCE669" w14:textId="77777777" w:rsidR="001C4FBA" w:rsidRPr="00BA4F8E" w:rsidRDefault="001C4FBA" w:rsidP="001C4FBA">
            <w:pPr>
              <w:keepNext/>
              <w:spacing w:after="0" w:line="276" w:lineRule="auto"/>
              <w:jc w:val="both"/>
              <w:rPr>
                <w:rFonts w:cstheme="minorHAnsi"/>
                <w:b/>
                <w:color w:val="FFFFFF" w:themeColor="background1"/>
              </w:rPr>
            </w:pPr>
            <w:r w:rsidRPr="00BA4F8E">
              <w:rPr>
                <w:rFonts w:cstheme="minorHAnsi"/>
                <w:b/>
                <w:color w:val="FFFFFF" w:themeColor="background1"/>
              </w:rPr>
              <w:t>Klíčová oblast změn E: Rozvoj eGovernmentu a eBusinessu pro zvýšení konkurenceschopnosti (rozvoj ICT a digitální agenda)</w:t>
            </w:r>
          </w:p>
        </w:tc>
      </w:tr>
      <w:tr w:rsidR="001C4FBA" w:rsidRPr="00BA4F8E" w14:paraId="25065363" w14:textId="77777777" w:rsidTr="003F15C6">
        <w:tc>
          <w:tcPr>
            <w:tcW w:w="5104" w:type="dxa"/>
            <w:gridSpan w:val="3"/>
            <w:shd w:val="clear" w:color="auto" w:fill="870D14" w:themeFill="accent4" w:themeFillShade="BF"/>
          </w:tcPr>
          <w:p w14:paraId="53DB5CB7" w14:textId="77777777" w:rsidR="001C4FBA" w:rsidRPr="00BA4F8E" w:rsidRDefault="001C4FBA" w:rsidP="001C4FBA">
            <w:pPr>
              <w:keepNext/>
              <w:spacing w:after="0" w:line="276" w:lineRule="auto"/>
              <w:jc w:val="both"/>
              <w:rPr>
                <w:rFonts w:cstheme="minorHAnsi"/>
                <w:b/>
                <w:color w:val="FFFFFF" w:themeColor="background1"/>
              </w:rPr>
            </w:pPr>
            <w:r w:rsidRPr="00BA4F8E">
              <w:rPr>
                <w:rFonts w:cstheme="minorHAnsi"/>
                <w:b/>
                <w:color w:val="FFFFFF" w:themeColor="background1"/>
              </w:rPr>
              <w:t>Strategické cíle v klíčové oblasti změn E:</w:t>
            </w:r>
          </w:p>
          <w:p w14:paraId="2180BCBD" w14:textId="77777777" w:rsidR="001C4FBA" w:rsidRPr="00BA4F8E" w:rsidRDefault="001C4FBA" w:rsidP="001C4FBA">
            <w:pPr>
              <w:keepNext/>
              <w:spacing w:after="0" w:line="240" w:lineRule="auto"/>
              <w:jc w:val="both"/>
              <w:rPr>
                <w:rFonts w:cstheme="minorHAnsi"/>
                <w:color w:val="FFFFFF" w:themeColor="background1"/>
              </w:rPr>
            </w:pPr>
          </w:p>
        </w:tc>
        <w:tc>
          <w:tcPr>
            <w:tcW w:w="4524" w:type="dxa"/>
            <w:gridSpan w:val="3"/>
            <w:shd w:val="clear" w:color="auto" w:fill="870D14" w:themeFill="accent4" w:themeFillShade="BF"/>
          </w:tcPr>
          <w:p w14:paraId="62D5537C" w14:textId="77777777" w:rsidR="001C4FBA" w:rsidRPr="00BA4F8E" w:rsidRDefault="001C4FBA" w:rsidP="001C4FBA">
            <w:pPr>
              <w:keepNext/>
              <w:spacing w:after="0" w:line="276" w:lineRule="auto"/>
              <w:jc w:val="both"/>
              <w:rPr>
                <w:rFonts w:cstheme="minorHAnsi"/>
                <w:color w:val="FFFFFF" w:themeColor="background1"/>
              </w:rPr>
            </w:pPr>
            <w:r w:rsidRPr="00BA4F8E">
              <w:rPr>
                <w:rFonts w:cstheme="minorHAnsi"/>
                <w:b/>
                <w:color w:val="FFFFFF" w:themeColor="background1"/>
              </w:rPr>
              <w:t>Indikátory strategických cílů/klíčové oblasti změn:</w:t>
            </w:r>
          </w:p>
          <w:p w14:paraId="2CF0980F" w14:textId="77777777" w:rsidR="001C4FBA" w:rsidRPr="00BA4F8E" w:rsidRDefault="001C4FBA" w:rsidP="001C4FBA">
            <w:pPr>
              <w:keepNext/>
              <w:spacing w:after="0" w:line="240" w:lineRule="auto"/>
              <w:jc w:val="both"/>
              <w:rPr>
                <w:rFonts w:cstheme="minorHAnsi"/>
                <w:color w:val="FFFFFF" w:themeColor="background1"/>
              </w:rPr>
            </w:pPr>
          </w:p>
        </w:tc>
      </w:tr>
      <w:tr w:rsidR="001C4FBA" w:rsidRPr="00BA4F8E" w14:paraId="18806D01" w14:textId="77777777" w:rsidTr="003F15C6">
        <w:tc>
          <w:tcPr>
            <w:tcW w:w="5104" w:type="dxa"/>
            <w:gridSpan w:val="3"/>
            <w:shd w:val="clear" w:color="auto" w:fill="870D14" w:themeFill="accent4" w:themeFillShade="BF"/>
          </w:tcPr>
          <w:p w14:paraId="7EB9D1EE" w14:textId="77777777" w:rsidR="001C4FBA" w:rsidRPr="00BA4F8E" w:rsidRDefault="001C4FBA" w:rsidP="001C4FBA">
            <w:pPr>
              <w:keepNext/>
              <w:spacing w:after="0" w:line="240" w:lineRule="auto"/>
              <w:jc w:val="both"/>
              <w:rPr>
                <w:rFonts w:cstheme="minorHAnsi"/>
                <w:color w:val="FFFFFF" w:themeColor="background1"/>
              </w:rPr>
            </w:pPr>
            <w:r w:rsidRPr="00BA4F8E">
              <w:rPr>
                <w:rFonts w:cstheme="minorHAnsi"/>
                <w:color w:val="FFFFFF" w:themeColor="background1"/>
              </w:rPr>
              <w:t xml:space="preserve">E: Rozvoj eGovernmentu a eBusinessu </w:t>
            </w:r>
          </w:p>
          <w:p w14:paraId="39B796EA" w14:textId="77777777" w:rsidR="001C4FBA" w:rsidRPr="00BA4F8E" w:rsidRDefault="001C4FBA" w:rsidP="001C4FBA">
            <w:pPr>
              <w:keepNext/>
              <w:spacing w:after="0" w:line="240" w:lineRule="auto"/>
              <w:jc w:val="both"/>
              <w:rPr>
                <w:rFonts w:cstheme="minorHAnsi"/>
                <w:color w:val="FFFFFF" w:themeColor="background1"/>
              </w:rPr>
            </w:pPr>
            <w:r w:rsidRPr="00BA4F8E">
              <w:rPr>
                <w:rFonts w:cstheme="minorHAnsi"/>
                <w:color w:val="FFFFFF" w:themeColor="background1"/>
              </w:rPr>
              <w:t xml:space="preserve">pro zvýšení konkurenceschopnosti </w:t>
            </w:r>
          </w:p>
          <w:p w14:paraId="532567CC" w14:textId="77777777" w:rsidR="001C4FBA" w:rsidRPr="00BA4F8E" w:rsidRDefault="001C4FBA" w:rsidP="001C4FBA">
            <w:pPr>
              <w:keepNext/>
              <w:spacing w:after="0" w:line="240" w:lineRule="auto"/>
              <w:jc w:val="both"/>
              <w:rPr>
                <w:rFonts w:cstheme="minorHAnsi"/>
                <w:color w:val="FFFFFF" w:themeColor="background1"/>
              </w:rPr>
            </w:pPr>
            <w:r w:rsidRPr="00BA4F8E">
              <w:rPr>
                <w:rFonts w:cstheme="minorHAnsi"/>
                <w:color w:val="FFFFFF" w:themeColor="background1"/>
              </w:rPr>
              <w:t>(rozvoj ICT a digitální agenda)</w:t>
            </w:r>
          </w:p>
        </w:tc>
        <w:tc>
          <w:tcPr>
            <w:tcW w:w="4524" w:type="dxa"/>
            <w:gridSpan w:val="3"/>
            <w:shd w:val="clear" w:color="auto" w:fill="870D14" w:themeFill="accent4" w:themeFillShade="BF"/>
          </w:tcPr>
          <w:p w14:paraId="5D0BE050" w14:textId="77777777" w:rsidR="001C4FBA" w:rsidRPr="00BA4F8E" w:rsidRDefault="001C4FBA" w:rsidP="001C4FBA">
            <w:pPr>
              <w:spacing w:after="0" w:line="276" w:lineRule="auto"/>
              <w:ind w:left="700" w:hanging="700"/>
              <w:jc w:val="both"/>
              <w:rPr>
                <w:rFonts w:cstheme="minorHAnsi"/>
                <w:color w:val="FFFFFF" w:themeColor="background1"/>
              </w:rPr>
            </w:pPr>
            <w:r w:rsidRPr="00BA4F8E">
              <w:rPr>
                <w:rFonts w:cstheme="minorHAnsi"/>
                <w:color w:val="FFFFFF" w:themeColor="background1"/>
              </w:rPr>
              <w:t>30001</w:t>
            </w:r>
            <w:r w:rsidRPr="00BA4F8E">
              <w:rPr>
                <w:rFonts w:cstheme="minorHAnsi"/>
                <w:color w:val="FFFFFF" w:themeColor="background1"/>
              </w:rPr>
              <w:tab/>
              <w:t>ICT sektor - přidaná hodnota</w:t>
            </w:r>
          </w:p>
          <w:p w14:paraId="2BA949C9" w14:textId="77777777" w:rsidR="001C4FBA" w:rsidRPr="00BA4F8E" w:rsidRDefault="001C4FBA" w:rsidP="001C4FBA">
            <w:pPr>
              <w:spacing w:after="0" w:line="276" w:lineRule="auto"/>
              <w:ind w:left="700" w:hanging="700"/>
              <w:jc w:val="both"/>
              <w:rPr>
                <w:rFonts w:cstheme="minorHAnsi"/>
                <w:color w:val="FFFFFF" w:themeColor="background1"/>
              </w:rPr>
            </w:pPr>
            <w:r w:rsidRPr="00BA4F8E">
              <w:rPr>
                <w:rFonts w:cstheme="minorHAnsi"/>
                <w:color w:val="FFFFFF" w:themeColor="background1"/>
              </w:rPr>
              <w:t>30100</w:t>
            </w:r>
            <w:r w:rsidRPr="00BA4F8E">
              <w:rPr>
                <w:rFonts w:cstheme="minorHAnsi"/>
                <w:color w:val="FFFFFF" w:themeColor="background1"/>
              </w:rPr>
              <w:tab/>
              <w:t>Počet zaměstnaných osob v ICT sektoru</w:t>
            </w:r>
          </w:p>
        </w:tc>
      </w:tr>
      <w:tr w:rsidR="001C4FBA" w:rsidRPr="00BA4F8E" w14:paraId="59451346" w14:textId="77777777" w:rsidTr="003F15C6">
        <w:tc>
          <w:tcPr>
            <w:tcW w:w="5104" w:type="dxa"/>
            <w:gridSpan w:val="3"/>
            <w:shd w:val="clear" w:color="auto" w:fill="870D14" w:themeFill="accent4" w:themeFillShade="BF"/>
          </w:tcPr>
          <w:p w14:paraId="11E26FB2" w14:textId="77777777" w:rsidR="001C4FBA" w:rsidRPr="00BA4F8E" w:rsidRDefault="001C4FBA" w:rsidP="001C4FBA">
            <w:pPr>
              <w:keepNext/>
              <w:spacing w:after="0" w:line="276" w:lineRule="auto"/>
              <w:jc w:val="both"/>
              <w:rPr>
                <w:rFonts w:cstheme="minorHAnsi"/>
                <w:color w:val="FFFFFF" w:themeColor="background1"/>
              </w:rPr>
            </w:pPr>
            <w:r w:rsidRPr="00BA4F8E">
              <w:rPr>
                <w:rFonts w:cstheme="minorHAnsi"/>
                <w:color w:val="FFFFFF" w:themeColor="background1"/>
              </w:rPr>
              <w:t xml:space="preserve">E.1: Rozvoj </w:t>
            </w:r>
            <w:r w:rsidRPr="00BA4F8E">
              <w:rPr>
                <w:rFonts w:cstheme="minorHAnsi"/>
                <w:i/>
                <w:color w:val="FFFFFF" w:themeColor="background1"/>
              </w:rPr>
              <w:t>eGovernmentu</w:t>
            </w:r>
          </w:p>
        </w:tc>
        <w:tc>
          <w:tcPr>
            <w:tcW w:w="4524" w:type="dxa"/>
            <w:gridSpan w:val="3"/>
            <w:shd w:val="clear" w:color="auto" w:fill="870D14" w:themeFill="accent4" w:themeFillShade="BF"/>
          </w:tcPr>
          <w:p w14:paraId="36E3B936" w14:textId="77777777" w:rsidR="001C4FBA" w:rsidRPr="00BA4F8E" w:rsidRDefault="001C4FBA" w:rsidP="001C4FBA">
            <w:pPr>
              <w:keepNext/>
              <w:spacing w:after="0" w:line="240" w:lineRule="auto"/>
              <w:jc w:val="both"/>
              <w:rPr>
                <w:rFonts w:cstheme="minorHAnsi"/>
                <w:color w:val="FFFFFF" w:themeColor="background1"/>
              </w:rPr>
            </w:pPr>
          </w:p>
        </w:tc>
      </w:tr>
      <w:tr w:rsidR="001C4FBA" w:rsidRPr="00BA4F8E" w14:paraId="348A68C1" w14:textId="77777777" w:rsidTr="003F15C6">
        <w:tc>
          <w:tcPr>
            <w:tcW w:w="5104" w:type="dxa"/>
            <w:gridSpan w:val="3"/>
            <w:shd w:val="clear" w:color="auto" w:fill="870D14" w:themeFill="accent4" w:themeFillShade="BF"/>
          </w:tcPr>
          <w:p w14:paraId="4A014948" w14:textId="77777777" w:rsidR="001C4FBA" w:rsidRPr="00BA4F8E" w:rsidRDefault="001C4FBA" w:rsidP="001C4FBA">
            <w:pPr>
              <w:keepNext/>
              <w:spacing w:after="0" w:line="276" w:lineRule="auto"/>
              <w:jc w:val="both"/>
              <w:rPr>
                <w:rFonts w:cstheme="minorHAnsi"/>
                <w:color w:val="FFFFFF" w:themeColor="background1"/>
              </w:rPr>
            </w:pPr>
            <w:r w:rsidRPr="00BA4F8E">
              <w:rPr>
                <w:rFonts w:cstheme="minorHAnsi"/>
                <w:color w:val="FFFFFF" w:themeColor="background1"/>
              </w:rPr>
              <w:t xml:space="preserve">E.2: Rozvoj </w:t>
            </w:r>
            <w:r w:rsidRPr="00BA4F8E">
              <w:rPr>
                <w:rFonts w:cstheme="minorHAnsi"/>
                <w:i/>
                <w:color w:val="FFFFFF" w:themeColor="background1"/>
              </w:rPr>
              <w:t>eBusinessu a ICT v podnikání</w:t>
            </w:r>
          </w:p>
        </w:tc>
        <w:tc>
          <w:tcPr>
            <w:tcW w:w="4524" w:type="dxa"/>
            <w:gridSpan w:val="3"/>
            <w:shd w:val="clear" w:color="auto" w:fill="870D14" w:themeFill="accent4" w:themeFillShade="BF"/>
          </w:tcPr>
          <w:p w14:paraId="2E653BBB" w14:textId="77777777" w:rsidR="001C4FBA" w:rsidRPr="00BA4F8E" w:rsidRDefault="001C4FBA" w:rsidP="001C4FBA">
            <w:pPr>
              <w:spacing w:after="0" w:line="276" w:lineRule="auto"/>
              <w:ind w:left="700" w:hanging="700"/>
              <w:jc w:val="both"/>
              <w:rPr>
                <w:rFonts w:cstheme="minorHAnsi"/>
                <w:color w:val="FFFFFF" w:themeColor="background1"/>
              </w:rPr>
            </w:pPr>
            <w:r w:rsidRPr="00BA4F8E">
              <w:rPr>
                <w:rFonts w:cstheme="minorHAnsi"/>
                <w:color w:val="FFFFFF" w:themeColor="background1"/>
              </w:rPr>
              <w:t>30002</w:t>
            </w:r>
            <w:r w:rsidRPr="00BA4F8E">
              <w:rPr>
                <w:rFonts w:cstheme="minorHAnsi"/>
                <w:color w:val="FFFFFF" w:themeColor="background1"/>
              </w:rPr>
              <w:tab/>
              <w:t>Přidaná hodnota IT služeb jako podíl na HDP</w:t>
            </w:r>
          </w:p>
          <w:p w14:paraId="7CB12FF9" w14:textId="77777777" w:rsidR="001C4FBA" w:rsidRPr="00BA4F8E" w:rsidRDefault="001C4FBA" w:rsidP="001C4FBA">
            <w:pPr>
              <w:spacing w:after="0" w:line="276" w:lineRule="auto"/>
              <w:ind w:left="700" w:hanging="700"/>
              <w:jc w:val="both"/>
              <w:rPr>
                <w:rFonts w:cstheme="minorHAnsi"/>
                <w:color w:val="FFFFFF" w:themeColor="background1"/>
              </w:rPr>
            </w:pPr>
            <w:r w:rsidRPr="00BA4F8E">
              <w:rPr>
                <w:rFonts w:cstheme="minorHAnsi"/>
                <w:color w:val="FFFFFF" w:themeColor="background1"/>
              </w:rPr>
              <w:t>30300</w:t>
            </w:r>
            <w:r w:rsidRPr="00BA4F8E">
              <w:rPr>
                <w:rFonts w:cstheme="minorHAnsi"/>
                <w:color w:val="FFFFFF" w:themeColor="background1"/>
              </w:rPr>
              <w:tab/>
              <w:t>Počet firem s vysokorychlostním přístupem k internetu</w:t>
            </w:r>
          </w:p>
        </w:tc>
      </w:tr>
      <w:tr w:rsidR="001C4FBA" w:rsidRPr="00BA4F8E" w14:paraId="5993ED94" w14:textId="77777777" w:rsidTr="003F15C6">
        <w:tc>
          <w:tcPr>
            <w:tcW w:w="5104" w:type="dxa"/>
            <w:gridSpan w:val="3"/>
            <w:shd w:val="clear" w:color="auto" w:fill="870D14" w:themeFill="accent4" w:themeFillShade="BF"/>
          </w:tcPr>
          <w:p w14:paraId="3CE19359" w14:textId="77777777" w:rsidR="001C4FBA" w:rsidRPr="00BA4F8E" w:rsidRDefault="001C4FBA" w:rsidP="001C4FBA">
            <w:pPr>
              <w:keepNext/>
              <w:spacing w:after="0" w:line="240" w:lineRule="auto"/>
              <w:jc w:val="both"/>
              <w:rPr>
                <w:rFonts w:cstheme="minorHAnsi"/>
                <w:color w:val="FFFFFF" w:themeColor="background1"/>
              </w:rPr>
            </w:pPr>
            <w:r w:rsidRPr="00BA4F8E">
              <w:rPr>
                <w:rFonts w:cstheme="minorHAnsi"/>
                <w:color w:val="FFFFFF" w:themeColor="background1"/>
              </w:rPr>
              <w:t xml:space="preserve">E.3: Rozvoj </w:t>
            </w:r>
            <w:r w:rsidRPr="00BA4F8E">
              <w:rPr>
                <w:rFonts w:cstheme="minorHAnsi"/>
                <w:i/>
                <w:color w:val="FFFFFF" w:themeColor="background1"/>
              </w:rPr>
              <w:t>Infrastruktury v ICT</w:t>
            </w:r>
          </w:p>
        </w:tc>
        <w:tc>
          <w:tcPr>
            <w:tcW w:w="4524" w:type="dxa"/>
            <w:gridSpan w:val="3"/>
            <w:shd w:val="clear" w:color="auto" w:fill="870D14" w:themeFill="accent4" w:themeFillShade="BF"/>
          </w:tcPr>
          <w:p w14:paraId="34DE9201" w14:textId="77777777" w:rsidR="001C4FBA" w:rsidRPr="00BA4F8E" w:rsidRDefault="001C4FBA" w:rsidP="001C4FBA">
            <w:pPr>
              <w:spacing w:after="0" w:line="276" w:lineRule="auto"/>
              <w:ind w:left="700" w:hanging="700"/>
              <w:jc w:val="both"/>
              <w:rPr>
                <w:rFonts w:cstheme="minorHAnsi"/>
                <w:color w:val="FFFFFF" w:themeColor="background1"/>
              </w:rPr>
            </w:pPr>
            <w:r w:rsidRPr="00BA4F8E">
              <w:rPr>
                <w:rFonts w:cstheme="minorHAnsi"/>
                <w:color w:val="FFFFFF" w:themeColor="background1"/>
              </w:rPr>
              <w:t>30801</w:t>
            </w:r>
            <w:r w:rsidRPr="00BA4F8E">
              <w:rPr>
                <w:rFonts w:cstheme="minorHAnsi"/>
                <w:color w:val="FFFFFF" w:themeColor="background1"/>
              </w:rPr>
              <w:tab/>
              <w:t>Nová a zmodernizovaná IT centra</w:t>
            </w:r>
          </w:p>
        </w:tc>
      </w:tr>
      <w:tr w:rsidR="001C4FBA" w:rsidRPr="00BA4F8E" w14:paraId="2B066129" w14:textId="77777777" w:rsidTr="003F15C6">
        <w:tc>
          <w:tcPr>
            <w:tcW w:w="9628" w:type="dxa"/>
            <w:gridSpan w:val="6"/>
            <w:shd w:val="clear" w:color="auto" w:fill="F38D93" w:themeFill="accent4" w:themeFillTint="66"/>
          </w:tcPr>
          <w:p w14:paraId="1B0E2FF8" w14:textId="77777777" w:rsidR="001C4FBA" w:rsidRPr="00BA4F8E" w:rsidRDefault="001C4FBA" w:rsidP="001C4FBA">
            <w:pPr>
              <w:spacing w:after="0" w:line="276" w:lineRule="auto"/>
              <w:jc w:val="both"/>
              <w:rPr>
                <w:rFonts w:cstheme="minorHAnsi"/>
                <w:b/>
              </w:rPr>
            </w:pPr>
            <w:r w:rsidRPr="00BA4F8E">
              <w:rPr>
                <w:rFonts w:cstheme="minorHAnsi"/>
                <w:b/>
              </w:rPr>
              <w:t>Strategický cíl E.1:</w:t>
            </w:r>
            <w:r w:rsidRPr="00BA4F8E">
              <w:rPr>
                <w:rFonts w:cstheme="minorHAnsi"/>
                <w:i/>
              </w:rPr>
              <w:t xml:space="preserve"> </w:t>
            </w:r>
            <w:r w:rsidRPr="00BA4F8E">
              <w:rPr>
                <w:rFonts w:cstheme="minorHAnsi"/>
                <w:b/>
              </w:rPr>
              <w:t>Rozvoj eGovernmentu</w:t>
            </w:r>
          </w:p>
          <w:p w14:paraId="0A52F179" w14:textId="77777777" w:rsidR="001C4FBA" w:rsidRPr="00BA4F8E" w:rsidRDefault="001C4FBA" w:rsidP="001C4FBA">
            <w:pPr>
              <w:spacing w:after="0" w:line="276" w:lineRule="auto"/>
              <w:jc w:val="both"/>
              <w:rPr>
                <w:rFonts w:cstheme="minorHAnsi"/>
                <w:i/>
              </w:rPr>
            </w:pPr>
            <w:r w:rsidRPr="00BA4F8E">
              <w:rPr>
                <w:rFonts w:cstheme="minorHAnsi"/>
              </w:rPr>
              <w:t xml:space="preserve">Plnohodnotně elektronizovaná a efektivně fungující veřejná správa, odpovídající trendům současného vývoje technologií a využití ICT, jako základ konkurenceschopné digitální ekonomiky. Veřejná správa bude nabízet veškeré běžně využívané služby pro občany i pro podnikatele v plnohodnotné elektronické podobě, která umožní občanům i podnikatelům bezproblémovou elektronickou komunikaci s orgány veřejné správy na krajské a národní úrovni. </w:t>
            </w:r>
          </w:p>
        </w:tc>
      </w:tr>
      <w:tr w:rsidR="001C4FBA" w:rsidRPr="00BA4F8E" w14:paraId="4ED7070C" w14:textId="77777777" w:rsidTr="003F15C6">
        <w:tc>
          <w:tcPr>
            <w:tcW w:w="3057" w:type="dxa"/>
            <w:shd w:val="clear" w:color="auto" w:fill="F9C6C8" w:themeFill="accent4" w:themeFillTint="33"/>
          </w:tcPr>
          <w:p w14:paraId="2ECA3032" w14:textId="77777777" w:rsidR="001C4FBA" w:rsidRPr="00BA4F8E" w:rsidRDefault="001C4FBA" w:rsidP="001C4FBA">
            <w:pPr>
              <w:spacing w:after="0" w:line="276" w:lineRule="auto"/>
              <w:jc w:val="both"/>
              <w:rPr>
                <w:rFonts w:cstheme="minorHAnsi"/>
                <w:b/>
                <w:i/>
              </w:rPr>
            </w:pPr>
            <w:r w:rsidRPr="00BA4F8E">
              <w:rPr>
                <w:rFonts w:cstheme="minorHAnsi"/>
                <w:b/>
                <w:i/>
              </w:rPr>
              <w:t xml:space="preserve">Specifické cíle  </w:t>
            </w:r>
          </w:p>
        </w:tc>
        <w:tc>
          <w:tcPr>
            <w:tcW w:w="2859" w:type="dxa"/>
            <w:gridSpan w:val="3"/>
            <w:shd w:val="clear" w:color="auto" w:fill="F9C6C8" w:themeFill="accent4" w:themeFillTint="33"/>
          </w:tcPr>
          <w:p w14:paraId="1DA7C0E3" w14:textId="77777777" w:rsidR="001C4FBA" w:rsidRPr="00BA4F8E" w:rsidRDefault="001C4FBA" w:rsidP="001C4FBA">
            <w:pPr>
              <w:spacing w:after="0" w:line="276" w:lineRule="auto"/>
              <w:jc w:val="both"/>
              <w:rPr>
                <w:rFonts w:cstheme="minorHAnsi"/>
                <w:b/>
                <w:i/>
              </w:rPr>
            </w:pPr>
            <w:r w:rsidRPr="00BA4F8E">
              <w:rPr>
                <w:rFonts w:cstheme="minorHAnsi"/>
                <w:b/>
                <w:i/>
              </w:rPr>
              <w:t>Indikátory specifického cíle</w:t>
            </w:r>
          </w:p>
        </w:tc>
        <w:tc>
          <w:tcPr>
            <w:tcW w:w="3712" w:type="dxa"/>
            <w:gridSpan w:val="2"/>
            <w:tcBorders>
              <w:bottom w:val="single" w:sz="4" w:space="0" w:color="auto"/>
            </w:tcBorders>
            <w:shd w:val="clear" w:color="auto" w:fill="F9C6C8" w:themeFill="accent4" w:themeFillTint="33"/>
          </w:tcPr>
          <w:p w14:paraId="479F8C52" w14:textId="77777777" w:rsidR="001C4FBA" w:rsidRPr="00BA4F8E" w:rsidRDefault="001C4FBA" w:rsidP="001C4FBA">
            <w:pPr>
              <w:spacing w:after="0" w:line="276" w:lineRule="auto"/>
              <w:jc w:val="both"/>
              <w:rPr>
                <w:rFonts w:cstheme="minorHAnsi"/>
                <w:b/>
                <w:i/>
              </w:rPr>
            </w:pPr>
            <w:r w:rsidRPr="00BA4F8E">
              <w:rPr>
                <w:rFonts w:cstheme="minorHAnsi"/>
                <w:b/>
                <w:i/>
              </w:rPr>
              <w:t>Typové aktivity/projekty/operace</w:t>
            </w:r>
          </w:p>
        </w:tc>
      </w:tr>
      <w:tr w:rsidR="001C4FBA" w:rsidRPr="00BA4F8E" w14:paraId="130A0DC5" w14:textId="77777777" w:rsidTr="003F15C6">
        <w:tc>
          <w:tcPr>
            <w:tcW w:w="3057" w:type="dxa"/>
            <w:shd w:val="clear" w:color="auto" w:fill="F9C6C8" w:themeFill="accent4" w:themeFillTint="33"/>
          </w:tcPr>
          <w:p w14:paraId="2A36285C" w14:textId="77777777" w:rsidR="001C4FBA" w:rsidRPr="00BA4F8E" w:rsidRDefault="001C4FBA" w:rsidP="001C4FBA">
            <w:pPr>
              <w:spacing w:after="0" w:line="276" w:lineRule="auto"/>
              <w:jc w:val="both"/>
              <w:rPr>
                <w:rFonts w:cstheme="minorHAnsi"/>
                <w:b/>
              </w:rPr>
            </w:pPr>
            <w:r w:rsidRPr="00BA4F8E">
              <w:rPr>
                <w:rFonts w:cstheme="minorHAnsi"/>
                <w:b/>
              </w:rPr>
              <w:t>E.1.1: Zefektivnění vnější komunikace veřejné správy a komunikace s klienty</w:t>
            </w:r>
          </w:p>
          <w:p w14:paraId="7AB71275" w14:textId="7F0221C1" w:rsidR="001C4FBA" w:rsidRPr="00BA4F8E" w:rsidRDefault="001C4FBA" w:rsidP="001C4FBA">
            <w:pPr>
              <w:spacing w:after="0" w:line="276" w:lineRule="auto"/>
              <w:jc w:val="both"/>
              <w:rPr>
                <w:rFonts w:cstheme="minorHAnsi"/>
              </w:rPr>
            </w:pPr>
            <w:r w:rsidRPr="00BA4F8E">
              <w:rPr>
                <w:rFonts w:cstheme="minorHAnsi"/>
              </w:rPr>
              <w:t>Nabízené služby budou přizpůsobeny po procesní, legislativní a technologické stránce tak, aby jejich využití bylo proveditelné ze 100 % s</w:t>
            </w:r>
            <w:r w:rsidR="00132BCD">
              <w:rPr>
                <w:rFonts w:cstheme="minorHAnsi"/>
              </w:rPr>
              <w:t> </w:t>
            </w:r>
            <w:r w:rsidRPr="00BA4F8E">
              <w:rPr>
                <w:rFonts w:cstheme="minorHAnsi"/>
              </w:rPr>
              <w:t>využitím elektronické komunikace, bez nutnosti osobního kontaktu s příslušným úřadem.</w:t>
            </w:r>
          </w:p>
          <w:p w14:paraId="5C4C05D1" w14:textId="77777777" w:rsidR="001C4FBA" w:rsidRPr="00BA4F8E" w:rsidRDefault="001C4FBA" w:rsidP="001C4FBA">
            <w:pPr>
              <w:spacing w:after="0" w:line="276" w:lineRule="auto"/>
              <w:jc w:val="both"/>
              <w:rPr>
                <w:rFonts w:cstheme="minorHAnsi"/>
              </w:rPr>
            </w:pPr>
            <w:r w:rsidRPr="00BA4F8E">
              <w:rPr>
                <w:rFonts w:cstheme="minorHAnsi"/>
              </w:rPr>
              <w:t xml:space="preserve">Jednotlivé služby budou optimalizované tak, aby jejich poskytování bylo co nejefektivnější, a to jak ve </w:t>
            </w:r>
            <w:r w:rsidRPr="00BA4F8E">
              <w:rPr>
                <w:rFonts w:cstheme="minorHAnsi"/>
              </w:rPr>
              <w:lastRenderedPageBreak/>
              <w:t>vztahu ke klientovi, ale i s ohledem na náklady veřejné správy na jejich poskytování (využití základních registrů, vzájemná provázanost jednotlivých služeb s možností automatického načítání a ověřování dat z registrů bez nutnosti dokladovat, či specificky vyžadovat další úkony po klientovi / občanovi).</w:t>
            </w:r>
          </w:p>
          <w:p w14:paraId="6B8811BE" w14:textId="77777777" w:rsidR="001C4FBA" w:rsidRPr="00BA4F8E" w:rsidRDefault="001C4FBA" w:rsidP="001C4FBA">
            <w:pPr>
              <w:spacing w:after="0" w:line="276" w:lineRule="auto"/>
              <w:jc w:val="both"/>
              <w:rPr>
                <w:rFonts w:cstheme="minorHAnsi"/>
                <w:b/>
              </w:rPr>
            </w:pPr>
            <w:r w:rsidRPr="00BA4F8E">
              <w:rPr>
                <w:rFonts w:cstheme="minorHAnsi"/>
              </w:rPr>
              <w:t>Plnohodnotná elektronizace tak přinese situaci win-win, vytvářející zřetelné benefity a úspory pro obě strany.</w:t>
            </w:r>
          </w:p>
        </w:tc>
        <w:tc>
          <w:tcPr>
            <w:tcW w:w="2859" w:type="dxa"/>
            <w:gridSpan w:val="3"/>
            <w:tcBorders>
              <w:right w:val="single" w:sz="4" w:space="0" w:color="auto"/>
            </w:tcBorders>
            <w:shd w:val="clear" w:color="auto" w:fill="F9C6C8" w:themeFill="accent4" w:themeFillTint="33"/>
          </w:tcPr>
          <w:p w14:paraId="5E1D98AA" w14:textId="77777777" w:rsidR="001C4FBA" w:rsidRPr="00BA4F8E" w:rsidRDefault="001C4FBA" w:rsidP="001C4FBA">
            <w:pPr>
              <w:spacing w:after="0" w:line="276" w:lineRule="auto"/>
              <w:ind w:left="700" w:hanging="700"/>
              <w:rPr>
                <w:rFonts w:cstheme="minorHAnsi"/>
              </w:rPr>
            </w:pPr>
            <w:r w:rsidRPr="00BA4F8E">
              <w:rPr>
                <w:rFonts w:cstheme="minorHAnsi"/>
              </w:rPr>
              <w:lastRenderedPageBreak/>
              <w:t>30500</w:t>
            </w:r>
            <w:r w:rsidRPr="00BA4F8E">
              <w:rPr>
                <w:rFonts w:cstheme="minorHAnsi"/>
              </w:rPr>
              <w:tab/>
              <w:t xml:space="preserve">Počet pořízených informačních systémů </w:t>
            </w:r>
          </w:p>
          <w:p w14:paraId="3076884D" w14:textId="77777777" w:rsidR="001C4FBA" w:rsidRPr="00BA4F8E" w:rsidRDefault="001C4FBA" w:rsidP="001C4FBA">
            <w:pPr>
              <w:spacing w:after="0" w:line="276" w:lineRule="auto"/>
              <w:ind w:left="700" w:hanging="700"/>
              <w:rPr>
                <w:rFonts w:cstheme="minorHAnsi"/>
              </w:rPr>
            </w:pPr>
            <w:r w:rsidRPr="00BA4F8E">
              <w:rPr>
                <w:rFonts w:cstheme="minorHAnsi"/>
              </w:rPr>
              <w:t>30510</w:t>
            </w:r>
            <w:r w:rsidRPr="00BA4F8E">
              <w:rPr>
                <w:rFonts w:cstheme="minorHAnsi"/>
              </w:rPr>
              <w:tab/>
              <w:t xml:space="preserve">Počet elektronických podaní učiněných prostřednictvím Czech Point, ISDS, PVS a agendových portálů </w:t>
            </w:r>
          </w:p>
          <w:p w14:paraId="4E57C3F2" w14:textId="77777777" w:rsidR="001C4FBA" w:rsidRPr="00BA4F8E" w:rsidRDefault="001C4FBA" w:rsidP="001C4FBA">
            <w:pPr>
              <w:spacing w:after="0" w:line="276" w:lineRule="auto"/>
              <w:ind w:left="700" w:hanging="700"/>
              <w:rPr>
                <w:rFonts w:cstheme="minorHAnsi"/>
              </w:rPr>
            </w:pPr>
          </w:p>
        </w:tc>
        <w:tc>
          <w:tcPr>
            <w:tcW w:w="3712" w:type="dxa"/>
            <w:gridSpan w:val="2"/>
            <w:tcBorders>
              <w:top w:val="single" w:sz="4" w:space="0" w:color="auto"/>
              <w:left w:val="single" w:sz="4" w:space="0" w:color="auto"/>
              <w:bottom w:val="single" w:sz="4" w:space="0" w:color="auto"/>
              <w:right w:val="single" w:sz="4" w:space="0" w:color="auto"/>
            </w:tcBorders>
            <w:shd w:val="clear" w:color="auto" w:fill="F9C6C8" w:themeFill="accent4" w:themeFillTint="33"/>
          </w:tcPr>
          <w:p w14:paraId="23248650" w14:textId="77777777" w:rsidR="00B238B6" w:rsidRPr="00BA4F8E" w:rsidRDefault="001C4FBA" w:rsidP="00543C1B">
            <w:pPr>
              <w:pStyle w:val="Odstavecseseznamem"/>
              <w:numPr>
                <w:ilvl w:val="0"/>
                <w:numId w:val="47"/>
              </w:numPr>
              <w:spacing w:after="0" w:line="276" w:lineRule="auto"/>
              <w:ind w:left="492" w:hanging="425"/>
              <w:jc w:val="both"/>
              <w:rPr>
                <w:rFonts w:cstheme="minorHAnsi"/>
              </w:rPr>
            </w:pPr>
            <w:r w:rsidRPr="00BA4F8E">
              <w:rPr>
                <w:rFonts w:cstheme="minorHAnsi"/>
              </w:rPr>
              <w:t xml:space="preserve">Kompletní modernizace/transformace nejčastěji využívaných agend veřejné správy jak vůči občanům, tak vůči podnikatelům do podoby využitelné pro plnohodnotnou elektronickou komunikaci. </w:t>
            </w:r>
          </w:p>
          <w:p w14:paraId="425087A7" w14:textId="77777777" w:rsidR="00B238B6" w:rsidRPr="00BA4F8E" w:rsidRDefault="001C4FBA" w:rsidP="00543C1B">
            <w:pPr>
              <w:pStyle w:val="Odstavecseseznamem"/>
              <w:numPr>
                <w:ilvl w:val="0"/>
                <w:numId w:val="47"/>
              </w:numPr>
              <w:spacing w:after="0" w:line="276" w:lineRule="auto"/>
              <w:jc w:val="both"/>
              <w:rPr>
                <w:rFonts w:cstheme="minorHAnsi"/>
              </w:rPr>
            </w:pPr>
            <w:r w:rsidRPr="00BA4F8E">
              <w:rPr>
                <w:rFonts w:cstheme="minorHAnsi"/>
              </w:rPr>
              <w:t xml:space="preserve">Úprava legislativních podmínek, transformace/tvorba nových procesních modelů využívajících elektronickou komunikaci, transformace kompetenčních modelů s cílem </w:t>
            </w:r>
            <w:r w:rsidRPr="00BA4F8E">
              <w:rPr>
                <w:rFonts w:cstheme="minorHAnsi"/>
              </w:rPr>
              <w:lastRenderedPageBreak/>
              <w:t>umožnění elektronické komunikace s klienty.</w:t>
            </w:r>
          </w:p>
          <w:p w14:paraId="34BEF979" w14:textId="77777777" w:rsidR="00B238B6" w:rsidRPr="00BA4F8E" w:rsidRDefault="001C4FBA" w:rsidP="00543C1B">
            <w:pPr>
              <w:pStyle w:val="Odstavecseseznamem"/>
              <w:numPr>
                <w:ilvl w:val="0"/>
                <w:numId w:val="47"/>
              </w:numPr>
              <w:spacing w:after="0" w:line="276" w:lineRule="auto"/>
              <w:jc w:val="both"/>
              <w:rPr>
                <w:rFonts w:cstheme="minorHAnsi"/>
              </w:rPr>
            </w:pPr>
            <w:r w:rsidRPr="00BA4F8E">
              <w:rPr>
                <w:rFonts w:cstheme="minorHAnsi"/>
              </w:rPr>
              <w:t xml:space="preserve">Vznik nebo kapacitní a funkční rozvoj a modernizace informačních systémů sloužících ke komunikaci veřejná správa – klient na takovou úroveň, která bude umožňovat plnohodnotnou elektronickou komunikaci. </w:t>
            </w:r>
          </w:p>
          <w:p w14:paraId="5741D15F" w14:textId="1D756782" w:rsidR="001C4FBA" w:rsidRPr="00BA4F8E" w:rsidRDefault="001C4FBA" w:rsidP="00543C1B">
            <w:pPr>
              <w:pStyle w:val="Odstavecseseznamem"/>
              <w:numPr>
                <w:ilvl w:val="0"/>
                <w:numId w:val="47"/>
              </w:numPr>
              <w:spacing w:after="0" w:line="276" w:lineRule="auto"/>
              <w:jc w:val="both"/>
              <w:rPr>
                <w:rFonts w:cstheme="minorHAnsi"/>
              </w:rPr>
            </w:pPr>
            <w:r w:rsidRPr="00BA4F8E">
              <w:rPr>
                <w:rFonts w:cstheme="minorHAnsi"/>
              </w:rPr>
              <w:t>Modernizace stávajících informačních systémů s cílem jejich plnohodnotného napojení na základní registry s cílem maximalizovat automatické načítání a ověřování dat s využitím základních registrů.</w:t>
            </w:r>
          </w:p>
        </w:tc>
      </w:tr>
      <w:tr w:rsidR="001C4FBA" w:rsidRPr="00BA4F8E" w14:paraId="594E1E19" w14:textId="77777777" w:rsidTr="00A91F5A">
        <w:trPr>
          <w:trHeight w:val="2126"/>
        </w:trPr>
        <w:tc>
          <w:tcPr>
            <w:tcW w:w="3057" w:type="dxa"/>
            <w:shd w:val="clear" w:color="auto" w:fill="F9C6C8" w:themeFill="accent4" w:themeFillTint="33"/>
          </w:tcPr>
          <w:p w14:paraId="03BEF365" w14:textId="77777777" w:rsidR="001C4FBA" w:rsidRPr="00BA4F8E" w:rsidRDefault="001C4FBA" w:rsidP="001C4FBA">
            <w:pPr>
              <w:spacing w:after="0" w:line="276" w:lineRule="auto"/>
              <w:jc w:val="both"/>
              <w:rPr>
                <w:rFonts w:cstheme="minorHAnsi"/>
                <w:b/>
              </w:rPr>
            </w:pPr>
            <w:r w:rsidRPr="00BA4F8E">
              <w:rPr>
                <w:rFonts w:cstheme="minorHAnsi"/>
                <w:b/>
              </w:rPr>
              <w:lastRenderedPageBreak/>
              <w:t>E.1.2: Zefektivnění interní komunikace veřejné správy</w:t>
            </w:r>
          </w:p>
          <w:p w14:paraId="4F8C1F57" w14:textId="77777777" w:rsidR="001C4FBA" w:rsidRPr="00BA4F8E" w:rsidRDefault="001C4FBA" w:rsidP="001C4FBA">
            <w:pPr>
              <w:spacing w:after="0" w:line="276" w:lineRule="auto"/>
              <w:jc w:val="both"/>
              <w:rPr>
                <w:rFonts w:cstheme="minorHAnsi"/>
              </w:rPr>
            </w:pPr>
            <w:r w:rsidRPr="00BA4F8E">
              <w:rPr>
                <w:rFonts w:cstheme="minorHAnsi"/>
              </w:rPr>
              <w:t>Jednotlivé správní agendy budou po procesní, legislativní a technologické stránce nastaveny tak, aby maximálně zefektivnily nejen komunikaci s klienty, ale též komunikaci uvnitř úřadů, případně úřadů mezi sebou.</w:t>
            </w:r>
          </w:p>
          <w:p w14:paraId="4D9B288B" w14:textId="77777777" w:rsidR="001C4FBA" w:rsidRPr="00BA4F8E" w:rsidRDefault="001C4FBA" w:rsidP="001C4FBA">
            <w:pPr>
              <w:spacing w:after="0" w:line="276" w:lineRule="auto"/>
              <w:jc w:val="both"/>
              <w:rPr>
                <w:rFonts w:cstheme="minorHAnsi"/>
              </w:rPr>
            </w:pPr>
            <w:r w:rsidRPr="00BA4F8E">
              <w:rPr>
                <w:rFonts w:cstheme="minorHAnsi"/>
              </w:rPr>
              <w:t>Elektronizace komunikace uvnitř jednotlivých úřadů přinese časové a finanční úspory provozovatelům, které se projeví vyšší úrovni poskytovaných služeb klientům. Snazší výměna informací mezi jednotlivými pracovníky úřadů, případně mezi jednotlivými úřady, tak bude mít pozitivní dopady na efektivitu celého úřadu.</w:t>
            </w:r>
          </w:p>
        </w:tc>
        <w:tc>
          <w:tcPr>
            <w:tcW w:w="2859" w:type="dxa"/>
            <w:gridSpan w:val="3"/>
            <w:shd w:val="clear" w:color="auto" w:fill="F9C6C8" w:themeFill="accent4" w:themeFillTint="33"/>
          </w:tcPr>
          <w:p w14:paraId="546F3177" w14:textId="77777777" w:rsidR="001C4FBA" w:rsidRPr="00BA4F8E" w:rsidRDefault="001C4FBA" w:rsidP="001C4FBA">
            <w:pPr>
              <w:spacing w:after="0" w:line="276" w:lineRule="auto"/>
              <w:ind w:left="700" w:hanging="700"/>
              <w:rPr>
                <w:rFonts w:cstheme="minorHAnsi"/>
              </w:rPr>
            </w:pPr>
            <w:r w:rsidRPr="00BA4F8E">
              <w:rPr>
                <w:rFonts w:cstheme="minorHAnsi"/>
              </w:rPr>
              <w:t>30500</w:t>
            </w:r>
            <w:r w:rsidRPr="00BA4F8E">
              <w:rPr>
                <w:rFonts w:cstheme="minorHAnsi"/>
              </w:rPr>
              <w:tab/>
              <w:t xml:space="preserve">Počet pořízených informačních systémů </w:t>
            </w:r>
          </w:p>
          <w:p w14:paraId="48C97B52" w14:textId="77777777" w:rsidR="001C4FBA" w:rsidRPr="00BA4F8E" w:rsidRDefault="001C4FBA" w:rsidP="001C4FBA">
            <w:pPr>
              <w:spacing w:after="0" w:line="276" w:lineRule="auto"/>
              <w:ind w:left="700" w:hanging="700"/>
              <w:rPr>
                <w:rFonts w:cstheme="minorHAnsi"/>
              </w:rPr>
            </w:pPr>
            <w:r w:rsidRPr="00BA4F8E">
              <w:rPr>
                <w:rFonts w:cstheme="minorHAnsi"/>
              </w:rPr>
              <w:t>30510</w:t>
            </w:r>
            <w:r w:rsidRPr="00BA4F8E">
              <w:rPr>
                <w:rFonts w:cstheme="minorHAnsi"/>
              </w:rPr>
              <w:tab/>
              <w:t>Počet elektronických podaní učiněných prostřednictvím Czech Point, ISDS, PVS a agendových portálů</w:t>
            </w:r>
          </w:p>
        </w:tc>
        <w:tc>
          <w:tcPr>
            <w:tcW w:w="3712" w:type="dxa"/>
            <w:gridSpan w:val="2"/>
            <w:tcBorders>
              <w:top w:val="single" w:sz="4" w:space="0" w:color="auto"/>
            </w:tcBorders>
            <w:shd w:val="clear" w:color="auto" w:fill="F9C6C8" w:themeFill="accent4" w:themeFillTint="33"/>
          </w:tcPr>
          <w:p w14:paraId="748CD180" w14:textId="21B0A6F2" w:rsidR="001C4FBA" w:rsidRPr="00BA4F8E" w:rsidRDefault="001C4FBA" w:rsidP="00543C1B">
            <w:pPr>
              <w:pStyle w:val="Odstavecseseznamem"/>
              <w:numPr>
                <w:ilvl w:val="0"/>
                <w:numId w:val="48"/>
              </w:numPr>
              <w:spacing w:after="0" w:line="276" w:lineRule="auto"/>
              <w:ind w:left="492" w:hanging="284"/>
              <w:jc w:val="both"/>
              <w:rPr>
                <w:rFonts w:cstheme="minorHAnsi"/>
              </w:rPr>
            </w:pPr>
            <w:r w:rsidRPr="00BA4F8E">
              <w:rPr>
                <w:rFonts w:cstheme="minorHAnsi"/>
              </w:rPr>
              <w:t>Zavádění standardizovaných SW informačních systémů, které budou kompatibilní pro potenciální výměnu informací mezi jednotlivými úřady bez nutnosti vedení agendy v duplicitní papírové podobě.</w:t>
            </w:r>
          </w:p>
        </w:tc>
      </w:tr>
      <w:tr w:rsidR="001C4FBA" w:rsidRPr="00BA4F8E" w14:paraId="10314424" w14:textId="77777777" w:rsidTr="003F15C6">
        <w:tc>
          <w:tcPr>
            <w:tcW w:w="3057" w:type="dxa"/>
            <w:shd w:val="clear" w:color="auto" w:fill="F9C6C8" w:themeFill="accent4" w:themeFillTint="33"/>
          </w:tcPr>
          <w:p w14:paraId="24E59600" w14:textId="77777777" w:rsidR="001C4FBA" w:rsidRPr="00BA4F8E" w:rsidRDefault="001C4FBA" w:rsidP="001C4FBA">
            <w:pPr>
              <w:spacing w:after="0" w:line="276" w:lineRule="auto"/>
              <w:jc w:val="both"/>
              <w:rPr>
                <w:rFonts w:cstheme="minorHAnsi"/>
                <w:b/>
              </w:rPr>
            </w:pPr>
            <w:r w:rsidRPr="00BA4F8E">
              <w:rPr>
                <w:rFonts w:cstheme="minorHAnsi"/>
                <w:b/>
              </w:rPr>
              <w:t>E.1.3: Zajištění bezpečnosti při využívání eGovernmentu</w:t>
            </w:r>
          </w:p>
          <w:p w14:paraId="16B84D94" w14:textId="77777777" w:rsidR="001C4FBA" w:rsidRPr="00BA4F8E" w:rsidRDefault="001C4FBA" w:rsidP="001C4FBA">
            <w:pPr>
              <w:spacing w:after="0" w:line="276" w:lineRule="auto"/>
              <w:jc w:val="both"/>
              <w:rPr>
                <w:rFonts w:cstheme="minorHAnsi"/>
              </w:rPr>
            </w:pPr>
            <w:r w:rsidRPr="00BA4F8E">
              <w:rPr>
                <w:rFonts w:cstheme="minorHAnsi"/>
              </w:rPr>
              <w:t xml:space="preserve">Jednotlivé systémy budou nastaveny tak, aby jejich využití klienty bylo </w:t>
            </w:r>
            <w:r w:rsidRPr="00BA4F8E">
              <w:rPr>
                <w:rFonts w:cstheme="minorHAnsi"/>
              </w:rPr>
              <w:lastRenderedPageBreak/>
              <w:t>maximálně bezpečné a neohrozilo tak rozvoj služeb eGovernmentu v důsledku odmítavého postoje klientů.</w:t>
            </w:r>
          </w:p>
          <w:p w14:paraId="3784D67F" w14:textId="2DF81964" w:rsidR="001C4FBA" w:rsidRPr="00BA4F8E" w:rsidRDefault="001C4FBA" w:rsidP="00A91F5A">
            <w:pPr>
              <w:spacing w:after="0" w:line="276" w:lineRule="auto"/>
              <w:jc w:val="both"/>
              <w:rPr>
                <w:rFonts w:cstheme="minorHAnsi"/>
                <w:b/>
                <w:i/>
              </w:rPr>
            </w:pPr>
            <w:r w:rsidRPr="00BA4F8E">
              <w:rPr>
                <w:rFonts w:cstheme="minorHAnsi"/>
              </w:rPr>
              <w:t>Součástí všech nových systémů a služeb bude adekvátní propagační a</w:t>
            </w:r>
            <w:r w:rsidR="00A91F5A">
              <w:rPr>
                <w:rFonts w:cstheme="minorHAnsi"/>
              </w:rPr>
              <w:t> </w:t>
            </w:r>
            <w:r w:rsidRPr="00BA4F8E">
              <w:rPr>
                <w:rFonts w:cstheme="minorHAnsi"/>
              </w:rPr>
              <w:t>vzdělávací kampaň, která zajistí dostatečné vzdělání potenciálních klientů, a to jak ve vztahu k využití příslušné služby/ systému, tak ve vztahu k základním pravidlům bezpečnosti při využití elektronické komunikace.</w:t>
            </w:r>
          </w:p>
        </w:tc>
        <w:tc>
          <w:tcPr>
            <w:tcW w:w="2859" w:type="dxa"/>
            <w:gridSpan w:val="3"/>
            <w:shd w:val="clear" w:color="auto" w:fill="F9C6C8" w:themeFill="accent4" w:themeFillTint="33"/>
          </w:tcPr>
          <w:p w14:paraId="7E2594A8" w14:textId="77777777" w:rsidR="001C4FBA" w:rsidRPr="00BA4F8E" w:rsidRDefault="001C4FBA" w:rsidP="001C4FBA">
            <w:pPr>
              <w:spacing w:after="0" w:line="276" w:lineRule="auto"/>
              <w:ind w:left="700" w:hanging="700"/>
              <w:rPr>
                <w:rFonts w:cstheme="minorHAnsi"/>
              </w:rPr>
            </w:pPr>
            <w:r w:rsidRPr="00BA4F8E">
              <w:rPr>
                <w:rFonts w:cstheme="minorHAnsi"/>
              </w:rPr>
              <w:lastRenderedPageBreak/>
              <w:t>30400</w:t>
            </w:r>
            <w:r w:rsidRPr="00BA4F8E">
              <w:rPr>
                <w:rFonts w:cstheme="minorHAnsi"/>
              </w:rPr>
              <w:tab/>
              <w:t xml:space="preserve">Nové nebo modernizované prvky k zajištění standardů </w:t>
            </w:r>
            <w:r w:rsidRPr="00BA4F8E">
              <w:rPr>
                <w:rFonts w:cstheme="minorHAnsi"/>
              </w:rPr>
              <w:lastRenderedPageBreak/>
              <w:t>kybernetické bezpečnosti</w:t>
            </w:r>
          </w:p>
          <w:p w14:paraId="02C4FF06" w14:textId="77777777" w:rsidR="001C4FBA" w:rsidRPr="00BA4F8E" w:rsidRDefault="001C4FBA" w:rsidP="001C4FBA">
            <w:pPr>
              <w:spacing w:after="0" w:line="276" w:lineRule="auto"/>
              <w:ind w:left="700" w:hanging="700"/>
              <w:rPr>
                <w:rFonts w:cstheme="minorHAnsi"/>
              </w:rPr>
            </w:pPr>
          </w:p>
        </w:tc>
        <w:tc>
          <w:tcPr>
            <w:tcW w:w="3712" w:type="dxa"/>
            <w:gridSpan w:val="2"/>
            <w:shd w:val="clear" w:color="auto" w:fill="F9C6C8" w:themeFill="accent4" w:themeFillTint="33"/>
          </w:tcPr>
          <w:p w14:paraId="47929D0E" w14:textId="7CF5BC28" w:rsidR="00B238B6" w:rsidRPr="00BA4F8E" w:rsidRDefault="001C4FBA" w:rsidP="00543C1B">
            <w:pPr>
              <w:pStyle w:val="Odstavecseseznamem"/>
              <w:numPr>
                <w:ilvl w:val="0"/>
                <w:numId w:val="48"/>
              </w:numPr>
              <w:spacing w:after="0" w:line="276" w:lineRule="auto"/>
              <w:ind w:left="492" w:hanging="284"/>
              <w:jc w:val="both"/>
              <w:rPr>
                <w:rFonts w:cstheme="minorHAnsi"/>
              </w:rPr>
            </w:pPr>
            <w:r w:rsidRPr="00BA4F8E">
              <w:rPr>
                <w:rFonts w:cstheme="minorHAnsi"/>
              </w:rPr>
              <w:lastRenderedPageBreak/>
              <w:t xml:space="preserve">Realizace informačních kampaní zaměřených na zvýšení povědomí občanů a podnikatelů o výhodách </w:t>
            </w:r>
            <w:r w:rsidRPr="00BA4F8E">
              <w:rPr>
                <w:rFonts w:cstheme="minorHAnsi"/>
              </w:rPr>
              <w:lastRenderedPageBreak/>
              <w:t>a</w:t>
            </w:r>
            <w:r w:rsidR="00A91F5A">
              <w:rPr>
                <w:rFonts w:cstheme="minorHAnsi"/>
              </w:rPr>
              <w:t> </w:t>
            </w:r>
            <w:r w:rsidRPr="00BA4F8E">
              <w:rPr>
                <w:rFonts w:cstheme="minorHAnsi"/>
              </w:rPr>
              <w:t>přínosech využití služeb eGovernmentu.</w:t>
            </w:r>
          </w:p>
          <w:p w14:paraId="67978A09" w14:textId="77777777" w:rsidR="00B238B6" w:rsidRPr="00BA4F8E" w:rsidRDefault="001C4FBA" w:rsidP="00543C1B">
            <w:pPr>
              <w:pStyle w:val="Odstavecseseznamem"/>
              <w:numPr>
                <w:ilvl w:val="0"/>
                <w:numId w:val="48"/>
              </w:numPr>
              <w:spacing w:after="0" w:line="276" w:lineRule="auto"/>
              <w:ind w:left="492" w:hanging="284"/>
              <w:jc w:val="both"/>
              <w:rPr>
                <w:rFonts w:cstheme="minorHAnsi"/>
              </w:rPr>
            </w:pPr>
            <w:r w:rsidRPr="00BA4F8E">
              <w:rPr>
                <w:rFonts w:cstheme="minorHAnsi"/>
              </w:rPr>
              <w:t>Realizace vzdělávacích seminářů/ vytvoření online vzdělávacího programu (webinářů) zaměřeného na vysvětlení využití jednotlivých služeb přístupných pro kohokoliv, kdykoliv, bezplatně.</w:t>
            </w:r>
          </w:p>
          <w:p w14:paraId="4152F03D" w14:textId="77777777" w:rsidR="00B238B6" w:rsidRPr="00BA4F8E" w:rsidRDefault="001C4FBA" w:rsidP="00543C1B">
            <w:pPr>
              <w:pStyle w:val="Odstavecseseznamem"/>
              <w:numPr>
                <w:ilvl w:val="0"/>
                <w:numId w:val="48"/>
              </w:numPr>
              <w:spacing w:after="0" w:line="276" w:lineRule="auto"/>
              <w:ind w:left="492" w:hanging="284"/>
              <w:jc w:val="both"/>
              <w:rPr>
                <w:rFonts w:cstheme="minorHAnsi"/>
              </w:rPr>
            </w:pPr>
            <w:r w:rsidRPr="00BA4F8E">
              <w:rPr>
                <w:rFonts w:cstheme="minorHAnsi"/>
              </w:rPr>
              <w:t>Podpora aktivit směřujících k transformaci procesních postupů a technologickou modernizaci úřadů veřejné správy s cílem zajistit zavedení certifikací ISO na bezpečnost informací, případně dalších mezinárodních/ evropských bezpečnostních standardů.</w:t>
            </w:r>
          </w:p>
          <w:p w14:paraId="5005F914" w14:textId="25D72190" w:rsidR="001C4FBA" w:rsidRPr="00BA4F8E" w:rsidRDefault="001C4FBA" w:rsidP="00543C1B">
            <w:pPr>
              <w:pStyle w:val="Odstavecseseznamem"/>
              <w:numPr>
                <w:ilvl w:val="0"/>
                <w:numId w:val="48"/>
              </w:numPr>
              <w:spacing w:after="0" w:line="276" w:lineRule="auto"/>
              <w:ind w:left="492" w:hanging="284"/>
              <w:jc w:val="both"/>
              <w:rPr>
                <w:rFonts w:cstheme="minorHAnsi"/>
              </w:rPr>
            </w:pPr>
            <w:r w:rsidRPr="00BA4F8E">
              <w:rPr>
                <w:rFonts w:cstheme="minorHAnsi"/>
              </w:rPr>
              <w:t>Realizace průběžných ověřovacích průzkumů a studií sledujících postup realizace jednotlivých projektů a jejich přínos pro dosažení stanovených cílů, případně sloužící jako podklad pro průběžnou úpravu realizovaných aktivit tak, aby bylo dosaženo stanovených cílů (např. průběžné sledování schopnosti uživatelů využívat efektivně nově zaváděné a nabízené služby).</w:t>
            </w:r>
          </w:p>
        </w:tc>
      </w:tr>
      <w:tr w:rsidR="001C4FBA" w:rsidRPr="00BA4F8E" w14:paraId="16520BBE" w14:textId="77777777" w:rsidTr="003F15C6">
        <w:tc>
          <w:tcPr>
            <w:tcW w:w="9628" w:type="dxa"/>
            <w:gridSpan w:val="6"/>
            <w:shd w:val="clear" w:color="auto" w:fill="F38D93" w:themeFill="accent4" w:themeFillTint="66"/>
          </w:tcPr>
          <w:p w14:paraId="4D0FE4AE" w14:textId="77777777" w:rsidR="001C4FBA" w:rsidRPr="00BA4F8E" w:rsidRDefault="001C4FBA" w:rsidP="001C4FBA">
            <w:pPr>
              <w:keepNext/>
              <w:spacing w:after="0" w:line="276" w:lineRule="auto"/>
              <w:jc w:val="both"/>
              <w:rPr>
                <w:rFonts w:cstheme="minorHAnsi"/>
                <w:b/>
              </w:rPr>
            </w:pPr>
            <w:r w:rsidRPr="00BA4F8E">
              <w:rPr>
                <w:rFonts w:cstheme="minorHAnsi"/>
                <w:b/>
              </w:rPr>
              <w:lastRenderedPageBreak/>
              <w:t>Strategie a národní dokumenty, k nimž se strategické a specifické cíle vztahují:</w:t>
            </w:r>
          </w:p>
          <w:p w14:paraId="75C4CB9D" w14:textId="77777777" w:rsidR="001C4FBA" w:rsidRPr="00BA4F8E" w:rsidRDefault="001C4FBA" w:rsidP="00543C1B">
            <w:pPr>
              <w:numPr>
                <w:ilvl w:val="0"/>
                <w:numId w:val="44"/>
              </w:numPr>
              <w:spacing w:after="0" w:line="240" w:lineRule="auto"/>
              <w:contextualSpacing/>
              <w:jc w:val="both"/>
              <w:rPr>
                <w:rFonts w:cstheme="minorHAnsi"/>
              </w:rPr>
            </w:pPr>
            <w:r w:rsidRPr="00BA4F8E">
              <w:rPr>
                <w:rFonts w:cstheme="minorHAnsi"/>
              </w:rPr>
              <w:t>Digitální Česko v 2.0 – Cesta k digitální ekonomice (MPO)</w:t>
            </w:r>
          </w:p>
          <w:p w14:paraId="19C42F2A" w14:textId="77777777" w:rsidR="001C4FBA" w:rsidRPr="00BA4F8E" w:rsidRDefault="001C4FBA" w:rsidP="00543C1B">
            <w:pPr>
              <w:numPr>
                <w:ilvl w:val="0"/>
                <w:numId w:val="44"/>
              </w:numPr>
              <w:spacing w:after="0" w:line="240" w:lineRule="auto"/>
              <w:contextualSpacing/>
              <w:jc w:val="both"/>
              <w:rPr>
                <w:rFonts w:cstheme="minorHAnsi"/>
              </w:rPr>
            </w:pPr>
            <w:r w:rsidRPr="00BA4F8E">
              <w:rPr>
                <w:rFonts w:cstheme="minorHAnsi"/>
              </w:rPr>
              <w:t>Datový zdroj: DIGITAL AGENDA FOR EUROPE (EU)</w:t>
            </w:r>
          </w:p>
        </w:tc>
      </w:tr>
      <w:tr w:rsidR="001C4FBA" w:rsidRPr="00BA4F8E" w14:paraId="073EB2FC" w14:textId="77777777" w:rsidTr="003F15C6">
        <w:tc>
          <w:tcPr>
            <w:tcW w:w="9628" w:type="dxa"/>
            <w:gridSpan w:val="6"/>
            <w:shd w:val="clear" w:color="auto" w:fill="F38D93" w:themeFill="accent4" w:themeFillTint="66"/>
          </w:tcPr>
          <w:p w14:paraId="64993550" w14:textId="77777777" w:rsidR="001C4FBA" w:rsidRPr="00BA4F8E" w:rsidRDefault="001C4FBA" w:rsidP="001C4FBA">
            <w:pPr>
              <w:spacing w:after="0" w:line="240" w:lineRule="auto"/>
              <w:jc w:val="both"/>
              <w:rPr>
                <w:rFonts w:cstheme="minorHAnsi"/>
                <w:i/>
              </w:rPr>
            </w:pPr>
            <w:r w:rsidRPr="00BA4F8E">
              <w:rPr>
                <w:rFonts w:cstheme="minorHAnsi"/>
                <w:b/>
              </w:rPr>
              <w:t xml:space="preserve">Podmínky a bariéry realizace intervencí v této klíčové oblasti změn: </w:t>
            </w:r>
          </w:p>
          <w:p w14:paraId="649F2E3A" w14:textId="77777777" w:rsidR="001C4FBA" w:rsidRPr="00BA4F8E" w:rsidRDefault="001C4FBA" w:rsidP="00543C1B">
            <w:pPr>
              <w:numPr>
                <w:ilvl w:val="0"/>
                <w:numId w:val="43"/>
              </w:numPr>
              <w:spacing w:after="0" w:line="240" w:lineRule="auto"/>
              <w:contextualSpacing/>
              <w:jc w:val="both"/>
              <w:rPr>
                <w:rFonts w:cstheme="minorHAnsi"/>
              </w:rPr>
            </w:pPr>
            <w:r w:rsidRPr="00BA4F8E">
              <w:rPr>
                <w:rFonts w:cstheme="minorHAnsi"/>
              </w:rPr>
              <w:t>Pro realizaci je potřeba provést před spuštěním implementace vstupní průzkumy ke stanovení nejčastěji využívaných služeb jak ze strany občanů, tak ze strany podnikatelů, zanalyzovat jejich náročnost, časovou, personální atd. jako základ pro následné stanovení hlavních služeb, které by v souladu s cíli měly být transformovány do plně elektronické verze;</w:t>
            </w:r>
          </w:p>
          <w:p w14:paraId="49BD640D" w14:textId="77777777" w:rsidR="001C4FBA" w:rsidRPr="00BA4F8E" w:rsidRDefault="001C4FBA" w:rsidP="00543C1B">
            <w:pPr>
              <w:numPr>
                <w:ilvl w:val="0"/>
                <w:numId w:val="43"/>
              </w:numPr>
              <w:spacing w:after="0" w:line="240" w:lineRule="auto"/>
              <w:contextualSpacing/>
              <w:jc w:val="both"/>
              <w:rPr>
                <w:rFonts w:cstheme="minorHAnsi"/>
              </w:rPr>
            </w:pPr>
            <w:r w:rsidRPr="00BA4F8E">
              <w:rPr>
                <w:rFonts w:cstheme="minorHAnsi"/>
              </w:rPr>
              <w:t>Informační a datové audity analyzující provázanost jednotlivých služeb a dat a sloužící jako podklad pro identifikaci klíčových bodů, na které je potřeba se zaměřit;</w:t>
            </w:r>
          </w:p>
          <w:p w14:paraId="01B41FAB" w14:textId="77777777" w:rsidR="001C4FBA" w:rsidRPr="00BA4F8E" w:rsidRDefault="001C4FBA" w:rsidP="00543C1B">
            <w:pPr>
              <w:numPr>
                <w:ilvl w:val="0"/>
                <w:numId w:val="43"/>
              </w:numPr>
              <w:spacing w:after="0" w:line="240" w:lineRule="auto"/>
              <w:contextualSpacing/>
              <w:jc w:val="both"/>
              <w:rPr>
                <w:rFonts w:cstheme="minorHAnsi"/>
              </w:rPr>
            </w:pPr>
            <w:r w:rsidRPr="00BA4F8E">
              <w:rPr>
                <w:rFonts w:cstheme="minorHAnsi"/>
              </w:rPr>
              <w:t>Průzkumy znalostí klientů ve vztahu k využívání eGovernmentu a bezpečnosti jako základ pro realizaci opatření zaměřených na zlepšení počítačové gramotnosti klientů eGovernmentu;</w:t>
            </w:r>
          </w:p>
          <w:p w14:paraId="762F8789" w14:textId="77777777" w:rsidR="001C4FBA" w:rsidRPr="00BA4F8E" w:rsidRDefault="001C4FBA" w:rsidP="00543C1B">
            <w:pPr>
              <w:numPr>
                <w:ilvl w:val="0"/>
                <w:numId w:val="43"/>
              </w:numPr>
              <w:spacing w:after="0" w:line="240" w:lineRule="auto"/>
              <w:contextualSpacing/>
              <w:jc w:val="both"/>
              <w:rPr>
                <w:rFonts w:cstheme="minorHAnsi"/>
                <w:b/>
              </w:rPr>
            </w:pPr>
            <w:r w:rsidRPr="00BA4F8E">
              <w:rPr>
                <w:rFonts w:cstheme="minorHAnsi"/>
              </w:rPr>
              <w:t xml:space="preserve">Realizace paralelních/ navazujících projektů zaměřených na cílené vzdělávání a proškolení pracovníků veřejné správy tak, aby byli schopni zaváděné služby eGovernmentu obsluhovat, </w:t>
            </w:r>
            <w:r w:rsidRPr="00BA4F8E">
              <w:rPr>
                <w:rFonts w:cstheme="minorHAnsi"/>
              </w:rPr>
              <w:lastRenderedPageBreak/>
              <w:t>dodržovat bezpečnostní standardy práce s informačními systémy a případně poskytnout klientům alespoň základní pomoc a radu;</w:t>
            </w:r>
          </w:p>
          <w:p w14:paraId="186F7741" w14:textId="77777777" w:rsidR="001C4FBA" w:rsidRPr="00BA4F8E" w:rsidRDefault="001C4FBA" w:rsidP="00543C1B">
            <w:pPr>
              <w:numPr>
                <w:ilvl w:val="0"/>
                <w:numId w:val="43"/>
              </w:numPr>
              <w:spacing w:after="0" w:line="240" w:lineRule="auto"/>
              <w:contextualSpacing/>
              <w:jc w:val="both"/>
              <w:rPr>
                <w:rFonts w:cstheme="minorHAnsi"/>
              </w:rPr>
            </w:pPr>
            <w:r w:rsidRPr="00BA4F8E">
              <w:rPr>
                <w:rFonts w:cstheme="minorHAnsi"/>
              </w:rPr>
              <w:t>Klíčovou podmínkou pro efektivní fungování eGovernmentu je interoperabilita, která zajistí možnost vzájemné komunikace systémů bez jakýchkoliv omezení. Podmínky interoperability je proto potřeba důsledně hlídat při zadávání veřejných zakázek na jakékoliv budované systémy.</w:t>
            </w:r>
          </w:p>
        </w:tc>
      </w:tr>
      <w:tr w:rsidR="001C4FBA" w:rsidRPr="00BA4F8E" w14:paraId="0B3A62B5" w14:textId="77777777" w:rsidTr="003F15C6">
        <w:tc>
          <w:tcPr>
            <w:tcW w:w="9628" w:type="dxa"/>
            <w:gridSpan w:val="6"/>
            <w:shd w:val="clear" w:color="auto" w:fill="F38D93" w:themeFill="accent4" w:themeFillTint="66"/>
          </w:tcPr>
          <w:p w14:paraId="0B653422" w14:textId="77777777" w:rsidR="001C4FBA" w:rsidRPr="00BA4F8E" w:rsidRDefault="001C4FBA" w:rsidP="001C4FBA">
            <w:pPr>
              <w:spacing w:after="0" w:line="276" w:lineRule="auto"/>
              <w:jc w:val="both"/>
              <w:rPr>
                <w:rFonts w:cstheme="minorHAnsi"/>
                <w:b/>
              </w:rPr>
            </w:pPr>
            <w:r w:rsidRPr="00BA4F8E">
              <w:rPr>
                <w:rFonts w:cstheme="minorHAnsi"/>
                <w:b/>
              </w:rPr>
              <w:lastRenderedPageBreak/>
              <w:t>Strategický cíl E.2: Rozvoj eBusinessu a ICT v podnikání</w:t>
            </w:r>
          </w:p>
          <w:p w14:paraId="448DB3E0" w14:textId="77777777" w:rsidR="001C4FBA" w:rsidRPr="00BA4F8E" w:rsidRDefault="001C4FBA" w:rsidP="001C4FBA">
            <w:pPr>
              <w:spacing w:after="0" w:line="276" w:lineRule="auto"/>
              <w:jc w:val="both"/>
              <w:rPr>
                <w:rFonts w:cstheme="minorHAnsi"/>
              </w:rPr>
            </w:pPr>
            <w:r w:rsidRPr="00BA4F8E">
              <w:rPr>
                <w:rFonts w:cstheme="minorHAnsi"/>
              </w:rPr>
              <w:t>eBusiness a ICT v podnikání jako motor inovací a impuls pro zvýšení efektivity podnikání a rozvoj nových oborů se zaměřením na perspektivní obory využívající ICT ke zvýšení přidané hodnoty výsledných produktů a tím i vyšší konkurenceschopnosti ekonomiky jako celku.</w:t>
            </w:r>
          </w:p>
        </w:tc>
      </w:tr>
      <w:tr w:rsidR="001C4FBA" w:rsidRPr="00BA4F8E" w14:paraId="7D51894A" w14:textId="77777777" w:rsidTr="003F15C6">
        <w:tc>
          <w:tcPr>
            <w:tcW w:w="3072" w:type="dxa"/>
            <w:gridSpan w:val="2"/>
            <w:tcBorders>
              <w:bottom w:val="single" w:sz="4" w:space="0" w:color="auto"/>
            </w:tcBorders>
            <w:shd w:val="clear" w:color="auto" w:fill="F9C6C8" w:themeFill="accent4" w:themeFillTint="33"/>
          </w:tcPr>
          <w:p w14:paraId="59E9746C" w14:textId="77777777" w:rsidR="001C4FBA" w:rsidRPr="00BA4F8E" w:rsidRDefault="001C4FBA" w:rsidP="001C4FBA">
            <w:pPr>
              <w:spacing w:after="0" w:line="276" w:lineRule="auto"/>
              <w:jc w:val="both"/>
              <w:rPr>
                <w:rFonts w:cstheme="minorHAnsi"/>
                <w:b/>
                <w:i/>
              </w:rPr>
            </w:pPr>
            <w:r w:rsidRPr="00BA4F8E">
              <w:rPr>
                <w:rFonts w:cstheme="minorHAnsi"/>
                <w:b/>
                <w:i/>
              </w:rPr>
              <w:t xml:space="preserve">Specifické cíle  </w:t>
            </w:r>
          </w:p>
        </w:tc>
        <w:tc>
          <w:tcPr>
            <w:tcW w:w="3283" w:type="dxa"/>
            <w:gridSpan w:val="3"/>
            <w:tcBorders>
              <w:bottom w:val="single" w:sz="4" w:space="0" w:color="auto"/>
            </w:tcBorders>
            <w:shd w:val="clear" w:color="auto" w:fill="F9C6C8" w:themeFill="accent4" w:themeFillTint="33"/>
          </w:tcPr>
          <w:p w14:paraId="6C2435B0" w14:textId="77777777" w:rsidR="001C4FBA" w:rsidRPr="00BA4F8E" w:rsidRDefault="001C4FBA" w:rsidP="001C4FBA">
            <w:pPr>
              <w:spacing w:after="0" w:line="276" w:lineRule="auto"/>
              <w:jc w:val="both"/>
              <w:rPr>
                <w:rFonts w:cstheme="minorHAnsi"/>
                <w:b/>
                <w:i/>
              </w:rPr>
            </w:pPr>
            <w:r w:rsidRPr="00BA4F8E">
              <w:rPr>
                <w:rFonts w:cstheme="minorHAnsi"/>
                <w:b/>
                <w:i/>
              </w:rPr>
              <w:t>Indikátory specifického cíle</w:t>
            </w:r>
          </w:p>
        </w:tc>
        <w:tc>
          <w:tcPr>
            <w:tcW w:w="3273" w:type="dxa"/>
            <w:tcBorders>
              <w:bottom w:val="single" w:sz="4" w:space="0" w:color="auto"/>
            </w:tcBorders>
            <w:shd w:val="clear" w:color="auto" w:fill="F9C6C8" w:themeFill="accent4" w:themeFillTint="33"/>
          </w:tcPr>
          <w:p w14:paraId="442C94B4" w14:textId="77777777" w:rsidR="001C4FBA" w:rsidRPr="00BA4F8E" w:rsidRDefault="001C4FBA" w:rsidP="001C4FBA">
            <w:pPr>
              <w:spacing w:after="0" w:line="276" w:lineRule="auto"/>
              <w:jc w:val="both"/>
              <w:rPr>
                <w:rFonts w:cstheme="minorHAnsi"/>
                <w:b/>
                <w:i/>
              </w:rPr>
            </w:pPr>
            <w:r w:rsidRPr="00BA4F8E">
              <w:rPr>
                <w:rFonts w:cstheme="minorHAnsi"/>
                <w:b/>
                <w:i/>
              </w:rPr>
              <w:t>Typové aktivity/projekty/operace</w:t>
            </w:r>
          </w:p>
        </w:tc>
      </w:tr>
      <w:tr w:rsidR="001C4FBA" w:rsidRPr="00BA4F8E" w14:paraId="330E9F9A" w14:textId="77777777" w:rsidTr="003F15C6">
        <w:tc>
          <w:tcPr>
            <w:tcW w:w="3072" w:type="dxa"/>
            <w:gridSpan w:val="2"/>
            <w:tcBorders>
              <w:bottom w:val="single" w:sz="4" w:space="0" w:color="auto"/>
              <w:right w:val="single" w:sz="4" w:space="0" w:color="auto"/>
            </w:tcBorders>
            <w:shd w:val="clear" w:color="auto" w:fill="F9C6C8" w:themeFill="accent4" w:themeFillTint="33"/>
          </w:tcPr>
          <w:p w14:paraId="3C0CDC29" w14:textId="77777777" w:rsidR="001C4FBA" w:rsidRPr="00BA4F8E" w:rsidRDefault="001C4FBA" w:rsidP="001C4FBA">
            <w:pPr>
              <w:spacing w:after="0" w:line="276" w:lineRule="auto"/>
              <w:jc w:val="both"/>
              <w:rPr>
                <w:rFonts w:cstheme="minorHAnsi"/>
                <w:b/>
              </w:rPr>
            </w:pPr>
            <w:r w:rsidRPr="00BA4F8E">
              <w:rPr>
                <w:rFonts w:cstheme="minorHAnsi"/>
                <w:b/>
              </w:rPr>
              <w:t>E.2.1: Vyšší využívání ICT v podnikání</w:t>
            </w:r>
          </w:p>
          <w:p w14:paraId="5466E989" w14:textId="4B38F4BA" w:rsidR="001C4FBA" w:rsidRPr="00BA4F8E" w:rsidRDefault="001C4FBA" w:rsidP="001C4FBA">
            <w:pPr>
              <w:spacing w:after="0" w:line="276" w:lineRule="auto"/>
              <w:jc w:val="both"/>
              <w:rPr>
                <w:rFonts w:cstheme="minorHAnsi"/>
              </w:rPr>
            </w:pPr>
            <w:r w:rsidRPr="00BA4F8E">
              <w:rPr>
                <w:rFonts w:cstheme="minorHAnsi"/>
              </w:rPr>
              <w:t>ICT bude hrát významnou roli při zvyšování efektivity a</w:t>
            </w:r>
            <w:r w:rsidR="007E5091">
              <w:rPr>
                <w:rFonts w:cstheme="minorHAnsi"/>
              </w:rPr>
              <w:t> </w:t>
            </w:r>
            <w:r w:rsidRPr="00BA4F8E">
              <w:rPr>
                <w:rFonts w:cstheme="minorHAnsi"/>
              </w:rPr>
              <w:t>zlepšování ekonomické rentability podnikání zejména díky rostoucímu podílu využívání ICT i</w:t>
            </w:r>
            <w:r w:rsidR="007E5091">
              <w:rPr>
                <w:rFonts w:cstheme="minorHAnsi"/>
              </w:rPr>
              <w:t> </w:t>
            </w:r>
            <w:r w:rsidRPr="00BA4F8E">
              <w:rPr>
                <w:rFonts w:cstheme="minorHAnsi"/>
              </w:rPr>
              <w:t>v nepříbuzných oborech, kde může automatizace vybraných agend zvýšit efektivitu podnikání a tím i konkurenceschopnost daného odvětví.</w:t>
            </w:r>
          </w:p>
          <w:p w14:paraId="0B1A020B" w14:textId="62E86C41" w:rsidR="001C4FBA" w:rsidRPr="00BA4F8E" w:rsidRDefault="001C4FBA" w:rsidP="00A414C6">
            <w:pPr>
              <w:spacing w:after="0" w:line="276" w:lineRule="auto"/>
              <w:jc w:val="both"/>
              <w:rPr>
                <w:rFonts w:cstheme="minorHAnsi"/>
                <w:b/>
              </w:rPr>
            </w:pPr>
            <w:r w:rsidRPr="00BA4F8E">
              <w:rPr>
                <w:rFonts w:cstheme="minorHAnsi"/>
              </w:rPr>
              <w:t>Pro vznik a úspěšné rozvíjení nových oblastí podnikání s vysokým potenciálem, do nichž je ICT zapojeno, je klíčová spolupráce specialistů a vědeckých pracovníků v ICT s podnikateli. Právě kombinace znalostí několika oborů pomáhá dále a</w:t>
            </w:r>
            <w:r w:rsidR="00A414C6">
              <w:rPr>
                <w:rFonts w:cstheme="minorHAnsi"/>
              </w:rPr>
              <w:t> </w:t>
            </w:r>
            <w:r w:rsidRPr="00BA4F8E">
              <w:rPr>
                <w:rFonts w:cstheme="minorHAnsi"/>
              </w:rPr>
              <w:t>intenzivněji rozvíjet nově vznikající oblasti podnikání, jež mají potenciál stát se tažnými odvětvími hospodářství.</w:t>
            </w:r>
          </w:p>
        </w:tc>
        <w:tc>
          <w:tcPr>
            <w:tcW w:w="3283" w:type="dxa"/>
            <w:gridSpan w:val="3"/>
            <w:tcBorders>
              <w:top w:val="single" w:sz="4" w:space="0" w:color="auto"/>
              <w:left w:val="single" w:sz="4" w:space="0" w:color="auto"/>
              <w:bottom w:val="single" w:sz="4" w:space="0" w:color="auto"/>
              <w:right w:val="single" w:sz="4" w:space="0" w:color="auto"/>
            </w:tcBorders>
            <w:shd w:val="clear" w:color="auto" w:fill="F9C6C8" w:themeFill="accent4" w:themeFillTint="33"/>
          </w:tcPr>
          <w:p w14:paraId="7FCD083B" w14:textId="77777777" w:rsidR="001C4FBA" w:rsidRPr="00BA4F8E" w:rsidRDefault="001C4FBA" w:rsidP="001C4FBA">
            <w:pPr>
              <w:spacing w:after="0" w:line="276" w:lineRule="auto"/>
              <w:ind w:left="700" w:hanging="700"/>
              <w:rPr>
                <w:rFonts w:cstheme="minorHAnsi"/>
              </w:rPr>
            </w:pPr>
            <w:r w:rsidRPr="00BA4F8E">
              <w:rPr>
                <w:rFonts w:cstheme="minorHAnsi"/>
              </w:rPr>
              <w:t>10000</w:t>
            </w:r>
            <w:r w:rsidRPr="00BA4F8E">
              <w:rPr>
                <w:rFonts w:cstheme="minorHAnsi"/>
              </w:rPr>
              <w:tab/>
              <w:t xml:space="preserve">Počet podniků pobírajících podporu </w:t>
            </w:r>
          </w:p>
          <w:p w14:paraId="77C1AE06" w14:textId="77777777" w:rsidR="001C4FBA" w:rsidRPr="00BA4F8E" w:rsidRDefault="001C4FBA" w:rsidP="001C4FBA">
            <w:pPr>
              <w:spacing w:after="0" w:line="276" w:lineRule="auto"/>
              <w:ind w:left="700" w:hanging="700"/>
              <w:rPr>
                <w:rFonts w:cstheme="minorHAnsi"/>
              </w:rPr>
            </w:pPr>
            <w:r w:rsidRPr="00BA4F8E">
              <w:rPr>
                <w:rFonts w:cstheme="minorHAnsi"/>
              </w:rPr>
              <w:t>10400</w:t>
            </w:r>
            <w:r w:rsidRPr="00BA4F8E">
              <w:rPr>
                <w:rFonts w:cstheme="minorHAnsi"/>
              </w:rPr>
              <w:tab/>
              <w:t xml:space="preserve">Zvýšení zaměstnanosti v podporovaných podnicích </w:t>
            </w:r>
          </w:p>
          <w:p w14:paraId="5C3E2047" w14:textId="77777777" w:rsidR="001C4FBA" w:rsidRPr="00BA4F8E" w:rsidRDefault="001C4FBA" w:rsidP="001C4FBA">
            <w:pPr>
              <w:spacing w:after="0" w:line="276" w:lineRule="auto"/>
              <w:ind w:left="700" w:hanging="700"/>
              <w:rPr>
                <w:rFonts w:cstheme="minorHAnsi"/>
              </w:rPr>
            </w:pPr>
            <w:r w:rsidRPr="00BA4F8E">
              <w:rPr>
                <w:rFonts w:cstheme="minorHAnsi"/>
              </w:rPr>
              <w:t>30500</w:t>
            </w:r>
            <w:r w:rsidRPr="00BA4F8E">
              <w:rPr>
                <w:rFonts w:cstheme="minorHAnsi"/>
              </w:rPr>
              <w:tab/>
              <w:t>Počet pořízených informačních systémů</w:t>
            </w:r>
          </w:p>
          <w:p w14:paraId="5669269F" w14:textId="77777777" w:rsidR="001C4FBA" w:rsidRPr="00BA4F8E" w:rsidRDefault="001C4FBA" w:rsidP="001C4FBA">
            <w:pPr>
              <w:spacing w:after="0" w:line="276" w:lineRule="auto"/>
              <w:ind w:left="700" w:hanging="700"/>
              <w:rPr>
                <w:rFonts w:cstheme="minorHAnsi"/>
              </w:rPr>
            </w:pPr>
          </w:p>
        </w:tc>
        <w:tc>
          <w:tcPr>
            <w:tcW w:w="3273" w:type="dxa"/>
            <w:tcBorders>
              <w:top w:val="single" w:sz="4" w:space="0" w:color="auto"/>
              <w:left w:val="single" w:sz="4" w:space="0" w:color="auto"/>
              <w:bottom w:val="single" w:sz="4" w:space="0" w:color="auto"/>
              <w:right w:val="single" w:sz="4" w:space="0" w:color="auto"/>
            </w:tcBorders>
            <w:shd w:val="clear" w:color="auto" w:fill="F9C6C8" w:themeFill="accent4" w:themeFillTint="33"/>
          </w:tcPr>
          <w:p w14:paraId="553907FB" w14:textId="77777777" w:rsidR="00D40C37" w:rsidRPr="00BA4F8E" w:rsidRDefault="001C4FBA" w:rsidP="00543C1B">
            <w:pPr>
              <w:pStyle w:val="Odstavecseseznamem"/>
              <w:numPr>
                <w:ilvl w:val="0"/>
                <w:numId w:val="49"/>
              </w:numPr>
              <w:spacing w:after="0" w:line="276" w:lineRule="auto"/>
              <w:ind w:left="336" w:hanging="283"/>
              <w:jc w:val="both"/>
              <w:rPr>
                <w:rFonts w:cstheme="minorHAnsi"/>
              </w:rPr>
            </w:pPr>
            <w:r w:rsidRPr="00BA4F8E">
              <w:rPr>
                <w:rFonts w:cstheme="minorHAnsi"/>
              </w:rPr>
              <w:t>Spolupráce MSP s výzkumnými organizacemi s cílem společného vývoje nových ICT služeb pro podnikání.</w:t>
            </w:r>
          </w:p>
          <w:p w14:paraId="1324845B" w14:textId="2DAADDEA" w:rsidR="00D40C37" w:rsidRPr="00BA4F8E" w:rsidRDefault="001C4FBA" w:rsidP="00543C1B">
            <w:pPr>
              <w:pStyle w:val="Odstavecseseznamem"/>
              <w:numPr>
                <w:ilvl w:val="0"/>
                <w:numId w:val="49"/>
              </w:numPr>
              <w:spacing w:after="0" w:line="276" w:lineRule="auto"/>
              <w:ind w:left="336" w:hanging="283"/>
              <w:jc w:val="both"/>
              <w:rPr>
                <w:rFonts w:cstheme="minorHAnsi"/>
              </w:rPr>
            </w:pPr>
            <w:r w:rsidRPr="00BA4F8E">
              <w:rPr>
                <w:rFonts w:cstheme="minorHAnsi"/>
              </w:rPr>
              <w:t>Zlepšení přístupu MSP k</w:t>
            </w:r>
            <w:r w:rsidR="007E5091">
              <w:rPr>
                <w:rFonts w:cstheme="minorHAnsi"/>
              </w:rPr>
              <w:t> </w:t>
            </w:r>
            <w:r w:rsidRPr="00BA4F8E">
              <w:rPr>
                <w:rFonts w:cstheme="minorHAnsi"/>
              </w:rPr>
              <w:t>centrům sdílených služeb a</w:t>
            </w:r>
            <w:r w:rsidR="007E5091">
              <w:rPr>
                <w:rFonts w:cstheme="minorHAnsi"/>
              </w:rPr>
              <w:t> </w:t>
            </w:r>
            <w:r w:rsidRPr="00BA4F8E">
              <w:rPr>
                <w:rFonts w:cstheme="minorHAnsi"/>
              </w:rPr>
              <w:t>nových sofistikovaných řešení zaměřených na cloudcomputing.</w:t>
            </w:r>
          </w:p>
          <w:p w14:paraId="66D069D3" w14:textId="7AAAA89F" w:rsidR="00D40C37" w:rsidRPr="00BA4F8E" w:rsidRDefault="001C4FBA" w:rsidP="00543C1B">
            <w:pPr>
              <w:pStyle w:val="Odstavecseseznamem"/>
              <w:numPr>
                <w:ilvl w:val="0"/>
                <w:numId w:val="49"/>
              </w:numPr>
              <w:spacing w:after="0" w:line="276" w:lineRule="auto"/>
              <w:ind w:left="336" w:hanging="283"/>
              <w:jc w:val="both"/>
              <w:rPr>
                <w:rFonts w:cstheme="minorHAnsi"/>
              </w:rPr>
            </w:pPr>
            <w:r w:rsidRPr="00BA4F8E">
              <w:rPr>
                <w:rFonts w:cstheme="minorHAnsi"/>
              </w:rPr>
              <w:t>Zlepšení přístupu MSP k</w:t>
            </w:r>
            <w:r w:rsidR="007E5091">
              <w:rPr>
                <w:rFonts w:cstheme="minorHAnsi"/>
              </w:rPr>
              <w:t> </w:t>
            </w:r>
            <w:r w:rsidRPr="00BA4F8E">
              <w:rPr>
                <w:rFonts w:cstheme="minorHAnsi"/>
              </w:rPr>
              <w:t>datovým centrům a k jejich službám.</w:t>
            </w:r>
          </w:p>
          <w:p w14:paraId="47CB1B7F" w14:textId="77777777" w:rsidR="00D40C37" w:rsidRPr="00BA4F8E" w:rsidRDefault="001C4FBA" w:rsidP="00543C1B">
            <w:pPr>
              <w:pStyle w:val="Odstavecseseznamem"/>
              <w:numPr>
                <w:ilvl w:val="0"/>
                <w:numId w:val="49"/>
              </w:numPr>
              <w:spacing w:after="0" w:line="276" w:lineRule="auto"/>
              <w:ind w:left="336" w:hanging="283"/>
              <w:jc w:val="both"/>
              <w:rPr>
                <w:rFonts w:cstheme="minorHAnsi"/>
              </w:rPr>
            </w:pPr>
            <w:r w:rsidRPr="00BA4F8E">
              <w:rPr>
                <w:rFonts w:cstheme="minorHAnsi"/>
              </w:rPr>
              <w:t>Rozvoj cloudových služeb pro podnikatele.</w:t>
            </w:r>
          </w:p>
          <w:p w14:paraId="447AB8C1" w14:textId="1637D57A" w:rsidR="001C4FBA" w:rsidRPr="00BA4F8E" w:rsidRDefault="001C4FBA" w:rsidP="00543C1B">
            <w:pPr>
              <w:pStyle w:val="Odstavecseseznamem"/>
              <w:numPr>
                <w:ilvl w:val="0"/>
                <w:numId w:val="49"/>
              </w:numPr>
              <w:spacing w:after="0" w:line="276" w:lineRule="auto"/>
              <w:ind w:left="336" w:hanging="283"/>
              <w:jc w:val="both"/>
              <w:rPr>
                <w:rFonts w:cstheme="minorHAnsi"/>
              </w:rPr>
            </w:pPr>
            <w:r w:rsidRPr="00BA4F8E">
              <w:rPr>
                <w:rFonts w:cstheme="minorHAnsi"/>
              </w:rPr>
              <w:t>Spolupráce MSP s velkými podniky (a opačně) při využívání ICT v podnikání a</w:t>
            </w:r>
            <w:r w:rsidR="007E5091">
              <w:rPr>
                <w:rFonts w:cstheme="minorHAnsi"/>
              </w:rPr>
              <w:t> </w:t>
            </w:r>
            <w:r w:rsidRPr="00BA4F8E">
              <w:rPr>
                <w:rFonts w:cstheme="minorHAnsi"/>
              </w:rPr>
              <w:t>zavádění/rozvíjení EBusinessu.</w:t>
            </w:r>
          </w:p>
        </w:tc>
      </w:tr>
      <w:tr w:rsidR="001C4FBA" w:rsidRPr="00BA4F8E" w14:paraId="5B22F104" w14:textId="77777777" w:rsidTr="003F15C6">
        <w:tc>
          <w:tcPr>
            <w:tcW w:w="9628" w:type="dxa"/>
            <w:gridSpan w:val="6"/>
            <w:shd w:val="clear" w:color="auto" w:fill="F38D93" w:themeFill="accent4" w:themeFillTint="66"/>
          </w:tcPr>
          <w:p w14:paraId="530DA877" w14:textId="77777777" w:rsidR="001C4FBA" w:rsidRPr="00BA4F8E" w:rsidRDefault="001C4FBA" w:rsidP="001C4FBA">
            <w:pPr>
              <w:spacing w:after="0" w:line="276" w:lineRule="auto"/>
              <w:jc w:val="both"/>
              <w:rPr>
                <w:rFonts w:cstheme="minorHAnsi"/>
                <w:b/>
              </w:rPr>
            </w:pPr>
            <w:r w:rsidRPr="00BA4F8E">
              <w:rPr>
                <w:rFonts w:cstheme="minorHAnsi"/>
                <w:b/>
              </w:rPr>
              <w:t>Strategie a národní dokumenty, k nimž se strategické a specifické cíle vztahují:</w:t>
            </w:r>
          </w:p>
          <w:p w14:paraId="4E04CF0C" w14:textId="77777777" w:rsidR="001C4FBA" w:rsidRPr="00BA4F8E" w:rsidRDefault="001C4FBA" w:rsidP="00543C1B">
            <w:pPr>
              <w:numPr>
                <w:ilvl w:val="0"/>
                <w:numId w:val="45"/>
              </w:numPr>
              <w:spacing w:after="0" w:line="240" w:lineRule="auto"/>
              <w:contextualSpacing/>
              <w:jc w:val="both"/>
              <w:rPr>
                <w:rFonts w:cstheme="minorHAnsi"/>
              </w:rPr>
            </w:pPr>
            <w:r w:rsidRPr="00BA4F8E">
              <w:rPr>
                <w:rFonts w:cstheme="minorHAnsi"/>
              </w:rPr>
              <w:t>Digitální Česko v 2.0 – Cesta k digitální ekonomice (MPO)</w:t>
            </w:r>
          </w:p>
          <w:p w14:paraId="2987D5D4" w14:textId="77777777" w:rsidR="001C4FBA" w:rsidRPr="00BA4F8E" w:rsidRDefault="001C4FBA" w:rsidP="00543C1B">
            <w:pPr>
              <w:numPr>
                <w:ilvl w:val="0"/>
                <w:numId w:val="45"/>
              </w:numPr>
              <w:spacing w:after="0" w:line="240" w:lineRule="auto"/>
              <w:contextualSpacing/>
              <w:jc w:val="both"/>
              <w:rPr>
                <w:rFonts w:cstheme="minorHAnsi"/>
                <w:b/>
              </w:rPr>
            </w:pPr>
            <w:r w:rsidRPr="00BA4F8E">
              <w:rPr>
                <w:rFonts w:cstheme="minorHAnsi"/>
              </w:rPr>
              <w:t>Datový zdroj: DIGITAL AGENDA FOR EUROPE (EU)</w:t>
            </w:r>
          </w:p>
        </w:tc>
      </w:tr>
      <w:tr w:rsidR="001C4FBA" w:rsidRPr="00BA4F8E" w14:paraId="0E3A4ABC" w14:textId="77777777" w:rsidTr="003F15C6">
        <w:tc>
          <w:tcPr>
            <w:tcW w:w="9628" w:type="dxa"/>
            <w:gridSpan w:val="6"/>
            <w:shd w:val="clear" w:color="auto" w:fill="F38D93" w:themeFill="accent4" w:themeFillTint="66"/>
          </w:tcPr>
          <w:p w14:paraId="66851FD6" w14:textId="77777777" w:rsidR="001C4FBA" w:rsidRPr="00BA4F8E" w:rsidRDefault="001C4FBA" w:rsidP="001C4FBA">
            <w:pPr>
              <w:spacing w:after="0" w:line="240" w:lineRule="auto"/>
              <w:jc w:val="both"/>
              <w:rPr>
                <w:rFonts w:cstheme="minorHAnsi"/>
                <w:i/>
              </w:rPr>
            </w:pPr>
            <w:r w:rsidRPr="00BA4F8E">
              <w:rPr>
                <w:rFonts w:cstheme="minorHAnsi"/>
                <w:b/>
              </w:rPr>
              <w:t xml:space="preserve">Podmínky a bariéry realizace intervencí v této klíčové oblasti změn: </w:t>
            </w:r>
          </w:p>
          <w:p w14:paraId="1C233879" w14:textId="77777777" w:rsidR="001C4FBA" w:rsidRPr="00BA4F8E" w:rsidRDefault="001C4FBA" w:rsidP="001C4FBA">
            <w:pPr>
              <w:spacing w:after="0" w:line="240" w:lineRule="auto"/>
              <w:jc w:val="both"/>
              <w:rPr>
                <w:rFonts w:cstheme="minorHAnsi"/>
                <w:b/>
              </w:rPr>
            </w:pPr>
            <w:r w:rsidRPr="00BA4F8E">
              <w:rPr>
                <w:rFonts w:cstheme="minorHAnsi"/>
              </w:rPr>
              <w:lastRenderedPageBreak/>
              <w:t>Potřeba definovat obory/ oblasti využití ICT, které lze považovat za perspektivní obory s vysokou přidanou hodnotou, navíc s dostatečným zázemím v podobě VaV, univerzitních či soukromých kapacit na území ČR</w:t>
            </w:r>
          </w:p>
        </w:tc>
      </w:tr>
      <w:tr w:rsidR="001C4FBA" w:rsidRPr="00BA4F8E" w14:paraId="40DA560D" w14:textId="77777777" w:rsidTr="003F15C6">
        <w:tc>
          <w:tcPr>
            <w:tcW w:w="9628" w:type="dxa"/>
            <w:gridSpan w:val="6"/>
            <w:shd w:val="clear" w:color="auto" w:fill="F38D93" w:themeFill="accent4" w:themeFillTint="66"/>
          </w:tcPr>
          <w:p w14:paraId="6D51BA6D" w14:textId="77777777" w:rsidR="001C4FBA" w:rsidRPr="00BA4F8E" w:rsidRDefault="001C4FBA" w:rsidP="001C4FBA">
            <w:pPr>
              <w:spacing w:after="0" w:line="276" w:lineRule="auto"/>
              <w:jc w:val="both"/>
              <w:rPr>
                <w:rFonts w:cstheme="minorHAnsi"/>
                <w:b/>
              </w:rPr>
            </w:pPr>
            <w:r w:rsidRPr="00BA4F8E">
              <w:rPr>
                <w:rFonts w:cstheme="minorHAnsi"/>
                <w:b/>
              </w:rPr>
              <w:lastRenderedPageBreak/>
              <w:t>Strategický cíl E.3: Rozvoj Infrastruktury v ICT</w:t>
            </w:r>
          </w:p>
          <w:p w14:paraId="7369E746" w14:textId="77777777" w:rsidR="001C4FBA" w:rsidRPr="00BA4F8E" w:rsidRDefault="001C4FBA" w:rsidP="001C4FBA">
            <w:pPr>
              <w:spacing w:after="0" w:line="276" w:lineRule="auto"/>
              <w:jc w:val="both"/>
              <w:rPr>
                <w:rFonts w:cstheme="minorHAnsi"/>
              </w:rPr>
            </w:pPr>
            <w:r w:rsidRPr="00BA4F8E">
              <w:rPr>
                <w:rFonts w:cstheme="minorHAnsi"/>
              </w:rPr>
              <w:t>Kvalitní, kapacitní a high-end infrastruktura odpovídající nejnovějším poznatkům a technologiím jako základ pro rozvoj využití ICT napříč celou společností. Dostatečná kapacita, technologické zázemí a bezpečnost veřejných datových center a sítí poskytujících zázemí jak pro fungování eGovernmentu, tak pro rozvoj využití ICT ve všech perspektivních oborech. Kapacitní, technologicky adekvátně vybavená výzkumná centra nezbytná pro vývoj, testování a rozvoj nových možností využití ICT ve veřejné správě a ekonomice, disponující odbornými personálními kapacitami schopnými napomoci při plnění cílů rozvoje eGovernmentu a eBusinessu.</w:t>
            </w:r>
          </w:p>
        </w:tc>
      </w:tr>
      <w:tr w:rsidR="001C4FBA" w:rsidRPr="00BA4F8E" w14:paraId="1F7895A6" w14:textId="77777777" w:rsidTr="003F15C6">
        <w:tc>
          <w:tcPr>
            <w:tcW w:w="3072" w:type="dxa"/>
            <w:gridSpan w:val="2"/>
            <w:shd w:val="clear" w:color="auto" w:fill="F9C6C8" w:themeFill="accent4" w:themeFillTint="33"/>
          </w:tcPr>
          <w:p w14:paraId="132400AD" w14:textId="77777777" w:rsidR="001C4FBA" w:rsidRPr="00BA4F8E" w:rsidRDefault="001C4FBA" w:rsidP="001C4FBA">
            <w:pPr>
              <w:spacing w:after="0" w:line="276" w:lineRule="auto"/>
              <w:jc w:val="both"/>
              <w:rPr>
                <w:rFonts w:cstheme="minorHAnsi"/>
                <w:b/>
                <w:i/>
              </w:rPr>
            </w:pPr>
            <w:r w:rsidRPr="00BA4F8E">
              <w:rPr>
                <w:rFonts w:cstheme="minorHAnsi"/>
                <w:b/>
                <w:i/>
              </w:rPr>
              <w:t xml:space="preserve">Specifické cíle  </w:t>
            </w:r>
          </w:p>
        </w:tc>
        <w:tc>
          <w:tcPr>
            <w:tcW w:w="3283" w:type="dxa"/>
            <w:gridSpan w:val="3"/>
            <w:shd w:val="clear" w:color="auto" w:fill="F9C6C8" w:themeFill="accent4" w:themeFillTint="33"/>
          </w:tcPr>
          <w:p w14:paraId="673A990E" w14:textId="77777777" w:rsidR="001C4FBA" w:rsidRPr="00BA4F8E" w:rsidRDefault="001C4FBA" w:rsidP="001C4FBA">
            <w:pPr>
              <w:spacing w:after="0" w:line="276" w:lineRule="auto"/>
              <w:jc w:val="both"/>
              <w:rPr>
                <w:rFonts w:cstheme="minorHAnsi"/>
                <w:b/>
                <w:i/>
              </w:rPr>
            </w:pPr>
            <w:r w:rsidRPr="00BA4F8E">
              <w:rPr>
                <w:rFonts w:cstheme="minorHAnsi"/>
                <w:b/>
                <w:i/>
              </w:rPr>
              <w:t>Indikátory specifického cíle</w:t>
            </w:r>
          </w:p>
        </w:tc>
        <w:tc>
          <w:tcPr>
            <w:tcW w:w="3273" w:type="dxa"/>
            <w:shd w:val="clear" w:color="auto" w:fill="F9C6C8" w:themeFill="accent4" w:themeFillTint="33"/>
          </w:tcPr>
          <w:p w14:paraId="4E0E8E5E" w14:textId="77777777" w:rsidR="001C4FBA" w:rsidRPr="00BA4F8E" w:rsidRDefault="001C4FBA" w:rsidP="001C4FBA">
            <w:pPr>
              <w:spacing w:after="0" w:line="276" w:lineRule="auto"/>
              <w:jc w:val="both"/>
              <w:rPr>
                <w:rFonts w:cstheme="minorHAnsi"/>
                <w:b/>
                <w:i/>
              </w:rPr>
            </w:pPr>
            <w:r w:rsidRPr="00BA4F8E">
              <w:rPr>
                <w:rFonts w:cstheme="minorHAnsi"/>
                <w:b/>
                <w:i/>
              </w:rPr>
              <w:t>Typové aktivity/projekty/operace</w:t>
            </w:r>
          </w:p>
        </w:tc>
      </w:tr>
      <w:tr w:rsidR="001C4FBA" w:rsidRPr="00BA4F8E" w14:paraId="3526ABDD" w14:textId="77777777" w:rsidTr="003F15C6">
        <w:tc>
          <w:tcPr>
            <w:tcW w:w="3072" w:type="dxa"/>
            <w:gridSpan w:val="2"/>
            <w:shd w:val="clear" w:color="auto" w:fill="F9C6C8" w:themeFill="accent4" w:themeFillTint="33"/>
          </w:tcPr>
          <w:p w14:paraId="7011D18D" w14:textId="77777777" w:rsidR="001C4FBA" w:rsidRPr="00BA4F8E" w:rsidRDefault="001C4FBA" w:rsidP="001C4FBA">
            <w:pPr>
              <w:spacing w:after="0" w:line="276" w:lineRule="auto"/>
              <w:jc w:val="both"/>
              <w:rPr>
                <w:rFonts w:cstheme="minorHAnsi"/>
                <w:b/>
              </w:rPr>
            </w:pPr>
            <w:r w:rsidRPr="00BA4F8E">
              <w:rPr>
                <w:rFonts w:cstheme="minorHAnsi"/>
                <w:b/>
              </w:rPr>
              <w:t>E.3.1: Rozvoj ICT sloužící pro výzkum a vývoj</w:t>
            </w:r>
          </w:p>
          <w:p w14:paraId="76A0FCAA" w14:textId="466B7234" w:rsidR="001C4FBA" w:rsidRPr="00BA4F8E" w:rsidRDefault="001C4FBA" w:rsidP="001C4FBA">
            <w:pPr>
              <w:spacing w:after="0" w:line="276" w:lineRule="auto"/>
              <w:jc w:val="both"/>
              <w:rPr>
                <w:rFonts w:cstheme="minorHAnsi"/>
              </w:rPr>
            </w:pPr>
            <w:r w:rsidRPr="00BA4F8E">
              <w:rPr>
                <w:rFonts w:cstheme="minorHAnsi"/>
              </w:rPr>
              <w:t>Kvalitní, kapacitní, technologicky odpovídající a</w:t>
            </w:r>
            <w:r w:rsidR="00A810C2">
              <w:rPr>
                <w:rFonts w:cstheme="minorHAnsi"/>
              </w:rPr>
              <w:t> </w:t>
            </w:r>
            <w:r w:rsidRPr="00BA4F8E">
              <w:rPr>
                <w:rFonts w:cstheme="minorHAnsi"/>
              </w:rPr>
              <w:t>pravidelně obměňovaná infrastruktura pro VaV v oblasti ICT a využití ICT ve všech navazujících perspektivních oborech.</w:t>
            </w:r>
          </w:p>
          <w:p w14:paraId="1909FC13" w14:textId="77777777" w:rsidR="001C4FBA" w:rsidRPr="00BA4F8E" w:rsidRDefault="001C4FBA" w:rsidP="001C4FBA">
            <w:pPr>
              <w:spacing w:after="0" w:line="276" w:lineRule="auto"/>
              <w:jc w:val="both"/>
              <w:rPr>
                <w:rFonts w:cstheme="minorHAnsi"/>
              </w:rPr>
            </w:pPr>
            <w:r w:rsidRPr="00BA4F8E">
              <w:rPr>
                <w:rFonts w:cstheme="minorHAnsi"/>
              </w:rPr>
              <w:t>Národní komunikační síť odpovídající svou kapacitou, spolehlivostí, bezpečností a využitelností nejmodernějším standardům a potřebám, zajišťující propojení jak VaV organizací v oblasti ICT, ale též všech ostatních VaV organizací mezi sebou, včetně napojení na relevantní zahraniční páteřní sítě.</w:t>
            </w:r>
          </w:p>
        </w:tc>
        <w:tc>
          <w:tcPr>
            <w:tcW w:w="3283" w:type="dxa"/>
            <w:gridSpan w:val="3"/>
            <w:shd w:val="clear" w:color="auto" w:fill="F9C6C8" w:themeFill="accent4" w:themeFillTint="33"/>
          </w:tcPr>
          <w:p w14:paraId="2F181130" w14:textId="77777777" w:rsidR="001C4FBA" w:rsidRPr="00BA4F8E" w:rsidRDefault="001C4FBA" w:rsidP="001C4FBA">
            <w:pPr>
              <w:spacing w:after="0" w:line="276" w:lineRule="auto"/>
              <w:ind w:left="248" w:hanging="248"/>
              <w:jc w:val="both"/>
              <w:rPr>
                <w:rFonts w:cstheme="minorHAnsi"/>
              </w:rPr>
            </w:pPr>
            <w:r w:rsidRPr="00BA4F8E">
              <w:rPr>
                <w:rFonts w:cstheme="minorHAnsi"/>
              </w:rPr>
              <w:t>- zvýšení kapacity a bezpečnosti sítě propojující VaV organizace</w:t>
            </w:r>
          </w:p>
          <w:p w14:paraId="49581F53" w14:textId="77777777" w:rsidR="001C4FBA" w:rsidRPr="00BA4F8E" w:rsidRDefault="001C4FBA" w:rsidP="001C4FBA">
            <w:pPr>
              <w:spacing w:after="0" w:line="276" w:lineRule="auto"/>
              <w:ind w:left="248" w:hanging="248"/>
              <w:jc w:val="both"/>
              <w:rPr>
                <w:rFonts w:cstheme="minorHAnsi"/>
              </w:rPr>
            </w:pPr>
            <w:r w:rsidRPr="00BA4F8E">
              <w:rPr>
                <w:rFonts w:cstheme="minorHAnsi"/>
              </w:rPr>
              <w:t>- kapacita VaV sítě</w:t>
            </w:r>
          </w:p>
          <w:p w14:paraId="54B69888" w14:textId="77777777" w:rsidR="001C4FBA" w:rsidRPr="00BA4F8E" w:rsidRDefault="001C4FBA" w:rsidP="001C4FBA">
            <w:pPr>
              <w:spacing w:after="0" w:line="276" w:lineRule="auto"/>
              <w:ind w:left="248" w:hanging="248"/>
              <w:jc w:val="both"/>
              <w:rPr>
                <w:rFonts w:cstheme="minorHAnsi"/>
                <w:b/>
              </w:rPr>
            </w:pPr>
            <w:r w:rsidRPr="00BA4F8E">
              <w:rPr>
                <w:rFonts w:cstheme="minorHAnsi"/>
              </w:rPr>
              <w:t>- 100 % všech veřejných VaV organizací napojených na páteřní síť</w:t>
            </w:r>
          </w:p>
        </w:tc>
        <w:tc>
          <w:tcPr>
            <w:tcW w:w="3273" w:type="dxa"/>
            <w:shd w:val="clear" w:color="auto" w:fill="F9C6C8" w:themeFill="accent4" w:themeFillTint="33"/>
          </w:tcPr>
          <w:p w14:paraId="72313CA7" w14:textId="2FEE11EE" w:rsidR="00805187" w:rsidRPr="00BA4F8E" w:rsidRDefault="001C4FBA" w:rsidP="00543C1B">
            <w:pPr>
              <w:pStyle w:val="Odstavecseseznamem"/>
              <w:numPr>
                <w:ilvl w:val="0"/>
                <w:numId w:val="50"/>
              </w:numPr>
              <w:spacing w:after="0" w:line="276" w:lineRule="auto"/>
              <w:ind w:left="336" w:hanging="283"/>
              <w:jc w:val="both"/>
              <w:rPr>
                <w:rFonts w:cstheme="minorHAnsi"/>
              </w:rPr>
            </w:pPr>
            <w:r w:rsidRPr="00BA4F8E">
              <w:rPr>
                <w:rFonts w:cstheme="minorHAnsi"/>
              </w:rPr>
              <w:t>Budování nových kapacitnějších a bezpečnějších/ případně modernizace a rozvoj stávajících sítí propojující VaV organizace mezi sebou a</w:t>
            </w:r>
            <w:r w:rsidR="00A810C2">
              <w:rPr>
                <w:rFonts w:cstheme="minorHAnsi"/>
              </w:rPr>
              <w:t> </w:t>
            </w:r>
            <w:r w:rsidRPr="00BA4F8E">
              <w:rPr>
                <w:rFonts w:cstheme="minorHAnsi"/>
              </w:rPr>
              <w:t>vybranými institucemi veřejné správy.</w:t>
            </w:r>
          </w:p>
          <w:p w14:paraId="1D1E7978" w14:textId="65F0CDEC" w:rsidR="001C4FBA" w:rsidRPr="00BA4F8E" w:rsidRDefault="001C4FBA" w:rsidP="00543C1B">
            <w:pPr>
              <w:pStyle w:val="Odstavecseseznamem"/>
              <w:numPr>
                <w:ilvl w:val="0"/>
                <w:numId w:val="50"/>
              </w:numPr>
              <w:spacing w:after="0" w:line="276" w:lineRule="auto"/>
              <w:ind w:left="336" w:hanging="283"/>
              <w:jc w:val="both"/>
              <w:rPr>
                <w:rFonts w:cstheme="minorHAnsi"/>
              </w:rPr>
            </w:pPr>
            <w:r w:rsidRPr="00BA4F8E">
              <w:rPr>
                <w:rFonts w:cstheme="minorHAnsi"/>
              </w:rPr>
              <w:t>Investice do průběžné údržby, modernizace a rozvoje sítě tak, aby odpovídala evropskému standardu bezpečnosti a kapacity.</w:t>
            </w:r>
          </w:p>
        </w:tc>
      </w:tr>
      <w:tr w:rsidR="001C4FBA" w:rsidRPr="00BA4F8E" w14:paraId="57B29E03" w14:textId="77777777" w:rsidTr="003F15C6">
        <w:tc>
          <w:tcPr>
            <w:tcW w:w="3072" w:type="dxa"/>
            <w:gridSpan w:val="2"/>
            <w:shd w:val="clear" w:color="auto" w:fill="F9C6C8" w:themeFill="accent4" w:themeFillTint="33"/>
          </w:tcPr>
          <w:p w14:paraId="279C0AC3" w14:textId="77777777" w:rsidR="001C4FBA" w:rsidRPr="00BA4F8E" w:rsidRDefault="001C4FBA" w:rsidP="001C4FBA">
            <w:pPr>
              <w:spacing w:after="0" w:line="276" w:lineRule="auto"/>
              <w:jc w:val="both"/>
              <w:rPr>
                <w:rFonts w:cstheme="minorHAnsi"/>
                <w:b/>
              </w:rPr>
            </w:pPr>
            <w:r w:rsidRPr="00BA4F8E">
              <w:rPr>
                <w:rFonts w:cstheme="minorHAnsi"/>
                <w:b/>
              </w:rPr>
              <w:t>E.3.2: Zvýšení kapacity a kvality veřejné ICT infrastruktury</w:t>
            </w:r>
          </w:p>
          <w:p w14:paraId="2855ADA3" w14:textId="77777777" w:rsidR="001C4FBA" w:rsidRPr="00BA4F8E" w:rsidRDefault="001C4FBA" w:rsidP="001C4FBA">
            <w:pPr>
              <w:spacing w:after="0" w:line="276" w:lineRule="auto"/>
              <w:jc w:val="both"/>
              <w:rPr>
                <w:rFonts w:cstheme="minorHAnsi"/>
              </w:rPr>
            </w:pPr>
            <w:r w:rsidRPr="00BA4F8E">
              <w:rPr>
                <w:rFonts w:cstheme="minorHAnsi"/>
              </w:rPr>
              <w:t>Kvalitní, kapacitní, bezpečná a dostupná veřejná infrastruktura sloužící jako základ pro nabízené služby eGovernmentu.</w:t>
            </w:r>
          </w:p>
        </w:tc>
        <w:tc>
          <w:tcPr>
            <w:tcW w:w="3283" w:type="dxa"/>
            <w:gridSpan w:val="3"/>
            <w:shd w:val="clear" w:color="auto" w:fill="F9C6C8" w:themeFill="accent4" w:themeFillTint="33"/>
          </w:tcPr>
          <w:p w14:paraId="79F31509" w14:textId="14D4A55E" w:rsidR="001C4FBA" w:rsidRPr="00BA4F8E" w:rsidRDefault="001C4FBA" w:rsidP="00FA7724">
            <w:pPr>
              <w:spacing w:after="0" w:line="276" w:lineRule="auto"/>
              <w:ind w:left="700" w:hanging="700"/>
              <w:rPr>
                <w:rFonts w:cstheme="minorHAnsi"/>
              </w:rPr>
            </w:pPr>
            <w:r w:rsidRPr="00BA4F8E">
              <w:rPr>
                <w:rFonts w:cstheme="minorHAnsi"/>
              </w:rPr>
              <w:t>30400</w:t>
            </w:r>
            <w:r w:rsidRPr="00BA4F8E">
              <w:rPr>
                <w:rFonts w:cstheme="minorHAnsi"/>
              </w:rPr>
              <w:tab/>
              <w:t>Nové nebo modernizované prvky k</w:t>
            </w:r>
            <w:r w:rsidR="00FA7724">
              <w:rPr>
                <w:rFonts w:cstheme="minorHAnsi"/>
              </w:rPr>
              <w:t> </w:t>
            </w:r>
            <w:r w:rsidRPr="00BA4F8E">
              <w:rPr>
                <w:rFonts w:cstheme="minorHAnsi"/>
              </w:rPr>
              <w:t>zajištění standardů kybernetické bezpečnosti</w:t>
            </w:r>
          </w:p>
        </w:tc>
        <w:tc>
          <w:tcPr>
            <w:tcW w:w="3273" w:type="dxa"/>
            <w:shd w:val="clear" w:color="auto" w:fill="F9C6C8" w:themeFill="accent4" w:themeFillTint="33"/>
          </w:tcPr>
          <w:p w14:paraId="7D7AFDC4" w14:textId="77777777" w:rsidR="001C4FBA" w:rsidRPr="00BA4F8E" w:rsidRDefault="001C4FBA" w:rsidP="001C4FBA">
            <w:pPr>
              <w:spacing w:after="0" w:line="276" w:lineRule="auto"/>
              <w:jc w:val="both"/>
              <w:rPr>
                <w:rFonts w:cstheme="minorHAnsi"/>
              </w:rPr>
            </w:pPr>
            <w:r w:rsidRPr="00BA4F8E">
              <w:rPr>
                <w:rFonts w:cstheme="minorHAnsi"/>
              </w:rPr>
              <w:t>- Rozvoj kapacitní a moderní infrastruktury (NGA, LTE).</w:t>
            </w:r>
          </w:p>
          <w:p w14:paraId="72664003" w14:textId="6395FC9D" w:rsidR="001C4FBA" w:rsidRPr="00BA4F8E" w:rsidRDefault="001C4FBA" w:rsidP="00FA7724">
            <w:pPr>
              <w:spacing w:after="0" w:line="276" w:lineRule="auto"/>
              <w:jc w:val="both"/>
              <w:rPr>
                <w:rFonts w:cstheme="minorHAnsi"/>
              </w:rPr>
            </w:pPr>
            <w:r w:rsidRPr="00BA4F8E">
              <w:rPr>
                <w:rFonts w:cstheme="minorHAnsi"/>
              </w:rPr>
              <w:t>- Obnova HW vybavení tak, aby veřejná správa mohla poskytovat služby ve vysoké kvalitě a za dodržení bezpečnostních standardů veřejné správy a</w:t>
            </w:r>
            <w:r w:rsidR="00FA7724">
              <w:rPr>
                <w:rFonts w:cstheme="minorHAnsi"/>
              </w:rPr>
              <w:t> </w:t>
            </w:r>
            <w:r w:rsidRPr="00BA4F8E">
              <w:rPr>
                <w:rFonts w:cstheme="minorHAnsi"/>
              </w:rPr>
              <w:t>dalších standardů např. v nejmodernějším protokolu IPv6.</w:t>
            </w:r>
          </w:p>
        </w:tc>
      </w:tr>
      <w:tr w:rsidR="001C4FBA" w:rsidRPr="00BA4F8E" w14:paraId="1BE43205" w14:textId="77777777" w:rsidTr="003F15C6">
        <w:tc>
          <w:tcPr>
            <w:tcW w:w="3072" w:type="dxa"/>
            <w:gridSpan w:val="2"/>
            <w:shd w:val="clear" w:color="auto" w:fill="F9C6C8" w:themeFill="accent4" w:themeFillTint="33"/>
          </w:tcPr>
          <w:p w14:paraId="7A64BAB8" w14:textId="77777777" w:rsidR="001C4FBA" w:rsidRPr="00BA4F8E" w:rsidRDefault="001C4FBA" w:rsidP="001C4FBA">
            <w:pPr>
              <w:spacing w:after="0" w:line="276" w:lineRule="auto"/>
              <w:jc w:val="both"/>
              <w:rPr>
                <w:rFonts w:cstheme="minorHAnsi"/>
                <w:b/>
              </w:rPr>
            </w:pPr>
            <w:r w:rsidRPr="00BA4F8E">
              <w:rPr>
                <w:rFonts w:cstheme="minorHAnsi"/>
                <w:b/>
              </w:rPr>
              <w:lastRenderedPageBreak/>
              <w:t xml:space="preserve">E.3.3: Zvýšení dostupnosti infrastruktury </w:t>
            </w:r>
          </w:p>
          <w:p w14:paraId="055C18B0" w14:textId="77777777" w:rsidR="001C4FBA" w:rsidRPr="00BA4F8E" w:rsidRDefault="001C4FBA" w:rsidP="001C4FBA">
            <w:pPr>
              <w:spacing w:after="0" w:line="276" w:lineRule="auto"/>
              <w:jc w:val="both"/>
              <w:rPr>
                <w:rFonts w:cstheme="minorHAnsi"/>
              </w:rPr>
            </w:pPr>
            <w:r w:rsidRPr="00BA4F8E">
              <w:rPr>
                <w:rFonts w:cstheme="minorHAnsi"/>
              </w:rPr>
              <w:t>Kvalitní, bezpečný a kapacitní přístup k internetu pro všechny obyvatele jako základ pro vyšší využívání eGovernmentu a rozvoj eBusinessu.</w:t>
            </w:r>
          </w:p>
        </w:tc>
        <w:tc>
          <w:tcPr>
            <w:tcW w:w="3283" w:type="dxa"/>
            <w:gridSpan w:val="3"/>
            <w:shd w:val="clear" w:color="auto" w:fill="F9C6C8" w:themeFill="accent4" w:themeFillTint="33"/>
          </w:tcPr>
          <w:p w14:paraId="392BC485" w14:textId="77777777" w:rsidR="001C4FBA" w:rsidRPr="00BA4F8E" w:rsidRDefault="001C4FBA" w:rsidP="001C4FBA">
            <w:pPr>
              <w:spacing w:after="0" w:line="276" w:lineRule="auto"/>
              <w:ind w:left="700" w:hanging="700"/>
              <w:rPr>
                <w:rFonts w:cstheme="minorHAnsi"/>
              </w:rPr>
            </w:pPr>
            <w:r w:rsidRPr="00BA4F8E">
              <w:rPr>
                <w:rFonts w:cstheme="minorHAnsi"/>
              </w:rPr>
              <w:t>30201</w:t>
            </w:r>
            <w:r w:rsidRPr="00BA4F8E">
              <w:rPr>
                <w:rFonts w:cstheme="minorHAnsi"/>
              </w:rPr>
              <w:tab/>
              <w:t>Domácnosti, které mají nově přístup k širokopásmovým sítím s přenosovou rychlostí 30 Mb/s</w:t>
            </w:r>
          </w:p>
        </w:tc>
        <w:tc>
          <w:tcPr>
            <w:tcW w:w="3273" w:type="dxa"/>
            <w:shd w:val="clear" w:color="auto" w:fill="F9C6C8" w:themeFill="accent4" w:themeFillTint="33"/>
          </w:tcPr>
          <w:p w14:paraId="5F1EFF13" w14:textId="77777777" w:rsidR="001C4FBA" w:rsidRPr="00BA4F8E" w:rsidRDefault="001C4FBA" w:rsidP="001C4FBA">
            <w:pPr>
              <w:spacing w:after="0" w:line="276" w:lineRule="auto"/>
              <w:jc w:val="both"/>
              <w:rPr>
                <w:rFonts w:cstheme="minorHAnsi"/>
              </w:rPr>
            </w:pPr>
            <w:r w:rsidRPr="00BA4F8E">
              <w:rPr>
                <w:rFonts w:cstheme="minorHAnsi"/>
              </w:rPr>
              <w:t>- Investice do modernizace a zvyšování kapacity veřejných sítí zajišťujících propojení úřadů veřejné správy na úroveň odpovídající evropským standardům a očekávaným potřebám ve výhledu roku 2020.</w:t>
            </w:r>
          </w:p>
          <w:p w14:paraId="432C7729" w14:textId="77777777" w:rsidR="001C4FBA" w:rsidRPr="00BA4F8E" w:rsidRDefault="001C4FBA" w:rsidP="001C4FBA">
            <w:pPr>
              <w:spacing w:after="0" w:line="276" w:lineRule="auto"/>
              <w:jc w:val="both"/>
              <w:rPr>
                <w:rFonts w:cstheme="minorHAnsi"/>
              </w:rPr>
            </w:pPr>
            <w:r w:rsidRPr="00BA4F8E">
              <w:rPr>
                <w:rFonts w:cstheme="minorHAnsi"/>
              </w:rPr>
              <w:t>- Investice do rozvoje kapacitního připojení k internetu v periferních oblastech a v dalších lokalitách, které nejsou dostatečně atraktivní pro soukromé investory.</w:t>
            </w:r>
          </w:p>
        </w:tc>
      </w:tr>
      <w:tr w:rsidR="001C4FBA" w:rsidRPr="00BA4F8E" w14:paraId="22AE8CB1" w14:textId="77777777" w:rsidTr="003F15C6">
        <w:tc>
          <w:tcPr>
            <w:tcW w:w="9628" w:type="dxa"/>
            <w:gridSpan w:val="6"/>
            <w:shd w:val="clear" w:color="auto" w:fill="F38D93" w:themeFill="accent4" w:themeFillTint="66"/>
          </w:tcPr>
          <w:p w14:paraId="1C5FA04B" w14:textId="77777777" w:rsidR="001C4FBA" w:rsidRPr="00BA4F8E" w:rsidRDefault="001C4FBA" w:rsidP="001C4FBA">
            <w:pPr>
              <w:spacing w:after="0" w:line="276" w:lineRule="auto"/>
              <w:jc w:val="both"/>
              <w:rPr>
                <w:rFonts w:cstheme="minorHAnsi"/>
                <w:b/>
              </w:rPr>
            </w:pPr>
            <w:r w:rsidRPr="00BA4F8E">
              <w:rPr>
                <w:rFonts w:cstheme="minorHAnsi"/>
                <w:b/>
              </w:rPr>
              <w:t>Strategie a národní dokumenty, k nimž se strategické a specifické cíle vztahují:</w:t>
            </w:r>
          </w:p>
          <w:p w14:paraId="1B9512BF" w14:textId="77777777" w:rsidR="001C4FBA" w:rsidRPr="00BA4F8E" w:rsidRDefault="001C4FBA" w:rsidP="00543C1B">
            <w:pPr>
              <w:numPr>
                <w:ilvl w:val="0"/>
                <w:numId w:val="46"/>
              </w:numPr>
              <w:shd w:val="clear" w:color="auto" w:fill="F38D93" w:themeFill="accent4" w:themeFillTint="66"/>
              <w:spacing w:after="0" w:line="240" w:lineRule="auto"/>
              <w:contextualSpacing/>
              <w:jc w:val="both"/>
              <w:rPr>
                <w:rFonts w:cstheme="minorHAnsi"/>
              </w:rPr>
            </w:pPr>
            <w:r w:rsidRPr="00BA4F8E">
              <w:rPr>
                <w:rFonts w:cstheme="minorHAnsi"/>
              </w:rPr>
              <w:t>Digitální Česko v 2.0 – Cesta k digitální ekonomice (MPO)</w:t>
            </w:r>
          </w:p>
          <w:p w14:paraId="40FCF763" w14:textId="17A49C93" w:rsidR="001C4FBA" w:rsidRPr="00BA4F8E" w:rsidRDefault="001C4FBA" w:rsidP="00543C1B">
            <w:pPr>
              <w:numPr>
                <w:ilvl w:val="0"/>
                <w:numId w:val="46"/>
              </w:numPr>
              <w:shd w:val="clear" w:color="auto" w:fill="F38D93" w:themeFill="accent4" w:themeFillTint="66"/>
              <w:spacing w:after="0" w:line="240" w:lineRule="auto"/>
              <w:contextualSpacing/>
              <w:jc w:val="both"/>
              <w:rPr>
                <w:rFonts w:cstheme="minorHAnsi"/>
              </w:rPr>
            </w:pPr>
            <w:r w:rsidRPr="00BA4F8E">
              <w:rPr>
                <w:rFonts w:cstheme="minorHAnsi"/>
              </w:rPr>
              <w:t>Cestovní mapa České republiky velkých infrastruktur pro výzkum, experimentální vývoj a</w:t>
            </w:r>
            <w:r w:rsidR="005B2963">
              <w:rPr>
                <w:rFonts w:cstheme="minorHAnsi"/>
              </w:rPr>
              <w:t> </w:t>
            </w:r>
            <w:r w:rsidRPr="00BA4F8E">
              <w:rPr>
                <w:rFonts w:cstheme="minorHAnsi"/>
              </w:rPr>
              <w:t>inovace - aktualizace květen 2011 (MŠMT)</w:t>
            </w:r>
          </w:p>
          <w:p w14:paraId="43AB6E2D" w14:textId="77777777" w:rsidR="001C4FBA" w:rsidRPr="00BA4F8E" w:rsidRDefault="001C4FBA" w:rsidP="00543C1B">
            <w:pPr>
              <w:numPr>
                <w:ilvl w:val="0"/>
                <w:numId w:val="46"/>
              </w:numPr>
              <w:shd w:val="clear" w:color="auto" w:fill="F38D93" w:themeFill="accent4" w:themeFillTint="66"/>
              <w:spacing w:after="0" w:line="240" w:lineRule="auto"/>
              <w:contextualSpacing/>
              <w:jc w:val="both"/>
              <w:rPr>
                <w:rFonts w:cstheme="minorHAnsi"/>
                <w:b/>
              </w:rPr>
            </w:pPr>
            <w:r w:rsidRPr="00BA4F8E">
              <w:rPr>
                <w:rFonts w:cstheme="minorHAnsi"/>
              </w:rPr>
              <w:t>Datový zdroj: DIGITAL AGENDA FOR EUROPE (EU)</w:t>
            </w:r>
          </w:p>
        </w:tc>
      </w:tr>
      <w:tr w:rsidR="001C4FBA" w:rsidRPr="00BA4F8E" w14:paraId="7AE924E1" w14:textId="77777777" w:rsidTr="003F15C6">
        <w:trPr>
          <w:trHeight w:val="2824"/>
        </w:trPr>
        <w:tc>
          <w:tcPr>
            <w:tcW w:w="9628" w:type="dxa"/>
            <w:gridSpan w:val="6"/>
            <w:shd w:val="clear" w:color="auto" w:fill="F38D93" w:themeFill="accent4" w:themeFillTint="66"/>
          </w:tcPr>
          <w:p w14:paraId="1D581BB3" w14:textId="77777777" w:rsidR="001C4FBA" w:rsidRPr="00BA4F8E" w:rsidRDefault="001C4FBA" w:rsidP="001C4FBA">
            <w:pPr>
              <w:spacing w:after="0" w:line="240" w:lineRule="auto"/>
              <w:jc w:val="both"/>
              <w:rPr>
                <w:rFonts w:cstheme="minorHAnsi"/>
                <w:i/>
              </w:rPr>
            </w:pPr>
            <w:r w:rsidRPr="00BA4F8E">
              <w:rPr>
                <w:rFonts w:cstheme="minorHAnsi"/>
                <w:b/>
              </w:rPr>
              <w:t xml:space="preserve">Podmínky a bariéry realizace intervencí v této klíčové oblasti změn: </w:t>
            </w:r>
          </w:p>
          <w:p w14:paraId="582B5ABF" w14:textId="189665A4" w:rsidR="001C4FBA" w:rsidRPr="00BA4F8E" w:rsidRDefault="001C4FBA" w:rsidP="00543C1B">
            <w:pPr>
              <w:numPr>
                <w:ilvl w:val="0"/>
                <w:numId w:val="41"/>
              </w:numPr>
              <w:spacing w:after="0" w:line="276" w:lineRule="auto"/>
              <w:contextualSpacing/>
              <w:jc w:val="both"/>
              <w:rPr>
                <w:rFonts w:cstheme="minorHAnsi"/>
              </w:rPr>
            </w:pPr>
            <w:r w:rsidRPr="00BA4F8E">
              <w:rPr>
                <w:rFonts w:cstheme="minorHAnsi"/>
              </w:rPr>
              <w:t>Legislativní úpravy umožňující zavedení služeb eGovernmentu v plnohodnotné podobě, tedy v</w:t>
            </w:r>
            <w:r w:rsidR="005B2963">
              <w:rPr>
                <w:rFonts w:cstheme="minorHAnsi"/>
              </w:rPr>
              <w:t> </w:t>
            </w:r>
            <w:r w:rsidRPr="00BA4F8E">
              <w:rPr>
                <w:rFonts w:cstheme="minorHAnsi"/>
              </w:rPr>
              <w:t>takové podobě, kdy bude veškerá komunikace úřadu s klientem probíhat s využitím elektronické komunikace, bez nutnosti jakéhokoliv fyzického kontaktu, nebo potřeby dodávat jakékoliv dokumenty, doklady či další podklady v písemné/ tištěné podobě.</w:t>
            </w:r>
          </w:p>
          <w:p w14:paraId="12453E7C" w14:textId="77777777" w:rsidR="001C4FBA" w:rsidRPr="00BA4F8E" w:rsidRDefault="001C4FBA" w:rsidP="001C4FBA">
            <w:pPr>
              <w:spacing w:after="0" w:line="276" w:lineRule="auto"/>
              <w:jc w:val="both"/>
              <w:rPr>
                <w:rFonts w:cstheme="minorHAnsi"/>
              </w:rPr>
            </w:pPr>
            <w:r w:rsidRPr="00BA4F8E">
              <w:rPr>
                <w:rFonts w:cstheme="minorHAnsi"/>
                <w:b/>
              </w:rPr>
              <w:t>Bariéry</w:t>
            </w:r>
            <w:r w:rsidRPr="00BA4F8E">
              <w:rPr>
                <w:rFonts w:cstheme="minorHAnsi"/>
              </w:rPr>
              <w:t>:</w:t>
            </w:r>
          </w:p>
          <w:p w14:paraId="057AE082" w14:textId="77777777" w:rsidR="001C4FBA" w:rsidRPr="00BA4F8E" w:rsidRDefault="001C4FBA" w:rsidP="00543C1B">
            <w:pPr>
              <w:numPr>
                <w:ilvl w:val="0"/>
                <w:numId w:val="42"/>
              </w:numPr>
              <w:spacing w:after="0" w:line="276" w:lineRule="auto"/>
              <w:contextualSpacing/>
              <w:jc w:val="both"/>
              <w:rPr>
                <w:rFonts w:cstheme="minorHAnsi"/>
              </w:rPr>
            </w:pPr>
            <w:r w:rsidRPr="00BA4F8E">
              <w:rPr>
                <w:rFonts w:cstheme="minorHAnsi"/>
              </w:rPr>
              <w:t>V některých oblastech donedávna nejasné vymezení pravomocí (resortismus)</w:t>
            </w:r>
          </w:p>
          <w:p w14:paraId="56039D50" w14:textId="77777777" w:rsidR="001C4FBA" w:rsidRPr="00BA4F8E" w:rsidRDefault="001C4FBA" w:rsidP="00543C1B">
            <w:pPr>
              <w:numPr>
                <w:ilvl w:val="0"/>
                <w:numId w:val="42"/>
              </w:numPr>
              <w:spacing w:after="0" w:line="276" w:lineRule="auto"/>
              <w:contextualSpacing/>
              <w:jc w:val="both"/>
              <w:rPr>
                <w:rFonts w:cstheme="minorHAnsi"/>
              </w:rPr>
            </w:pPr>
            <w:r w:rsidRPr="00BA4F8E">
              <w:rPr>
                <w:rFonts w:cstheme="minorHAnsi"/>
              </w:rPr>
              <w:t>Většina změn vyžaduje nejen investice do infrastruktury, ale též rozsáhlé procesní změny včetně legislativních změn, tak, aby mohly být zaváděny plnohodnotné služby eGovernmentu – to vyžaduje delší časový horizont a promyšlený, koncepční a systematický postup realizace;</w:t>
            </w:r>
          </w:p>
          <w:p w14:paraId="63B6E7D8" w14:textId="77777777" w:rsidR="001C4FBA" w:rsidRPr="00BA4F8E" w:rsidRDefault="001C4FBA" w:rsidP="00543C1B">
            <w:pPr>
              <w:numPr>
                <w:ilvl w:val="0"/>
                <w:numId w:val="42"/>
              </w:numPr>
              <w:spacing w:after="0" w:line="276" w:lineRule="auto"/>
              <w:contextualSpacing/>
              <w:jc w:val="both"/>
              <w:rPr>
                <w:rFonts w:cstheme="minorHAnsi"/>
              </w:rPr>
            </w:pPr>
            <w:r w:rsidRPr="00BA4F8E">
              <w:rPr>
                <w:rFonts w:cstheme="minorHAnsi"/>
              </w:rPr>
              <w:t>Nerentabilita některých intervencí (NGA ve venkovských oblastech)</w:t>
            </w:r>
          </w:p>
        </w:tc>
      </w:tr>
    </w:tbl>
    <w:p w14:paraId="1736C1CF" w14:textId="5F6E83EC" w:rsidR="00B948CF" w:rsidRDefault="00B948CF" w:rsidP="004550E7">
      <w:pPr>
        <w:spacing w:line="360" w:lineRule="auto"/>
        <w:jc w:val="both"/>
        <w:rPr>
          <w:rFonts w:cs="Arial"/>
          <w:b/>
        </w:rPr>
      </w:pPr>
    </w:p>
    <w:p w14:paraId="2DC7EE45" w14:textId="77777777" w:rsidR="00B948CF" w:rsidRDefault="00B948CF">
      <w:pPr>
        <w:spacing w:after="200" w:line="276" w:lineRule="auto"/>
        <w:rPr>
          <w:rFonts w:cs="Arial"/>
          <w:b/>
        </w:rPr>
      </w:pPr>
      <w:r>
        <w:rPr>
          <w:rFonts w:cs="Arial"/>
          <w:b/>
        </w:rPr>
        <w:br w:type="page"/>
      </w:r>
    </w:p>
    <w:p w14:paraId="07F379A6" w14:textId="14E3AB93" w:rsidR="00805187" w:rsidRPr="00F76546" w:rsidRDefault="00805187" w:rsidP="00F76546">
      <w:pPr>
        <w:pStyle w:val="Nadpis2"/>
      </w:pPr>
      <w:bookmarkStart w:id="118" w:name="_Toc525716210"/>
      <w:r w:rsidRPr="00F76546">
        <w:lastRenderedPageBreak/>
        <w:t>Sociální inovace</w:t>
      </w:r>
      <w:bookmarkEnd w:id="118"/>
    </w:p>
    <w:p w14:paraId="13511103" w14:textId="77777777" w:rsidR="00805187" w:rsidRPr="00BA4F8E" w:rsidRDefault="00805187" w:rsidP="00F76546">
      <w:pPr>
        <w:spacing w:before="240" w:line="360" w:lineRule="auto"/>
        <w:jc w:val="both"/>
        <w:rPr>
          <w:rFonts w:cs="Arial"/>
          <w:b/>
        </w:rPr>
      </w:pPr>
      <w:r w:rsidRPr="00BA4F8E">
        <w:rPr>
          <w:rFonts w:cs="Arial"/>
          <w:b/>
        </w:rPr>
        <w:t>Klíčová oblast změn F: Posílení a lepší využití sociálního kapitálu a kreativity při řešení komplexních společenských výzev</w:t>
      </w:r>
    </w:p>
    <w:p w14:paraId="28064FF9" w14:textId="15689DE0" w:rsidR="00805187" w:rsidRPr="00BA4F8E" w:rsidRDefault="00805187" w:rsidP="00EA5ADD">
      <w:pPr>
        <w:spacing w:after="0" w:line="360" w:lineRule="auto"/>
        <w:ind w:firstLine="708"/>
        <w:jc w:val="both"/>
        <w:rPr>
          <w:rFonts w:cs="Arial"/>
        </w:rPr>
      </w:pPr>
      <w:r w:rsidRPr="00BA4F8E">
        <w:rPr>
          <w:rFonts w:cs="Arial"/>
        </w:rPr>
        <w:t>Sociální inovace může být definována jako vývoj a implementace nových nápadů (produktů, služeb a</w:t>
      </w:r>
      <w:r w:rsidR="00A75A70" w:rsidRPr="00BA4F8E">
        <w:rPr>
          <w:rFonts w:cs="Arial"/>
        </w:rPr>
        <w:t> </w:t>
      </w:r>
      <w:r w:rsidRPr="00BA4F8E">
        <w:rPr>
          <w:rFonts w:cs="Arial"/>
        </w:rPr>
        <w:t>modelů) uspokojujících sociální potřeby a vytvářejících nové sociální vztahy a formy spolupráce, které jsou zaměřeny na zvyšování kvality lidského života. Ve srovnání s „běžnými inovacemi“ je specifickým hnacím motivem pro „sociální inovace“ jejich společenský účel a přidaná hodnota, která je současně ekonomická ale i společenská. Sociální inovace jsou součástí širšího konceptu inovací, který se odklání od úzce zaměřeného pojetí technologicky založených inovací. Je třeba poskytnout bezpečný prostor pro tvorbu a testování jednotlivých sociálních inovací, jejichž úspěšnost je v mnoha případech závislá na konkrétních podmínkách a</w:t>
      </w:r>
      <w:r w:rsidR="00A75A70" w:rsidRPr="00BA4F8E">
        <w:rPr>
          <w:rFonts w:cs="Arial"/>
        </w:rPr>
        <w:t> </w:t>
      </w:r>
      <w:r w:rsidRPr="00BA4F8E">
        <w:rPr>
          <w:rFonts w:cs="Arial"/>
        </w:rPr>
        <w:t xml:space="preserve">prostředí jejich realizace, a počítat také s možností neúspěchu a jejich chybného směřování. Úspěšným příkladem sociálních inovací podporovaných již v minulosti Evropskou komisí, které se podařilo dostat v některých zemích do hlavního politického rámce, jsou například Teritoriální pakty zaměstnanosti (European Commission, 2013). </w:t>
      </w:r>
    </w:p>
    <w:p w14:paraId="1536B98F" w14:textId="6E1B189E" w:rsidR="00805187" w:rsidRPr="00BA4F8E" w:rsidRDefault="00805187" w:rsidP="00EA5ADD">
      <w:pPr>
        <w:spacing w:after="0" w:line="360" w:lineRule="auto"/>
        <w:ind w:firstLine="709"/>
        <w:jc w:val="both"/>
        <w:rPr>
          <w:rFonts w:cs="Arial"/>
        </w:rPr>
      </w:pPr>
      <w:r w:rsidRPr="00BA4F8E">
        <w:rPr>
          <w:rFonts w:cs="Arial"/>
        </w:rPr>
        <w:t>Společným předpokladem pro úspěšné řešení komplexních společenských výzev je přímé zapojení klíčových aktérů v různých formách otevřené partnerské spolupráce. K hlavním faktorům prokazujícím účelnost a přidanou hodnotu, kterou může přinést spolupráce v partnerství, patří (a)</w:t>
      </w:r>
      <w:r w:rsidR="00DF3437" w:rsidRPr="00BA4F8E">
        <w:rPr>
          <w:rFonts w:cs="Arial"/>
        </w:rPr>
        <w:t> </w:t>
      </w:r>
      <w:r w:rsidRPr="00BA4F8E">
        <w:rPr>
          <w:rFonts w:cs="Arial"/>
        </w:rPr>
        <w:t>zacílení - sběrem názorů a vstupů aktérů z různých vrstev společnosti je možno lépe zjistit, jaké potřeby existují, co je prvořadé, a na základě toho efektivně jednat;  (b)  koordinace - je možné synchronizovat politická opatření a zacílení programů dle místních podmínek tak, aby se zvýšil jejich dopad a odstranily duplicity; (c) přístup ke zdrojům - jednotlivé problémy a překážky je možné lépe řešit a odstranit díky přístupu k různým technickým, lidským, znalostním, fyzickým a finančním zdrojům; (d) sociální kapitál - kontakty mezi organizacemi a vzájemné vztahy v partnerství posilují společenské sítě a vazby, přičemž zároveň podporují vzájemné učení a hlubší porozumění hodnotám a</w:t>
      </w:r>
      <w:r w:rsidR="00913E11" w:rsidRPr="00BA4F8E">
        <w:rPr>
          <w:rFonts w:cs="Arial"/>
        </w:rPr>
        <w:t> </w:t>
      </w:r>
      <w:r w:rsidRPr="00BA4F8E">
        <w:rPr>
          <w:rFonts w:cs="Arial"/>
        </w:rPr>
        <w:t xml:space="preserve">významu partnerů a jejich úloze ve společnosti; (e) inovace - sdílením různých perspektiv, myšlenek a zdrojů se podněcují tvořivější a dynamičtější přístupy ke společenským problémům; (f) vybavení pravomocemi - zlepšená kapacita a přímé zapojení klíčových aktérů umožňuje partnerům, aby v politické aréně měli díky partnerství silnější hlas v otázkách, jež se jich týkají; (g) legitimita - širší mobilizace těch, kterých se věci týkají, poskytuje demokratičtější „mandát k akci“ a podporuje dobrou správu, přičemž zapojení a podpora organizací, které mají „důvěru“ společnosti, může přispět k přijetí strategických změn veřejností; (h) stabilita - zohlednění zájmů občanské společnosti v procesu strategického plánování, společné zapojení v místních projektech a větší spokojenost s veřejnou politikou přispívají k integraci a stmelování společnosti a (i) udržitelnost - prosazováním sociálního </w:t>
      </w:r>
      <w:r w:rsidRPr="00BA4F8E">
        <w:rPr>
          <w:rFonts w:cs="Arial"/>
        </w:rPr>
        <w:lastRenderedPageBreak/>
        <w:t>zapojení, společného vlastnictví a vzájemných výhod a</w:t>
      </w:r>
      <w:r w:rsidR="00E97CE1" w:rsidRPr="00BA4F8E">
        <w:rPr>
          <w:rFonts w:cs="Arial"/>
        </w:rPr>
        <w:t> </w:t>
      </w:r>
      <w:r w:rsidRPr="00BA4F8E">
        <w:rPr>
          <w:rFonts w:cs="Arial"/>
        </w:rPr>
        <w:t xml:space="preserve">spolupráce většího počtu subjektů může vést z k pozitivním změnám a lepšímu zvládnutí společenských úkolů, než kdyby se k nim přistoupilo jen v rámci jednoho sektoru nebo instituce.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CCFF"/>
        <w:tblLook w:val="04A0" w:firstRow="1" w:lastRow="0" w:firstColumn="1" w:lastColumn="0" w:noHBand="0" w:noVBand="1"/>
      </w:tblPr>
      <w:tblGrid>
        <w:gridCol w:w="2457"/>
        <w:gridCol w:w="2587"/>
        <w:gridCol w:w="353"/>
        <w:gridCol w:w="3665"/>
      </w:tblGrid>
      <w:tr w:rsidR="00E97CE1" w:rsidRPr="00BA4F8E" w14:paraId="03621AC0" w14:textId="77777777" w:rsidTr="003F15C6">
        <w:trPr>
          <w:trHeight w:val="387"/>
        </w:trPr>
        <w:tc>
          <w:tcPr>
            <w:tcW w:w="9628" w:type="dxa"/>
            <w:gridSpan w:val="4"/>
            <w:shd w:val="clear" w:color="auto" w:fill="0E87AF" w:themeFill="accent6" w:themeFillShade="BF"/>
            <w:vAlign w:val="center"/>
          </w:tcPr>
          <w:p w14:paraId="3A8109CF" w14:textId="77777777" w:rsidR="00E97CE1" w:rsidRPr="00BA4F8E" w:rsidRDefault="00E97CE1" w:rsidP="00E97CE1">
            <w:pPr>
              <w:spacing w:after="0" w:line="276" w:lineRule="auto"/>
              <w:jc w:val="both"/>
              <w:rPr>
                <w:b/>
                <w:color w:val="FFFFFF" w:themeColor="background1"/>
              </w:rPr>
            </w:pPr>
            <w:r w:rsidRPr="00BA4F8E">
              <w:rPr>
                <w:b/>
                <w:color w:val="FFFFFF" w:themeColor="background1"/>
              </w:rPr>
              <w:t xml:space="preserve">Klíčová oblast změn F: Posílení </w:t>
            </w:r>
            <w:r w:rsidRPr="00BA4F8E">
              <w:rPr>
                <w:rFonts w:cs="Times New Roman"/>
                <w:b/>
                <w:color w:val="FFFFFF" w:themeColor="background1"/>
              </w:rPr>
              <w:t>a lepší využití sociálního kapitálu a kreativity při řešení komplexních společenských výzev</w:t>
            </w:r>
          </w:p>
        </w:tc>
      </w:tr>
      <w:tr w:rsidR="00E97CE1" w:rsidRPr="00BA4F8E" w14:paraId="2686E6A7" w14:textId="77777777" w:rsidTr="003F15C6">
        <w:trPr>
          <w:trHeight w:val="422"/>
        </w:trPr>
        <w:tc>
          <w:tcPr>
            <w:tcW w:w="5164" w:type="dxa"/>
            <w:gridSpan w:val="2"/>
            <w:shd w:val="clear" w:color="auto" w:fill="0E87AF" w:themeFill="accent6" w:themeFillShade="BF"/>
          </w:tcPr>
          <w:p w14:paraId="65A8F557" w14:textId="77777777" w:rsidR="00E97CE1" w:rsidRPr="00BA4F8E" w:rsidRDefault="00E97CE1" w:rsidP="00E97CE1">
            <w:pPr>
              <w:spacing w:after="0" w:line="276" w:lineRule="auto"/>
              <w:jc w:val="both"/>
              <w:rPr>
                <w:b/>
                <w:color w:val="FFFFFF" w:themeColor="background1"/>
              </w:rPr>
            </w:pPr>
            <w:r w:rsidRPr="00BA4F8E">
              <w:rPr>
                <w:b/>
                <w:color w:val="FFFFFF" w:themeColor="background1"/>
              </w:rPr>
              <w:t>Strategické cíle v klíčové oblasti změn:</w:t>
            </w:r>
          </w:p>
        </w:tc>
        <w:tc>
          <w:tcPr>
            <w:tcW w:w="4464" w:type="dxa"/>
            <w:gridSpan w:val="2"/>
            <w:shd w:val="clear" w:color="auto" w:fill="0E87AF" w:themeFill="accent6" w:themeFillShade="BF"/>
          </w:tcPr>
          <w:p w14:paraId="1DD8F049" w14:textId="77777777" w:rsidR="00E97CE1" w:rsidRPr="00BA4F8E" w:rsidRDefault="00E97CE1" w:rsidP="00E97CE1">
            <w:pPr>
              <w:spacing w:after="0" w:line="276" w:lineRule="auto"/>
              <w:jc w:val="both"/>
              <w:rPr>
                <w:color w:val="FFFFFF" w:themeColor="background1"/>
              </w:rPr>
            </w:pPr>
            <w:r w:rsidRPr="00BA4F8E">
              <w:rPr>
                <w:b/>
                <w:color w:val="FFFFFF" w:themeColor="background1"/>
              </w:rPr>
              <w:t>Indikátory strategických cílů/klíčové oblasti změn:</w:t>
            </w:r>
          </w:p>
        </w:tc>
      </w:tr>
      <w:tr w:rsidR="00E97CE1" w:rsidRPr="00BA4F8E" w14:paraId="4DA68FC8" w14:textId="77777777" w:rsidTr="003F15C6">
        <w:trPr>
          <w:trHeight w:val="542"/>
        </w:trPr>
        <w:tc>
          <w:tcPr>
            <w:tcW w:w="5164" w:type="dxa"/>
            <w:gridSpan w:val="2"/>
            <w:shd w:val="clear" w:color="auto" w:fill="0E87AF" w:themeFill="accent6" w:themeFillShade="BF"/>
          </w:tcPr>
          <w:p w14:paraId="204B6F1C" w14:textId="77777777" w:rsidR="00E97CE1" w:rsidRPr="00BA4F8E" w:rsidRDefault="00E97CE1" w:rsidP="00E97CE1">
            <w:pPr>
              <w:spacing w:after="0" w:line="276" w:lineRule="auto"/>
              <w:jc w:val="both"/>
              <w:rPr>
                <w:color w:val="FFFFFF" w:themeColor="background1"/>
              </w:rPr>
            </w:pPr>
            <w:r w:rsidRPr="00BA4F8E">
              <w:rPr>
                <w:color w:val="FFFFFF" w:themeColor="background1"/>
              </w:rPr>
              <w:t>F: Posílení a lepší využití sociálního kapitálu a kreativity při řešení komplexních společenských výzev</w:t>
            </w:r>
          </w:p>
        </w:tc>
        <w:tc>
          <w:tcPr>
            <w:tcW w:w="4464" w:type="dxa"/>
            <w:gridSpan w:val="2"/>
            <w:vMerge w:val="restart"/>
            <w:shd w:val="clear" w:color="auto" w:fill="0E87AF" w:themeFill="accent6" w:themeFillShade="BF"/>
          </w:tcPr>
          <w:p w14:paraId="08F241DE" w14:textId="77777777" w:rsidR="00E97CE1" w:rsidRPr="00BA4F8E" w:rsidRDefault="00E97CE1" w:rsidP="00543C1B">
            <w:pPr>
              <w:numPr>
                <w:ilvl w:val="0"/>
                <w:numId w:val="51"/>
              </w:numPr>
              <w:spacing w:after="0" w:line="276" w:lineRule="auto"/>
              <w:ind w:left="322" w:hanging="283"/>
              <w:contextualSpacing/>
              <w:jc w:val="both"/>
              <w:rPr>
                <w:color w:val="FFFFFF" w:themeColor="background1"/>
              </w:rPr>
            </w:pPr>
            <w:r w:rsidRPr="00BA4F8E">
              <w:rPr>
                <w:rFonts w:cs="Times New Roman"/>
                <w:color w:val="FFFFFF" w:themeColor="background1"/>
              </w:rPr>
              <w:t xml:space="preserve">Počet úspěšně ověřených a využitých experimentálních řešení </w:t>
            </w:r>
          </w:p>
          <w:p w14:paraId="50D59A12" w14:textId="3A6BE871" w:rsidR="00E97CE1" w:rsidRPr="00BA4F8E" w:rsidRDefault="00E97CE1" w:rsidP="00543C1B">
            <w:pPr>
              <w:numPr>
                <w:ilvl w:val="0"/>
                <w:numId w:val="51"/>
              </w:numPr>
              <w:spacing w:after="0" w:line="276" w:lineRule="auto"/>
              <w:ind w:left="322" w:hanging="283"/>
              <w:contextualSpacing/>
              <w:jc w:val="both"/>
              <w:rPr>
                <w:color w:val="FFFFFF" w:themeColor="background1"/>
              </w:rPr>
            </w:pPr>
            <w:r w:rsidRPr="00BA4F8E">
              <w:rPr>
                <w:color w:val="FFFFFF" w:themeColor="background1"/>
              </w:rPr>
              <w:t xml:space="preserve">Počet krajů, ve kterých byly založeny </w:t>
            </w:r>
            <w:r w:rsidRPr="00BA4F8E">
              <w:rPr>
                <w:rFonts w:cs="Times New Roman"/>
                <w:color w:val="FFFFFF" w:themeColor="background1"/>
              </w:rPr>
              <w:t>a</w:t>
            </w:r>
            <w:r w:rsidR="00572190">
              <w:rPr>
                <w:rFonts w:cs="Times New Roman"/>
                <w:color w:val="FFFFFF" w:themeColor="background1"/>
              </w:rPr>
              <w:t> </w:t>
            </w:r>
            <w:r w:rsidRPr="00BA4F8E">
              <w:rPr>
                <w:rFonts w:cs="Times New Roman"/>
                <w:color w:val="FFFFFF" w:themeColor="background1"/>
              </w:rPr>
              <w:t xml:space="preserve">jsou funkční </w:t>
            </w:r>
            <w:r w:rsidRPr="00BA4F8E">
              <w:rPr>
                <w:color w:val="FFFFFF" w:themeColor="background1"/>
              </w:rPr>
              <w:t>Teritoriální pakty zaměstnanosti (splňují hlavní standardy OECD a EU)</w:t>
            </w:r>
          </w:p>
          <w:p w14:paraId="2D8475C3" w14:textId="77777777" w:rsidR="00E97CE1" w:rsidRPr="00BA4F8E" w:rsidRDefault="00E97CE1" w:rsidP="00543C1B">
            <w:pPr>
              <w:numPr>
                <w:ilvl w:val="0"/>
                <w:numId w:val="51"/>
              </w:numPr>
              <w:spacing w:after="0" w:line="276" w:lineRule="auto"/>
              <w:ind w:left="322" w:hanging="283"/>
              <w:contextualSpacing/>
              <w:jc w:val="both"/>
              <w:rPr>
                <w:color w:val="FFFFFF" w:themeColor="background1"/>
              </w:rPr>
            </w:pPr>
            <w:r w:rsidRPr="00BA4F8E">
              <w:rPr>
                <w:color w:val="FFFFFF" w:themeColor="background1"/>
              </w:rPr>
              <w:t xml:space="preserve">Počet </w:t>
            </w:r>
            <w:r w:rsidRPr="00BA4F8E">
              <w:rPr>
                <w:rFonts w:cs="Times New Roman"/>
                <w:color w:val="FFFFFF" w:themeColor="background1"/>
              </w:rPr>
              <w:t>krajů, které mají a realizují integrované programy rozvoje zaměstnanosti vytvořené na platformě TPZ</w:t>
            </w:r>
          </w:p>
        </w:tc>
      </w:tr>
      <w:tr w:rsidR="00E97CE1" w:rsidRPr="00BA4F8E" w14:paraId="32B7C375" w14:textId="77777777" w:rsidTr="003F15C6">
        <w:trPr>
          <w:trHeight w:val="542"/>
        </w:trPr>
        <w:tc>
          <w:tcPr>
            <w:tcW w:w="5164" w:type="dxa"/>
            <w:gridSpan w:val="2"/>
            <w:shd w:val="clear" w:color="auto" w:fill="0E87AF" w:themeFill="accent6" w:themeFillShade="BF"/>
          </w:tcPr>
          <w:p w14:paraId="09E6D29D" w14:textId="07DE922C" w:rsidR="00E97CE1" w:rsidRPr="00BA4F8E" w:rsidRDefault="00E97CE1" w:rsidP="00572190">
            <w:pPr>
              <w:spacing w:after="0" w:line="276" w:lineRule="auto"/>
              <w:jc w:val="both"/>
              <w:rPr>
                <w:color w:val="FFFFFF" w:themeColor="background1"/>
              </w:rPr>
            </w:pPr>
            <w:r w:rsidRPr="00BA4F8E">
              <w:rPr>
                <w:color w:val="FFFFFF" w:themeColor="background1"/>
              </w:rPr>
              <w:t>F.1: Podpořit otevřenou partnerskou spolupráci při experimentálním řešení společenských výzev a</w:t>
            </w:r>
            <w:r w:rsidR="00572190">
              <w:rPr>
                <w:color w:val="FFFFFF" w:themeColor="background1"/>
              </w:rPr>
              <w:t> </w:t>
            </w:r>
            <w:r w:rsidRPr="00BA4F8E">
              <w:rPr>
                <w:color w:val="FFFFFF" w:themeColor="background1"/>
              </w:rPr>
              <w:t>systémově využít úspěšně ověřené modely</w:t>
            </w:r>
          </w:p>
        </w:tc>
        <w:tc>
          <w:tcPr>
            <w:tcW w:w="4464" w:type="dxa"/>
            <w:gridSpan w:val="2"/>
            <w:vMerge/>
            <w:shd w:val="clear" w:color="auto" w:fill="0E87AF" w:themeFill="accent6" w:themeFillShade="BF"/>
          </w:tcPr>
          <w:p w14:paraId="772A742C" w14:textId="77777777" w:rsidR="00E97CE1" w:rsidRPr="00BA4F8E" w:rsidRDefault="00E97CE1" w:rsidP="00E97CE1">
            <w:pPr>
              <w:spacing w:after="0" w:line="276" w:lineRule="auto"/>
              <w:jc w:val="both"/>
              <w:rPr>
                <w:b/>
                <w:color w:val="FFFFFF" w:themeColor="background1"/>
              </w:rPr>
            </w:pPr>
          </w:p>
        </w:tc>
      </w:tr>
      <w:tr w:rsidR="00E97CE1" w:rsidRPr="00BA4F8E" w14:paraId="7A43CC34" w14:textId="77777777" w:rsidTr="003F15C6">
        <w:trPr>
          <w:trHeight w:val="542"/>
        </w:trPr>
        <w:tc>
          <w:tcPr>
            <w:tcW w:w="5164" w:type="dxa"/>
            <w:gridSpan w:val="2"/>
            <w:shd w:val="clear" w:color="auto" w:fill="0E87AF" w:themeFill="accent6" w:themeFillShade="BF"/>
          </w:tcPr>
          <w:p w14:paraId="4ED22290" w14:textId="77777777" w:rsidR="00E97CE1" w:rsidRPr="00BA4F8E" w:rsidRDefault="00E97CE1" w:rsidP="00E97CE1">
            <w:pPr>
              <w:spacing w:after="0" w:line="276" w:lineRule="auto"/>
              <w:jc w:val="both"/>
              <w:rPr>
                <w:color w:val="FFFFFF" w:themeColor="background1"/>
              </w:rPr>
            </w:pPr>
            <w:r w:rsidRPr="00BA4F8E">
              <w:rPr>
                <w:color w:val="FFFFFF" w:themeColor="background1"/>
              </w:rPr>
              <w:t>F.2: Podpořit a lépe využít spolupráci místních aktérů při řešení potřeb v oblasti zaměstnanosti, ekonomického rozvoje a sociální inkluze v krajích ČR</w:t>
            </w:r>
          </w:p>
        </w:tc>
        <w:tc>
          <w:tcPr>
            <w:tcW w:w="4464" w:type="dxa"/>
            <w:gridSpan w:val="2"/>
            <w:vMerge/>
            <w:shd w:val="clear" w:color="auto" w:fill="0E87AF" w:themeFill="accent6" w:themeFillShade="BF"/>
          </w:tcPr>
          <w:p w14:paraId="6E84DDF4" w14:textId="77777777" w:rsidR="00E97CE1" w:rsidRPr="00BA4F8E" w:rsidRDefault="00E97CE1" w:rsidP="00E97CE1">
            <w:pPr>
              <w:spacing w:after="0" w:line="276" w:lineRule="auto"/>
              <w:jc w:val="both"/>
              <w:rPr>
                <w:b/>
                <w:color w:val="FFFFFF" w:themeColor="background1"/>
              </w:rPr>
            </w:pPr>
          </w:p>
        </w:tc>
      </w:tr>
      <w:tr w:rsidR="00E97CE1" w:rsidRPr="00BA4F8E" w14:paraId="6CA9FEB5" w14:textId="77777777" w:rsidTr="003F15C6">
        <w:tblPrEx>
          <w:shd w:val="clear" w:color="auto" w:fill="auto"/>
        </w:tblPrEx>
        <w:tc>
          <w:tcPr>
            <w:tcW w:w="9628" w:type="dxa"/>
            <w:gridSpan w:val="4"/>
            <w:shd w:val="clear" w:color="auto" w:fill="9FE1F7" w:themeFill="accent6" w:themeFillTint="66"/>
          </w:tcPr>
          <w:p w14:paraId="15FDDCC1" w14:textId="77777777" w:rsidR="00E97CE1" w:rsidRPr="00BA4F8E" w:rsidRDefault="00E97CE1" w:rsidP="00E97CE1">
            <w:pPr>
              <w:spacing w:after="0" w:line="276" w:lineRule="auto"/>
              <w:jc w:val="both"/>
              <w:rPr>
                <w:rFonts w:cs="Times New Roman"/>
                <w:b/>
                <w:i/>
              </w:rPr>
            </w:pPr>
            <w:r w:rsidRPr="00BA4F8E">
              <w:rPr>
                <w:b/>
              </w:rPr>
              <w:t>Strategický cíl F.1: Podpořit otevřenou partnerskou spolupráci při experimentálním řešení společenských výzev a systémově využít úspěšně ověřené modely</w:t>
            </w:r>
          </w:p>
          <w:p w14:paraId="470AA750" w14:textId="77777777" w:rsidR="00E97CE1" w:rsidRPr="00BA4F8E" w:rsidRDefault="00E97CE1" w:rsidP="00E97CE1">
            <w:pPr>
              <w:spacing w:after="0" w:line="276" w:lineRule="auto"/>
              <w:jc w:val="both"/>
              <w:rPr>
                <w:rFonts w:cs="Times New Roman"/>
              </w:rPr>
            </w:pPr>
            <w:r w:rsidRPr="00BA4F8E">
              <w:rPr>
                <w:rFonts w:cs="Times New Roman"/>
              </w:rPr>
              <w:t xml:space="preserve">Strategickým cílem je podpořit </w:t>
            </w:r>
            <w:r w:rsidRPr="00BA4F8E">
              <w:t xml:space="preserve">experimentální řešení společenských výzev </w:t>
            </w:r>
            <w:r w:rsidRPr="00BA4F8E">
              <w:rPr>
                <w:rFonts w:cs="Times New Roman"/>
              </w:rPr>
              <w:t xml:space="preserve">novými formami </w:t>
            </w:r>
            <w:r w:rsidRPr="00BA4F8E">
              <w:t xml:space="preserve">otevřené partnerské spolupráce, novými technologiemi a novými podnikatelskými </w:t>
            </w:r>
            <w:r w:rsidRPr="00BA4F8E">
              <w:rPr>
                <w:rFonts w:cs="Times New Roman"/>
              </w:rPr>
              <w:t>modely. Společenské výzvy se odrážejí v Národních prioritách orientovaného výzkumu, experimentálního vývoje a inovací do roku 2030, tj.:</w:t>
            </w:r>
          </w:p>
          <w:p w14:paraId="7EC181AC" w14:textId="77777777" w:rsidR="00E97CE1" w:rsidRPr="00BA4F8E" w:rsidRDefault="00E97CE1" w:rsidP="00543C1B">
            <w:pPr>
              <w:numPr>
                <w:ilvl w:val="0"/>
                <w:numId w:val="52"/>
              </w:numPr>
              <w:spacing w:after="0" w:line="276" w:lineRule="auto"/>
              <w:ind w:left="714" w:hanging="357"/>
              <w:jc w:val="both"/>
              <w:rPr>
                <w:rFonts w:cs="Times New Roman"/>
              </w:rPr>
            </w:pPr>
            <w:r w:rsidRPr="00BA4F8E">
              <w:rPr>
                <w:rFonts w:cs="Times New Roman"/>
              </w:rPr>
              <w:t>Konkurenceschopná ekonomika založená na znalostech</w:t>
            </w:r>
          </w:p>
          <w:p w14:paraId="6098ACFA" w14:textId="77777777" w:rsidR="00E97CE1" w:rsidRPr="00BA4F8E" w:rsidRDefault="00E97CE1" w:rsidP="00543C1B">
            <w:pPr>
              <w:numPr>
                <w:ilvl w:val="0"/>
                <w:numId w:val="52"/>
              </w:numPr>
              <w:spacing w:after="0" w:line="276" w:lineRule="auto"/>
              <w:ind w:left="714" w:hanging="357"/>
              <w:jc w:val="both"/>
              <w:rPr>
                <w:rFonts w:cs="Times New Roman"/>
              </w:rPr>
            </w:pPr>
            <w:r w:rsidRPr="00BA4F8E">
              <w:rPr>
                <w:rFonts w:cs="Times New Roman"/>
              </w:rPr>
              <w:t>Udržitelnost energetiky a materiálových zdrojů</w:t>
            </w:r>
          </w:p>
          <w:p w14:paraId="5C30D8A5" w14:textId="77777777" w:rsidR="00E97CE1" w:rsidRPr="00BA4F8E" w:rsidRDefault="00E97CE1" w:rsidP="00543C1B">
            <w:pPr>
              <w:numPr>
                <w:ilvl w:val="0"/>
                <w:numId w:val="52"/>
              </w:numPr>
              <w:spacing w:after="0" w:line="276" w:lineRule="auto"/>
              <w:ind w:left="714" w:hanging="357"/>
              <w:jc w:val="both"/>
              <w:rPr>
                <w:rFonts w:cs="Times New Roman"/>
              </w:rPr>
            </w:pPr>
            <w:r w:rsidRPr="00BA4F8E">
              <w:rPr>
                <w:rFonts w:cs="Times New Roman"/>
              </w:rPr>
              <w:t>Prostředí pro kvalitní život</w:t>
            </w:r>
          </w:p>
          <w:p w14:paraId="58F42C5F" w14:textId="77777777" w:rsidR="00E97CE1" w:rsidRPr="00BA4F8E" w:rsidRDefault="00E97CE1" w:rsidP="00543C1B">
            <w:pPr>
              <w:numPr>
                <w:ilvl w:val="0"/>
                <w:numId w:val="52"/>
              </w:numPr>
              <w:spacing w:after="0" w:line="276" w:lineRule="auto"/>
              <w:ind w:left="714" w:hanging="357"/>
              <w:jc w:val="both"/>
              <w:rPr>
                <w:rFonts w:cs="Times New Roman"/>
              </w:rPr>
            </w:pPr>
            <w:r w:rsidRPr="00BA4F8E">
              <w:rPr>
                <w:rFonts w:cs="Times New Roman"/>
              </w:rPr>
              <w:t>Sociální a kulturní výzvy</w:t>
            </w:r>
          </w:p>
          <w:p w14:paraId="2A573113" w14:textId="77777777" w:rsidR="00E97CE1" w:rsidRPr="00BA4F8E" w:rsidRDefault="00E97CE1" w:rsidP="00543C1B">
            <w:pPr>
              <w:numPr>
                <w:ilvl w:val="0"/>
                <w:numId w:val="52"/>
              </w:numPr>
              <w:spacing w:after="0" w:line="276" w:lineRule="auto"/>
              <w:ind w:left="714" w:hanging="357"/>
              <w:jc w:val="both"/>
              <w:rPr>
                <w:rFonts w:cs="Times New Roman"/>
              </w:rPr>
            </w:pPr>
            <w:r w:rsidRPr="00BA4F8E">
              <w:rPr>
                <w:rFonts w:cs="Times New Roman"/>
              </w:rPr>
              <w:t>Zdravá populace</w:t>
            </w:r>
          </w:p>
          <w:p w14:paraId="6E026357" w14:textId="77777777" w:rsidR="00E97CE1" w:rsidRPr="00BA4F8E" w:rsidRDefault="00E97CE1" w:rsidP="00543C1B">
            <w:pPr>
              <w:numPr>
                <w:ilvl w:val="0"/>
                <w:numId w:val="52"/>
              </w:numPr>
              <w:spacing w:after="0" w:line="276" w:lineRule="auto"/>
              <w:ind w:left="714" w:hanging="357"/>
              <w:jc w:val="both"/>
              <w:rPr>
                <w:rFonts w:cs="Times New Roman"/>
              </w:rPr>
            </w:pPr>
            <w:r w:rsidRPr="00BA4F8E">
              <w:rPr>
                <w:rFonts w:cs="Times New Roman"/>
              </w:rPr>
              <w:t>Bezpečná společnost</w:t>
            </w:r>
          </w:p>
        </w:tc>
      </w:tr>
      <w:tr w:rsidR="00E97CE1" w:rsidRPr="00BA4F8E" w14:paraId="5ECD6C74" w14:textId="77777777" w:rsidTr="003F15C6">
        <w:tblPrEx>
          <w:shd w:val="clear" w:color="auto" w:fill="auto"/>
        </w:tblPrEx>
        <w:tc>
          <w:tcPr>
            <w:tcW w:w="2771" w:type="dxa"/>
            <w:shd w:val="clear" w:color="auto" w:fill="CFF0FB" w:themeFill="accent6" w:themeFillTint="33"/>
          </w:tcPr>
          <w:p w14:paraId="509D5A91" w14:textId="77777777" w:rsidR="00E97CE1" w:rsidRPr="00BA4F8E" w:rsidRDefault="00E97CE1" w:rsidP="00E97CE1">
            <w:pPr>
              <w:spacing w:after="0" w:line="276" w:lineRule="auto"/>
              <w:jc w:val="both"/>
              <w:rPr>
                <w:b/>
                <w:i/>
              </w:rPr>
            </w:pPr>
            <w:r w:rsidRPr="00BA4F8E">
              <w:br w:type="page"/>
            </w:r>
            <w:r w:rsidRPr="00BA4F8E">
              <w:rPr>
                <w:b/>
                <w:i/>
              </w:rPr>
              <w:t xml:space="preserve">Specifické cíle  </w:t>
            </w:r>
          </w:p>
        </w:tc>
        <w:tc>
          <w:tcPr>
            <w:tcW w:w="2755" w:type="dxa"/>
            <w:gridSpan w:val="2"/>
            <w:shd w:val="clear" w:color="auto" w:fill="CFF0FB" w:themeFill="accent6" w:themeFillTint="33"/>
          </w:tcPr>
          <w:p w14:paraId="3FA84D69" w14:textId="77777777" w:rsidR="00E97CE1" w:rsidRPr="00BA4F8E" w:rsidRDefault="00E97CE1" w:rsidP="00E97CE1">
            <w:pPr>
              <w:spacing w:after="0" w:line="276" w:lineRule="auto"/>
              <w:jc w:val="both"/>
              <w:rPr>
                <w:b/>
                <w:i/>
              </w:rPr>
            </w:pPr>
            <w:r w:rsidRPr="00BA4F8E">
              <w:rPr>
                <w:b/>
                <w:i/>
              </w:rPr>
              <w:t>Indikátory specifického cíle</w:t>
            </w:r>
          </w:p>
        </w:tc>
        <w:tc>
          <w:tcPr>
            <w:tcW w:w="4102" w:type="dxa"/>
            <w:shd w:val="clear" w:color="auto" w:fill="CFF0FB" w:themeFill="accent6" w:themeFillTint="33"/>
          </w:tcPr>
          <w:p w14:paraId="36AE7BBA" w14:textId="77777777" w:rsidR="00E97CE1" w:rsidRPr="00BA4F8E" w:rsidRDefault="00E97CE1" w:rsidP="00E97CE1">
            <w:pPr>
              <w:spacing w:after="0" w:line="276" w:lineRule="auto"/>
              <w:jc w:val="both"/>
              <w:rPr>
                <w:b/>
                <w:i/>
              </w:rPr>
            </w:pPr>
            <w:r w:rsidRPr="00BA4F8E">
              <w:rPr>
                <w:b/>
                <w:i/>
              </w:rPr>
              <w:t>Typové aktivity/projekty/operace</w:t>
            </w:r>
          </w:p>
        </w:tc>
      </w:tr>
      <w:tr w:rsidR="00E97CE1" w:rsidRPr="00BA4F8E" w14:paraId="6022D728" w14:textId="77777777" w:rsidTr="003F15C6">
        <w:tblPrEx>
          <w:shd w:val="clear" w:color="auto" w:fill="auto"/>
        </w:tblPrEx>
        <w:tc>
          <w:tcPr>
            <w:tcW w:w="2771" w:type="dxa"/>
            <w:tcBorders>
              <w:bottom w:val="single" w:sz="4" w:space="0" w:color="auto"/>
            </w:tcBorders>
            <w:shd w:val="clear" w:color="auto" w:fill="CFF0FB" w:themeFill="accent6" w:themeFillTint="33"/>
          </w:tcPr>
          <w:p w14:paraId="09C68ED6" w14:textId="77777777" w:rsidR="00E97CE1" w:rsidRPr="00BA4F8E" w:rsidRDefault="00E97CE1" w:rsidP="00E97CE1">
            <w:pPr>
              <w:spacing w:after="0" w:line="276" w:lineRule="auto"/>
              <w:jc w:val="both"/>
              <w:rPr>
                <w:b/>
              </w:rPr>
            </w:pPr>
            <w:r w:rsidRPr="00BA4F8E">
              <w:rPr>
                <w:b/>
              </w:rPr>
              <w:t>F</w:t>
            </w:r>
            <w:r w:rsidRPr="00BA4F8E">
              <w:rPr>
                <w:rFonts w:cs="Times New Roman"/>
                <w:b/>
              </w:rPr>
              <w:t>.</w:t>
            </w:r>
            <w:r w:rsidRPr="00BA4F8E">
              <w:rPr>
                <w:b/>
              </w:rPr>
              <w:t>1</w:t>
            </w:r>
            <w:r w:rsidRPr="00BA4F8E">
              <w:rPr>
                <w:rFonts w:cs="Times New Roman"/>
                <w:b/>
              </w:rPr>
              <w:t>.1</w:t>
            </w:r>
            <w:r w:rsidRPr="00BA4F8E">
              <w:rPr>
                <w:b/>
              </w:rPr>
              <w:t xml:space="preserve">: </w:t>
            </w:r>
            <w:r w:rsidRPr="00BA4F8E">
              <w:rPr>
                <w:rFonts w:cs="Times New Roman"/>
                <w:b/>
              </w:rPr>
              <w:t xml:space="preserve">Podpořit otevřenou partnerskou spolupráci při experimentálním řešení společenských výzev a systémově využít úspěšně ověřené modely </w:t>
            </w:r>
          </w:p>
        </w:tc>
        <w:tc>
          <w:tcPr>
            <w:tcW w:w="2755" w:type="dxa"/>
            <w:gridSpan w:val="2"/>
            <w:tcBorders>
              <w:bottom w:val="single" w:sz="4" w:space="0" w:color="auto"/>
            </w:tcBorders>
            <w:shd w:val="clear" w:color="auto" w:fill="CFF0FB" w:themeFill="accent6" w:themeFillTint="33"/>
          </w:tcPr>
          <w:p w14:paraId="2162626A" w14:textId="77777777" w:rsidR="00E97CE1" w:rsidRPr="00BA4F8E" w:rsidRDefault="00E97CE1" w:rsidP="00E97CE1">
            <w:pPr>
              <w:spacing w:after="0" w:line="276" w:lineRule="auto"/>
              <w:ind w:left="700" w:hanging="700"/>
              <w:rPr>
                <w:rFonts w:cstheme="minorHAnsi"/>
              </w:rPr>
            </w:pPr>
            <w:r w:rsidRPr="00BA4F8E">
              <w:rPr>
                <w:rFonts w:cstheme="minorHAnsi"/>
              </w:rPr>
              <w:t>20806</w:t>
            </w:r>
            <w:r w:rsidRPr="00BA4F8E">
              <w:rPr>
                <w:rFonts w:cstheme="minorHAnsi"/>
              </w:rPr>
              <w:tab/>
              <w:t>Počet podpořených osob zapojených do řízení a implementace politiky VaVaI</w:t>
            </w:r>
          </w:p>
          <w:p w14:paraId="56663899" w14:textId="77777777" w:rsidR="00E97CE1" w:rsidRPr="00BA4F8E" w:rsidRDefault="00E97CE1" w:rsidP="00E97CE1">
            <w:pPr>
              <w:spacing w:after="0" w:line="276" w:lineRule="auto"/>
              <w:ind w:left="700" w:hanging="700"/>
              <w:rPr>
                <w:rFonts w:cstheme="minorHAnsi"/>
              </w:rPr>
            </w:pPr>
            <w:r w:rsidRPr="00BA4F8E">
              <w:rPr>
                <w:rFonts w:cstheme="minorHAnsi"/>
              </w:rPr>
              <w:t>69410</w:t>
            </w:r>
            <w:r w:rsidRPr="00BA4F8E">
              <w:rPr>
                <w:rFonts w:cstheme="minorHAnsi"/>
              </w:rPr>
              <w:tab/>
              <w:t>Počet zvalidovaných experimentálních či kvaziexperimentalních ověřených nových nástrojů</w:t>
            </w:r>
          </w:p>
        </w:tc>
        <w:tc>
          <w:tcPr>
            <w:tcW w:w="4102" w:type="dxa"/>
            <w:tcBorders>
              <w:bottom w:val="single" w:sz="4" w:space="0" w:color="auto"/>
            </w:tcBorders>
            <w:shd w:val="clear" w:color="auto" w:fill="CFF0FB" w:themeFill="accent6" w:themeFillTint="33"/>
          </w:tcPr>
          <w:p w14:paraId="2A963959" w14:textId="77777777" w:rsidR="00E97CE1" w:rsidRPr="00BA4F8E" w:rsidRDefault="00E97CE1" w:rsidP="00543C1B">
            <w:pPr>
              <w:numPr>
                <w:ilvl w:val="0"/>
                <w:numId w:val="36"/>
              </w:numPr>
              <w:spacing w:after="0" w:line="276" w:lineRule="auto"/>
              <w:ind w:left="284" w:hanging="284"/>
              <w:contextualSpacing/>
              <w:jc w:val="both"/>
            </w:pPr>
            <w:r w:rsidRPr="00BA4F8E">
              <w:rPr>
                <w:rFonts w:cs="Times New Roman"/>
              </w:rPr>
              <w:t>Vytvoření a aplikace systému pro testování (akcelerátor) a hodnocení sociálních inovací a navazující šíření a systémové využití úspěšných řešení.</w:t>
            </w:r>
          </w:p>
        </w:tc>
      </w:tr>
      <w:tr w:rsidR="00E97CE1" w:rsidRPr="00BA4F8E" w14:paraId="046B7F8C" w14:textId="77777777" w:rsidTr="003F15C6">
        <w:tblPrEx>
          <w:shd w:val="clear" w:color="auto" w:fill="auto"/>
        </w:tblPrEx>
        <w:tc>
          <w:tcPr>
            <w:tcW w:w="9628" w:type="dxa"/>
            <w:gridSpan w:val="4"/>
            <w:shd w:val="clear" w:color="auto" w:fill="9FE1F7" w:themeFill="accent6" w:themeFillTint="66"/>
          </w:tcPr>
          <w:p w14:paraId="33A512D7" w14:textId="77777777" w:rsidR="00E97CE1" w:rsidRPr="00BA4F8E" w:rsidRDefault="00E97CE1" w:rsidP="00E97CE1">
            <w:pPr>
              <w:spacing w:after="0" w:line="276" w:lineRule="auto"/>
              <w:jc w:val="both"/>
              <w:rPr>
                <w:rFonts w:cs="Times New Roman"/>
                <w:b/>
                <w:i/>
              </w:rPr>
            </w:pPr>
            <w:r w:rsidRPr="00BA4F8E">
              <w:rPr>
                <w:b/>
              </w:rPr>
              <w:t>Strategický cíl F.2: Podpořit a lépe využít spolupráci místních aktérů při řešení potřeb v oblasti zaměstnanosti, ekonomického rozvoje a sociální inkluze v krajích ČR</w:t>
            </w:r>
          </w:p>
          <w:p w14:paraId="5ED09EDD" w14:textId="77777777" w:rsidR="00E97CE1" w:rsidRPr="00BA4F8E" w:rsidRDefault="00E97CE1" w:rsidP="00E97CE1">
            <w:pPr>
              <w:spacing w:after="0" w:line="276" w:lineRule="auto"/>
              <w:jc w:val="both"/>
              <w:rPr>
                <w:rFonts w:cs="Times New Roman"/>
              </w:rPr>
            </w:pPr>
            <w:r w:rsidRPr="00BA4F8E">
              <w:rPr>
                <w:rFonts w:cs="Times New Roman"/>
              </w:rPr>
              <w:t>S</w:t>
            </w:r>
            <w:r w:rsidRPr="00BA4F8E">
              <w:t xml:space="preserve">trategickým cílem </w:t>
            </w:r>
            <w:r w:rsidRPr="00BA4F8E">
              <w:rPr>
                <w:rFonts w:cs="Times New Roman"/>
              </w:rPr>
              <w:t xml:space="preserve">je </w:t>
            </w:r>
            <w:r w:rsidRPr="00BA4F8E">
              <w:t xml:space="preserve">změnit dosavadní modely dobré správy v oblastech zaměstnanosti, ekonomického rozvoje a sociální inkluze. Zejména v této oblasti je důležité posílení prvků </w:t>
            </w:r>
            <w:r w:rsidRPr="00BA4F8E">
              <w:lastRenderedPageBreak/>
              <w:t>víceúrovňové</w:t>
            </w:r>
            <w:r w:rsidRPr="00BA4F8E">
              <w:rPr>
                <w:rFonts w:cs="Times New Roman"/>
              </w:rPr>
              <w:t xml:space="preserve"> správy</w:t>
            </w:r>
            <w:r w:rsidRPr="00BA4F8E">
              <w:t xml:space="preserve"> s aktivním zapojením partnerství do tvorby a implementace relevantních strategií a politik. Zapojení sociálních partnerů v této oblasti již existuje na nejvyšší politické úrovni, kde má pevné místo tripartitní jednání na úrovni státu i krajů. Tito partneři také dokážou aktivizovat ad-hoc pracovní týmy a specifická řešení v případě krizového vývoje ekonomiky, jak jsme byli svědky v uplynulých letech. Zaměstnanost, ekonomický rozvoj a sociální inkluze jsou ovšem témata s trvalou důležitostí a s potřebou soustavné aktivity celé řady partnerů v různých sektorech a na všech úrovních vládnutí. Důležitým nástrojem je </w:t>
            </w:r>
            <w:r w:rsidRPr="00BA4F8E">
              <w:rPr>
                <w:rFonts w:cs="Times New Roman"/>
              </w:rPr>
              <w:t xml:space="preserve">proto </w:t>
            </w:r>
            <w:r w:rsidRPr="00BA4F8E">
              <w:t>využití dlouhodobě fungujících partnerství a paktů zaměstnanosti, jejichž využití doporučuje OECD i Evropská Komise</w:t>
            </w:r>
            <w:r w:rsidRPr="00BA4F8E">
              <w:rPr>
                <w:rFonts w:cs="Times New Roman"/>
                <w:vertAlign w:val="superscript"/>
              </w:rPr>
              <w:footnoteReference w:id="100"/>
            </w:r>
            <w:r w:rsidRPr="00BA4F8E">
              <w:t>.</w:t>
            </w:r>
            <w:r w:rsidRPr="00BA4F8E">
              <w:rPr>
                <w:rFonts w:cs="Times New Roman"/>
              </w:rPr>
              <w:t xml:space="preserve"> Nejvhodnějším a nejblíže dostupným příkladem systémového využití partnerství je Rakousko a jeho TEPs (Territorial Employment Pacts) ve všech spolkových zemích, které jsou metodicky podporovány Koordinační jednotkou. O to více, že tento příklad dobré praxe se začíná pomalu prosazovat i v České republice, kde v roce 2011 vznikl první Pakt zaměstnanosti v Moravskoslezském kraji, přímo inspirovaný rakouským modelem, který své zkušenosti postupně předává zájemcům ve všech krajích ČR.  K dosažení strategického cíle povede přenesení těchto aktivit iniciovaných zdola do systému</w:t>
            </w:r>
            <w:r w:rsidRPr="00BA4F8E">
              <w:t xml:space="preserve"> </w:t>
            </w:r>
            <w:r w:rsidRPr="00BA4F8E">
              <w:rPr>
                <w:rFonts w:cs="Times New Roman"/>
              </w:rPr>
              <w:t xml:space="preserve">státem podporované a využívané </w:t>
            </w:r>
            <w:r w:rsidRPr="00BA4F8E">
              <w:t>partnerské spolupráce v oblasti zaměstnanosti, ekonomického rozvoje a sociální inkluze</w:t>
            </w:r>
            <w:r w:rsidRPr="00BA4F8E">
              <w:rPr>
                <w:rFonts w:cs="Times New Roman"/>
              </w:rPr>
              <w:t>.</w:t>
            </w:r>
          </w:p>
        </w:tc>
      </w:tr>
      <w:tr w:rsidR="00E97CE1" w:rsidRPr="00BA4F8E" w14:paraId="4F123D65" w14:textId="77777777" w:rsidTr="003F15C6">
        <w:tblPrEx>
          <w:shd w:val="clear" w:color="auto" w:fill="auto"/>
        </w:tblPrEx>
        <w:tc>
          <w:tcPr>
            <w:tcW w:w="2771" w:type="dxa"/>
            <w:shd w:val="clear" w:color="auto" w:fill="CFF0FB" w:themeFill="accent6" w:themeFillTint="33"/>
          </w:tcPr>
          <w:p w14:paraId="2B08C99E" w14:textId="77777777" w:rsidR="00E97CE1" w:rsidRPr="00BA4F8E" w:rsidRDefault="00E97CE1" w:rsidP="00E97CE1">
            <w:pPr>
              <w:spacing w:after="0" w:line="276" w:lineRule="auto"/>
              <w:jc w:val="both"/>
              <w:rPr>
                <w:b/>
                <w:i/>
              </w:rPr>
            </w:pPr>
            <w:r w:rsidRPr="00BA4F8E">
              <w:lastRenderedPageBreak/>
              <w:br w:type="page"/>
            </w:r>
            <w:r w:rsidRPr="00BA4F8E">
              <w:rPr>
                <w:b/>
                <w:i/>
              </w:rPr>
              <w:t xml:space="preserve">Specifické cíle  </w:t>
            </w:r>
          </w:p>
        </w:tc>
        <w:tc>
          <w:tcPr>
            <w:tcW w:w="2755" w:type="dxa"/>
            <w:gridSpan w:val="2"/>
            <w:shd w:val="clear" w:color="auto" w:fill="CFF0FB" w:themeFill="accent6" w:themeFillTint="33"/>
          </w:tcPr>
          <w:p w14:paraId="0B2B8F3D" w14:textId="77777777" w:rsidR="00E97CE1" w:rsidRPr="00BA4F8E" w:rsidRDefault="00E97CE1" w:rsidP="00E97CE1">
            <w:pPr>
              <w:spacing w:after="0" w:line="276" w:lineRule="auto"/>
              <w:jc w:val="both"/>
              <w:rPr>
                <w:b/>
                <w:i/>
              </w:rPr>
            </w:pPr>
            <w:r w:rsidRPr="00BA4F8E">
              <w:rPr>
                <w:b/>
                <w:i/>
              </w:rPr>
              <w:t>Indikátory specifického cíle</w:t>
            </w:r>
          </w:p>
        </w:tc>
        <w:tc>
          <w:tcPr>
            <w:tcW w:w="4102" w:type="dxa"/>
            <w:shd w:val="clear" w:color="auto" w:fill="CFF0FB" w:themeFill="accent6" w:themeFillTint="33"/>
          </w:tcPr>
          <w:p w14:paraId="2122CCA9" w14:textId="77777777" w:rsidR="00E97CE1" w:rsidRPr="00BA4F8E" w:rsidRDefault="00E97CE1" w:rsidP="00E97CE1">
            <w:pPr>
              <w:spacing w:after="0" w:line="276" w:lineRule="auto"/>
              <w:jc w:val="both"/>
              <w:rPr>
                <w:b/>
                <w:i/>
              </w:rPr>
            </w:pPr>
            <w:r w:rsidRPr="00BA4F8E">
              <w:rPr>
                <w:b/>
                <w:i/>
              </w:rPr>
              <w:t>Typové aktivity/projekty/operace</w:t>
            </w:r>
          </w:p>
        </w:tc>
      </w:tr>
      <w:tr w:rsidR="00E97CE1" w:rsidRPr="00BA4F8E" w14:paraId="26F36CF9" w14:textId="77777777" w:rsidTr="003F15C6">
        <w:tblPrEx>
          <w:shd w:val="clear" w:color="auto" w:fill="auto"/>
        </w:tblPrEx>
        <w:tc>
          <w:tcPr>
            <w:tcW w:w="2771" w:type="dxa"/>
            <w:shd w:val="clear" w:color="auto" w:fill="CFF0FB" w:themeFill="accent6" w:themeFillTint="33"/>
          </w:tcPr>
          <w:p w14:paraId="09CA28E8" w14:textId="77777777" w:rsidR="00E97CE1" w:rsidRPr="00BA4F8E" w:rsidRDefault="00E97CE1" w:rsidP="00E97CE1">
            <w:pPr>
              <w:spacing w:after="0" w:line="276" w:lineRule="auto"/>
              <w:jc w:val="both"/>
            </w:pPr>
            <w:r w:rsidRPr="00BA4F8E">
              <w:rPr>
                <w:b/>
              </w:rPr>
              <w:t xml:space="preserve">F.2.1: </w:t>
            </w:r>
            <w:r w:rsidRPr="00BA4F8E">
              <w:rPr>
                <w:rFonts w:cs="Times New Roman"/>
                <w:b/>
              </w:rPr>
              <w:t xml:space="preserve">Podpořit a lépe využít spolupráci místních aktérů při řešení potřeb v oblasti zaměstnanosti, ekonomického rozvoje a sociální inkluze </w:t>
            </w:r>
            <w:r w:rsidRPr="00BA4F8E">
              <w:rPr>
                <w:b/>
              </w:rPr>
              <w:t>v krajích ČR</w:t>
            </w:r>
          </w:p>
        </w:tc>
        <w:tc>
          <w:tcPr>
            <w:tcW w:w="2755" w:type="dxa"/>
            <w:gridSpan w:val="2"/>
            <w:shd w:val="clear" w:color="auto" w:fill="CFF0FB" w:themeFill="accent6" w:themeFillTint="33"/>
          </w:tcPr>
          <w:p w14:paraId="2B8FFE43" w14:textId="77777777" w:rsidR="00E97CE1" w:rsidRPr="00BA4F8E" w:rsidRDefault="00E97CE1" w:rsidP="00E97CE1">
            <w:pPr>
              <w:spacing w:after="0" w:line="276" w:lineRule="auto"/>
              <w:ind w:left="700" w:hanging="700"/>
              <w:rPr>
                <w:rFonts w:cstheme="minorHAnsi"/>
              </w:rPr>
            </w:pPr>
            <w:r w:rsidRPr="00BA4F8E">
              <w:rPr>
                <w:rFonts w:cstheme="minorHAnsi"/>
              </w:rPr>
              <w:t>Kraje</w:t>
            </w:r>
            <w:r w:rsidRPr="00BA4F8E">
              <w:rPr>
                <w:rFonts w:cstheme="minorHAnsi"/>
              </w:rPr>
              <w:tab/>
              <w:t>Počet krajů ve kterých jsou funkční a udržitelné Teritoriální pakty zaměstnanosti</w:t>
            </w:r>
          </w:p>
          <w:p w14:paraId="4E1A09BC" w14:textId="77777777" w:rsidR="00E97CE1" w:rsidRPr="00BA4F8E" w:rsidRDefault="00E97CE1" w:rsidP="00E97CE1">
            <w:pPr>
              <w:spacing w:after="0" w:line="276" w:lineRule="auto"/>
              <w:ind w:left="700" w:hanging="700"/>
              <w:rPr>
                <w:rFonts w:cstheme="minorHAnsi"/>
              </w:rPr>
            </w:pPr>
            <w:r w:rsidRPr="00BA4F8E">
              <w:rPr>
                <w:rFonts w:cstheme="minorHAnsi"/>
              </w:rPr>
              <w:t>54303</w:t>
            </w:r>
            <w:r w:rsidRPr="00BA4F8E">
              <w:rPr>
                <w:rFonts w:cstheme="minorHAnsi"/>
              </w:rPr>
              <w:tab/>
              <w:t>Počet nových nástrojů podpory VaVaI na regionální úrovni</w:t>
            </w:r>
          </w:p>
        </w:tc>
        <w:tc>
          <w:tcPr>
            <w:tcW w:w="4102" w:type="dxa"/>
            <w:shd w:val="clear" w:color="auto" w:fill="CFF0FB" w:themeFill="accent6" w:themeFillTint="33"/>
          </w:tcPr>
          <w:p w14:paraId="57F45061" w14:textId="77777777" w:rsidR="00E97CE1" w:rsidRPr="00BA4F8E" w:rsidRDefault="00E97CE1" w:rsidP="00543C1B">
            <w:pPr>
              <w:numPr>
                <w:ilvl w:val="0"/>
                <w:numId w:val="36"/>
              </w:numPr>
              <w:spacing w:after="0" w:line="276" w:lineRule="auto"/>
              <w:ind w:left="284" w:hanging="284"/>
              <w:contextualSpacing/>
              <w:jc w:val="both"/>
            </w:pPr>
            <w:r w:rsidRPr="00BA4F8E">
              <w:t>Vytvoření standardu pro činnost TPZ v ČR a hodnotícího systému pro jejich evaluaci.</w:t>
            </w:r>
          </w:p>
          <w:p w14:paraId="52BC8655" w14:textId="77777777" w:rsidR="00E97CE1" w:rsidRPr="00BA4F8E" w:rsidRDefault="00E97CE1" w:rsidP="00543C1B">
            <w:pPr>
              <w:numPr>
                <w:ilvl w:val="0"/>
                <w:numId w:val="36"/>
              </w:numPr>
              <w:spacing w:after="0" w:line="276" w:lineRule="auto"/>
              <w:ind w:left="284" w:hanging="284"/>
              <w:contextualSpacing/>
              <w:jc w:val="both"/>
            </w:pPr>
            <w:r w:rsidRPr="00BA4F8E">
              <w:t>Zakládání a rozvoj TPZ v krajích ČR jako „bottom-up“ iniciativ s definovanými parametry požadovaných služeb (jeden model – regionálně přizpůsobená řešení).</w:t>
            </w:r>
          </w:p>
          <w:p w14:paraId="257A56B4" w14:textId="77777777" w:rsidR="00E97CE1" w:rsidRPr="00BA4F8E" w:rsidRDefault="00E97CE1" w:rsidP="00543C1B">
            <w:pPr>
              <w:numPr>
                <w:ilvl w:val="0"/>
                <w:numId w:val="36"/>
              </w:numPr>
              <w:spacing w:after="0" w:line="276" w:lineRule="auto"/>
              <w:ind w:left="284" w:hanging="284"/>
              <w:contextualSpacing/>
              <w:jc w:val="both"/>
            </w:pPr>
            <w:r w:rsidRPr="00BA4F8E">
              <w:t xml:space="preserve">Integrované programy rozvoje zaměstnanosti v krajích připravené na platformě TPZ. </w:t>
            </w:r>
          </w:p>
          <w:p w14:paraId="615CF97A" w14:textId="77777777" w:rsidR="00E97CE1" w:rsidRPr="00BA4F8E" w:rsidRDefault="00E97CE1" w:rsidP="00543C1B">
            <w:pPr>
              <w:numPr>
                <w:ilvl w:val="0"/>
                <w:numId w:val="36"/>
              </w:numPr>
              <w:spacing w:after="0" w:line="276" w:lineRule="auto"/>
              <w:ind w:left="284" w:hanging="284"/>
              <w:contextualSpacing/>
              <w:jc w:val="both"/>
            </w:pPr>
            <w:r w:rsidRPr="00BA4F8E">
              <w:t xml:space="preserve">Regionální observatoře trhu práce a konkurenceschopnost.i </w:t>
            </w:r>
          </w:p>
          <w:p w14:paraId="46DB9F1A" w14:textId="77777777" w:rsidR="00E97CE1" w:rsidRPr="00BA4F8E" w:rsidRDefault="00E97CE1" w:rsidP="00543C1B">
            <w:pPr>
              <w:numPr>
                <w:ilvl w:val="0"/>
                <w:numId w:val="36"/>
              </w:numPr>
              <w:spacing w:after="0" w:line="276" w:lineRule="auto"/>
              <w:ind w:left="284" w:hanging="284"/>
              <w:contextualSpacing/>
              <w:jc w:val="both"/>
              <w:rPr>
                <w:i/>
              </w:rPr>
            </w:pPr>
            <w:r w:rsidRPr="00BA4F8E">
              <w:t xml:space="preserve">Koordinační jednotka pro metodickou a organizační podporu TPZ. </w:t>
            </w:r>
          </w:p>
          <w:p w14:paraId="727383DB" w14:textId="77777777" w:rsidR="00E97CE1" w:rsidRPr="00BA4F8E" w:rsidRDefault="00E97CE1" w:rsidP="00543C1B">
            <w:pPr>
              <w:numPr>
                <w:ilvl w:val="0"/>
                <w:numId w:val="36"/>
              </w:numPr>
              <w:spacing w:after="0" w:line="276" w:lineRule="auto"/>
              <w:ind w:left="284" w:hanging="284"/>
              <w:contextualSpacing/>
              <w:jc w:val="both"/>
              <w:rPr>
                <w:i/>
              </w:rPr>
            </w:pPr>
            <w:r w:rsidRPr="00BA4F8E">
              <w:t xml:space="preserve">Leadership akademie – vzdělávací program pro klíčové představitele TPZ a vysokých úředníků spolupracujících ministerstev a dalších centrálních institucí. </w:t>
            </w:r>
          </w:p>
          <w:p w14:paraId="54965979" w14:textId="77777777" w:rsidR="00E97CE1" w:rsidRPr="00BA4F8E" w:rsidRDefault="00E97CE1" w:rsidP="00543C1B">
            <w:pPr>
              <w:numPr>
                <w:ilvl w:val="0"/>
                <w:numId w:val="36"/>
              </w:numPr>
              <w:spacing w:after="0" w:line="276" w:lineRule="auto"/>
              <w:ind w:left="284" w:hanging="284"/>
              <w:contextualSpacing/>
              <w:jc w:val="both"/>
              <w:rPr>
                <w:i/>
              </w:rPr>
            </w:pPr>
            <w:r w:rsidRPr="00BA4F8E">
              <w:t>Sdílení a mainstreaming příkladů dobré praxe.</w:t>
            </w:r>
          </w:p>
        </w:tc>
      </w:tr>
      <w:tr w:rsidR="00E97CE1" w:rsidRPr="00BA4F8E" w14:paraId="2E37ABFD" w14:textId="77777777" w:rsidTr="000C2EFF">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PrEx>
        <w:tc>
          <w:tcPr>
            <w:tcW w:w="9628" w:type="dxa"/>
            <w:gridSpan w:val="4"/>
            <w:tcBorders>
              <w:top w:val="single" w:sz="4" w:space="0" w:color="auto"/>
              <w:left w:val="single" w:sz="4" w:space="0" w:color="auto"/>
              <w:bottom w:val="single" w:sz="4" w:space="0" w:color="auto"/>
              <w:right w:val="single" w:sz="4" w:space="0" w:color="auto"/>
            </w:tcBorders>
            <w:shd w:val="clear" w:color="auto" w:fill="4DC9FF" w:themeFill="accent3" w:themeFillTint="99"/>
          </w:tcPr>
          <w:p w14:paraId="63A84327" w14:textId="77777777" w:rsidR="00E97CE1" w:rsidRPr="000C2EFF" w:rsidRDefault="00E97CE1" w:rsidP="00E97CE1">
            <w:pPr>
              <w:spacing w:after="0" w:line="276" w:lineRule="auto"/>
              <w:jc w:val="both"/>
              <w:rPr>
                <w:rFonts w:cs="Times New Roman"/>
              </w:rPr>
            </w:pPr>
            <w:r w:rsidRPr="000C2EFF">
              <w:rPr>
                <w:rFonts w:cs="Times New Roman"/>
              </w:rPr>
              <w:t>Strategie a národní dokumenty, k nimž se strategické a specifické cíle vztahují:</w:t>
            </w:r>
          </w:p>
          <w:p w14:paraId="49251FEF" w14:textId="77777777" w:rsidR="00E97CE1" w:rsidRPr="000C2EFF" w:rsidRDefault="00E97CE1" w:rsidP="00543C1B">
            <w:pPr>
              <w:numPr>
                <w:ilvl w:val="0"/>
                <w:numId w:val="54"/>
              </w:numPr>
              <w:spacing w:after="0" w:line="276" w:lineRule="auto"/>
              <w:contextualSpacing/>
              <w:jc w:val="both"/>
              <w:rPr>
                <w:rFonts w:cs="Times New Roman"/>
              </w:rPr>
            </w:pPr>
            <w:r w:rsidRPr="000C2EFF">
              <w:rPr>
                <w:rFonts w:cs="Times New Roman"/>
              </w:rPr>
              <w:t>Strategie mezinárodní konkurenceschopnosti České republiky pro období 2012 až 2020</w:t>
            </w:r>
          </w:p>
          <w:p w14:paraId="3046FBD3" w14:textId="77777777" w:rsidR="00E97CE1" w:rsidRPr="000C2EFF" w:rsidRDefault="00E97CE1" w:rsidP="00543C1B">
            <w:pPr>
              <w:numPr>
                <w:ilvl w:val="0"/>
                <w:numId w:val="54"/>
              </w:numPr>
              <w:spacing w:after="0" w:line="276" w:lineRule="auto"/>
              <w:contextualSpacing/>
              <w:jc w:val="both"/>
              <w:rPr>
                <w:rFonts w:cs="Times New Roman"/>
              </w:rPr>
            </w:pPr>
            <w:r w:rsidRPr="00BA4F8E">
              <w:rPr>
                <w:rFonts w:cs="Times New Roman"/>
              </w:rPr>
              <w:lastRenderedPageBreak/>
              <w:t>Národní priority orientovaného výzkumu, experimentálního vývoje a inovací</w:t>
            </w:r>
          </w:p>
        </w:tc>
      </w:tr>
      <w:tr w:rsidR="00E97CE1" w:rsidRPr="00BA4F8E" w14:paraId="22B2B6CB" w14:textId="77777777" w:rsidTr="000C2EFF">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PrEx>
        <w:tc>
          <w:tcPr>
            <w:tcW w:w="9628" w:type="dxa"/>
            <w:gridSpan w:val="4"/>
            <w:tcBorders>
              <w:top w:val="single" w:sz="4" w:space="0" w:color="auto"/>
              <w:left w:val="single" w:sz="4" w:space="0" w:color="auto"/>
              <w:bottom w:val="single" w:sz="4" w:space="0" w:color="auto"/>
              <w:right w:val="single" w:sz="4" w:space="0" w:color="auto"/>
            </w:tcBorders>
            <w:shd w:val="clear" w:color="auto" w:fill="4DC9FF" w:themeFill="accent3" w:themeFillTint="99"/>
          </w:tcPr>
          <w:p w14:paraId="28CDD6B0" w14:textId="77777777" w:rsidR="00E97CE1" w:rsidRPr="000C2EFF" w:rsidRDefault="00E97CE1" w:rsidP="00E97CE1">
            <w:pPr>
              <w:spacing w:after="0" w:line="276" w:lineRule="auto"/>
              <w:jc w:val="both"/>
              <w:rPr>
                <w:rFonts w:cs="Times New Roman"/>
              </w:rPr>
            </w:pPr>
            <w:r w:rsidRPr="000C2EFF">
              <w:rPr>
                <w:rFonts w:cs="Times New Roman"/>
              </w:rPr>
              <w:lastRenderedPageBreak/>
              <w:t xml:space="preserve">Podmínky a bariéry realizace intervencí v této klíčové oblasti změn: </w:t>
            </w:r>
          </w:p>
          <w:p w14:paraId="7BB1E63D" w14:textId="77777777" w:rsidR="00E97CE1" w:rsidRPr="000C2EFF" w:rsidRDefault="00E97CE1" w:rsidP="00543C1B">
            <w:pPr>
              <w:numPr>
                <w:ilvl w:val="0"/>
                <w:numId w:val="53"/>
              </w:numPr>
              <w:spacing w:after="0" w:line="276" w:lineRule="auto"/>
              <w:contextualSpacing/>
              <w:jc w:val="both"/>
              <w:rPr>
                <w:rFonts w:cs="Times New Roman"/>
              </w:rPr>
            </w:pPr>
            <w:r w:rsidRPr="000C2EFF">
              <w:rPr>
                <w:rFonts w:cs="Times New Roman"/>
              </w:rPr>
              <w:t>Plné pochopení a účinná podpora sociálních inovací v ČR</w:t>
            </w:r>
          </w:p>
          <w:p w14:paraId="72DABD39" w14:textId="3C9322D0" w:rsidR="00E97CE1" w:rsidRPr="000C2EFF" w:rsidRDefault="00E97CE1" w:rsidP="00543C1B">
            <w:pPr>
              <w:numPr>
                <w:ilvl w:val="0"/>
                <w:numId w:val="53"/>
              </w:numPr>
              <w:spacing w:after="0" w:line="276" w:lineRule="auto"/>
              <w:contextualSpacing/>
              <w:jc w:val="both"/>
              <w:rPr>
                <w:rFonts w:cs="Times New Roman"/>
              </w:rPr>
            </w:pPr>
            <w:r w:rsidRPr="000C2EFF">
              <w:rPr>
                <w:rFonts w:cs="Times New Roman"/>
              </w:rPr>
              <w:t>Správné naprogramování sociálních inovací do ESIF v ČR, a to jak s využitím ESF (zejména v</w:t>
            </w:r>
            <w:r w:rsidR="00F541F2">
              <w:rPr>
                <w:rFonts w:cs="Times New Roman"/>
              </w:rPr>
              <w:t> </w:t>
            </w:r>
            <w:r w:rsidRPr="000C2EFF">
              <w:rPr>
                <w:rFonts w:cs="Times New Roman"/>
              </w:rPr>
              <w:t>OP</w:t>
            </w:r>
            <w:r w:rsidR="00F541F2">
              <w:rPr>
                <w:rFonts w:cs="Times New Roman"/>
              </w:rPr>
              <w:t> </w:t>
            </w:r>
            <w:r w:rsidRPr="000C2EFF">
              <w:rPr>
                <w:rFonts w:cs="Times New Roman"/>
              </w:rPr>
              <w:t>Z a OP VVV), tak i ERDF (zejména v OP PIK a IROP)</w:t>
            </w:r>
          </w:p>
          <w:p w14:paraId="4C9A38B4" w14:textId="77777777" w:rsidR="00E97CE1" w:rsidRPr="000C2EFF" w:rsidRDefault="00E97CE1" w:rsidP="00543C1B">
            <w:pPr>
              <w:numPr>
                <w:ilvl w:val="0"/>
                <w:numId w:val="53"/>
              </w:numPr>
              <w:spacing w:after="0" w:line="276" w:lineRule="auto"/>
              <w:contextualSpacing/>
              <w:jc w:val="both"/>
              <w:rPr>
                <w:rFonts w:cs="Times New Roman"/>
              </w:rPr>
            </w:pPr>
            <w:r w:rsidRPr="000C2EFF">
              <w:rPr>
                <w:rFonts w:cs="Times New Roman"/>
              </w:rPr>
              <w:t>Podpora partnerství jako základní formy pro sociální inovace</w:t>
            </w:r>
          </w:p>
          <w:p w14:paraId="537E3B1D" w14:textId="77777777" w:rsidR="00E97CE1" w:rsidRPr="000C2EFF" w:rsidRDefault="00E97CE1" w:rsidP="00543C1B">
            <w:pPr>
              <w:numPr>
                <w:ilvl w:val="0"/>
                <w:numId w:val="53"/>
              </w:numPr>
              <w:spacing w:after="0" w:line="276" w:lineRule="auto"/>
              <w:contextualSpacing/>
              <w:jc w:val="both"/>
              <w:rPr>
                <w:rFonts w:cs="Times New Roman"/>
              </w:rPr>
            </w:pPr>
            <w:r w:rsidRPr="000C2EFF">
              <w:rPr>
                <w:rFonts w:cs="Times New Roman"/>
              </w:rPr>
              <w:t>Zjednodušování administrativy pro lepší přístup partnerství k financování</w:t>
            </w:r>
          </w:p>
          <w:p w14:paraId="2CAEACB1" w14:textId="77777777" w:rsidR="00E97CE1" w:rsidRPr="000C2EFF" w:rsidRDefault="00E97CE1" w:rsidP="00543C1B">
            <w:pPr>
              <w:numPr>
                <w:ilvl w:val="0"/>
                <w:numId w:val="53"/>
              </w:numPr>
              <w:spacing w:after="0" w:line="276" w:lineRule="auto"/>
              <w:contextualSpacing/>
              <w:jc w:val="both"/>
              <w:rPr>
                <w:rFonts w:cs="Times New Roman"/>
              </w:rPr>
            </w:pPr>
            <w:r w:rsidRPr="000C2EFF">
              <w:rPr>
                <w:rFonts w:cs="Times New Roman"/>
              </w:rPr>
              <w:t xml:space="preserve">Umožnění integrovaných přístupů a nástrojů k řešení komplexních společenských výzev </w:t>
            </w:r>
          </w:p>
          <w:p w14:paraId="4423BE05" w14:textId="77777777" w:rsidR="00E97CE1" w:rsidRPr="000C2EFF" w:rsidRDefault="00E97CE1" w:rsidP="00543C1B">
            <w:pPr>
              <w:numPr>
                <w:ilvl w:val="0"/>
                <w:numId w:val="53"/>
              </w:numPr>
              <w:spacing w:after="0" w:line="276" w:lineRule="auto"/>
              <w:contextualSpacing/>
              <w:jc w:val="both"/>
              <w:rPr>
                <w:rFonts w:cs="Times New Roman"/>
              </w:rPr>
            </w:pPr>
            <w:r w:rsidRPr="000C2EFF">
              <w:rPr>
                <w:rFonts w:cs="Times New Roman"/>
              </w:rPr>
              <w:t>Možnost experimentování v oblasti sociálních inovací</w:t>
            </w:r>
          </w:p>
          <w:p w14:paraId="2A3D96BE" w14:textId="77777777" w:rsidR="00E97CE1" w:rsidRPr="000C2EFF" w:rsidRDefault="00E97CE1" w:rsidP="00543C1B">
            <w:pPr>
              <w:numPr>
                <w:ilvl w:val="0"/>
                <w:numId w:val="53"/>
              </w:numPr>
              <w:spacing w:after="0" w:line="276" w:lineRule="auto"/>
              <w:contextualSpacing/>
              <w:jc w:val="both"/>
              <w:rPr>
                <w:rFonts w:cs="Times New Roman"/>
              </w:rPr>
            </w:pPr>
            <w:r w:rsidRPr="000C2EFF">
              <w:rPr>
                <w:rFonts w:cs="Times New Roman"/>
              </w:rPr>
              <w:t>Vytvoření podmínek pro testování/ověřování/měření experimentálních řešení</w:t>
            </w:r>
          </w:p>
          <w:p w14:paraId="17CCB118" w14:textId="77777777" w:rsidR="00E97CE1" w:rsidRPr="000C2EFF" w:rsidRDefault="00E97CE1" w:rsidP="00543C1B">
            <w:pPr>
              <w:numPr>
                <w:ilvl w:val="0"/>
                <w:numId w:val="53"/>
              </w:numPr>
              <w:spacing w:after="0" w:line="276" w:lineRule="auto"/>
              <w:contextualSpacing/>
              <w:jc w:val="both"/>
              <w:rPr>
                <w:rFonts w:cs="Times New Roman"/>
              </w:rPr>
            </w:pPr>
            <w:r w:rsidRPr="000C2EFF">
              <w:rPr>
                <w:rFonts w:cs="Times New Roman"/>
              </w:rPr>
              <w:t xml:space="preserve">Vytvoření podmínek pro systémové využití ověřených a osvědčených experimentálních řešení </w:t>
            </w:r>
          </w:p>
        </w:tc>
      </w:tr>
    </w:tbl>
    <w:p w14:paraId="66744B29" w14:textId="77777777" w:rsidR="00313429" w:rsidRPr="00BA4F8E" w:rsidRDefault="00313429" w:rsidP="00805187">
      <w:pPr>
        <w:pStyle w:val="Nadpis2"/>
        <w:numPr>
          <w:ilvl w:val="0"/>
          <w:numId w:val="0"/>
        </w:numPr>
        <w:rPr>
          <w:rFonts w:asciiTheme="minorHAnsi" w:hAnsiTheme="minorHAnsi"/>
          <w:sz w:val="22"/>
          <w:szCs w:val="22"/>
        </w:rPr>
      </w:pPr>
    </w:p>
    <w:p w14:paraId="1B181CDF" w14:textId="77777777" w:rsidR="007745AC" w:rsidRPr="00BA4F8E" w:rsidRDefault="007745AC" w:rsidP="007745AC"/>
    <w:p w14:paraId="64C59BDE" w14:textId="79E275F0" w:rsidR="00C125E4" w:rsidRDefault="00C125E4" w:rsidP="00EF4A38">
      <w:pPr>
        <w:pStyle w:val="Nadpis2"/>
      </w:pPr>
      <w:bookmarkStart w:id="119" w:name="_Toc525716211"/>
      <w:r w:rsidRPr="00EF4A38">
        <w:t>Gesce za realizaci strategických cílů v jednotlivých oblastech klíčových změn</w:t>
      </w:r>
      <w:bookmarkEnd w:id="119"/>
    </w:p>
    <w:p w14:paraId="4C813DA8" w14:textId="77777777" w:rsidR="003E534B" w:rsidRDefault="003E534B" w:rsidP="00580DE3">
      <w:pPr>
        <w:pStyle w:val="Titulek"/>
      </w:pPr>
    </w:p>
    <w:p w14:paraId="7919B275" w14:textId="01AC5D3A" w:rsidR="003E534B" w:rsidRPr="003E534B" w:rsidRDefault="003E534B" w:rsidP="00580DE3">
      <w:pPr>
        <w:pStyle w:val="Titulek"/>
      </w:pPr>
      <w:bookmarkStart w:id="120" w:name="_Toc524677671"/>
      <w:r>
        <w:t xml:space="preserve">Tabulka </w:t>
      </w:r>
      <w:r w:rsidR="00B034E9">
        <w:rPr>
          <w:noProof/>
        </w:rPr>
        <w:fldChar w:fldCharType="begin"/>
      </w:r>
      <w:r w:rsidR="00B034E9">
        <w:rPr>
          <w:noProof/>
        </w:rPr>
        <w:instrText xml:space="preserve"> SEQ Tabulka \* ARABIC </w:instrText>
      </w:r>
      <w:r w:rsidR="00B034E9">
        <w:rPr>
          <w:noProof/>
        </w:rPr>
        <w:fldChar w:fldCharType="separate"/>
      </w:r>
      <w:r w:rsidR="00DE40D4">
        <w:rPr>
          <w:noProof/>
        </w:rPr>
        <w:t>11</w:t>
      </w:r>
      <w:r w:rsidR="00B034E9">
        <w:rPr>
          <w:noProof/>
        </w:rPr>
        <w:fldChar w:fldCharType="end"/>
      </w:r>
      <w:r>
        <w:t xml:space="preserve"> – Gesce za realizaci strategických cílů v jednotlivých oblastech klíčových změn</w:t>
      </w:r>
      <w:bookmarkEnd w:id="120"/>
    </w:p>
    <w:tbl>
      <w:tblPr>
        <w:tblStyle w:val="Mkatabulky3"/>
        <w:tblW w:w="0" w:type="auto"/>
        <w:shd w:val="clear" w:color="auto" w:fill="B4E2B9"/>
        <w:tblLook w:val="04A0" w:firstRow="1" w:lastRow="0" w:firstColumn="1" w:lastColumn="0" w:noHBand="0" w:noVBand="1"/>
      </w:tblPr>
      <w:tblGrid>
        <w:gridCol w:w="4359"/>
        <w:gridCol w:w="2406"/>
        <w:gridCol w:w="2297"/>
      </w:tblGrid>
      <w:tr w:rsidR="007C0D33" w:rsidRPr="00BA4F8E" w14:paraId="388A66B5" w14:textId="77777777" w:rsidTr="006243C9">
        <w:trPr>
          <w:tblHeader/>
        </w:trPr>
        <w:tc>
          <w:tcPr>
            <w:tcW w:w="4695" w:type="dxa"/>
            <w:shd w:val="clear" w:color="auto" w:fill="004B8D"/>
          </w:tcPr>
          <w:p w14:paraId="7ADB44AA" w14:textId="77777777" w:rsidR="007C0D33" w:rsidRPr="00BA4F8E" w:rsidRDefault="007C0D33" w:rsidP="007C0D33">
            <w:pPr>
              <w:spacing w:after="0" w:line="240" w:lineRule="auto"/>
              <w:jc w:val="both"/>
              <w:rPr>
                <w:rFonts w:cstheme="minorHAnsi"/>
                <w:b/>
              </w:rPr>
            </w:pPr>
            <w:r w:rsidRPr="00BA4F8E">
              <w:rPr>
                <w:rFonts w:cstheme="minorHAnsi"/>
                <w:b/>
              </w:rPr>
              <w:t>Název klíčové oblasti změny a strategického cíle:</w:t>
            </w:r>
          </w:p>
        </w:tc>
        <w:tc>
          <w:tcPr>
            <w:tcW w:w="2520" w:type="dxa"/>
            <w:shd w:val="clear" w:color="auto" w:fill="004B8D"/>
          </w:tcPr>
          <w:p w14:paraId="48E62F75" w14:textId="77777777" w:rsidR="007C0D33" w:rsidRPr="00BA4F8E" w:rsidRDefault="007C0D33" w:rsidP="007C0D33">
            <w:pPr>
              <w:spacing w:after="0" w:line="240" w:lineRule="auto"/>
              <w:jc w:val="both"/>
              <w:rPr>
                <w:rFonts w:cstheme="minorHAnsi"/>
                <w:b/>
              </w:rPr>
            </w:pPr>
            <w:r w:rsidRPr="00BA4F8E">
              <w:rPr>
                <w:rFonts w:cstheme="minorHAnsi"/>
                <w:b/>
              </w:rPr>
              <w:t xml:space="preserve">Zodpovědnost za realizaci intervencí </w:t>
            </w:r>
          </w:p>
        </w:tc>
        <w:tc>
          <w:tcPr>
            <w:tcW w:w="2413" w:type="dxa"/>
            <w:shd w:val="clear" w:color="auto" w:fill="004B8D"/>
          </w:tcPr>
          <w:p w14:paraId="41B78587" w14:textId="6D267B20" w:rsidR="007C0D33" w:rsidRPr="00BA4F8E" w:rsidRDefault="007C0D33" w:rsidP="007C0D33">
            <w:pPr>
              <w:spacing w:after="0" w:line="240" w:lineRule="auto"/>
              <w:jc w:val="both"/>
              <w:rPr>
                <w:rFonts w:cstheme="minorHAnsi"/>
                <w:b/>
              </w:rPr>
            </w:pPr>
            <w:r w:rsidRPr="00BA4F8E">
              <w:rPr>
                <w:rFonts w:cstheme="minorHAnsi"/>
                <w:b/>
              </w:rPr>
              <w:t>Doporučení realizovat intervence</w:t>
            </w:r>
            <w:r w:rsidR="00FD4B9E">
              <w:rPr>
                <w:rStyle w:val="Znakapoznpodarou"/>
                <w:rFonts w:cstheme="minorHAnsi"/>
                <w:b/>
              </w:rPr>
              <w:footnoteReference w:id="101"/>
            </w:r>
            <w:r w:rsidRPr="00BA4F8E">
              <w:rPr>
                <w:rFonts w:cstheme="minorHAnsi"/>
                <w:b/>
              </w:rPr>
              <w:t xml:space="preserve"> </w:t>
            </w:r>
          </w:p>
        </w:tc>
      </w:tr>
      <w:tr w:rsidR="007C0D33" w:rsidRPr="00BA4F8E" w14:paraId="125AF21F" w14:textId="77777777" w:rsidTr="006515E3">
        <w:tc>
          <w:tcPr>
            <w:tcW w:w="9628" w:type="dxa"/>
            <w:gridSpan w:val="3"/>
            <w:shd w:val="clear" w:color="auto" w:fill="B9E0F7"/>
          </w:tcPr>
          <w:p w14:paraId="3092FF5A" w14:textId="77777777" w:rsidR="007C0D33" w:rsidRPr="00BA4F8E" w:rsidRDefault="007C0D33" w:rsidP="007C0D33">
            <w:pPr>
              <w:spacing w:after="0" w:line="276" w:lineRule="auto"/>
              <w:jc w:val="both"/>
              <w:rPr>
                <w:rFonts w:cstheme="minorHAnsi"/>
                <w:b/>
              </w:rPr>
            </w:pPr>
            <w:r w:rsidRPr="00BA4F8E">
              <w:rPr>
                <w:rFonts w:cstheme="minorHAnsi"/>
                <w:b/>
              </w:rPr>
              <w:t>A: Vyšší inovační výkonnost firem</w:t>
            </w:r>
          </w:p>
        </w:tc>
      </w:tr>
      <w:tr w:rsidR="007C0D33" w:rsidRPr="00BA4F8E" w14:paraId="746CDD03" w14:textId="77777777" w:rsidTr="00010DFD">
        <w:tc>
          <w:tcPr>
            <w:tcW w:w="4695" w:type="dxa"/>
            <w:shd w:val="clear" w:color="auto" w:fill="auto"/>
          </w:tcPr>
          <w:p w14:paraId="46073B3F" w14:textId="77777777" w:rsidR="007C0D33" w:rsidRPr="00BA4F8E" w:rsidRDefault="007C0D33" w:rsidP="007C0D33">
            <w:pPr>
              <w:spacing w:after="0" w:line="276" w:lineRule="auto"/>
              <w:jc w:val="both"/>
              <w:rPr>
                <w:rFonts w:cstheme="minorHAnsi"/>
              </w:rPr>
            </w:pPr>
            <w:r w:rsidRPr="00BA4F8E">
              <w:rPr>
                <w:rFonts w:cstheme="minorHAnsi"/>
              </w:rPr>
              <w:t>Strategický cíl A.1: Zvýšit inovační poptávku ve firmách (i ve veřejném sektoru)</w:t>
            </w:r>
          </w:p>
        </w:tc>
        <w:tc>
          <w:tcPr>
            <w:tcW w:w="2520" w:type="dxa"/>
            <w:shd w:val="clear" w:color="auto" w:fill="auto"/>
          </w:tcPr>
          <w:p w14:paraId="1E78AB44" w14:textId="77777777" w:rsidR="007C0D33" w:rsidRPr="00BA4F8E" w:rsidRDefault="007C0D33" w:rsidP="007C0D33">
            <w:pPr>
              <w:spacing w:after="0" w:line="240" w:lineRule="auto"/>
              <w:jc w:val="both"/>
              <w:rPr>
                <w:rFonts w:cstheme="minorHAnsi"/>
                <w:b/>
              </w:rPr>
            </w:pPr>
            <w:r w:rsidRPr="00BA4F8E">
              <w:rPr>
                <w:rFonts w:cstheme="minorHAnsi"/>
                <w:b/>
              </w:rPr>
              <w:t>MPO</w:t>
            </w:r>
          </w:p>
        </w:tc>
        <w:tc>
          <w:tcPr>
            <w:tcW w:w="2413" w:type="dxa"/>
            <w:shd w:val="clear" w:color="auto" w:fill="auto"/>
          </w:tcPr>
          <w:p w14:paraId="164F1F34" w14:textId="77777777" w:rsidR="007C0D33" w:rsidRPr="00BA4F8E" w:rsidRDefault="007C0D33" w:rsidP="007C0D33">
            <w:pPr>
              <w:spacing w:after="0" w:line="240" w:lineRule="auto"/>
              <w:jc w:val="both"/>
              <w:rPr>
                <w:rFonts w:cstheme="minorHAnsi"/>
                <w:b/>
              </w:rPr>
            </w:pPr>
            <w:r w:rsidRPr="00BA4F8E">
              <w:rPr>
                <w:rFonts w:cstheme="minorHAnsi"/>
                <w:b/>
              </w:rPr>
              <w:t>Hl. m. Praha</w:t>
            </w:r>
          </w:p>
        </w:tc>
      </w:tr>
      <w:tr w:rsidR="007C0D33" w:rsidRPr="00BA4F8E" w14:paraId="15C7D77E" w14:textId="77777777" w:rsidTr="00010DFD">
        <w:tc>
          <w:tcPr>
            <w:tcW w:w="4695" w:type="dxa"/>
            <w:shd w:val="clear" w:color="auto" w:fill="auto"/>
          </w:tcPr>
          <w:p w14:paraId="0F67B51A" w14:textId="77777777" w:rsidR="007C0D33" w:rsidRPr="00BA4F8E" w:rsidRDefault="007C0D33" w:rsidP="007C0D33">
            <w:pPr>
              <w:spacing w:after="0" w:line="276" w:lineRule="auto"/>
              <w:jc w:val="both"/>
              <w:rPr>
                <w:rFonts w:cstheme="minorHAnsi"/>
              </w:rPr>
            </w:pPr>
            <w:r w:rsidRPr="00BA4F8E">
              <w:rPr>
                <w:rFonts w:cstheme="minorHAnsi"/>
              </w:rPr>
              <w:t>Strategický cíl A.2: Zvýšit míru podnikání ve společnosti s důrazem na zakládání nových rychle rostoucích firem</w:t>
            </w:r>
          </w:p>
        </w:tc>
        <w:tc>
          <w:tcPr>
            <w:tcW w:w="2520" w:type="dxa"/>
            <w:shd w:val="clear" w:color="auto" w:fill="auto"/>
          </w:tcPr>
          <w:p w14:paraId="189B6769" w14:textId="77777777" w:rsidR="007C0D33" w:rsidRPr="00BA4F8E" w:rsidRDefault="007C0D33" w:rsidP="007C0D33">
            <w:pPr>
              <w:spacing w:after="0" w:line="240" w:lineRule="auto"/>
              <w:jc w:val="both"/>
              <w:rPr>
                <w:rFonts w:cstheme="minorHAnsi"/>
                <w:b/>
              </w:rPr>
            </w:pPr>
            <w:r w:rsidRPr="00BA4F8E">
              <w:rPr>
                <w:rFonts w:cstheme="minorHAnsi"/>
                <w:b/>
              </w:rPr>
              <w:t>MPO</w:t>
            </w:r>
          </w:p>
        </w:tc>
        <w:tc>
          <w:tcPr>
            <w:tcW w:w="2413" w:type="dxa"/>
            <w:shd w:val="clear" w:color="auto" w:fill="auto"/>
          </w:tcPr>
          <w:p w14:paraId="1CDAED21" w14:textId="77777777" w:rsidR="007C0D33" w:rsidRPr="00BA4F8E" w:rsidRDefault="007C0D33" w:rsidP="007C0D33">
            <w:pPr>
              <w:spacing w:after="0" w:line="240" w:lineRule="auto"/>
              <w:jc w:val="both"/>
              <w:rPr>
                <w:rFonts w:cstheme="minorHAnsi"/>
                <w:b/>
              </w:rPr>
            </w:pPr>
            <w:r w:rsidRPr="00BA4F8E">
              <w:rPr>
                <w:rFonts w:cstheme="minorHAnsi"/>
                <w:b/>
              </w:rPr>
              <w:t>Hl. m. Praha</w:t>
            </w:r>
          </w:p>
        </w:tc>
      </w:tr>
      <w:tr w:rsidR="007C0D33" w:rsidRPr="00BA4F8E" w14:paraId="1E41AC19" w14:textId="77777777" w:rsidTr="00010DFD">
        <w:tc>
          <w:tcPr>
            <w:tcW w:w="4695" w:type="dxa"/>
            <w:shd w:val="clear" w:color="auto" w:fill="auto"/>
          </w:tcPr>
          <w:p w14:paraId="2EA2C1B5" w14:textId="77777777" w:rsidR="007C0D33" w:rsidRPr="00BA4F8E" w:rsidRDefault="007C0D33" w:rsidP="007C0D33">
            <w:pPr>
              <w:spacing w:after="0" w:line="276" w:lineRule="auto"/>
              <w:jc w:val="both"/>
              <w:rPr>
                <w:rFonts w:cstheme="minorHAnsi"/>
              </w:rPr>
            </w:pPr>
            <w:r w:rsidRPr="00BA4F8E">
              <w:rPr>
                <w:rFonts w:cstheme="minorHAnsi"/>
              </w:rPr>
              <w:t>Strategický cíl A.3: Zvýšit internacionalizaci MSP</w:t>
            </w:r>
          </w:p>
        </w:tc>
        <w:tc>
          <w:tcPr>
            <w:tcW w:w="2520" w:type="dxa"/>
            <w:shd w:val="clear" w:color="auto" w:fill="auto"/>
          </w:tcPr>
          <w:p w14:paraId="34EE1ACA" w14:textId="77777777" w:rsidR="007C0D33" w:rsidRPr="00BA4F8E" w:rsidRDefault="007C0D33" w:rsidP="007C0D33">
            <w:pPr>
              <w:spacing w:after="0" w:line="240" w:lineRule="auto"/>
              <w:jc w:val="both"/>
              <w:rPr>
                <w:rFonts w:cstheme="minorHAnsi"/>
                <w:b/>
              </w:rPr>
            </w:pPr>
            <w:r w:rsidRPr="00BA4F8E">
              <w:rPr>
                <w:rFonts w:cstheme="minorHAnsi"/>
                <w:b/>
              </w:rPr>
              <w:t>MPO</w:t>
            </w:r>
          </w:p>
        </w:tc>
        <w:tc>
          <w:tcPr>
            <w:tcW w:w="2413" w:type="dxa"/>
            <w:shd w:val="clear" w:color="auto" w:fill="auto"/>
          </w:tcPr>
          <w:p w14:paraId="2D868FA6" w14:textId="77777777" w:rsidR="007C0D33" w:rsidRPr="00BA4F8E" w:rsidRDefault="007C0D33" w:rsidP="007C0D33">
            <w:pPr>
              <w:spacing w:after="0" w:line="240" w:lineRule="auto"/>
              <w:jc w:val="both"/>
              <w:rPr>
                <w:rFonts w:cstheme="minorHAnsi"/>
                <w:b/>
              </w:rPr>
            </w:pPr>
            <w:r w:rsidRPr="00BA4F8E">
              <w:rPr>
                <w:rFonts w:cstheme="minorHAnsi"/>
                <w:b/>
              </w:rPr>
              <w:t>Hl. m. Praha</w:t>
            </w:r>
          </w:p>
        </w:tc>
      </w:tr>
      <w:tr w:rsidR="007C0D33" w:rsidRPr="00BA4F8E" w14:paraId="73FB0574" w14:textId="77777777" w:rsidTr="006515E3">
        <w:tc>
          <w:tcPr>
            <w:tcW w:w="9628" w:type="dxa"/>
            <w:gridSpan w:val="3"/>
            <w:shd w:val="clear" w:color="auto" w:fill="B9E0F7"/>
          </w:tcPr>
          <w:p w14:paraId="5873F7EC" w14:textId="77777777" w:rsidR="007C0D33" w:rsidRPr="00BA4F8E" w:rsidRDefault="007C0D33" w:rsidP="007C0D33">
            <w:pPr>
              <w:spacing w:after="0" w:line="276" w:lineRule="auto"/>
              <w:jc w:val="both"/>
              <w:rPr>
                <w:rFonts w:cstheme="minorHAnsi"/>
                <w:b/>
              </w:rPr>
            </w:pPr>
            <w:r w:rsidRPr="00BA4F8E">
              <w:rPr>
                <w:rFonts w:cstheme="minorHAnsi"/>
                <w:b/>
              </w:rPr>
              <w:t>B: Zvýšení kvality veřejného výzkumu</w:t>
            </w:r>
          </w:p>
        </w:tc>
      </w:tr>
      <w:tr w:rsidR="007C0D33" w:rsidRPr="00BA4F8E" w14:paraId="0E8E6023" w14:textId="77777777" w:rsidTr="00010DFD">
        <w:tc>
          <w:tcPr>
            <w:tcW w:w="4695" w:type="dxa"/>
            <w:shd w:val="clear" w:color="auto" w:fill="auto"/>
          </w:tcPr>
          <w:p w14:paraId="000D227D" w14:textId="77777777" w:rsidR="007C0D33" w:rsidRPr="00BA4F8E" w:rsidRDefault="007C0D33" w:rsidP="007C0D33">
            <w:pPr>
              <w:spacing w:after="0" w:line="240" w:lineRule="auto"/>
              <w:jc w:val="both"/>
              <w:rPr>
                <w:rFonts w:cstheme="minorHAnsi"/>
                <w:b/>
              </w:rPr>
            </w:pPr>
            <w:r w:rsidRPr="00BA4F8E">
              <w:rPr>
                <w:rFonts w:cstheme="minorHAnsi"/>
              </w:rPr>
              <w:t>Strategický cíl B 1: Zlepšit kvalitu a problémovou orientaci výzkumu ve znalostních doménách relevantních pro inteligentní specializaci</w:t>
            </w:r>
          </w:p>
        </w:tc>
        <w:tc>
          <w:tcPr>
            <w:tcW w:w="2520" w:type="dxa"/>
            <w:shd w:val="clear" w:color="auto" w:fill="auto"/>
          </w:tcPr>
          <w:p w14:paraId="12F0C5E4" w14:textId="77777777" w:rsidR="007C0D33" w:rsidRPr="00BA4F8E" w:rsidRDefault="007C0D33" w:rsidP="007C0D33">
            <w:pPr>
              <w:spacing w:after="0" w:line="240" w:lineRule="auto"/>
              <w:jc w:val="both"/>
              <w:rPr>
                <w:rFonts w:cstheme="minorHAnsi"/>
                <w:b/>
              </w:rPr>
            </w:pPr>
            <w:r w:rsidRPr="00BA4F8E">
              <w:rPr>
                <w:rFonts w:cstheme="minorHAnsi"/>
                <w:b/>
              </w:rPr>
              <w:t>MŠMT</w:t>
            </w:r>
          </w:p>
        </w:tc>
        <w:tc>
          <w:tcPr>
            <w:tcW w:w="2413" w:type="dxa"/>
            <w:shd w:val="clear" w:color="auto" w:fill="auto"/>
          </w:tcPr>
          <w:p w14:paraId="39E48350" w14:textId="77777777" w:rsidR="007C0D33" w:rsidRPr="00BA4F8E" w:rsidRDefault="007C0D33" w:rsidP="007C0D33">
            <w:pPr>
              <w:spacing w:after="0" w:line="240" w:lineRule="auto"/>
              <w:jc w:val="both"/>
              <w:rPr>
                <w:rFonts w:cstheme="minorHAnsi"/>
                <w:b/>
              </w:rPr>
            </w:pPr>
            <w:r w:rsidRPr="00BA4F8E">
              <w:rPr>
                <w:rFonts w:cstheme="minorHAnsi"/>
                <w:b/>
              </w:rPr>
              <w:t>Hl. m. Praha</w:t>
            </w:r>
          </w:p>
        </w:tc>
      </w:tr>
      <w:tr w:rsidR="007C0D33" w:rsidRPr="00BA4F8E" w14:paraId="461A28DE" w14:textId="77777777" w:rsidTr="006515E3">
        <w:tc>
          <w:tcPr>
            <w:tcW w:w="9628" w:type="dxa"/>
            <w:gridSpan w:val="3"/>
            <w:shd w:val="clear" w:color="auto" w:fill="B9E0F7"/>
          </w:tcPr>
          <w:p w14:paraId="070AD857" w14:textId="77777777" w:rsidR="007C0D33" w:rsidRPr="00BA4F8E" w:rsidRDefault="007C0D33" w:rsidP="007C0D33">
            <w:pPr>
              <w:spacing w:after="0" w:line="276" w:lineRule="auto"/>
              <w:jc w:val="both"/>
              <w:rPr>
                <w:rFonts w:cstheme="minorHAnsi"/>
                <w:b/>
              </w:rPr>
            </w:pPr>
            <w:r w:rsidRPr="00BA4F8E">
              <w:rPr>
                <w:rFonts w:cstheme="minorHAnsi"/>
                <w:b/>
              </w:rPr>
              <w:t>C: Zvýšení ekonomických přínosů veřejného výzkumu</w:t>
            </w:r>
          </w:p>
        </w:tc>
      </w:tr>
      <w:tr w:rsidR="007C0D33" w:rsidRPr="00BA4F8E" w14:paraId="53D1B670" w14:textId="77777777" w:rsidTr="00010DFD">
        <w:tc>
          <w:tcPr>
            <w:tcW w:w="4695" w:type="dxa"/>
            <w:shd w:val="clear" w:color="auto" w:fill="auto"/>
          </w:tcPr>
          <w:p w14:paraId="749EAD61" w14:textId="77777777" w:rsidR="007C0D33" w:rsidRPr="00BA4F8E" w:rsidRDefault="007C0D33" w:rsidP="007C0D33">
            <w:pPr>
              <w:spacing w:after="0" w:line="276" w:lineRule="auto"/>
              <w:jc w:val="both"/>
              <w:rPr>
                <w:rFonts w:cstheme="minorHAnsi"/>
              </w:rPr>
            </w:pPr>
            <w:r w:rsidRPr="00BA4F8E">
              <w:rPr>
                <w:rFonts w:cstheme="minorHAnsi"/>
              </w:rPr>
              <w:t>Strategický cíl C.1: Zvýšit relevanci výzkumu pro potřeby aplikační sféry</w:t>
            </w:r>
          </w:p>
        </w:tc>
        <w:tc>
          <w:tcPr>
            <w:tcW w:w="2520" w:type="dxa"/>
            <w:shd w:val="clear" w:color="auto" w:fill="auto"/>
          </w:tcPr>
          <w:p w14:paraId="066E4F30" w14:textId="77777777" w:rsidR="007C0D33" w:rsidRPr="00BA4F8E" w:rsidRDefault="007C0D33" w:rsidP="007C0D33">
            <w:pPr>
              <w:spacing w:after="0" w:line="240" w:lineRule="auto"/>
              <w:jc w:val="both"/>
              <w:rPr>
                <w:rFonts w:cstheme="minorHAnsi"/>
                <w:b/>
              </w:rPr>
            </w:pPr>
            <w:r w:rsidRPr="00BA4F8E">
              <w:rPr>
                <w:rFonts w:cstheme="minorHAnsi"/>
                <w:b/>
              </w:rPr>
              <w:t>MŠMT</w:t>
            </w:r>
          </w:p>
        </w:tc>
        <w:tc>
          <w:tcPr>
            <w:tcW w:w="2413" w:type="dxa"/>
            <w:shd w:val="clear" w:color="auto" w:fill="auto"/>
          </w:tcPr>
          <w:p w14:paraId="50E09C1C" w14:textId="77777777" w:rsidR="007C0D33" w:rsidRPr="00BA4F8E" w:rsidRDefault="007C0D33" w:rsidP="007C0D33">
            <w:pPr>
              <w:spacing w:after="0" w:line="240" w:lineRule="auto"/>
              <w:jc w:val="both"/>
              <w:rPr>
                <w:rFonts w:cstheme="minorHAnsi"/>
                <w:b/>
              </w:rPr>
            </w:pPr>
          </w:p>
        </w:tc>
      </w:tr>
      <w:tr w:rsidR="007C0D33" w:rsidRPr="00BA4F8E" w14:paraId="5A3E9766" w14:textId="77777777" w:rsidTr="006515E3">
        <w:tc>
          <w:tcPr>
            <w:tcW w:w="9628" w:type="dxa"/>
            <w:gridSpan w:val="3"/>
            <w:shd w:val="clear" w:color="auto" w:fill="B9E0F7"/>
          </w:tcPr>
          <w:p w14:paraId="2F50BF7B" w14:textId="77777777" w:rsidR="007C0D33" w:rsidRPr="00BA4F8E" w:rsidRDefault="007C0D33" w:rsidP="007C0D33">
            <w:pPr>
              <w:spacing w:after="0" w:line="240" w:lineRule="auto"/>
              <w:jc w:val="both"/>
              <w:rPr>
                <w:b/>
              </w:rPr>
            </w:pPr>
            <w:r w:rsidRPr="00BA4F8E">
              <w:rPr>
                <w:rFonts w:cstheme="minorHAnsi"/>
                <w:b/>
              </w:rPr>
              <w:t xml:space="preserve">D: </w:t>
            </w:r>
            <w:r w:rsidRPr="00BA4F8E">
              <w:rPr>
                <w:b/>
              </w:rPr>
              <w:t xml:space="preserve">Lepší dostupnost lidských zdrojů v počtu i kvalitě </w:t>
            </w:r>
          </w:p>
          <w:p w14:paraId="47CE8E86" w14:textId="77777777" w:rsidR="007C0D33" w:rsidRPr="00BA4F8E" w:rsidRDefault="007C0D33" w:rsidP="007C0D33">
            <w:pPr>
              <w:spacing w:after="0" w:line="240" w:lineRule="auto"/>
              <w:jc w:val="both"/>
              <w:rPr>
                <w:rFonts w:cstheme="minorHAnsi"/>
                <w:b/>
              </w:rPr>
            </w:pPr>
            <w:r w:rsidRPr="00BA4F8E">
              <w:rPr>
                <w:b/>
              </w:rPr>
              <w:t>pro inovační podnikání, výzkum a vývoj</w:t>
            </w:r>
          </w:p>
        </w:tc>
      </w:tr>
      <w:tr w:rsidR="007C0D33" w:rsidRPr="00BA4F8E" w14:paraId="46240344" w14:textId="77777777" w:rsidTr="00010DFD">
        <w:tc>
          <w:tcPr>
            <w:tcW w:w="4695" w:type="dxa"/>
            <w:shd w:val="clear" w:color="auto" w:fill="auto"/>
          </w:tcPr>
          <w:p w14:paraId="2E431366" w14:textId="77777777" w:rsidR="007C0D33" w:rsidRPr="00BA4F8E" w:rsidRDefault="007C0D33" w:rsidP="007C0D33">
            <w:pPr>
              <w:spacing w:after="0" w:line="276" w:lineRule="auto"/>
              <w:jc w:val="both"/>
            </w:pPr>
            <w:r w:rsidRPr="00BA4F8E">
              <w:rPr>
                <w:rFonts w:cstheme="minorHAnsi"/>
              </w:rPr>
              <w:t xml:space="preserve">Strategický cíl </w:t>
            </w:r>
            <w:r w:rsidRPr="00BA4F8E">
              <w:t>D.1: Zvýšit kvalitu absolventů škol</w:t>
            </w:r>
          </w:p>
        </w:tc>
        <w:tc>
          <w:tcPr>
            <w:tcW w:w="2520" w:type="dxa"/>
            <w:shd w:val="clear" w:color="auto" w:fill="auto"/>
          </w:tcPr>
          <w:p w14:paraId="5E4C06BF" w14:textId="77777777" w:rsidR="007C0D33" w:rsidRPr="00BA4F8E" w:rsidRDefault="007C0D33" w:rsidP="007C0D33">
            <w:pPr>
              <w:spacing w:after="0" w:line="240" w:lineRule="auto"/>
              <w:jc w:val="both"/>
              <w:rPr>
                <w:rFonts w:cstheme="minorHAnsi"/>
                <w:b/>
              </w:rPr>
            </w:pPr>
            <w:r w:rsidRPr="00BA4F8E">
              <w:rPr>
                <w:rFonts w:cstheme="minorHAnsi"/>
                <w:b/>
              </w:rPr>
              <w:t>MŠMT</w:t>
            </w:r>
          </w:p>
        </w:tc>
        <w:tc>
          <w:tcPr>
            <w:tcW w:w="2413" w:type="dxa"/>
            <w:shd w:val="clear" w:color="auto" w:fill="auto"/>
          </w:tcPr>
          <w:p w14:paraId="25ABAD4C" w14:textId="77777777" w:rsidR="007C0D33" w:rsidRPr="00BA4F8E" w:rsidRDefault="007C0D33" w:rsidP="007C0D33">
            <w:pPr>
              <w:spacing w:after="0" w:line="240" w:lineRule="auto"/>
              <w:jc w:val="both"/>
              <w:rPr>
                <w:rFonts w:cstheme="minorHAnsi"/>
                <w:b/>
              </w:rPr>
            </w:pPr>
            <w:r w:rsidRPr="00BA4F8E">
              <w:rPr>
                <w:rFonts w:cstheme="minorHAnsi"/>
                <w:b/>
              </w:rPr>
              <w:t>Hl. m. Praha</w:t>
            </w:r>
          </w:p>
        </w:tc>
      </w:tr>
      <w:tr w:rsidR="007C0D33" w:rsidRPr="00BA4F8E" w14:paraId="17DE68FF" w14:textId="77777777" w:rsidTr="00010DFD">
        <w:tc>
          <w:tcPr>
            <w:tcW w:w="4695" w:type="dxa"/>
            <w:shd w:val="clear" w:color="auto" w:fill="auto"/>
          </w:tcPr>
          <w:p w14:paraId="6E9E2C8E" w14:textId="77777777" w:rsidR="007C0D33" w:rsidRPr="00BA4F8E" w:rsidRDefault="007C0D33" w:rsidP="007C0D33">
            <w:pPr>
              <w:spacing w:after="0" w:line="276" w:lineRule="auto"/>
              <w:jc w:val="both"/>
            </w:pPr>
            <w:r w:rsidRPr="00BA4F8E">
              <w:rPr>
                <w:rFonts w:cstheme="minorHAnsi"/>
              </w:rPr>
              <w:t xml:space="preserve">Strategický cíl </w:t>
            </w:r>
            <w:r w:rsidRPr="00BA4F8E">
              <w:t>D.2: Identifikovat a využít talenty</w:t>
            </w:r>
          </w:p>
        </w:tc>
        <w:tc>
          <w:tcPr>
            <w:tcW w:w="2520" w:type="dxa"/>
            <w:shd w:val="clear" w:color="auto" w:fill="auto"/>
          </w:tcPr>
          <w:p w14:paraId="45203028" w14:textId="77777777" w:rsidR="007C0D33" w:rsidRPr="00BA4F8E" w:rsidRDefault="007C0D33" w:rsidP="007C0D33">
            <w:pPr>
              <w:spacing w:after="0" w:line="240" w:lineRule="auto"/>
              <w:jc w:val="both"/>
              <w:rPr>
                <w:rFonts w:cstheme="minorHAnsi"/>
                <w:b/>
              </w:rPr>
            </w:pPr>
            <w:r w:rsidRPr="00BA4F8E">
              <w:rPr>
                <w:rFonts w:cstheme="minorHAnsi"/>
                <w:b/>
              </w:rPr>
              <w:t>MŠMT</w:t>
            </w:r>
          </w:p>
        </w:tc>
        <w:tc>
          <w:tcPr>
            <w:tcW w:w="2413" w:type="dxa"/>
            <w:shd w:val="clear" w:color="auto" w:fill="auto"/>
          </w:tcPr>
          <w:p w14:paraId="7EE45002" w14:textId="77777777" w:rsidR="007C0D33" w:rsidRPr="00BA4F8E" w:rsidRDefault="007C0D33" w:rsidP="007C0D33">
            <w:pPr>
              <w:spacing w:after="0" w:line="240" w:lineRule="auto"/>
              <w:jc w:val="both"/>
              <w:rPr>
                <w:rFonts w:cstheme="minorHAnsi"/>
                <w:b/>
              </w:rPr>
            </w:pPr>
            <w:r w:rsidRPr="00BA4F8E">
              <w:rPr>
                <w:rFonts w:cstheme="minorHAnsi"/>
                <w:b/>
              </w:rPr>
              <w:t>Hl. m. Praha</w:t>
            </w:r>
          </w:p>
        </w:tc>
      </w:tr>
      <w:tr w:rsidR="007C0D33" w:rsidRPr="00BA4F8E" w14:paraId="2429616A" w14:textId="77777777" w:rsidTr="00010DFD">
        <w:tc>
          <w:tcPr>
            <w:tcW w:w="4695" w:type="dxa"/>
            <w:shd w:val="clear" w:color="auto" w:fill="auto"/>
          </w:tcPr>
          <w:p w14:paraId="4A6EB350" w14:textId="77777777" w:rsidR="007C0D33" w:rsidRPr="00BA4F8E" w:rsidRDefault="007C0D33" w:rsidP="007C0D33">
            <w:pPr>
              <w:spacing w:after="0" w:line="276" w:lineRule="auto"/>
              <w:jc w:val="both"/>
              <w:rPr>
                <w:rFonts w:cstheme="minorHAnsi"/>
              </w:rPr>
            </w:pPr>
            <w:r w:rsidRPr="00BA4F8E">
              <w:rPr>
                <w:rFonts w:cstheme="minorHAnsi"/>
              </w:rPr>
              <w:lastRenderedPageBreak/>
              <w:t xml:space="preserve">Strategický cíl </w:t>
            </w:r>
            <w:r w:rsidRPr="00BA4F8E">
              <w:t>D.3: Zvýšit kvalitu pracovníků ve výzkumu a vývoji</w:t>
            </w:r>
          </w:p>
        </w:tc>
        <w:tc>
          <w:tcPr>
            <w:tcW w:w="2520" w:type="dxa"/>
            <w:shd w:val="clear" w:color="auto" w:fill="auto"/>
          </w:tcPr>
          <w:p w14:paraId="13E1D224" w14:textId="77777777" w:rsidR="007C0D33" w:rsidRPr="00BA4F8E" w:rsidRDefault="007C0D33" w:rsidP="007C0D33">
            <w:pPr>
              <w:spacing w:after="0" w:line="240" w:lineRule="auto"/>
              <w:jc w:val="both"/>
              <w:rPr>
                <w:rFonts w:cstheme="minorHAnsi"/>
                <w:b/>
              </w:rPr>
            </w:pPr>
            <w:r w:rsidRPr="00BA4F8E">
              <w:rPr>
                <w:rFonts w:cstheme="minorHAnsi"/>
                <w:b/>
              </w:rPr>
              <w:t>MŠMT</w:t>
            </w:r>
          </w:p>
        </w:tc>
        <w:tc>
          <w:tcPr>
            <w:tcW w:w="2413" w:type="dxa"/>
            <w:shd w:val="clear" w:color="auto" w:fill="auto"/>
          </w:tcPr>
          <w:p w14:paraId="59476CE5" w14:textId="77777777" w:rsidR="007C0D33" w:rsidRPr="00BA4F8E" w:rsidRDefault="007C0D33" w:rsidP="007C0D33">
            <w:pPr>
              <w:spacing w:after="0" w:line="240" w:lineRule="auto"/>
              <w:jc w:val="both"/>
              <w:rPr>
                <w:rFonts w:cstheme="minorHAnsi"/>
                <w:b/>
              </w:rPr>
            </w:pPr>
            <w:r w:rsidRPr="00BA4F8E">
              <w:rPr>
                <w:rFonts w:cstheme="minorHAnsi"/>
                <w:b/>
              </w:rPr>
              <w:t>Hl. m. Praha</w:t>
            </w:r>
          </w:p>
        </w:tc>
      </w:tr>
      <w:tr w:rsidR="007C0D33" w:rsidRPr="00BA4F8E" w14:paraId="02768B8F" w14:textId="77777777" w:rsidTr="006515E3">
        <w:tc>
          <w:tcPr>
            <w:tcW w:w="9628" w:type="dxa"/>
            <w:gridSpan w:val="3"/>
            <w:shd w:val="clear" w:color="auto" w:fill="B9E0F7"/>
          </w:tcPr>
          <w:p w14:paraId="628AD947" w14:textId="77777777" w:rsidR="007C0D33" w:rsidRPr="00BA4F8E" w:rsidRDefault="007C0D33" w:rsidP="007C0D33">
            <w:pPr>
              <w:spacing w:after="0" w:line="240" w:lineRule="auto"/>
              <w:jc w:val="both"/>
              <w:rPr>
                <w:rFonts w:cstheme="minorHAnsi"/>
                <w:b/>
              </w:rPr>
            </w:pPr>
            <w:r w:rsidRPr="00BA4F8E">
              <w:rPr>
                <w:rFonts w:cstheme="minorHAnsi"/>
                <w:b/>
              </w:rPr>
              <w:t xml:space="preserve">E: Rozvoj eGovernmentu a eBusinessu </w:t>
            </w:r>
          </w:p>
          <w:p w14:paraId="03BE545C" w14:textId="77777777" w:rsidR="007C0D33" w:rsidRPr="00BA4F8E" w:rsidRDefault="007C0D33" w:rsidP="007C0D33">
            <w:pPr>
              <w:spacing w:after="0" w:line="240" w:lineRule="auto"/>
              <w:jc w:val="both"/>
              <w:rPr>
                <w:rFonts w:cstheme="minorHAnsi"/>
                <w:b/>
              </w:rPr>
            </w:pPr>
            <w:r w:rsidRPr="00BA4F8E">
              <w:rPr>
                <w:rFonts w:cstheme="minorHAnsi"/>
                <w:b/>
              </w:rPr>
              <w:t xml:space="preserve">pro zvýšení konkurenceschopnosti </w:t>
            </w:r>
          </w:p>
          <w:p w14:paraId="37B6FF8D" w14:textId="77777777" w:rsidR="007C0D33" w:rsidRPr="00BA4F8E" w:rsidRDefault="007C0D33" w:rsidP="007C0D33">
            <w:pPr>
              <w:spacing w:after="0" w:line="240" w:lineRule="auto"/>
              <w:jc w:val="both"/>
              <w:rPr>
                <w:rFonts w:cstheme="minorHAnsi"/>
                <w:b/>
              </w:rPr>
            </w:pPr>
            <w:r w:rsidRPr="00BA4F8E">
              <w:rPr>
                <w:rFonts w:cstheme="minorHAnsi"/>
                <w:b/>
              </w:rPr>
              <w:t>(rozvoj ICT a digitální agenda)</w:t>
            </w:r>
          </w:p>
        </w:tc>
      </w:tr>
      <w:tr w:rsidR="007C0D33" w:rsidRPr="00BA4F8E" w14:paraId="450675EA" w14:textId="77777777" w:rsidTr="00010DFD">
        <w:tc>
          <w:tcPr>
            <w:tcW w:w="4695" w:type="dxa"/>
            <w:shd w:val="clear" w:color="auto" w:fill="auto"/>
          </w:tcPr>
          <w:p w14:paraId="18D49D6E" w14:textId="77777777" w:rsidR="007C0D33" w:rsidRPr="00BA4F8E" w:rsidRDefault="007C0D33" w:rsidP="007C0D33">
            <w:pPr>
              <w:spacing w:after="0" w:line="240" w:lineRule="auto"/>
              <w:jc w:val="both"/>
              <w:rPr>
                <w:rFonts w:cstheme="minorHAnsi"/>
                <w:b/>
              </w:rPr>
            </w:pPr>
            <w:r w:rsidRPr="00BA4F8E">
              <w:rPr>
                <w:rFonts w:cstheme="minorHAnsi"/>
              </w:rPr>
              <w:t xml:space="preserve">Strategický cíl </w:t>
            </w:r>
            <w:r w:rsidRPr="00BA4F8E">
              <w:rPr>
                <w:rFonts w:cstheme="minorHAnsi"/>
                <w:b/>
              </w:rPr>
              <w:t xml:space="preserve">E.1: Rozvoj </w:t>
            </w:r>
            <w:r w:rsidRPr="00BA4F8E">
              <w:rPr>
                <w:rFonts w:cstheme="minorHAnsi"/>
                <w:b/>
                <w:i/>
              </w:rPr>
              <w:t>eGovernmentu</w:t>
            </w:r>
          </w:p>
        </w:tc>
        <w:tc>
          <w:tcPr>
            <w:tcW w:w="2520" w:type="dxa"/>
            <w:shd w:val="clear" w:color="auto" w:fill="auto"/>
          </w:tcPr>
          <w:p w14:paraId="2FA84C72" w14:textId="77777777" w:rsidR="007C0D33" w:rsidRPr="00BA4F8E" w:rsidRDefault="007C0D33" w:rsidP="007C0D33">
            <w:pPr>
              <w:spacing w:after="0" w:line="240" w:lineRule="auto"/>
              <w:jc w:val="both"/>
              <w:rPr>
                <w:rFonts w:cstheme="minorHAnsi"/>
                <w:b/>
              </w:rPr>
            </w:pPr>
            <w:r w:rsidRPr="00BA4F8E">
              <w:rPr>
                <w:rFonts w:cstheme="minorHAnsi"/>
                <w:b/>
              </w:rPr>
              <w:t>MMR</w:t>
            </w:r>
          </w:p>
        </w:tc>
        <w:tc>
          <w:tcPr>
            <w:tcW w:w="2413" w:type="dxa"/>
            <w:shd w:val="clear" w:color="auto" w:fill="auto"/>
          </w:tcPr>
          <w:p w14:paraId="668986D5" w14:textId="77777777" w:rsidR="007C0D33" w:rsidRPr="00BA4F8E" w:rsidRDefault="007C0D33" w:rsidP="007C0D33">
            <w:pPr>
              <w:spacing w:after="0" w:line="240" w:lineRule="auto"/>
              <w:jc w:val="both"/>
              <w:rPr>
                <w:rFonts w:cstheme="minorHAnsi"/>
                <w:b/>
              </w:rPr>
            </w:pPr>
            <w:r w:rsidRPr="00BA4F8E">
              <w:rPr>
                <w:rFonts w:cstheme="minorHAnsi"/>
                <w:b/>
              </w:rPr>
              <w:t xml:space="preserve"> MPSV, MV</w:t>
            </w:r>
          </w:p>
        </w:tc>
      </w:tr>
      <w:tr w:rsidR="007C0D33" w:rsidRPr="00BA4F8E" w14:paraId="449230B3" w14:textId="77777777" w:rsidTr="00010DFD">
        <w:tc>
          <w:tcPr>
            <w:tcW w:w="4695" w:type="dxa"/>
            <w:shd w:val="clear" w:color="auto" w:fill="auto"/>
          </w:tcPr>
          <w:p w14:paraId="23E6785D" w14:textId="77777777" w:rsidR="007C0D33" w:rsidRPr="00BA4F8E" w:rsidRDefault="007C0D33" w:rsidP="007C0D33">
            <w:pPr>
              <w:spacing w:after="0" w:line="240" w:lineRule="auto"/>
              <w:jc w:val="both"/>
              <w:rPr>
                <w:rFonts w:cstheme="minorHAnsi"/>
                <w:b/>
              </w:rPr>
            </w:pPr>
            <w:r w:rsidRPr="00BA4F8E">
              <w:rPr>
                <w:rFonts w:cstheme="minorHAnsi"/>
              </w:rPr>
              <w:t xml:space="preserve">Strategický cíl </w:t>
            </w:r>
            <w:r w:rsidRPr="00BA4F8E">
              <w:rPr>
                <w:rFonts w:cstheme="minorHAnsi"/>
                <w:b/>
              </w:rPr>
              <w:t xml:space="preserve">E.2: Rozvoj </w:t>
            </w:r>
            <w:r w:rsidRPr="00BA4F8E">
              <w:rPr>
                <w:rFonts w:cstheme="minorHAnsi"/>
                <w:b/>
                <w:i/>
              </w:rPr>
              <w:t>eBusinessu a ICT v podnikání</w:t>
            </w:r>
          </w:p>
        </w:tc>
        <w:tc>
          <w:tcPr>
            <w:tcW w:w="2520" w:type="dxa"/>
            <w:shd w:val="clear" w:color="auto" w:fill="auto"/>
          </w:tcPr>
          <w:p w14:paraId="5BA43FE8" w14:textId="77777777" w:rsidR="007C0D33" w:rsidRPr="00BA4F8E" w:rsidRDefault="007C0D33" w:rsidP="007C0D33">
            <w:pPr>
              <w:spacing w:after="0" w:line="240" w:lineRule="auto"/>
              <w:jc w:val="both"/>
              <w:rPr>
                <w:rFonts w:cstheme="minorHAnsi"/>
                <w:b/>
              </w:rPr>
            </w:pPr>
            <w:r w:rsidRPr="00BA4F8E">
              <w:rPr>
                <w:rFonts w:cstheme="minorHAnsi"/>
                <w:b/>
              </w:rPr>
              <w:t>MPO</w:t>
            </w:r>
          </w:p>
        </w:tc>
        <w:tc>
          <w:tcPr>
            <w:tcW w:w="2413" w:type="dxa"/>
            <w:shd w:val="clear" w:color="auto" w:fill="auto"/>
          </w:tcPr>
          <w:p w14:paraId="473482FE" w14:textId="77777777" w:rsidR="007C0D33" w:rsidRPr="00BA4F8E" w:rsidRDefault="007C0D33" w:rsidP="007C0D33">
            <w:pPr>
              <w:spacing w:after="0" w:line="240" w:lineRule="auto"/>
              <w:jc w:val="both"/>
              <w:rPr>
                <w:rFonts w:cstheme="minorHAnsi"/>
                <w:b/>
              </w:rPr>
            </w:pPr>
          </w:p>
        </w:tc>
      </w:tr>
      <w:tr w:rsidR="007C0D33" w:rsidRPr="00BA4F8E" w14:paraId="0BD8CB5E" w14:textId="77777777" w:rsidTr="00010DFD">
        <w:tc>
          <w:tcPr>
            <w:tcW w:w="4695" w:type="dxa"/>
            <w:shd w:val="clear" w:color="auto" w:fill="auto"/>
          </w:tcPr>
          <w:p w14:paraId="3763287B" w14:textId="77777777" w:rsidR="007C0D33" w:rsidRPr="00BA4F8E" w:rsidRDefault="007C0D33" w:rsidP="007C0D33">
            <w:pPr>
              <w:spacing w:after="0" w:line="240" w:lineRule="auto"/>
              <w:jc w:val="both"/>
              <w:rPr>
                <w:rFonts w:cstheme="minorHAnsi"/>
                <w:b/>
              </w:rPr>
            </w:pPr>
            <w:r w:rsidRPr="00BA4F8E">
              <w:rPr>
                <w:rFonts w:cstheme="minorHAnsi"/>
              </w:rPr>
              <w:t xml:space="preserve">Strategický cíl </w:t>
            </w:r>
            <w:r w:rsidRPr="00BA4F8E">
              <w:rPr>
                <w:rFonts w:cstheme="minorHAnsi"/>
                <w:b/>
              </w:rPr>
              <w:t xml:space="preserve">E.3: Rozvoj </w:t>
            </w:r>
            <w:r w:rsidRPr="00BA4F8E">
              <w:rPr>
                <w:rFonts w:cstheme="minorHAnsi"/>
                <w:b/>
                <w:i/>
              </w:rPr>
              <w:t>Infrastruktury v ICT</w:t>
            </w:r>
          </w:p>
        </w:tc>
        <w:tc>
          <w:tcPr>
            <w:tcW w:w="2520" w:type="dxa"/>
            <w:shd w:val="clear" w:color="auto" w:fill="auto"/>
          </w:tcPr>
          <w:p w14:paraId="7214CE46" w14:textId="243C0B1C" w:rsidR="007C0D33" w:rsidRPr="00BA4F8E" w:rsidRDefault="007C0D33" w:rsidP="007C0D33">
            <w:pPr>
              <w:spacing w:after="0" w:line="240" w:lineRule="auto"/>
              <w:jc w:val="both"/>
              <w:rPr>
                <w:rFonts w:cstheme="minorHAnsi"/>
                <w:b/>
              </w:rPr>
            </w:pPr>
            <w:r w:rsidRPr="00BA4F8E">
              <w:rPr>
                <w:rFonts w:cstheme="minorHAnsi"/>
                <w:b/>
              </w:rPr>
              <w:t>MPO</w:t>
            </w:r>
          </w:p>
        </w:tc>
        <w:tc>
          <w:tcPr>
            <w:tcW w:w="2413" w:type="dxa"/>
            <w:shd w:val="clear" w:color="auto" w:fill="auto"/>
          </w:tcPr>
          <w:p w14:paraId="233A3A3C" w14:textId="77777777" w:rsidR="007C0D33" w:rsidRPr="00BA4F8E" w:rsidRDefault="007C0D33" w:rsidP="007C0D33">
            <w:pPr>
              <w:spacing w:after="0" w:line="240" w:lineRule="auto"/>
              <w:jc w:val="both"/>
              <w:rPr>
                <w:rFonts w:cstheme="minorHAnsi"/>
                <w:b/>
              </w:rPr>
            </w:pPr>
            <w:r w:rsidRPr="00BA4F8E">
              <w:rPr>
                <w:rFonts w:cstheme="minorHAnsi"/>
                <w:b/>
              </w:rPr>
              <w:t>MV</w:t>
            </w:r>
          </w:p>
        </w:tc>
      </w:tr>
      <w:tr w:rsidR="007C0D33" w:rsidRPr="00BA4F8E" w14:paraId="08DB91DF" w14:textId="77777777" w:rsidTr="006515E3">
        <w:tc>
          <w:tcPr>
            <w:tcW w:w="9628" w:type="dxa"/>
            <w:gridSpan w:val="3"/>
            <w:shd w:val="clear" w:color="auto" w:fill="B9E0F7"/>
          </w:tcPr>
          <w:p w14:paraId="16FE9823" w14:textId="77777777" w:rsidR="007C0D33" w:rsidRPr="00BA4F8E" w:rsidRDefault="007C0D33" w:rsidP="007C0D33">
            <w:pPr>
              <w:spacing w:after="0" w:line="240" w:lineRule="auto"/>
              <w:jc w:val="both"/>
              <w:rPr>
                <w:b/>
              </w:rPr>
            </w:pPr>
            <w:r w:rsidRPr="00BA4F8E">
              <w:rPr>
                <w:rFonts w:cstheme="minorHAnsi"/>
                <w:b/>
              </w:rPr>
              <w:t xml:space="preserve">F: </w:t>
            </w:r>
            <w:r w:rsidRPr="00BA4F8E">
              <w:rPr>
                <w:b/>
              </w:rPr>
              <w:t xml:space="preserve">Posílení a lepší využití sociálního kapitálu a kreativity </w:t>
            </w:r>
          </w:p>
          <w:p w14:paraId="401F3907" w14:textId="77777777" w:rsidR="007C0D33" w:rsidRPr="00BA4F8E" w:rsidRDefault="007C0D33" w:rsidP="007C0D33">
            <w:pPr>
              <w:spacing w:after="0" w:line="240" w:lineRule="auto"/>
              <w:jc w:val="both"/>
              <w:rPr>
                <w:rFonts w:cstheme="minorHAnsi"/>
                <w:b/>
              </w:rPr>
            </w:pPr>
            <w:r w:rsidRPr="00BA4F8E">
              <w:rPr>
                <w:b/>
              </w:rPr>
              <w:t>při řešení komplexních společenských výzev</w:t>
            </w:r>
          </w:p>
        </w:tc>
      </w:tr>
      <w:tr w:rsidR="007C0D33" w:rsidRPr="00BA4F8E" w14:paraId="3A97BFD8" w14:textId="77777777" w:rsidTr="00010DFD">
        <w:tc>
          <w:tcPr>
            <w:tcW w:w="4695" w:type="dxa"/>
            <w:shd w:val="clear" w:color="auto" w:fill="auto"/>
          </w:tcPr>
          <w:p w14:paraId="6A77C0B2" w14:textId="77777777" w:rsidR="007C0D33" w:rsidRPr="00BA4F8E" w:rsidRDefault="007C0D33" w:rsidP="007C0D33">
            <w:pPr>
              <w:spacing w:after="0" w:line="276" w:lineRule="auto"/>
              <w:jc w:val="both"/>
              <w:rPr>
                <w:rFonts w:cstheme="minorHAnsi"/>
              </w:rPr>
            </w:pPr>
            <w:r w:rsidRPr="00BA4F8E">
              <w:rPr>
                <w:rFonts w:cstheme="minorHAnsi"/>
              </w:rPr>
              <w:t xml:space="preserve">Strategický cíl </w:t>
            </w:r>
            <w:r w:rsidRPr="00BA4F8E">
              <w:t>F.1: Podpořit otevřenou partnerskou spolupráci při experimentálním řešení společenských výzev a systémově využít úspěšně ověřené modely</w:t>
            </w:r>
          </w:p>
        </w:tc>
        <w:tc>
          <w:tcPr>
            <w:tcW w:w="2520" w:type="dxa"/>
            <w:shd w:val="clear" w:color="auto" w:fill="auto"/>
          </w:tcPr>
          <w:p w14:paraId="0F285EB5" w14:textId="77777777" w:rsidR="007C0D33" w:rsidRPr="00BA4F8E" w:rsidRDefault="007C0D33" w:rsidP="007C0D33">
            <w:pPr>
              <w:spacing w:after="0" w:line="240" w:lineRule="auto"/>
              <w:jc w:val="both"/>
              <w:rPr>
                <w:rFonts w:cstheme="minorHAnsi"/>
                <w:b/>
              </w:rPr>
            </w:pPr>
          </w:p>
        </w:tc>
        <w:tc>
          <w:tcPr>
            <w:tcW w:w="2413" w:type="dxa"/>
            <w:shd w:val="clear" w:color="auto" w:fill="auto"/>
          </w:tcPr>
          <w:p w14:paraId="1AC60AC4" w14:textId="77777777" w:rsidR="007C0D33" w:rsidRPr="00BA4F8E" w:rsidRDefault="007C0D33" w:rsidP="007C0D33">
            <w:pPr>
              <w:spacing w:after="0" w:line="240" w:lineRule="auto"/>
              <w:jc w:val="both"/>
              <w:rPr>
                <w:rFonts w:cstheme="minorHAnsi"/>
                <w:b/>
              </w:rPr>
            </w:pPr>
            <w:r w:rsidRPr="00BA4F8E">
              <w:rPr>
                <w:rFonts w:cstheme="minorHAnsi"/>
                <w:b/>
              </w:rPr>
              <w:t>MPSV</w:t>
            </w:r>
          </w:p>
        </w:tc>
      </w:tr>
      <w:tr w:rsidR="007C0D33" w:rsidRPr="00BA4F8E" w14:paraId="183E2CBC" w14:textId="77777777" w:rsidTr="00010DFD">
        <w:tc>
          <w:tcPr>
            <w:tcW w:w="4695" w:type="dxa"/>
            <w:shd w:val="clear" w:color="auto" w:fill="auto"/>
          </w:tcPr>
          <w:p w14:paraId="6AA7959C" w14:textId="77777777" w:rsidR="007C0D33" w:rsidRPr="00BA4F8E" w:rsidRDefault="007C0D33" w:rsidP="007C0D33">
            <w:pPr>
              <w:spacing w:after="0" w:line="276" w:lineRule="auto"/>
              <w:jc w:val="both"/>
              <w:rPr>
                <w:rFonts w:cstheme="minorHAnsi"/>
              </w:rPr>
            </w:pPr>
            <w:r w:rsidRPr="00BA4F8E">
              <w:rPr>
                <w:rFonts w:cstheme="minorHAnsi"/>
              </w:rPr>
              <w:t xml:space="preserve">Strategický cíl </w:t>
            </w:r>
            <w:r w:rsidRPr="00BA4F8E">
              <w:t>F.2: Podpořit a lépe využít spolupráci místních aktérů při řešení potřeb v oblasti zaměstnanosti, ekonomického rozvoje a sociální inkluze v krajích ČR</w:t>
            </w:r>
          </w:p>
        </w:tc>
        <w:tc>
          <w:tcPr>
            <w:tcW w:w="2520" w:type="dxa"/>
            <w:shd w:val="clear" w:color="auto" w:fill="auto"/>
          </w:tcPr>
          <w:p w14:paraId="3A238133" w14:textId="77777777" w:rsidR="007C0D33" w:rsidRPr="00BA4F8E" w:rsidRDefault="007C0D33" w:rsidP="007C0D33">
            <w:pPr>
              <w:spacing w:after="0" w:line="240" w:lineRule="auto"/>
              <w:jc w:val="both"/>
              <w:rPr>
                <w:rFonts w:cstheme="minorHAnsi"/>
                <w:b/>
              </w:rPr>
            </w:pPr>
            <w:r w:rsidRPr="00BA4F8E">
              <w:rPr>
                <w:rFonts w:cstheme="minorHAnsi"/>
                <w:b/>
              </w:rPr>
              <w:t xml:space="preserve">MŠMT </w:t>
            </w:r>
          </w:p>
        </w:tc>
        <w:tc>
          <w:tcPr>
            <w:tcW w:w="2413" w:type="dxa"/>
            <w:shd w:val="clear" w:color="auto" w:fill="auto"/>
          </w:tcPr>
          <w:p w14:paraId="7F206135" w14:textId="77777777" w:rsidR="007C0D33" w:rsidRPr="00BA4F8E" w:rsidRDefault="007C0D33" w:rsidP="007C0D33">
            <w:pPr>
              <w:spacing w:after="0" w:line="240" w:lineRule="auto"/>
              <w:jc w:val="both"/>
              <w:rPr>
                <w:rFonts w:cstheme="minorHAnsi"/>
                <w:b/>
              </w:rPr>
            </w:pPr>
            <w:r w:rsidRPr="00BA4F8E">
              <w:rPr>
                <w:rFonts w:cstheme="minorHAnsi"/>
                <w:b/>
              </w:rPr>
              <w:t>MPSV</w:t>
            </w:r>
          </w:p>
        </w:tc>
      </w:tr>
    </w:tbl>
    <w:p w14:paraId="65AF0F86" w14:textId="77777777" w:rsidR="00805187" w:rsidRPr="00BA4F8E" w:rsidRDefault="00805187" w:rsidP="00425875">
      <w:pPr>
        <w:pStyle w:val="Nadpis2"/>
        <w:numPr>
          <w:ilvl w:val="0"/>
          <w:numId w:val="0"/>
        </w:numPr>
        <w:rPr>
          <w:rFonts w:asciiTheme="minorHAnsi" w:hAnsiTheme="minorHAnsi"/>
          <w:sz w:val="22"/>
          <w:szCs w:val="22"/>
        </w:rPr>
      </w:pPr>
    </w:p>
    <w:p w14:paraId="7A49300F" w14:textId="0C2887D9" w:rsidR="00A1057F" w:rsidRDefault="00A1057F">
      <w:pPr>
        <w:spacing w:after="200" w:line="276" w:lineRule="auto"/>
      </w:pPr>
      <w:r>
        <w:br w:type="page"/>
      </w:r>
    </w:p>
    <w:p w14:paraId="59A2CF1C" w14:textId="51AA0BA6" w:rsidR="00FA5A15" w:rsidRDefault="00D87B8A" w:rsidP="00FA5A15">
      <w:pPr>
        <w:pStyle w:val="Nadpis1"/>
      </w:pPr>
      <w:bookmarkStart w:id="121" w:name="_Toc525716212"/>
      <w:r>
        <w:lastRenderedPageBreak/>
        <w:t>Výsledky EDP, i</w:t>
      </w:r>
      <w:r w:rsidR="000C5CAD" w:rsidRPr="00EF4A38">
        <w:t>nstitucionální řízení a implementace Národní RIS3 strategie</w:t>
      </w:r>
      <w:bookmarkEnd w:id="121"/>
    </w:p>
    <w:p w14:paraId="527E44E4" w14:textId="20ACE82D" w:rsidR="00FA5A15" w:rsidRPr="00FA5A15" w:rsidRDefault="00FA5A15" w:rsidP="00B26A5C">
      <w:pPr>
        <w:spacing w:before="240" w:after="0" w:line="360" w:lineRule="auto"/>
        <w:ind w:firstLine="709"/>
        <w:jc w:val="both"/>
      </w:pPr>
      <w:r w:rsidRPr="00FA5A15">
        <w:t>Hlavní metodou identifikace domén inteligentní specializace je EDP (</w:t>
      </w:r>
      <w:r w:rsidRPr="00FA5A15">
        <w:rPr>
          <w:i/>
        </w:rPr>
        <w:t>entrepreneurial discovery proces</w:t>
      </w:r>
      <w:r w:rsidRPr="00FA5A15">
        <w:t>), tj. odvození prioritních VaVaI oblastí od podnikatelských příležitostí a potřeb. Do diskuze jsou zapojeni zástupci podnikatelské sféry, výzkumných organizací,</w:t>
      </w:r>
      <w:r w:rsidR="004E1665">
        <w:t xml:space="preserve"> </w:t>
      </w:r>
      <w:r w:rsidR="004E1665" w:rsidRPr="004E1665">
        <w:t>klastrových organizací a</w:t>
      </w:r>
      <w:r w:rsidR="001F7D24">
        <w:t> </w:t>
      </w:r>
      <w:r w:rsidR="004E1665" w:rsidRPr="004E1665">
        <w:t>technologických platforem</w:t>
      </w:r>
      <w:r w:rsidR="004E1665">
        <w:t>,</w:t>
      </w:r>
      <w:r w:rsidRPr="00FA5A15">
        <w:t xml:space="preserve"> vysokých škol, představitelé řídících orgánů operačních programů, poskytovatelů národních programů a zástupci krajů. Je tak naplněn přístup triple/quadruple helix, úzce spojený s konceptem inteligentní specializace.</w:t>
      </w:r>
    </w:p>
    <w:p w14:paraId="5125C508" w14:textId="77777777" w:rsidR="00FA5A15" w:rsidRPr="00FA5A15" w:rsidRDefault="00FA5A15" w:rsidP="00B26A5C">
      <w:pPr>
        <w:spacing w:after="0" w:line="360" w:lineRule="auto"/>
        <w:ind w:firstLine="709"/>
        <w:jc w:val="both"/>
      </w:pPr>
      <w:r w:rsidRPr="00FA5A15">
        <w:t>Propojení národního a regionálního pohledu umožňuje efektivně zaostřit koncept inteligentní specializace s ohledem na potřeby podnikové sféry v daném území.</w:t>
      </w:r>
    </w:p>
    <w:p w14:paraId="31049475" w14:textId="77777777" w:rsidR="00FA5A15" w:rsidRPr="00FA5A15" w:rsidRDefault="00FA5A15" w:rsidP="00FA5A15">
      <w:pPr>
        <w:spacing w:line="360" w:lineRule="auto"/>
        <w:ind w:firstLine="360"/>
        <w:jc w:val="both"/>
      </w:pPr>
      <w:r w:rsidRPr="00FA5A15">
        <w:t>EDP představuje kontinuální strategickou spolupráci mezi členy triple/quadruple helix s cílem:</w:t>
      </w:r>
    </w:p>
    <w:p w14:paraId="17C00A19" w14:textId="77777777" w:rsidR="00FA5A15" w:rsidRPr="00FA5A15" w:rsidRDefault="00FA5A15" w:rsidP="00543C1B">
      <w:pPr>
        <w:pStyle w:val="Odstavecseseznamem"/>
        <w:numPr>
          <w:ilvl w:val="0"/>
          <w:numId w:val="225"/>
        </w:numPr>
        <w:spacing w:after="200" w:line="360" w:lineRule="auto"/>
        <w:jc w:val="both"/>
      </w:pPr>
      <w:r w:rsidRPr="00FA5A15">
        <w:t>aktualizace domén inteligentní specializace (konkrétních VaVaI témat) s ohledem na změny v ekonomice,</w:t>
      </w:r>
    </w:p>
    <w:p w14:paraId="3D502066" w14:textId="77777777" w:rsidR="00FA5A15" w:rsidRPr="00FA5A15" w:rsidRDefault="00FA5A15" w:rsidP="00543C1B">
      <w:pPr>
        <w:pStyle w:val="Odstavecseseznamem"/>
        <w:numPr>
          <w:ilvl w:val="0"/>
          <w:numId w:val="225"/>
        </w:numPr>
        <w:spacing w:after="200" w:line="360" w:lineRule="auto"/>
        <w:jc w:val="both"/>
      </w:pPr>
      <w:r w:rsidRPr="00FA5A15">
        <w:t>identifikace a nastavení cest k efektivní implementaci konceptu inteligentní specializace prostřednictvím programů financovaných z ESIF a národních programů (participace na zaměření a vertikalizaci výzev),</w:t>
      </w:r>
    </w:p>
    <w:p w14:paraId="4B034B08" w14:textId="226B294A" w:rsidR="00FA5A15" w:rsidRDefault="00FA5A15" w:rsidP="00543C1B">
      <w:pPr>
        <w:pStyle w:val="Odstavecseseznamem"/>
        <w:numPr>
          <w:ilvl w:val="0"/>
          <w:numId w:val="225"/>
        </w:numPr>
        <w:spacing w:after="200" w:line="360" w:lineRule="auto"/>
        <w:jc w:val="both"/>
      </w:pPr>
      <w:r w:rsidRPr="00FA5A15">
        <w:t>hodnocení a nasměrování evaluací Národní RIS3 strategie.</w:t>
      </w:r>
    </w:p>
    <w:p w14:paraId="3EE32C32" w14:textId="3A6F9784" w:rsidR="00FA5A15" w:rsidRDefault="00F0721C" w:rsidP="00B26A5C">
      <w:pPr>
        <w:spacing w:after="200" w:line="360" w:lineRule="auto"/>
        <w:ind w:firstLine="709"/>
        <w:jc w:val="both"/>
      </w:pPr>
      <w:r>
        <w:t>EDP je v rámci České republiky funkčně začleněn do komplexu institucionálního řízení a implementační struktury celé RIS3 strategie.</w:t>
      </w:r>
    </w:p>
    <w:p w14:paraId="7531A053" w14:textId="77777777" w:rsidR="00C376FF" w:rsidRPr="00FA5A15" w:rsidRDefault="00C376FF" w:rsidP="00B26A5C">
      <w:pPr>
        <w:spacing w:after="200" w:line="360" w:lineRule="auto"/>
        <w:ind w:firstLine="709"/>
        <w:jc w:val="both"/>
      </w:pPr>
    </w:p>
    <w:p w14:paraId="7A8C7289" w14:textId="5A8953D0" w:rsidR="000C5CAD" w:rsidRDefault="009D08F2" w:rsidP="00EF4A38">
      <w:pPr>
        <w:pStyle w:val="Nadpis2"/>
      </w:pPr>
      <w:bookmarkStart w:id="122" w:name="_Ref521663811"/>
      <w:bookmarkStart w:id="123" w:name="_Toc525716213"/>
      <w:r>
        <w:t>Oblasti inteligentní specializace</w:t>
      </w:r>
      <w:r w:rsidR="000C5CAD" w:rsidRPr="00EF4A38">
        <w:t xml:space="preserve"> v České republice</w:t>
      </w:r>
      <w:bookmarkEnd w:id="122"/>
      <w:bookmarkEnd w:id="123"/>
    </w:p>
    <w:p w14:paraId="75E4341F" w14:textId="64795DD6" w:rsidR="00F0721C" w:rsidRDefault="00F0721C" w:rsidP="00B26A5C">
      <w:pPr>
        <w:spacing w:before="240" w:line="360" w:lineRule="auto"/>
        <w:ind w:firstLine="709"/>
        <w:jc w:val="both"/>
      </w:pPr>
      <w:r w:rsidRPr="00F0721C">
        <w:t xml:space="preserve">Formou debaty organizované v průběhu </w:t>
      </w:r>
      <w:r>
        <w:t xml:space="preserve">jednání </w:t>
      </w:r>
      <w:r w:rsidRPr="00F0721C">
        <w:t>Náro</w:t>
      </w:r>
      <w:r>
        <w:t>dních inovačních platforem dochází</w:t>
      </w:r>
      <w:r w:rsidRPr="00F0721C">
        <w:t xml:space="preserve"> ke zpřesnění a zaostření témat </w:t>
      </w:r>
      <w:r w:rsidR="00BB296D">
        <w:t xml:space="preserve">orientovaného a </w:t>
      </w:r>
      <w:r w:rsidRPr="00F0721C">
        <w:t>aplikovaného v</w:t>
      </w:r>
      <w:r>
        <w:t>ýzkumu a témat inovačních, která byla navržena</w:t>
      </w:r>
      <w:r w:rsidRPr="00F0721C">
        <w:t xml:space="preserve"> v </w:t>
      </w:r>
      <w:r>
        <w:t> </w:t>
      </w:r>
      <w:r w:rsidRPr="00F0721C">
        <w:t>předchozích fázích přípravy konceptu RIS3 strategie (</w:t>
      </w:r>
      <w:r w:rsidR="00B26A5C">
        <w:t>viz</w:t>
      </w:r>
      <w:r w:rsidRPr="00B26A5C">
        <w:t xml:space="preserve"> kap</w:t>
      </w:r>
      <w:r w:rsidR="00C376FF">
        <w:t>.</w:t>
      </w:r>
      <w:r w:rsidRPr="00DD3634">
        <w:t xml:space="preserve"> </w:t>
      </w:r>
      <w:r w:rsidR="00B26A5C" w:rsidRPr="00DD3634">
        <w:fldChar w:fldCharType="begin"/>
      </w:r>
      <w:r w:rsidR="00B26A5C" w:rsidRPr="00DD3634">
        <w:instrText xml:space="preserve"> REF _Ref521397310 \r \h  \* MERGEFORMAT </w:instrText>
      </w:r>
      <w:r w:rsidR="00B26A5C" w:rsidRPr="00DD3634">
        <w:fldChar w:fldCharType="separate"/>
      </w:r>
      <w:r w:rsidR="00DE40D4">
        <w:t>4</w:t>
      </w:r>
      <w:r w:rsidR="00B26A5C" w:rsidRPr="00DD3634">
        <w:fldChar w:fldCharType="end"/>
      </w:r>
      <w:r w:rsidRPr="00DD3634">
        <w:t>-</w:t>
      </w:r>
      <w:r w:rsidR="00B26A5C" w:rsidRPr="00DD3634">
        <w:fldChar w:fldCharType="begin"/>
      </w:r>
      <w:r w:rsidR="00B26A5C" w:rsidRPr="00DD3634">
        <w:instrText xml:space="preserve"> REF _Ref521492712 \r \h  \* MERGEFORMAT </w:instrText>
      </w:r>
      <w:r w:rsidR="00B26A5C" w:rsidRPr="00DD3634">
        <w:fldChar w:fldCharType="separate"/>
      </w:r>
      <w:r w:rsidR="00DE40D4">
        <w:t>6</w:t>
      </w:r>
      <w:r w:rsidR="00B26A5C" w:rsidRPr="00DD3634">
        <w:fldChar w:fldCharType="end"/>
      </w:r>
      <w:r w:rsidRPr="00DD3634">
        <w:t xml:space="preserve"> </w:t>
      </w:r>
      <w:r w:rsidRPr="00B26A5C">
        <w:t>Národní RIS3 strategie)</w:t>
      </w:r>
      <w:r>
        <w:t>. V průběhu diskuze jsou zohledňována také témata z krajských příloh</w:t>
      </w:r>
      <w:r w:rsidRPr="00F0721C">
        <w:t xml:space="preserve"> Národní</w:t>
      </w:r>
      <w:r>
        <w:t xml:space="preserve"> RIS3 strategie</w:t>
      </w:r>
      <w:r w:rsidRPr="00F0721C">
        <w:t xml:space="preserve">. </w:t>
      </w:r>
      <w:r>
        <w:t>Identifikovány a</w:t>
      </w:r>
      <w:r w:rsidR="00C376FF">
        <w:t> </w:t>
      </w:r>
      <w:r>
        <w:t xml:space="preserve">specifikovány byly </w:t>
      </w:r>
      <w:r w:rsidRPr="00F0721C">
        <w:t>následující oblasti inteligentní specializace ČR.</w:t>
      </w:r>
    </w:p>
    <w:p w14:paraId="59EC7630" w14:textId="77777777" w:rsidR="00F5060A" w:rsidRDefault="00F5060A">
      <w:pPr>
        <w:spacing w:after="200" w:line="276" w:lineRule="auto"/>
      </w:pPr>
      <w:r>
        <w:rPr>
          <w:b/>
        </w:rPr>
        <w:br w:type="page"/>
      </w:r>
    </w:p>
    <w:p w14:paraId="7912F7AA" w14:textId="459756DF" w:rsidR="000C5CAD" w:rsidRDefault="000C5CAD" w:rsidP="00EF4A38">
      <w:pPr>
        <w:pStyle w:val="Nadpis3"/>
      </w:pPr>
      <w:bookmarkStart w:id="124" w:name="_Toc525716214"/>
      <w:r w:rsidRPr="00EF4A38">
        <w:lastRenderedPageBreak/>
        <w:t>Pokročilé stroje / technologie pro silný a globálně konkurenceschopný průmysl</w:t>
      </w:r>
      <w:bookmarkEnd w:id="124"/>
    </w:p>
    <w:p w14:paraId="564D950B" w14:textId="6E025DE2" w:rsidR="00A1057F" w:rsidRDefault="00E414BD" w:rsidP="000649EE">
      <w:pPr>
        <w:pStyle w:val="Nadpis4"/>
        <w:spacing w:line="360" w:lineRule="auto"/>
      </w:pPr>
      <w:bookmarkStart w:id="125" w:name="_Toc525716215"/>
      <w:r>
        <w:t>Strojírenství-mechatronika</w:t>
      </w:r>
      <w:bookmarkEnd w:id="125"/>
    </w:p>
    <w:p w14:paraId="05950FC7" w14:textId="5259BF9B" w:rsidR="00E414BD" w:rsidRPr="001E007C" w:rsidRDefault="000649EE" w:rsidP="000649EE">
      <w:pPr>
        <w:spacing w:line="360" w:lineRule="auto"/>
        <w:rPr>
          <w:b/>
          <w:u w:val="single"/>
        </w:rPr>
      </w:pPr>
      <w:r w:rsidRPr="001E007C">
        <w:rPr>
          <w:b/>
          <w:u w:val="single"/>
        </w:rPr>
        <w:t>Východiska</w:t>
      </w:r>
    </w:p>
    <w:p w14:paraId="761D4DD5" w14:textId="77777777" w:rsidR="000649EE" w:rsidRDefault="000649EE" w:rsidP="001E007C">
      <w:pPr>
        <w:spacing w:after="0" w:line="360" w:lineRule="auto"/>
        <w:ind w:firstLine="708"/>
        <w:jc w:val="both"/>
        <w:rPr>
          <w:color w:val="000000" w:themeColor="text1"/>
          <w:lang w:bidi="he-IL"/>
        </w:rPr>
      </w:pPr>
      <w:r w:rsidRPr="00E24D25">
        <w:rPr>
          <w:color w:val="000000" w:themeColor="text1"/>
          <w:lang w:bidi="he-IL"/>
        </w:rPr>
        <w:t xml:space="preserve">Strojírenský průmysl je nejnáročnější průmyslové odvětví. Vyznačuje se mimořádně velkou pestrostí výrobků a </w:t>
      </w:r>
      <w:r>
        <w:rPr>
          <w:color w:val="000000" w:themeColor="text1"/>
          <w:lang w:bidi="he-IL"/>
        </w:rPr>
        <w:t xml:space="preserve">zahrnuje v sobě desítky oborů. </w:t>
      </w:r>
      <w:r w:rsidRPr="00E24D25">
        <w:rPr>
          <w:color w:val="000000" w:themeColor="text1"/>
          <w:lang w:bidi="he-IL"/>
        </w:rPr>
        <w:t xml:space="preserve">Výroba strojů, zařízení a přesných komponentů jsou významným oddílem českého zpracovatelského průmyslu. </w:t>
      </w:r>
      <w:r w:rsidRPr="007E012E">
        <w:rPr>
          <w:color w:val="000000" w:themeColor="text1"/>
          <w:lang w:bidi="he-IL"/>
        </w:rPr>
        <w:t>Tento oddíl zahrnuje velmi širokou paletu zařízení, která mechanicky nebo tepelně působí na materiály nebo na materiálech provádějí výrobní procesy, včetně výroby jejich mechanických komponentů, které produkují a využívají sílu. Patří sem také speciálně vyrobené díly na tyto stroje a zař</w:t>
      </w:r>
      <w:r>
        <w:rPr>
          <w:color w:val="000000" w:themeColor="text1"/>
          <w:lang w:bidi="he-IL"/>
        </w:rPr>
        <w:t xml:space="preserve">ízení. Technicky nejnáročnější </w:t>
      </w:r>
      <w:r w:rsidRPr="007E012E">
        <w:rPr>
          <w:color w:val="000000" w:themeColor="text1"/>
          <w:lang w:bidi="he-IL"/>
        </w:rPr>
        <w:t xml:space="preserve">strojírenské obory, které spojují </w:t>
      </w:r>
      <w:r w:rsidRPr="007E012E">
        <w:rPr>
          <w:b/>
          <w:color w:val="000000" w:themeColor="text1"/>
          <w:lang w:bidi="he-IL"/>
        </w:rPr>
        <w:t>vysoké a</w:t>
      </w:r>
      <w:r>
        <w:rPr>
          <w:b/>
          <w:color w:val="000000" w:themeColor="text1"/>
          <w:lang w:bidi="he-IL"/>
        </w:rPr>
        <w:t>/</w:t>
      </w:r>
      <w:r w:rsidRPr="007E012E">
        <w:rPr>
          <w:b/>
          <w:color w:val="000000" w:themeColor="text1"/>
          <w:lang w:bidi="he-IL"/>
        </w:rPr>
        <w:t>nebo extrémní nároky na přesnost výroby, jakost a parametry integrity povrchů, maximální nároky na výrobní výkon a</w:t>
      </w:r>
      <w:r>
        <w:rPr>
          <w:b/>
          <w:color w:val="000000" w:themeColor="text1"/>
          <w:lang w:bidi="he-IL"/>
        </w:rPr>
        <w:t> </w:t>
      </w:r>
      <w:r w:rsidRPr="007E012E">
        <w:rPr>
          <w:b/>
          <w:color w:val="000000" w:themeColor="text1"/>
          <w:lang w:bidi="he-IL"/>
        </w:rPr>
        <w:t>produktivit</w:t>
      </w:r>
      <w:r>
        <w:rPr>
          <w:b/>
          <w:color w:val="000000" w:themeColor="text1"/>
          <w:lang w:bidi="he-IL"/>
        </w:rPr>
        <w:t>u a dále nároky na spolehlivost</w:t>
      </w:r>
      <w:r w:rsidRPr="007E012E">
        <w:rPr>
          <w:b/>
          <w:color w:val="000000" w:themeColor="text1"/>
          <w:lang w:bidi="he-IL"/>
        </w:rPr>
        <w:t>,</w:t>
      </w:r>
      <w:r>
        <w:rPr>
          <w:b/>
          <w:color w:val="000000" w:themeColor="text1"/>
          <w:lang w:bidi="he-IL"/>
        </w:rPr>
        <w:t xml:space="preserve"> </w:t>
      </w:r>
      <w:r w:rsidRPr="007E012E">
        <w:rPr>
          <w:b/>
          <w:color w:val="000000" w:themeColor="text1"/>
          <w:lang w:bidi="he-IL"/>
        </w:rPr>
        <w:t xml:space="preserve">jsou </w:t>
      </w:r>
      <w:r w:rsidRPr="007E012E">
        <w:rPr>
          <w:color w:val="000000" w:themeColor="text1"/>
          <w:lang w:bidi="he-IL"/>
        </w:rPr>
        <w:t>obory „Machine Tools“ a</w:t>
      </w:r>
      <w:r>
        <w:rPr>
          <w:color w:val="000000" w:themeColor="text1"/>
          <w:lang w:bidi="he-IL"/>
        </w:rPr>
        <w:t> </w:t>
      </w:r>
      <w:r w:rsidRPr="007E012E">
        <w:rPr>
          <w:color w:val="000000" w:themeColor="text1"/>
          <w:lang w:bidi="he-IL"/>
        </w:rPr>
        <w:t>„Precision Engineering“</w:t>
      </w:r>
      <w:r>
        <w:rPr>
          <w:color w:val="000000" w:themeColor="text1"/>
          <w:lang w:bidi="he-IL"/>
        </w:rPr>
        <w:t xml:space="preserve">, </w:t>
      </w:r>
      <w:r w:rsidRPr="007E012E">
        <w:rPr>
          <w:color w:val="000000" w:themeColor="text1"/>
          <w:lang w:bidi="he-IL"/>
        </w:rPr>
        <w:t>jejichž produkty využívají pokročilou elektroniku, zpracování dat, komunikaci a</w:t>
      </w:r>
      <w:r>
        <w:rPr>
          <w:color w:val="000000" w:themeColor="text1"/>
          <w:lang w:bidi="he-IL"/>
        </w:rPr>
        <w:t> </w:t>
      </w:r>
      <w:r w:rsidRPr="007E012E">
        <w:rPr>
          <w:color w:val="000000" w:themeColor="text1"/>
          <w:lang w:bidi="he-IL"/>
        </w:rPr>
        <w:t>řízení (jedná se o mechatronické produkty). Zpravidla se jedná o primární výrobu, jejíž produkty (stroje, zařízení, komponenty) užívají navazující strojírenská odvětví a</w:t>
      </w:r>
      <w:r>
        <w:rPr>
          <w:color w:val="000000" w:themeColor="text1"/>
          <w:lang w:bidi="he-IL"/>
        </w:rPr>
        <w:t>/</w:t>
      </w:r>
      <w:r w:rsidRPr="007E012E">
        <w:rPr>
          <w:color w:val="000000" w:themeColor="text1"/>
          <w:lang w:bidi="he-IL"/>
        </w:rPr>
        <w:t>nebo nestrojírenské obory zpracovatelského průmyslu.</w:t>
      </w:r>
    </w:p>
    <w:p w14:paraId="5D3FE1F5" w14:textId="77777777" w:rsidR="000649EE" w:rsidRPr="00405B03" w:rsidRDefault="000649EE" w:rsidP="001E007C">
      <w:pPr>
        <w:spacing w:before="40" w:after="0" w:line="360" w:lineRule="auto"/>
        <w:ind w:firstLine="708"/>
        <w:jc w:val="both"/>
        <w:rPr>
          <w:color w:val="000000" w:themeColor="text1"/>
          <w:lang w:bidi="he-IL"/>
        </w:rPr>
      </w:pPr>
      <w:r w:rsidRPr="00376872">
        <w:rPr>
          <w:color w:val="000000" w:themeColor="text1"/>
          <w:lang w:bidi="he-IL"/>
        </w:rPr>
        <w:t>Jak uvádí ČSÚ a MPO, jsou stroje, zařízení a komponenty z oborů „Machine Tools“ a „Precision Engineering“ hlavním indikátorem stavu a dalšího vývoje českého hospodářství. Tyto obory se v roce 201</w:t>
      </w:r>
      <w:r>
        <w:rPr>
          <w:color w:val="000000" w:themeColor="text1"/>
          <w:lang w:bidi="he-IL"/>
        </w:rPr>
        <w:t>6</w:t>
      </w:r>
      <w:r w:rsidRPr="00376872">
        <w:rPr>
          <w:color w:val="000000" w:themeColor="text1"/>
          <w:lang w:bidi="he-IL"/>
        </w:rPr>
        <w:t xml:space="preserve"> podílely téměř </w:t>
      </w:r>
      <w:r>
        <w:rPr>
          <w:color w:val="000000" w:themeColor="text1"/>
          <w:lang w:bidi="he-IL"/>
        </w:rPr>
        <w:t>2</w:t>
      </w:r>
      <w:r w:rsidRPr="00376872">
        <w:rPr>
          <w:color w:val="000000" w:themeColor="text1"/>
          <w:lang w:bidi="he-IL"/>
        </w:rPr>
        <w:t xml:space="preserve"> % na tržbách za vlastní výrobky a služby zpracovatelského průmyslu ČR Z dlouhodobých statistik patří sledované obory „Machine Tools“ a „Precision Engineering“ mezi obory s vysokou přidanou hodnotou, stabilním většinovým podílem exportu a</w:t>
      </w:r>
      <w:r>
        <w:rPr>
          <w:color w:val="000000" w:themeColor="text1"/>
          <w:lang w:bidi="he-IL"/>
        </w:rPr>
        <w:t> </w:t>
      </w:r>
      <w:r w:rsidRPr="00376872">
        <w:rPr>
          <w:color w:val="000000" w:themeColor="text1"/>
          <w:lang w:bidi="he-IL"/>
        </w:rPr>
        <w:t xml:space="preserve">obory s technologickou náročností spadající do sektoru hi-tech a medium hi-tech. Produkty těchto oborů (bez produktů vázaných na automotive, dopravní techniku a letectví, které jsou hodnoceny zvlášť) tvoří dohromady průměrné roční tržby za prodej vlastních výrobků a služeb přibližně </w:t>
      </w:r>
      <w:r>
        <w:rPr>
          <w:color w:val="000000" w:themeColor="text1"/>
          <w:lang w:bidi="he-IL"/>
        </w:rPr>
        <w:t>70</w:t>
      </w:r>
      <w:r w:rsidRPr="00376872">
        <w:rPr>
          <w:color w:val="000000" w:themeColor="text1"/>
          <w:lang w:bidi="he-IL"/>
        </w:rPr>
        <w:t xml:space="preserve"> mld. Kč a obory zaměstnávají přibližně 2</w:t>
      </w:r>
      <w:r>
        <w:rPr>
          <w:color w:val="000000" w:themeColor="text1"/>
          <w:lang w:bidi="he-IL"/>
        </w:rPr>
        <w:t>8</w:t>
      </w:r>
      <w:r w:rsidRPr="00376872">
        <w:rPr>
          <w:color w:val="000000" w:themeColor="text1"/>
          <w:lang w:bidi="he-IL"/>
        </w:rPr>
        <w:t xml:space="preserve"> tis. zaměstnanců. Produkce oborů vykazuje dlouhodobě kladné saldo zahraničního obchodu ve výši přibližně </w:t>
      </w:r>
      <w:r>
        <w:rPr>
          <w:color w:val="000000" w:themeColor="text1"/>
          <w:lang w:bidi="he-IL"/>
        </w:rPr>
        <w:t>25</w:t>
      </w:r>
      <w:r w:rsidRPr="00376872">
        <w:rPr>
          <w:color w:val="000000" w:themeColor="text1"/>
          <w:lang w:bidi="he-IL"/>
        </w:rPr>
        <w:t xml:space="preserve"> mld. Kč. Produkty sledované skupiny jsou v přímé konkurenci celosvětového trhu a musí obstát v jakékoliv globální konkurenci. Průměrná přidaná hodnota na zaměstnance pak představuje přibližně 8</w:t>
      </w:r>
      <w:r>
        <w:rPr>
          <w:color w:val="000000" w:themeColor="text1"/>
          <w:lang w:bidi="he-IL"/>
        </w:rPr>
        <w:t>58</w:t>
      </w:r>
      <w:r w:rsidRPr="00376872">
        <w:rPr>
          <w:color w:val="000000" w:themeColor="text1"/>
          <w:lang w:bidi="he-IL"/>
        </w:rPr>
        <w:t xml:space="preserve"> tis Kč</w:t>
      </w:r>
      <w:r>
        <w:rPr>
          <w:rStyle w:val="Znakapoznpodarou"/>
          <w:color w:val="000000" w:themeColor="text1"/>
          <w:lang w:bidi="he-IL"/>
        </w:rPr>
        <w:footnoteReference w:id="102"/>
      </w:r>
      <w:r w:rsidRPr="00376872">
        <w:rPr>
          <w:color w:val="000000" w:themeColor="text1"/>
          <w:lang w:bidi="he-IL"/>
        </w:rPr>
        <w:t xml:space="preserve">. Teritoriem, do kterého směřuje největší objem vývozu oborů „Machine Tools“ a „Precision Engineering“, je již tradičně Německo. </w:t>
      </w:r>
      <w:r w:rsidRPr="00405B03">
        <w:rPr>
          <w:color w:val="000000" w:themeColor="text1"/>
          <w:lang w:bidi="he-IL"/>
        </w:rPr>
        <w:t>Postupně narůstající objemy vývozu svědčí o trvale se zlepšující kvalitě, technické úrovni a konkurenceschopnosti výrobků. Pokračuje pozitivní vývoj exportní výkonnosti, která je ale podmíněna investicemi do výzkumu a vývoje, zvyšováním kvalifikace pracovníků a přizpůsobení se podniků stále tvrdšímu konkurenčnímu prostředí.</w:t>
      </w:r>
    </w:p>
    <w:p w14:paraId="76CC5E53" w14:textId="77777777" w:rsidR="000649EE" w:rsidRPr="00405B03" w:rsidRDefault="000649EE" w:rsidP="001E007C">
      <w:pPr>
        <w:spacing w:after="0" w:line="360" w:lineRule="auto"/>
        <w:jc w:val="both"/>
        <w:rPr>
          <w:color w:val="000000" w:themeColor="text1"/>
          <w:lang w:bidi="he-IL"/>
        </w:rPr>
      </w:pPr>
      <w:r w:rsidRPr="00405B03">
        <w:rPr>
          <w:color w:val="000000" w:themeColor="text1"/>
          <w:lang w:bidi="he-IL"/>
        </w:rPr>
        <w:lastRenderedPageBreak/>
        <w:t xml:space="preserve">V komoditní struktuře vývozu i dovozu patří mezi nejúspěšnější produkty energetického strojírenství (komponenty a zařízení pro energetiku), výrobky z oblasti klimatizace a chlazení, obráběcí a tvářecí stroje, ostatní výrobní stroje a další strojírenské výrobky s vysokou přidanou hodnotou jako zbraně, měřicí a zkušební přístroje. </w:t>
      </w:r>
    </w:p>
    <w:p w14:paraId="194B8CB1" w14:textId="07BD6D77" w:rsidR="000649EE" w:rsidRPr="00E24D25" w:rsidRDefault="000649EE" w:rsidP="001E007C">
      <w:pPr>
        <w:spacing w:before="40" w:after="0" w:line="360" w:lineRule="auto"/>
        <w:ind w:firstLine="708"/>
        <w:jc w:val="both"/>
        <w:rPr>
          <w:color w:val="000000" w:themeColor="text1"/>
          <w:lang w:bidi="he-IL"/>
        </w:rPr>
      </w:pPr>
      <w:r w:rsidRPr="00E24D25">
        <w:rPr>
          <w:color w:val="000000" w:themeColor="text1"/>
          <w:lang w:bidi="he-IL"/>
        </w:rPr>
        <w:t>V této části se budeme zabývat strategicky významnými tématy pro obor</w:t>
      </w:r>
      <w:r>
        <w:rPr>
          <w:color w:val="000000" w:themeColor="text1"/>
          <w:lang w:bidi="he-IL"/>
        </w:rPr>
        <w:t>y</w:t>
      </w:r>
      <w:r w:rsidRPr="00E24D25">
        <w:rPr>
          <w:color w:val="000000" w:themeColor="text1"/>
          <w:lang w:bidi="he-IL"/>
        </w:rPr>
        <w:t xml:space="preserve"> „Machine Tools“ a</w:t>
      </w:r>
      <w:r w:rsidR="00FC5FC9">
        <w:rPr>
          <w:color w:val="000000" w:themeColor="text1"/>
          <w:lang w:bidi="he-IL"/>
        </w:rPr>
        <w:t> </w:t>
      </w:r>
      <w:r w:rsidRPr="00E24D25">
        <w:rPr>
          <w:color w:val="000000" w:themeColor="text1"/>
          <w:lang w:bidi="he-IL"/>
        </w:rPr>
        <w:t xml:space="preserve">„Precision Engineering“ produkující stroje, nástroje, zařízení, výrobky a komponenty, </w:t>
      </w:r>
      <w:r w:rsidRPr="00E24D25">
        <w:rPr>
          <w:b/>
          <w:color w:val="000000" w:themeColor="text1"/>
          <w:lang w:bidi="he-IL"/>
        </w:rPr>
        <w:t>které standardně potřebují výzkum a</w:t>
      </w:r>
      <w:r>
        <w:rPr>
          <w:b/>
          <w:color w:val="000000" w:themeColor="text1"/>
          <w:lang w:bidi="he-IL"/>
        </w:rPr>
        <w:t> </w:t>
      </w:r>
      <w:r w:rsidRPr="00E24D25">
        <w:rPr>
          <w:b/>
          <w:color w:val="000000" w:themeColor="text1"/>
          <w:lang w:bidi="he-IL"/>
        </w:rPr>
        <w:t xml:space="preserve">vývoj pro jejich inovace. </w:t>
      </w:r>
      <w:r w:rsidRPr="00E24D25">
        <w:rPr>
          <w:color w:val="000000" w:themeColor="text1"/>
          <w:lang w:bidi="he-IL"/>
        </w:rPr>
        <w:t xml:space="preserve">Nezohledňujeme a nezahrnujeme produkty, které vznikají bez systematického výzkumu a vývoje (jednodušší produkty a služby) nebo jejichž VaV probíhá systematicky mimo ČR. </w:t>
      </w:r>
    </w:p>
    <w:p w14:paraId="02612391" w14:textId="0A6E84CD" w:rsidR="000649EE" w:rsidRDefault="000649EE" w:rsidP="001E007C">
      <w:pPr>
        <w:spacing w:before="40" w:after="0" w:line="360" w:lineRule="auto"/>
        <w:ind w:firstLine="708"/>
        <w:jc w:val="both"/>
        <w:rPr>
          <w:b/>
          <w:color w:val="000000" w:themeColor="text1"/>
          <w:lang w:bidi="he-IL"/>
        </w:rPr>
      </w:pPr>
      <w:r w:rsidRPr="007E012E">
        <w:rPr>
          <w:color w:val="000000" w:themeColor="text1"/>
          <w:lang w:bidi="he-IL"/>
        </w:rPr>
        <w:t>Ve sledované významné množině strategicky významných produktů oborů „Machine To</w:t>
      </w:r>
      <w:r>
        <w:rPr>
          <w:color w:val="000000" w:themeColor="text1"/>
          <w:lang w:bidi="he-IL"/>
        </w:rPr>
        <w:t>ols“ a</w:t>
      </w:r>
      <w:r w:rsidR="00FC5FC9">
        <w:rPr>
          <w:color w:val="000000" w:themeColor="text1"/>
          <w:lang w:bidi="he-IL"/>
        </w:rPr>
        <w:t> </w:t>
      </w:r>
      <w:r>
        <w:rPr>
          <w:color w:val="000000" w:themeColor="text1"/>
          <w:lang w:bidi="he-IL"/>
        </w:rPr>
        <w:t xml:space="preserve">„Precision Engineering“ </w:t>
      </w:r>
      <w:r w:rsidRPr="007E012E">
        <w:rPr>
          <w:color w:val="000000" w:themeColor="text1"/>
          <w:lang w:bidi="he-IL"/>
        </w:rPr>
        <w:t xml:space="preserve">jsou především: </w:t>
      </w:r>
      <w:r w:rsidRPr="007E012E">
        <w:rPr>
          <w:b/>
          <w:color w:val="000000" w:themeColor="text1"/>
          <w:lang w:bidi="he-IL"/>
        </w:rPr>
        <w:t>obráběcí stroje, tvářecí stroje, stroje pro aditivní výrobu, související automatizaci a nástroje</w:t>
      </w:r>
      <w:r w:rsidRPr="007E012E">
        <w:rPr>
          <w:color w:val="000000" w:themeColor="text1"/>
          <w:lang w:bidi="he-IL"/>
        </w:rPr>
        <w:t xml:space="preserve">, </w:t>
      </w:r>
      <w:r w:rsidRPr="007E012E">
        <w:rPr>
          <w:b/>
          <w:color w:val="000000" w:themeColor="text1"/>
          <w:lang w:bidi="he-IL"/>
        </w:rPr>
        <w:t xml:space="preserve">přesné strojírenské komponenty </w:t>
      </w:r>
      <w:r w:rsidRPr="00FB3DFA">
        <w:rPr>
          <w:color w:val="000000" w:themeColor="text1"/>
          <w:lang w:bidi="he-IL"/>
        </w:rPr>
        <w:t>(</w:t>
      </w:r>
      <w:r w:rsidRPr="007E012E">
        <w:rPr>
          <w:color w:val="000000" w:themeColor="text1"/>
          <w:lang w:bidi="he-IL"/>
        </w:rPr>
        <w:t xml:space="preserve">ložiska, spojky, motory, převodovky a další konstrukční prvky pro přenos momentů a sil včetně hydrauliky, které jsou základem stavby většiny průmyslových a spotřebních produktů a umožňují stavbu sekundárních výrobních strojů, tedy strojů a zařízení pro další zpracovatelský průmysl). Dále do skupiny patří </w:t>
      </w:r>
      <w:r w:rsidRPr="007E012E">
        <w:rPr>
          <w:b/>
          <w:color w:val="000000" w:themeColor="text1"/>
          <w:lang w:bidi="he-IL"/>
        </w:rPr>
        <w:t xml:space="preserve">komplexní strojní zařízení </w:t>
      </w:r>
      <w:r w:rsidRPr="007E012E">
        <w:rPr>
          <w:color w:val="000000" w:themeColor="text1"/>
          <w:lang w:bidi="he-IL"/>
        </w:rPr>
        <w:t>pro manipulaci, dopravu, procesní skladování, čištění, měření, balení, tištění, chlazení, sušení, klimatizaci, stlačování médií a další operace umožňující vytváření specifických strojů, zařízení, výrobních buněk, výrobních linek a</w:t>
      </w:r>
      <w:r>
        <w:rPr>
          <w:color w:val="000000" w:themeColor="text1"/>
          <w:lang w:bidi="he-IL"/>
        </w:rPr>
        <w:t> </w:t>
      </w:r>
      <w:r w:rsidRPr="007E012E">
        <w:rPr>
          <w:color w:val="000000" w:themeColor="text1"/>
          <w:lang w:bidi="he-IL"/>
        </w:rPr>
        <w:t xml:space="preserve">výrobních podniků. Dále zahrnujeme do této oblasti </w:t>
      </w:r>
      <w:r w:rsidRPr="007E012E">
        <w:rPr>
          <w:b/>
          <w:color w:val="000000" w:themeColor="text1"/>
          <w:lang w:bidi="he-IL"/>
        </w:rPr>
        <w:t>přesné a</w:t>
      </w:r>
      <w:r w:rsidR="00FC5FC9">
        <w:rPr>
          <w:b/>
          <w:color w:val="000000" w:themeColor="text1"/>
          <w:lang w:bidi="he-IL"/>
        </w:rPr>
        <w:t> </w:t>
      </w:r>
      <w:r w:rsidRPr="007E012E">
        <w:rPr>
          <w:b/>
          <w:color w:val="000000" w:themeColor="text1"/>
          <w:lang w:bidi="he-IL"/>
        </w:rPr>
        <w:t>produktivní sekundární výrobní stroje</w:t>
      </w:r>
      <w:r w:rsidRPr="007E012E">
        <w:rPr>
          <w:color w:val="000000" w:themeColor="text1"/>
          <w:lang w:bidi="he-IL"/>
        </w:rPr>
        <w:t>, které jsou základem další výroby, stavby výrobních podniků a jedná se například o textilní stroje, tiskařské stroje, bali</w:t>
      </w:r>
      <w:r>
        <w:rPr>
          <w:color w:val="000000" w:themeColor="text1"/>
          <w:lang w:bidi="he-IL"/>
        </w:rPr>
        <w:t>cí stroje, potravinářské stroje</w:t>
      </w:r>
      <w:r w:rsidRPr="007E012E">
        <w:rPr>
          <w:color w:val="000000" w:themeColor="text1"/>
          <w:lang w:bidi="he-IL"/>
        </w:rPr>
        <w:t xml:space="preserve"> atd. Do sledované skupiny přesné strojírenské výroby patří také výroba zbraní, výroba přístrojů a měřicí techniky, výroba forem a</w:t>
      </w:r>
      <w:r>
        <w:rPr>
          <w:color w:val="000000" w:themeColor="text1"/>
          <w:lang w:bidi="he-IL"/>
        </w:rPr>
        <w:t> </w:t>
      </w:r>
      <w:r w:rsidRPr="007E012E">
        <w:rPr>
          <w:color w:val="000000" w:themeColor="text1"/>
          <w:lang w:bidi="he-IL"/>
        </w:rPr>
        <w:t>výroba nástrojů pro tváření a vstřikování. Nakonec mají své místo ve sledované skupině také výzkumná témata i z oblastí produkce: stavební stroje, zemědělské a</w:t>
      </w:r>
      <w:r>
        <w:rPr>
          <w:color w:val="000000" w:themeColor="text1"/>
          <w:lang w:bidi="he-IL"/>
        </w:rPr>
        <w:t> </w:t>
      </w:r>
      <w:r w:rsidRPr="007E012E">
        <w:rPr>
          <w:color w:val="000000" w:themeColor="text1"/>
          <w:lang w:bidi="he-IL"/>
        </w:rPr>
        <w:t>lesnické stroje, potravinářské stroje, stroje pro těžbu a dobývání</w:t>
      </w:r>
      <w:r>
        <w:rPr>
          <w:color w:val="000000" w:themeColor="text1"/>
          <w:lang w:bidi="he-IL"/>
        </w:rPr>
        <w:t xml:space="preserve"> a </w:t>
      </w:r>
      <w:r w:rsidRPr="007E012E">
        <w:rPr>
          <w:color w:val="000000" w:themeColor="text1"/>
          <w:lang w:bidi="he-IL"/>
        </w:rPr>
        <w:t xml:space="preserve">technologické celky do všech typů průmyslu, ale musí se jednat o </w:t>
      </w:r>
      <w:r w:rsidRPr="007E012E">
        <w:rPr>
          <w:b/>
          <w:color w:val="000000" w:themeColor="text1"/>
          <w:lang w:bidi="he-IL"/>
        </w:rPr>
        <w:t>produkty s vysokou technickou náročností, které standardně potřebují výzkum a vývoj pro jejich inovace.</w:t>
      </w:r>
    </w:p>
    <w:p w14:paraId="116FF6CB" w14:textId="77777777" w:rsidR="003D234A" w:rsidRPr="00E24D25" w:rsidRDefault="003D234A" w:rsidP="003D234A">
      <w:pPr>
        <w:spacing w:before="40" w:after="40" w:line="360" w:lineRule="auto"/>
        <w:ind w:firstLine="708"/>
        <w:jc w:val="both"/>
        <w:rPr>
          <w:color w:val="000000" w:themeColor="text1"/>
          <w:lang w:bidi="he-IL"/>
        </w:rPr>
      </w:pPr>
    </w:p>
    <w:p w14:paraId="639E2D2B" w14:textId="77777777" w:rsidR="000649EE" w:rsidRPr="00E24D25" w:rsidRDefault="000649EE" w:rsidP="000649EE">
      <w:pPr>
        <w:spacing w:before="40" w:after="40" w:line="360" w:lineRule="auto"/>
        <w:jc w:val="both"/>
        <w:rPr>
          <w:color w:val="000000" w:themeColor="text1"/>
          <w:u w:val="single"/>
          <w:lang w:bidi="he-IL"/>
        </w:rPr>
      </w:pPr>
      <w:r w:rsidRPr="00E24D25">
        <w:rPr>
          <w:color w:val="000000" w:themeColor="text1"/>
          <w:u w:val="single"/>
          <w:lang w:bidi="he-IL"/>
        </w:rPr>
        <w:t>Charakteristika požadavků a nároků na sektor „Strojírenství“</w:t>
      </w:r>
    </w:p>
    <w:p w14:paraId="5D83001E" w14:textId="1398B5AE" w:rsidR="000649EE" w:rsidRDefault="000649EE" w:rsidP="001E007C">
      <w:pPr>
        <w:spacing w:line="360" w:lineRule="auto"/>
        <w:ind w:firstLine="708"/>
        <w:jc w:val="both"/>
        <w:rPr>
          <w:color w:val="000000" w:themeColor="text1"/>
          <w:lang w:bidi="he-IL"/>
        </w:rPr>
      </w:pPr>
      <w:r w:rsidRPr="007E012E">
        <w:rPr>
          <w:color w:val="000000" w:themeColor="text1"/>
          <w:lang w:bidi="he-IL"/>
        </w:rPr>
        <w:t xml:space="preserve">Obory, které kladou </w:t>
      </w:r>
      <w:r w:rsidRPr="007E012E">
        <w:rPr>
          <w:b/>
          <w:color w:val="000000" w:themeColor="text1"/>
          <w:lang w:bidi="he-IL"/>
        </w:rPr>
        <w:t>nejvyšší nároky a určují špičkové požadované parametry</w:t>
      </w:r>
      <w:r w:rsidRPr="007E012E">
        <w:rPr>
          <w:color w:val="000000" w:themeColor="text1"/>
          <w:lang w:bidi="he-IL"/>
        </w:rPr>
        <w:t xml:space="preserve"> strojů, zařízení a</w:t>
      </w:r>
      <w:r w:rsidR="00FC5FC9">
        <w:rPr>
          <w:color w:val="000000" w:themeColor="text1"/>
          <w:lang w:bidi="he-IL"/>
        </w:rPr>
        <w:t> </w:t>
      </w:r>
      <w:r w:rsidRPr="007E012E">
        <w:rPr>
          <w:color w:val="000000" w:themeColor="text1"/>
          <w:lang w:bidi="he-IL"/>
        </w:rPr>
        <w:t xml:space="preserve">komponentů z hlediska zákazníků, jsou především </w:t>
      </w:r>
      <w:r w:rsidRPr="007E012E">
        <w:rPr>
          <w:b/>
          <w:color w:val="000000" w:themeColor="text1"/>
          <w:lang w:bidi="he-IL"/>
        </w:rPr>
        <w:t>energetická technika, výroba automobilů, letecká výroba, těžká transportní technika a</w:t>
      </w:r>
      <w:r>
        <w:rPr>
          <w:b/>
          <w:color w:val="000000" w:themeColor="text1"/>
          <w:lang w:bidi="he-IL"/>
        </w:rPr>
        <w:t> </w:t>
      </w:r>
      <w:r w:rsidRPr="007E012E">
        <w:rPr>
          <w:b/>
          <w:color w:val="000000" w:themeColor="text1"/>
          <w:lang w:bidi="he-IL"/>
        </w:rPr>
        <w:t>přístrojová technika</w:t>
      </w:r>
      <w:r w:rsidRPr="007E012E">
        <w:rPr>
          <w:color w:val="000000" w:themeColor="text1"/>
          <w:lang w:bidi="he-IL"/>
        </w:rPr>
        <w:t>.</w:t>
      </w:r>
      <w:r>
        <w:rPr>
          <w:color w:val="000000" w:themeColor="text1"/>
          <w:lang w:bidi="he-IL"/>
        </w:rPr>
        <w:t xml:space="preserve"> Hlavními výzvami, </w:t>
      </w:r>
      <w:r w:rsidRPr="00E24D25">
        <w:rPr>
          <w:color w:val="000000" w:themeColor="text1"/>
          <w:lang w:bidi="he-IL"/>
        </w:rPr>
        <w:t>které na sektor Strojírenství tyto navazující obory klad</w:t>
      </w:r>
      <w:r>
        <w:rPr>
          <w:color w:val="000000" w:themeColor="text1"/>
          <w:lang w:bidi="he-IL"/>
        </w:rPr>
        <w:t>o</w:t>
      </w:r>
      <w:r w:rsidRPr="00E24D25">
        <w:rPr>
          <w:color w:val="000000" w:themeColor="text1"/>
          <w:lang w:bidi="he-IL"/>
        </w:rPr>
        <w:t>u</w:t>
      </w:r>
      <w:r>
        <w:rPr>
          <w:color w:val="000000" w:themeColor="text1"/>
          <w:lang w:bidi="he-IL"/>
        </w:rPr>
        <w:t xml:space="preserve">, </w:t>
      </w:r>
      <w:r w:rsidRPr="00E24D25">
        <w:rPr>
          <w:color w:val="000000" w:themeColor="text1"/>
          <w:lang w:bidi="he-IL"/>
        </w:rPr>
        <w:t>jsou: zpracování těžkoobrobitelných a obtížně tvářitelných materiálů, těžké a velké stroje se zvýšenou přesností, vysoká jakost finálních povrchů, zvýšená spolehlivost a nároky na disponibilní čas strojů až 97</w:t>
      </w:r>
      <w:r>
        <w:rPr>
          <w:color w:val="000000" w:themeColor="text1"/>
          <w:lang w:bidi="he-IL"/>
        </w:rPr>
        <w:t> </w:t>
      </w:r>
      <w:r w:rsidRPr="00E24D25">
        <w:rPr>
          <w:color w:val="000000" w:themeColor="text1"/>
          <w:lang w:bidi="he-IL"/>
        </w:rPr>
        <w:t xml:space="preserve">%, zvýšené nároky na univerzálnost </w:t>
      </w:r>
      <w:r w:rsidRPr="00E24D25">
        <w:rPr>
          <w:color w:val="000000" w:themeColor="text1"/>
          <w:lang w:bidi="he-IL"/>
        </w:rPr>
        <w:lastRenderedPageBreak/>
        <w:t>a</w:t>
      </w:r>
      <w:r w:rsidR="00FC5FC9">
        <w:rPr>
          <w:color w:val="000000" w:themeColor="text1"/>
          <w:lang w:bidi="he-IL"/>
        </w:rPr>
        <w:t> </w:t>
      </w:r>
      <w:r w:rsidRPr="00E24D25">
        <w:rPr>
          <w:color w:val="000000" w:themeColor="text1"/>
          <w:lang w:bidi="he-IL"/>
        </w:rPr>
        <w:t>multifunkčnost strojů/zařízení/komponentů, nové technické prostředky pro přesné měření, snižování výrobních nákladů, maximální stavebnicovost strojů, zařízení a</w:t>
      </w:r>
      <w:r>
        <w:rPr>
          <w:color w:val="000000" w:themeColor="text1"/>
          <w:lang w:bidi="he-IL"/>
        </w:rPr>
        <w:t> </w:t>
      </w:r>
      <w:r w:rsidRPr="00E24D25">
        <w:rPr>
          <w:color w:val="000000" w:themeColor="text1"/>
          <w:lang w:bidi="he-IL"/>
        </w:rPr>
        <w:t>komponentů, sdružování výrobních operací, snižování energetické náročnosti strojů, snižování nároků na obsluhu při současném růstu spolehlivosti výroby, vysoké požadavky na monitorování stavu stroj</w:t>
      </w:r>
      <w:r>
        <w:rPr>
          <w:color w:val="000000" w:themeColor="text1"/>
          <w:lang w:bidi="he-IL"/>
        </w:rPr>
        <w:t xml:space="preserve">e/zařízení/komponentu/procesu, </w:t>
      </w:r>
      <w:r w:rsidRPr="00E24D25">
        <w:rPr>
          <w:color w:val="000000" w:themeColor="text1"/>
          <w:lang w:bidi="he-IL"/>
        </w:rPr>
        <w:t>vysoké nároky na integrovanou automatizaci a bezpečnost provozu strojů pro obsluhu, vysoce výkonné zpracování lehkých slitin, titanu a kompozitních materiálů, zvýšení přesnosti výroby poddajných dílců, automatizace hledání stabilních a výkonných oblastí technologických parametrů, vysoké nároky na zvýšení jakosti a integrity povrchů, zvyšování přesnosti výroby velmi rozměrných dílců, zvyšování výkonu a hospodár</w:t>
      </w:r>
      <w:r>
        <w:rPr>
          <w:color w:val="000000" w:themeColor="text1"/>
          <w:lang w:bidi="he-IL"/>
        </w:rPr>
        <w:t>nosti zpracování konvenčních i </w:t>
      </w:r>
      <w:r w:rsidRPr="00E24D25">
        <w:rPr>
          <w:color w:val="000000" w:themeColor="text1"/>
          <w:lang w:bidi="he-IL"/>
        </w:rPr>
        <w:t>nekonvenčních materiálů, zvyšování dlouhodobé pracovní přesnosti, vysoké požadavky na maximální teplotní stabilitu, prostředky virtuálního prototypování, verifikované nástroje po simulace a</w:t>
      </w:r>
      <w:r w:rsidR="00FC5FC9">
        <w:rPr>
          <w:color w:val="000000" w:themeColor="text1"/>
          <w:lang w:bidi="he-IL"/>
        </w:rPr>
        <w:t> </w:t>
      </w:r>
      <w:r w:rsidRPr="00E24D25">
        <w:rPr>
          <w:color w:val="000000" w:themeColor="text1"/>
          <w:lang w:bidi="he-IL"/>
        </w:rPr>
        <w:t>optimalizace strojů</w:t>
      </w:r>
      <w:r>
        <w:rPr>
          <w:color w:val="000000" w:themeColor="text1"/>
          <w:lang w:bidi="he-IL"/>
        </w:rPr>
        <w:t xml:space="preserve"> /</w:t>
      </w:r>
      <w:r w:rsidRPr="00E24D25">
        <w:rPr>
          <w:color w:val="000000" w:themeColor="text1"/>
          <w:lang w:bidi="he-IL"/>
        </w:rPr>
        <w:t>zařízení/komponentů a procesů.</w:t>
      </w:r>
    </w:p>
    <w:p w14:paraId="6CEFA543" w14:textId="77777777" w:rsidR="004325CB" w:rsidRDefault="004325CB" w:rsidP="004325CB">
      <w:pPr>
        <w:spacing w:line="360" w:lineRule="auto"/>
        <w:jc w:val="both"/>
        <w:rPr>
          <w:color w:val="000000" w:themeColor="text1"/>
          <w:lang w:bidi="he-IL"/>
        </w:rPr>
      </w:pPr>
    </w:p>
    <w:p w14:paraId="3EC1FEB4" w14:textId="335510B0" w:rsidR="004325CB" w:rsidRPr="00610C9A" w:rsidRDefault="004325CB" w:rsidP="004325CB">
      <w:pPr>
        <w:spacing w:line="360" w:lineRule="auto"/>
        <w:jc w:val="both"/>
        <w:rPr>
          <w:b/>
          <w:color w:val="000000" w:themeColor="text1"/>
          <w:u w:val="single"/>
          <w:lang w:bidi="he-IL"/>
        </w:rPr>
      </w:pPr>
      <w:r w:rsidRPr="00610C9A">
        <w:rPr>
          <w:b/>
          <w:color w:val="000000" w:themeColor="text1"/>
          <w:u w:val="single"/>
          <w:lang w:bidi="he-IL"/>
        </w:rPr>
        <w:t>Identifikace potřeb a jejich řešení</w:t>
      </w:r>
    </w:p>
    <w:p w14:paraId="3E060B7A" w14:textId="77777777" w:rsidR="004325CB" w:rsidRPr="009907E0" w:rsidRDefault="004325CB" w:rsidP="003D234A">
      <w:pPr>
        <w:pStyle w:val="Default"/>
        <w:spacing w:after="200" w:line="360" w:lineRule="auto"/>
        <w:ind w:firstLine="708"/>
        <w:jc w:val="both"/>
        <w:rPr>
          <w:rFonts w:asciiTheme="minorHAnsi" w:hAnsiTheme="minorHAnsi" w:cstheme="minorBidi"/>
          <w:color w:val="auto"/>
          <w:sz w:val="22"/>
          <w:szCs w:val="22"/>
        </w:rPr>
      </w:pPr>
      <w:r w:rsidRPr="009907E0">
        <w:rPr>
          <w:rFonts w:asciiTheme="minorHAnsi" w:hAnsiTheme="minorHAnsi" w:cstheme="minorBidi"/>
          <w:color w:val="auto"/>
          <w:sz w:val="22"/>
          <w:szCs w:val="22"/>
        </w:rPr>
        <w:t>Globální odborná strategie oborů „Machine Tools“ a „Precision Engineering“, která umožňuje posilovat konkurenceschopnost, představuje:</w:t>
      </w:r>
    </w:p>
    <w:p w14:paraId="51E6AB3A" w14:textId="42745341" w:rsidR="0086364D" w:rsidRDefault="004325CB" w:rsidP="00543C1B">
      <w:pPr>
        <w:pStyle w:val="Default"/>
        <w:numPr>
          <w:ilvl w:val="0"/>
          <w:numId w:val="101"/>
        </w:numPr>
        <w:spacing w:after="200" w:line="360" w:lineRule="auto"/>
        <w:jc w:val="both"/>
        <w:rPr>
          <w:rFonts w:asciiTheme="minorHAnsi" w:hAnsiTheme="minorHAnsi" w:cstheme="minorBidi"/>
          <w:color w:val="auto"/>
          <w:sz w:val="22"/>
          <w:szCs w:val="22"/>
        </w:rPr>
      </w:pPr>
      <w:r w:rsidRPr="009907E0">
        <w:rPr>
          <w:rFonts w:asciiTheme="minorHAnsi" w:hAnsiTheme="minorHAnsi" w:cstheme="minorBidi"/>
          <w:color w:val="auto"/>
          <w:sz w:val="22"/>
          <w:szCs w:val="22"/>
        </w:rPr>
        <w:t>Zvyšování přesnosti - především zvyšování geometrické a rozměrové přesnosti v malých i</w:t>
      </w:r>
      <w:r w:rsidR="0086364D">
        <w:rPr>
          <w:rFonts w:asciiTheme="minorHAnsi" w:hAnsiTheme="minorHAnsi" w:cstheme="minorBidi"/>
          <w:color w:val="auto"/>
          <w:sz w:val="22"/>
          <w:szCs w:val="22"/>
        </w:rPr>
        <w:t> </w:t>
      </w:r>
      <w:r w:rsidRPr="009907E0">
        <w:rPr>
          <w:rFonts w:asciiTheme="minorHAnsi" w:hAnsiTheme="minorHAnsi" w:cstheme="minorBidi"/>
          <w:color w:val="auto"/>
          <w:sz w:val="22"/>
          <w:szCs w:val="22"/>
        </w:rPr>
        <w:t>velkých rozměrech dílců, komponentů, strojů a metod.</w:t>
      </w:r>
    </w:p>
    <w:p w14:paraId="4D18488F" w14:textId="77777777" w:rsidR="0086364D" w:rsidRDefault="004325CB" w:rsidP="00543C1B">
      <w:pPr>
        <w:pStyle w:val="Default"/>
        <w:numPr>
          <w:ilvl w:val="0"/>
          <w:numId w:val="101"/>
        </w:numPr>
        <w:spacing w:after="200" w:line="360" w:lineRule="auto"/>
        <w:jc w:val="both"/>
        <w:rPr>
          <w:rFonts w:asciiTheme="minorHAnsi" w:hAnsiTheme="minorHAnsi" w:cstheme="minorBidi"/>
          <w:color w:val="auto"/>
          <w:sz w:val="22"/>
          <w:szCs w:val="22"/>
        </w:rPr>
      </w:pPr>
      <w:r w:rsidRPr="0086364D">
        <w:rPr>
          <w:rFonts w:asciiTheme="minorHAnsi" w:hAnsiTheme="minorHAnsi" w:cstheme="minorBidi"/>
          <w:color w:val="auto"/>
          <w:sz w:val="22"/>
          <w:szCs w:val="22"/>
        </w:rPr>
        <w:t xml:space="preserve"> Zvyšování jakosti - především zvyšování jakosti povrchů, cílené pozitivní ovlivňování charakteristik integrity povrchů.</w:t>
      </w:r>
    </w:p>
    <w:p w14:paraId="6B8335ED" w14:textId="77777777" w:rsidR="0086364D" w:rsidRDefault="004325CB" w:rsidP="00543C1B">
      <w:pPr>
        <w:pStyle w:val="Default"/>
        <w:numPr>
          <w:ilvl w:val="0"/>
          <w:numId w:val="101"/>
        </w:numPr>
        <w:spacing w:after="200" w:line="360" w:lineRule="auto"/>
        <w:jc w:val="both"/>
        <w:rPr>
          <w:rFonts w:asciiTheme="minorHAnsi" w:hAnsiTheme="minorHAnsi" w:cstheme="minorBidi"/>
          <w:color w:val="auto"/>
          <w:sz w:val="22"/>
          <w:szCs w:val="22"/>
        </w:rPr>
      </w:pPr>
      <w:r w:rsidRPr="0086364D">
        <w:rPr>
          <w:rFonts w:asciiTheme="minorHAnsi" w:hAnsiTheme="minorHAnsi" w:cstheme="minorBidi"/>
          <w:color w:val="auto"/>
          <w:sz w:val="22"/>
          <w:szCs w:val="22"/>
        </w:rPr>
        <w:t>Zvyšování výrobního výkonu - zvyšování krátkodobého i dlouhodobého výrobního výkonu strojů a zařízení, ale také výkonových charakteristik dílců a komponentů.</w:t>
      </w:r>
    </w:p>
    <w:p w14:paraId="3DE69CB2" w14:textId="77777777" w:rsidR="0086364D" w:rsidRDefault="004325CB" w:rsidP="00543C1B">
      <w:pPr>
        <w:pStyle w:val="Default"/>
        <w:numPr>
          <w:ilvl w:val="0"/>
          <w:numId w:val="101"/>
        </w:numPr>
        <w:spacing w:after="200" w:line="360" w:lineRule="auto"/>
        <w:jc w:val="both"/>
        <w:rPr>
          <w:rFonts w:asciiTheme="minorHAnsi" w:hAnsiTheme="minorHAnsi" w:cstheme="minorBidi"/>
          <w:color w:val="auto"/>
          <w:sz w:val="22"/>
          <w:szCs w:val="22"/>
        </w:rPr>
      </w:pPr>
      <w:r w:rsidRPr="0086364D">
        <w:rPr>
          <w:rFonts w:asciiTheme="minorHAnsi" w:hAnsiTheme="minorHAnsi" w:cstheme="minorBidi"/>
          <w:color w:val="auto"/>
          <w:sz w:val="22"/>
          <w:szCs w:val="22"/>
        </w:rPr>
        <w:t>Zvyšování spolehlivosti - zvyšování spolehlivosti produktů, funkcí a procesů.</w:t>
      </w:r>
    </w:p>
    <w:p w14:paraId="456B0059" w14:textId="77777777" w:rsidR="0086364D" w:rsidRDefault="004325CB" w:rsidP="00543C1B">
      <w:pPr>
        <w:pStyle w:val="Default"/>
        <w:numPr>
          <w:ilvl w:val="0"/>
          <w:numId w:val="101"/>
        </w:numPr>
        <w:spacing w:after="200" w:line="360" w:lineRule="auto"/>
        <w:jc w:val="both"/>
        <w:rPr>
          <w:rFonts w:asciiTheme="minorHAnsi" w:hAnsiTheme="minorHAnsi" w:cstheme="minorBidi"/>
          <w:color w:val="auto"/>
          <w:sz w:val="22"/>
          <w:szCs w:val="22"/>
        </w:rPr>
      </w:pPr>
      <w:r w:rsidRPr="0086364D">
        <w:rPr>
          <w:rFonts w:asciiTheme="minorHAnsi" w:hAnsiTheme="minorHAnsi" w:cstheme="minorBidi"/>
          <w:color w:val="auto"/>
          <w:sz w:val="22"/>
          <w:szCs w:val="22"/>
        </w:rPr>
        <w:t>Zvyšování hospodárnosti - minimalizace jednotkových nákladů na produkty, minimalizace nákladů provozu a nákladů na obsluhu a minimalizace nákladů na samotné pořízení produktů.</w:t>
      </w:r>
    </w:p>
    <w:p w14:paraId="1F575A74" w14:textId="34F93724" w:rsidR="004325CB" w:rsidRPr="0086364D" w:rsidRDefault="004325CB" w:rsidP="00543C1B">
      <w:pPr>
        <w:pStyle w:val="Default"/>
        <w:numPr>
          <w:ilvl w:val="0"/>
          <w:numId w:val="101"/>
        </w:numPr>
        <w:spacing w:after="200" w:line="360" w:lineRule="auto"/>
        <w:jc w:val="both"/>
        <w:rPr>
          <w:rFonts w:asciiTheme="minorHAnsi" w:hAnsiTheme="minorHAnsi" w:cstheme="minorBidi"/>
          <w:color w:val="auto"/>
          <w:sz w:val="22"/>
          <w:szCs w:val="22"/>
        </w:rPr>
      </w:pPr>
      <w:r w:rsidRPr="0086364D">
        <w:rPr>
          <w:rFonts w:asciiTheme="minorHAnsi" w:hAnsiTheme="minorHAnsi" w:cstheme="minorBidi"/>
          <w:color w:val="auto"/>
          <w:sz w:val="22"/>
          <w:szCs w:val="22"/>
        </w:rPr>
        <w:t>Snižování negativních dopadů na životní prostředí - minimalizace negativních dopadů produktů na životní prostředí v rámci celého životního cyklu.</w:t>
      </w:r>
    </w:p>
    <w:p w14:paraId="7535C9F0" w14:textId="77777777" w:rsidR="004325CB" w:rsidRPr="009907E0" w:rsidRDefault="004325CB" w:rsidP="007B1CB2">
      <w:pPr>
        <w:pStyle w:val="Default"/>
        <w:spacing w:line="360" w:lineRule="auto"/>
        <w:ind w:firstLine="708"/>
        <w:jc w:val="both"/>
        <w:rPr>
          <w:rFonts w:asciiTheme="minorHAnsi" w:hAnsiTheme="minorHAnsi" w:cstheme="minorBidi"/>
          <w:color w:val="auto"/>
          <w:sz w:val="22"/>
          <w:szCs w:val="22"/>
        </w:rPr>
      </w:pPr>
      <w:r w:rsidRPr="009907E0">
        <w:rPr>
          <w:rFonts w:asciiTheme="minorHAnsi" w:hAnsiTheme="minorHAnsi" w:cstheme="minorBidi"/>
          <w:color w:val="auto"/>
          <w:sz w:val="22"/>
          <w:szCs w:val="22"/>
        </w:rPr>
        <w:t xml:space="preserve">Výrobu a vývoj high-tech produktů oborů „Machine Tools“ a „Precision Engineering“ a obecně strojírenství doprovází vysoké náklady na inovace a/nebo na výzkum a vývoj. Soustředěná podpora </w:t>
      </w:r>
      <w:r w:rsidRPr="009907E0">
        <w:rPr>
          <w:rFonts w:asciiTheme="minorHAnsi" w:hAnsiTheme="minorHAnsi" w:cstheme="minorBidi"/>
          <w:color w:val="auto"/>
          <w:sz w:val="22"/>
          <w:szCs w:val="22"/>
        </w:rPr>
        <w:lastRenderedPageBreak/>
        <w:t>státu a EU ve vazbě na strategii RIS3 může vést k částečnému podílu na těchto výdajích s cílem akcelerovat perspektivní témata výzkumu, vývoje a inovací a jejich uplatnění ve výrobě a produkci.</w:t>
      </w:r>
    </w:p>
    <w:p w14:paraId="2B90E610" w14:textId="5B532D75" w:rsidR="004325CB" w:rsidRPr="009907E0" w:rsidRDefault="004325CB" w:rsidP="007B1CB2">
      <w:pPr>
        <w:pStyle w:val="Default"/>
        <w:spacing w:line="360" w:lineRule="auto"/>
        <w:ind w:firstLine="708"/>
        <w:jc w:val="both"/>
        <w:rPr>
          <w:rFonts w:asciiTheme="minorHAnsi" w:hAnsiTheme="minorHAnsi" w:cstheme="minorBidi"/>
          <w:color w:val="auto"/>
          <w:sz w:val="22"/>
          <w:szCs w:val="22"/>
        </w:rPr>
      </w:pPr>
      <w:r w:rsidRPr="009907E0">
        <w:rPr>
          <w:rFonts w:asciiTheme="minorHAnsi" w:hAnsiTheme="minorHAnsi" w:cstheme="minorBidi"/>
          <w:color w:val="auto"/>
          <w:sz w:val="22"/>
          <w:szCs w:val="22"/>
        </w:rPr>
        <w:t>Následují perspektivní oblasti a směry výzkumu, vývoje a inovací, které je třeba ze strany SR a</w:t>
      </w:r>
      <w:r w:rsidR="003C6D28">
        <w:rPr>
          <w:rFonts w:asciiTheme="minorHAnsi" w:hAnsiTheme="minorHAnsi" w:cstheme="minorBidi"/>
          <w:color w:val="auto"/>
          <w:sz w:val="22"/>
          <w:szCs w:val="22"/>
        </w:rPr>
        <w:t> </w:t>
      </w:r>
      <w:r w:rsidRPr="009907E0">
        <w:rPr>
          <w:rFonts w:asciiTheme="minorHAnsi" w:hAnsiTheme="minorHAnsi" w:cstheme="minorBidi"/>
          <w:color w:val="auto"/>
          <w:sz w:val="22"/>
          <w:szCs w:val="22"/>
        </w:rPr>
        <w:t>EU podporovat orientovanými dotacemi do výzkumu, vývoje a</w:t>
      </w:r>
      <w:r>
        <w:rPr>
          <w:rFonts w:asciiTheme="minorHAnsi" w:hAnsiTheme="minorHAnsi" w:cstheme="minorBidi"/>
          <w:color w:val="auto"/>
          <w:sz w:val="22"/>
          <w:szCs w:val="22"/>
        </w:rPr>
        <w:t> </w:t>
      </w:r>
      <w:r w:rsidRPr="009907E0">
        <w:rPr>
          <w:rFonts w:asciiTheme="minorHAnsi" w:hAnsiTheme="minorHAnsi" w:cstheme="minorBidi"/>
          <w:color w:val="auto"/>
          <w:sz w:val="22"/>
          <w:szCs w:val="22"/>
        </w:rPr>
        <w:t>inovací na úrovni zdokonalené institucionální i účelové podpory. Perspektivní oblasti a témata, jejichž řešení přispívá k naplňování strategie sektoru a</w:t>
      </w:r>
      <w:r>
        <w:rPr>
          <w:rFonts w:asciiTheme="minorHAnsi" w:hAnsiTheme="minorHAnsi" w:cstheme="minorBidi"/>
          <w:color w:val="auto"/>
          <w:sz w:val="22"/>
          <w:szCs w:val="22"/>
        </w:rPr>
        <w:t> </w:t>
      </w:r>
      <w:r w:rsidRPr="009907E0">
        <w:rPr>
          <w:rFonts w:asciiTheme="minorHAnsi" w:hAnsiTheme="minorHAnsi" w:cstheme="minorBidi"/>
          <w:color w:val="auto"/>
          <w:sz w:val="22"/>
          <w:szCs w:val="22"/>
        </w:rPr>
        <w:t xml:space="preserve">hlavních cílů sektoru ve VaVaI, jsou tyto: </w:t>
      </w:r>
    </w:p>
    <w:p w14:paraId="70D6C09D" w14:textId="77777777" w:rsidR="004325CB" w:rsidRPr="004325CB" w:rsidRDefault="004325CB" w:rsidP="007B1CB2">
      <w:pPr>
        <w:spacing w:after="0" w:line="360" w:lineRule="auto"/>
        <w:ind w:firstLine="708"/>
        <w:jc w:val="both"/>
        <w:rPr>
          <w:rFonts w:eastAsia="Symbol" w:cs="Symbol"/>
          <w:lang w:eastAsia="cs-CZ"/>
        </w:rPr>
      </w:pPr>
      <w:r w:rsidRPr="004325CB">
        <w:rPr>
          <w:rFonts w:eastAsia="Times New Roman" w:cs="Times New Roman"/>
          <w:bCs/>
          <w:lang w:eastAsia="cs-CZ"/>
        </w:rPr>
        <w:t>V kontextu</w:t>
      </w:r>
      <w:r w:rsidRPr="004325CB">
        <w:rPr>
          <w:rFonts w:eastAsia="Times New Roman" w:cs="Times New Roman"/>
          <w:b/>
          <w:bCs/>
          <w:lang w:eastAsia="cs-CZ"/>
        </w:rPr>
        <w:t xml:space="preserve"> optimalizace produktů </w:t>
      </w:r>
      <w:r w:rsidRPr="004325CB">
        <w:rPr>
          <w:rFonts w:eastAsia="Times New Roman" w:cs="Times New Roman"/>
          <w:bCs/>
          <w:lang w:eastAsia="cs-CZ"/>
        </w:rPr>
        <w:t xml:space="preserve">je třeba realizovat výzkum a vývoj a připravovat průmyslově využitelné </w:t>
      </w:r>
      <w:r w:rsidRPr="004325CB">
        <w:rPr>
          <w:rFonts w:eastAsia="Symbol" w:cs="Symbol"/>
          <w:lang w:eastAsia="cs-CZ"/>
        </w:rPr>
        <w:t xml:space="preserve">metody, techniky, postupy a zejména softwarové nástroje pro optimalizaci návrhu produktů strojírenství a pro optimalizaci jejich užívání. Cílem optimalizačních nástrojů je zvyšovat hlavní užitné vlastnosti produktů při minimalizaci nákladů na vývoj, výrobu, užití a minimalizaci rizik pro výrobce, uživatele a okolí.  </w:t>
      </w:r>
    </w:p>
    <w:p w14:paraId="79A827D7" w14:textId="77777777" w:rsidR="004325CB" w:rsidRPr="004325CB" w:rsidRDefault="004325CB" w:rsidP="007B1CB2">
      <w:pPr>
        <w:spacing w:after="0" w:line="360" w:lineRule="auto"/>
        <w:ind w:firstLine="708"/>
        <w:jc w:val="both"/>
        <w:rPr>
          <w:rFonts w:eastAsia="Times New Roman" w:cs="Times New Roman"/>
          <w:lang w:eastAsia="cs-CZ"/>
        </w:rPr>
      </w:pPr>
      <w:r w:rsidRPr="004325CB">
        <w:rPr>
          <w:rFonts w:eastAsia="Times New Roman" w:cs="Times New Roman"/>
          <w:bCs/>
          <w:lang w:eastAsia="cs-CZ"/>
        </w:rPr>
        <w:t>V rámci</w:t>
      </w:r>
      <w:r w:rsidRPr="004325CB">
        <w:rPr>
          <w:rFonts w:eastAsia="Times New Roman" w:cs="Times New Roman"/>
          <w:b/>
          <w:bCs/>
          <w:lang w:eastAsia="cs-CZ"/>
        </w:rPr>
        <w:t xml:space="preserve"> nové koncepce a provedení produktů </w:t>
      </w:r>
      <w:r w:rsidRPr="004325CB">
        <w:rPr>
          <w:rFonts w:eastAsia="Times New Roman" w:cs="Times New Roman"/>
          <w:bCs/>
          <w:lang w:eastAsia="cs-CZ"/>
        </w:rPr>
        <w:t xml:space="preserve">je třeba provádět výzkum a vývoj </w:t>
      </w:r>
      <w:r w:rsidRPr="004325CB">
        <w:rPr>
          <w:rFonts w:eastAsia="Times New Roman" w:cs="Times New Roman"/>
          <w:lang w:eastAsia="cs-CZ"/>
        </w:rPr>
        <w:t xml:space="preserve">nových koncepčních, strukturálních, konstrukčních a realizačních podob </w:t>
      </w:r>
      <w:r w:rsidRPr="004325CB">
        <w:rPr>
          <w:rFonts w:eastAsia="Symbol" w:cs="Symbol"/>
          <w:lang w:eastAsia="cs-CZ"/>
        </w:rPr>
        <w:t>strojírenských produktů</w:t>
      </w:r>
      <w:r w:rsidRPr="004325CB">
        <w:rPr>
          <w:rFonts w:eastAsia="Times New Roman" w:cs="Times New Roman"/>
          <w:lang w:eastAsia="cs-CZ"/>
        </w:rPr>
        <w:t>, které odstraňují nedostatky a posouvají hranice v dosahované přesnosti, jakosti, výkonu, spolehlivosti a hospodárnosti, včetně bioniky a bio- inspirovaných přístupů ve strojírenství.</w:t>
      </w:r>
    </w:p>
    <w:p w14:paraId="430D5705" w14:textId="3D25E10A" w:rsidR="004325CB" w:rsidRPr="004325CB" w:rsidRDefault="004325CB" w:rsidP="007B1CB2">
      <w:pPr>
        <w:spacing w:after="0" w:line="360" w:lineRule="auto"/>
        <w:ind w:firstLine="708"/>
        <w:jc w:val="both"/>
        <w:rPr>
          <w:rFonts w:eastAsia="Symbol" w:cs="Symbol"/>
          <w:lang w:eastAsia="cs-CZ"/>
        </w:rPr>
      </w:pPr>
      <w:r w:rsidRPr="004325CB">
        <w:rPr>
          <w:rFonts w:eastAsia="Times New Roman" w:cs="Times New Roman"/>
          <w:bCs/>
          <w:lang w:eastAsia="cs-CZ"/>
        </w:rPr>
        <w:t>V problematice</w:t>
      </w:r>
      <w:r w:rsidRPr="004325CB">
        <w:rPr>
          <w:rFonts w:eastAsia="Times New Roman" w:cs="Times New Roman"/>
          <w:b/>
          <w:bCs/>
          <w:lang w:eastAsia="cs-CZ"/>
        </w:rPr>
        <w:t xml:space="preserve"> nových a progresivních technologií </w:t>
      </w:r>
      <w:r w:rsidRPr="004325CB">
        <w:rPr>
          <w:rFonts w:eastAsia="Times New Roman" w:cs="Times New Roman"/>
          <w:bCs/>
          <w:lang w:eastAsia="cs-CZ"/>
        </w:rPr>
        <w:t>j</w:t>
      </w:r>
      <w:r w:rsidRPr="004325CB">
        <w:rPr>
          <w:rFonts w:eastAsia="Symbol" w:cs="Symbol"/>
          <w:lang w:eastAsia="cs-CZ"/>
        </w:rPr>
        <w:t>e třeba provádět</w:t>
      </w:r>
      <w:r w:rsidRPr="004325CB">
        <w:rPr>
          <w:rFonts w:eastAsia="Times New Roman" w:cs="Times New Roman"/>
          <w:b/>
          <w:bCs/>
          <w:lang w:eastAsia="cs-CZ"/>
        </w:rPr>
        <w:t xml:space="preserve"> </w:t>
      </w:r>
      <w:r w:rsidRPr="004325CB">
        <w:rPr>
          <w:rFonts w:eastAsia="Symbol" w:cs="Symbol"/>
          <w:lang w:eastAsia="cs-CZ"/>
        </w:rPr>
        <w:t>výzkum a vývoj zdokonalených a nových technologických postupů, principů a procesních parametrů pro všechny základní strojírenské výrobní technologie: obrábění, tváření (včetně vstřikování), aditivní výrobu a</w:t>
      </w:r>
      <w:r w:rsidR="00A85567">
        <w:rPr>
          <w:rFonts w:eastAsia="Symbol" w:cs="Symbol"/>
          <w:lang w:eastAsia="cs-CZ"/>
        </w:rPr>
        <w:t> </w:t>
      </w:r>
      <w:r w:rsidRPr="004325CB">
        <w:rPr>
          <w:rFonts w:eastAsia="Symbol" w:cs="Symbol"/>
          <w:lang w:eastAsia="cs-CZ"/>
        </w:rPr>
        <w:t xml:space="preserve">hybridní výrobu (kombinující subtraktivní a aditivní technologie), které vedou k výkonnějším, přesnějším a jakostnějším výsledkům procesů. </w:t>
      </w:r>
    </w:p>
    <w:p w14:paraId="71D034A7" w14:textId="77777777" w:rsidR="004325CB" w:rsidRPr="004325CB" w:rsidRDefault="004325CB" w:rsidP="007B1CB2">
      <w:pPr>
        <w:spacing w:after="0" w:line="360" w:lineRule="auto"/>
        <w:ind w:firstLine="708"/>
        <w:jc w:val="both"/>
        <w:rPr>
          <w:rFonts w:eastAsia="Times New Roman" w:cs="Times New Roman"/>
          <w:bCs/>
          <w:lang w:eastAsia="cs-CZ"/>
        </w:rPr>
      </w:pPr>
      <w:r w:rsidRPr="004325CB">
        <w:rPr>
          <w:rFonts w:eastAsia="Times New Roman" w:cs="Times New Roman"/>
          <w:bCs/>
          <w:lang w:eastAsia="cs-CZ"/>
        </w:rPr>
        <w:t xml:space="preserve">U </w:t>
      </w:r>
      <w:r w:rsidRPr="004325CB">
        <w:rPr>
          <w:rFonts w:eastAsia="Times New Roman" w:cs="Times New Roman"/>
          <w:b/>
          <w:bCs/>
          <w:lang w:eastAsia="cs-CZ"/>
        </w:rPr>
        <w:t xml:space="preserve">virtualizace produktů a technologií </w:t>
      </w:r>
      <w:r w:rsidRPr="004325CB">
        <w:rPr>
          <w:rFonts w:eastAsia="Times New Roman" w:cs="Times New Roman"/>
          <w:bCs/>
          <w:lang w:eastAsia="cs-CZ"/>
        </w:rPr>
        <w:t>je třeba provádět</w:t>
      </w:r>
      <w:r w:rsidRPr="004325CB">
        <w:rPr>
          <w:rFonts w:eastAsia="Times New Roman" w:cs="Times New Roman"/>
          <w:b/>
          <w:bCs/>
          <w:lang w:eastAsia="cs-CZ"/>
        </w:rPr>
        <w:t xml:space="preserve"> </w:t>
      </w:r>
      <w:r w:rsidRPr="004325CB">
        <w:rPr>
          <w:rFonts w:eastAsia="Times New Roman" w:cs="Times New Roman"/>
          <w:bCs/>
          <w:lang w:eastAsia="cs-CZ"/>
        </w:rPr>
        <w:t xml:space="preserve">výzkum a vývoj experimentálně ověřených a průmyslově použitelných technik a nástrojů pro virtuální návrh výroby, virtuální návrh produktů, virtuální technologické zpracování, virtuální měření a diagnostiku. </w:t>
      </w:r>
    </w:p>
    <w:p w14:paraId="5B80E2B4" w14:textId="77777777" w:rsidR="004325CB" w:rsidRPr="004325CB" w:rsidRDefault="004325CB" w:rsidP="007B1CB2">
      <w:pPr>
        <w:spacing w:after="0" w:line="360" w:lineRule="auto"/>
        <w:ind w:firstLine="708"/>
        <w:jc w:val="both"/>
        <w:rPr>
          <w:rFonts w:eastAsia="Times New Roman" w:cs="Times New Roman"/>
          <w:lang w:eastAsia="cs-CZ"/>
        </w:rPr>
      </w:pPr>
      <w:r w:rsidRPr="004325CB">
        <w:rPr>
          <w:rFonts w:eastAsia="Times New Roman" w:cs="Times New Roman"/>
          <w:bCs/>
          <w:lang w:eastAsia="cs-CZ"/>
        </w:rPr>
        <w:t>V</w:t>
      </w:r>
      <w:r w:rsidRPr="004325CB">
        <w:rPr>
          <w:rFonts w:eastAsia="Times New Roman" w:cs="Times New Roman"/>
          <w:b/>
          <w:bCs/>
          <w:lang w:eastAsia="cs-CZ"/>
        </w:rPr>
        <w:t xml:space="preserve"> rámci komponentů, systému a řízení </w:t>
      </w:r>
      <w:r w:rsidRPr="004325CB">
        <w:rPr>
          <w:rFonts w:eastAsia="Times New Roman" w:cs="Times New Roman"/>
          <w:bCs/>
          <w:lang w:eastAsia="cs-CZ"/>
        </w:rPr>
        <w:t>j</w:t>
      </w:r>
      <w:r w:rsidRPr="004325CB">
        <w:rPr>
          <w:rFonts w:eastAsia="Times New Roman" w:cs="Times New Roman"/>
          <w:lang w:eastAsia="cs-CZ"/>
        </w:rPr>
        <w:t xml:space="preserve">e třeba provádět výzkum a vývoj komponent, principů, systémů a algoritmů pro měření a řízení produktů během jejich výroby i užívání a návrh technik pro aktivní zpětnou vazbu ovlivňující vlastnosti, chování, tvar, polohu, teplotu, atd. produktů. </w:t>
      </w:r>
    </w:p>
    <w:p w14:paraId="7A85ECED" w14:textId="77777777" w:rsidR="004325CB" w:rsidRPr="004325CB" w:rsidRDefault="004325CB" w:rsidP="007B1CB2">
      <w:pPr>
        <w:spacing w:after="0" w:line="360" w:lineRule="auto"/>
        <w:ind w:firstLine="708"/>
        <w:jc w:val="both"/>
        <w:rPr>
          <w:rFonts w:eastAsia="Times New Roman" w:cs="Times New Roman"/>
          <w:lang w:eastAsia="cs-CZ"/>
        </w:rPr>
      </w:pPr>
      <w:r w:rsidRPr="004325CB">
        <w:rPr>
          <w:rFonts w:eastAsia="Times New Roman" w:cs="Times New Roman"/>
          <w:bCs/>
          <w:lang w:eastAsia="cs-CZ"/>
        </w:rPr>
        <w:t>V kontextu</w:t>
      </w:r>
      <w:r w:rsidRPr="004325CB">
        <w:rPr>
          <w:rFonts w:eastAsia="Times New Roman" w:cs="Times New Roman"/>
          <w:b/>
          <w:bCs/>
          <w:lang w:eastAsia="cs-CZ"/>
        </w:rPr>
        <w:t xml:space="preserve"> SW vlastností a digitalizace </w:t>
      </w:r>
      <w:r w:rsidRPr="004325CB">
        <w:rPr>
          <w:rFonts w:eastAsia="Times New Roman" w:cs="Times New Roman"/>
          <w:bCs/>
          <w:lang w:eastAsia="cs-CZ"/>
        </w:rPr>
        <w:t>j</w:t>
      </w:r>
      <w:r w:rsidRPr="004325CB">
        <w:rPr>
          <w:rFonts w:eastAsia="Times New Roman" w:cs="Times New Roman"/>
          <w:lang w:eastAsia="cs-CZ"/>
        </w:rPr>
        <w:t xml:space="preserve">e třeba provádět výzkum a vývoj hardwarových, ale především softwarových technik a aplikací, které rozšiřují a zvyšují přidanou hodnotu strojírenských produktů pro uživatele. </w:t>
      </w:r>
    </w:p>
    <w:p w14:paraId="7EDF429F" w14:textId="77777777" w:rsidR="004325CB" w:rsidRPr="004325CB" w:rsidRDefault="004325CB" w:rsidP="007B1CB2">
      <w:pPr>
        <w:spacing w:after="0" w:line="360" w:lineRule="auto"/>
        <w:ind w:firstLine="708"/>
        <w:jc w:val="both"/>
        <w:rPr>
          <w:rFonts w:eastAsia="Times New Roman" w:cs="Times New Roman"/>
          <w:lang w:eastAsia="cs-CZ"/>
        </w:rPr>
      </w:pPr>
      <w:r w:rsidRPr="004325CB">
        <w:rPr>
          <w:rFonts w:eastAsia="Times New Roman" w:cs="Times New Roman"/>
          <w:bCs/>
          <w:lang w:eastAsia="cs-CZ"/>
        </w:rPr>
        <w:t>V oblasti</w:t>
      </w:r>
      <w:r w:rsidRPr="004325CB">
        <w:rPr>
          <w:rFonts w:eastAsia="Times New Roman" w:cs="Times New Roman"/>
          <w:b/>
          <w:bCs/>
          <w:lang w:eastAsia="cs-CZ"/>
        </w:rPr>
        <w:t xml:space="preserve"> zdokonalování známých materiálů </w:t>
      </w:r>
      <w:r w:rsidRPr="004325CB">
        <w:rPr>
          <w:rFonts w:eastAsia="Times New Roman" w:cs="Times New Roman"/>
          <w:bCs/>
          <w:lang w:eastAsia="cs-CZ"/>
        </w:rPr>
        <w:t xml:space="preserve">je třeba provádět </w:t>
      </w:r>
      <w:r w:rsidRPr="004325CB">
        <w:rPr>
          <w:rFonts w:eastAsia="Times New Roman" w:cs="Times New Roman"/>
          <w:lang w:eastAsia="cs-CZ"/>
        </w:rPr>
        <w:t xml:space="preserve">výzkum a vývoj detailních vlastností a technologií zpracování existujících (známých) kovových a nekovových (zejména plastových a kompozitních) materiálů užívaných ve strojírenství s cílem zvýšit efektivitu a výkon jejich zpracování (obrábění, tváření, vstřikování, nanášení, 3D tisk). </w:t>
      </w:r>
    </w:p>
    <w:p w14:paraId="560BB7C9" w14:textId="65EDB997" w:rsidR="004325CB" w:rsidRPr="004325CB" w:rsidRDefault="004325CB" w:rsidP="007B1CB2">
      <w:pPr>
        <w:spacing w:after="0" w:line="360" w:lineRule="auto"/>
        <w:ind w:firstLine="708"/>
        <w:jc w:val="both"/>
        <w:rPr>
          <w:rFonts w:eastAsia="Times New Roman" w:cs="Times New Roman"/>
          <w:lang w:eastAsia="cs-CZ"/>
        </w:rPr>
      </w:pPr>
      <w:r w:rsidRPr="004325CB">
        <w:rPr>
          <w:rFonts w:eastAsia="Times New Roman" w:cs="Times New Roman"/>
          <w:bCs/>
          <w:lang w:eastAsia="cs-CZ"/>
        </w:rPr>
        <w:t>U</w:t>
      </w:r>
      <w:r w:rsidRPr="004325CB">
        <w:rPr>
          <w:rFonts w:eastAsia="Times New Roman" w:cs="Times New Roman"/>
          <w:b/>
          <w:bCs/>
          <w:lang w:eastAsia="cs-CZ"/>
        </w:rPr>
        <w:t xml:space="preserve"> nových materiálů </w:t>
      </w:r>
      <w:r w:rsidRPr="004325CB">
        <w:rPr>
          <w:rFonts w:eastAsia="Times New Roman" w:cs="Times New Roman"/>
          <w:bCs/>
          <w:lang w:eastAsia="cs-CZ"/>
        </w:rPr>
        <w:t xml:space="preserve">je třeba provádět výzkum a vývoj </w:t>
      </w:r>
      <w:r w:rsidRPr="004325CB">
        <w:rPr>
          <w:rFonts w:eastAsia="Times New Roman" w:cs="Times New Roman"/>
          <w:lang w:eastAsia="cs-CZ"/>
        </w:rPr>
        <w:t>nových nebo inovovaných kovových i</w:t>
      </w:r>
      <w:r w:rsidR="00A85567">
        <w:rPr>
          <w:rFonts w:eastAsia="Times New Roman" w:cs="Times New Roman"/>
          <w:lang w:eastAsia="cs-CZ"/>
        </w:rPr>
        <w:t> </w:t>
      </w:r>
      <w:r w:rsidRPr="004325CB">
        <w:rPr>
          <w:rFonts w:eastAsia="Times New Roman" w:cs="Times New Roman"/>
          <w:lang w:eastAsia="cs-CZ"/>
        </w:rPr>
        <w:t xml:space="preserve">nekovových (zejména plastových a kompozitních) materiálů a materiálových struktur (hybridních </w:t>
      </w:r>
      <w:r w:rsidRPr="004325CB">
        <w:rPr>
          <w:rFonts w:eastAsia="Times New Roman" w:cs="Times New Roman"/>
          <w:lang w:eastAsia="cs-CZ"/>
        </w:rPr>
        <w:lastRenderedPageBreak/>
        <w:t>materiálů) se zvýšenou odolností proti opotřebení, s minimalizovaným třením v kombinaci s běžnými materiály, sníženou hmotností, zvýšeným poměrem specifické tuhosti, specifické pevnosti a dalších specifických a měrných veličin s vazbou na nákladovost a cenovou dostupnost pro klíčové strojírenské aplikace (obrábění, tváření, vstřikování, nanášení, 3D tisk). Dále sem řadíme m</w:t>
      </w:r>
      <w:r w:rsidRPr="004325CB">
        <w:rPr>
          <w:rFonts w:cs="Calibri"/>
        </w:rPr>
        <w:t xml:space="preserve">ateriály a technologie pro aditivní a environmentálně šetrnou výrobu, integrace konvenčních (subtraktivní) a aditivních technologií. </w:t>
      </w:r>
    </w:p>
    <w:p w14:paraId="1A9674C3" w14:textId="6BF5B6BC" w:rsidR="004325CB" w:rsidRPr="004325CB" w:rsidRDefault="004325CB" w:rsidP="007B1CB2">
      <w:pPr>
        <w:spacing w:after="0" w:line="360" w:lineRule="auto"/>
        <w:ind w:firstLine="708"/>
        <w:jc w:val="both"/>
        <w:rPr>
          <w:rFonts w:eastAsia="Times New Roman" w:cs="Times New Roman"/>
          <w:lang w:eastAsia="cs-CZ"/>
        </w:rPr>
      </w:pPr>
      <w:r w:rsidRPr="004325CB">
        <w:rPr>
          <w:rFonts w:eastAsia="Times New Roman" w:cs="Times New Roman"/>
          <w:bCs/>
          <w:lang w:eastAsia="cs-CZ"/>
        </w:rPr>
        <w:t>V rámci</w:t>
      </w:r>
      <w:r w:rsidRPr="004325CB">
        <w:rPr>
          <w:rFonts w:eastAsia="Times New Roman" w:cs="Times New Roman"/>
          <w:b/>
          <w:bCs/>
          <w:lang w:eastAsia="cs-CZ"/>
        </w:rPr>
        <w:t xml:space="preserve"> rozšíření užití kompozitů </w:t>
      </w:r>
      <w:r w:rsidRPr="004325CB">
        <w:rPr>
          <w:rFonts w:eastAsia="Times New Roman" w:cs="Times New Roman"/>
          <w:bCs/>
          <w:lang w:eastAsia="cs-CZ"/>
        </w:rPr>
        <w:t xml:space="preserve">je třeba provádět výzkum a vývoj </w:t>
      </w:r>
      <w:r w:rsidRPr="004325CB">
        <w:rPr>
          <w:rFonts w:eastAsia="Times New Roman" w:cs="Times New Roman"/>
          <w:lang w:eastAsia="cs-CZ"/>
        </w:rPr>
        <w:t xml:space="preserve">levnějších vláknových i </w:t>
      </w:r>
      <w:r w:rsidR="00A85567">
        <w:rPr>
          <w:rFonts w:eastAsia="Times New Roman" w:cs="Times New Roman"/>
          <w:lang w:eastAsia="cs-CZ"/>
        </w:rPr>
        <w:t> </w:t>
      </w:r>
      <w:r w:rsidRPr="004325CB">
        <w:rPr>
          <w:rFonts w:eastAsia="Times New Roman" w:cs="Times New Roman"/>
          <w:lang w:eastAsia="cs-CZ"/>
        </w:rPr>
        <w:t xml:space="preserve">částicových kompozitů, které se vlastnostmi blíží špičkovým vláknovým kompozitům. </w:t>
      </w:r>
    </w:p>
    <w:p w14:paraId="190A0F0B" w14:textId="77777777" w:rsidR="004325CB" w:rsidRPr="004325CB" w:rsidRDefault="004325CB" w:rsidP="007B1CB2">
      <w:pPr>
        <w:spacing w:after="0" w:line="360" w:lineRule="auto"/>
        <w:jc w:val="both"/>
        <w:rPr>
          <w:rFonts w:eastAsia="Times New Roman" w:cs="Times New Roman"/>
          <w:lang w:eastAsia="cs-CZ"/>
        </w:rPr>
      </w:pPr>
      <w:r w:rsidRPr="004325CB">
        <w:rPr>
          <w:rFonts w:eastAsia="Times New Roman" w:cs="Times New Roman"/>
          <w:bCs/>
          <w:lang w:eastAsia="cs-CZ"/>
        </w:rPr>
        <w:t>V oblasti</w:t>
      </w:r>
      <w:r w:rsidRPr="004325CB">
        <w:rPr>
          <w:rFonts w:eastAsia="Times New Roman" w:cs="Times New Roman"/>
          <w:b/>
          <w:bCs/>
          <w:lang w:eastAsia="cs-CZ"/>
        </w:rPr>
        <w:t xml:space="preserve"> materiálů pro aditivní technologie </w:t>
      </w:r>
      <w:r w:rsidRPr="004325CB">
        <w:rPr>
          <w:rFonts w:eastAsia="Times New Roman" w:cs="Times New Roman"/>
          <w:bCs/>
          <w:lang w:eastAsia="cs-CZ"/>
        </w:rPr>
        <w:t xml:space="preserve">je třeba provádět </w:t>
      </w:r>
      <w:r w:rsidRPr="004325CB">
        <w:rPr>
          <w:rFonts w:eastAsia="Times New Roman" w:cs="Times New Roman"/>
          <w:lang w:eastAsia="cs-CZ"/>
        </w:rPr>
        <w:t xml:space="preserve">výzkum a vývoj materiálů, forem materiálů (prášky, dráty, pelety, atp.) a procesních technologických parametrů zpracování pro aditivní technologie (tepelné procesy navařování i kinetická depozice za nízkých teplot) a hybridní technologie. </w:t>
      </w:r>
    </w:p>
    <w:p w14:paraId="31EFE74C" w14:textId="0A1ACB5C" w:rsidR="004325CB" w:rsidRPr="004325CB" w:rsidRDefault="004325CB" w:rsidP="007B1CB2">
      <w:pPr>
        <w:spacing w:after="0" w:line="360" w:lineRule="auto"/>
        <w:ind w:firstLine="708"/>
        <w:jc w:val="both"/>
        <w:rPr>
          <w:rFonts w:eastAsia="Times New Roman" w:cs="Times New Roman"/>
          <w:lang w:eastAsia="cs-CZ"/>
        </w:rPr>
      </w:pPr>
      <w:r w:rsidRPr="004325CB">
        <w:rPr>
          <w:rFonts w:eastAsia="Times New Roman" w:cs="Times New Roman"/>
          <w:bCs/>
          <w:lang w:eastAsia="cs-CZ"/>
        </w:rPr>
        <w:t>Při</w:t>
      </w:r>
      <w:r w:rsidRPr="004325CB">
        <w:rPr>
          <w:rFonts w:eastAsia="Times New Roman" w:cs="Times New Roman"/>
          <w:b/>
          <w:bCs/>
          <w:lang w:eastAsia="cs-CZ"/>
        </w:rPr>
        <w:t xml:space="preserve"> zdokonalování povrchů </w:t>
      </w:r>
      <w:r w:rsidRPr="004325CB">
        <w:rPr>
          <w:rFonts w:eastAsia="Times New Roman" w:cs="Times New Roman"/>
          <w:bCs/>
          <w:lang w:eastAsia="cs-CZ"/>
        </w:rPr>
        <w:t>je třeba provádět výzkum a vývoj</w:t>
      </w:r>
      <w:r w:rsidRPr="004325CB">
        <w:rPr>
          <w:rFonts w:eastAsia="Times New Roman" w:cs="Times New Roman"/>
          <w:b/>
          <w:bCs/>
          <w:lang w:eastAsia="cs-CZ"/>
        </w:rPr>
        <w:t xml:space="preserve"> </w:t>
      </w:r>
      <w:r w:rsidRPr="004325CB">
        <w:rPr>
          <w:rFonts w:eastAsia="Times New Roman" w:cs="Times New Roman"/>
          <w:lang w:eastAsia="cs-CZ"/>
        </w:rPr>
        <w:t>pokročilých povrchových úprav a</w:t>
      </w:r>
      <w:r w:rsidR="00A85567">
        <w:rPr>
          <w:rFonts w:eastAsia="Times New Roman" w:cs="Times New Roman"/>
          <w:lang w:eastAsia="cs-CZ"/>
        </w:rPr>
        <w:t> </w:t>
      </w:r>
      <w:r w:rsidRPr="004325CB">
        <w:rPr>
          <w:rFonts w:eastAsia="Times New Roman" w:cs="Times New Roman"/>
          <w:lang w:eastAsia="cs-CZ"/>
        </w:rPr>
        <w:t xml:space="preserve">modifikací povrchů dílců a komponent se zaměřením na zvýšení jejich užitných vlastností. </w:t>
      </w:r>
      <w:r w:rsidRPr="004325CB">
        <w:t xml:space="preserve">Generickou oblastí se širokým spektrem uplatnění </w:t>
      </w:r>
      <w:r w:rsidRPr="004325CB">
        <w:rPr>
          <w:b/>
        </w:rPr>
        <w:t xml:space="preserve">nanotechnologií </w:t>
      </w:r>
      <w:r w:rsidRPr="004325CB">
        <w:t>je ochrana povrchů, kdy lze využít antikorozních, samočistících, otěruvzdorných a dalších vlastností nanomateriálů ve strojírenství.</w:t>
      </w:r>
    </w:p>
    <w:p w14:paraId="5B892154" w14:textId="77777777" w:rsidR="004325CB" w:rsidRDefault="004325CB" w:rsidP="007B1CB2">
      <w:pPr>
        <w:spacing w:after="0" w:line="360" w:lineRule="auto"/>
        <w:ind w:firstLine="708"/>
        <w:jc w:val="both"/>
        <w:rPr>
          <w:rFonts w:eastAsia="Times New Roman" w:cs="Times New Roman"/>
          <w:lang w:eastAsia="cs-CZ"/>
        </w:rPr>
      </w:pPr>
      <w:r w:rsidRPr="004325CB">
        <w:rPr>
          <w:rFonts w:eastAsia="Times New Roman" w:cs="Times New Roman"/>
          <w:bCs/>
          <w:lang w:eastAsia="cs-CZ"/>
        </w:rPr>
        <w:t>V</w:t>
      </w:r>
      <w:r w:rsidRPr="004325CB">
        <w:rPr>
          <w:rFonts w:eastAsia="Times New Roman" w:cs="Times New Roman"/>
          <w:b/>
          <w:bCs/>
          <w:lang w:eastAsia="cs-CZ"/>
        </w:rPr>
        <w:t xml:space="preserve"> kontextu oprav a recyklací </w:t>
      </w:r>
      <w:r w:rsidRPr="004325CB">
        <w:rPr>
          <w:rFonts w:eastAsia="Times New Roman" w:cs="Times New Roman"/>
          <w:bCs/>
          <w:lang w:eastAsia="cs-CZ"/>
        </w:rPr>
        <w:t>j</w:t>
      </w:r>
      <w:r w:rsidRPr="004325CB">
        <w:rPr>
          <w:rFonts w:eastAsia="Times New Roman" w:cs="Times New Roman"/>
          <w:lang w:eastAsia="cs-CZ"/>
        </w:rPr>
        <w:t>e třeba provádět výzkum a vývoj metod pro rekonstrukci tvaru opotřebených dílců, rekonstrukci funkčních povrchů dílců a materiálových struktur a metod pro efektivní recyklaci strojírenských produktů.</w:t>
      </w:r>
    </w:p>
    <w:p w14:paraId="6FD65799" w14:textId="77777777" w:rsidR="004B7118" w:rsidRDefault="004B7118" w:rsidP="003D234A">
      <w:pPr>
        <w:spacing w:line="360" w:lineRule="auto"/>
        <w:ind w:firstLine="708"/>
        <w:jc w:val="both"/>
        <w:rPr>
          <w:rFonts w:eastAsia="Times New Roman" w:cs="Times New Roman"/>
          <w:lang w:eastAsia="cs-CZ"/>
        </w:rPr>
      </w:pPr>
    </w:p>
    <w:p w14:paraId="0CEB814C" w14:textId="50917FB1" w:rsidR="004B7118" w:rsidRDefault="004B7118" w:rsidP="004B7118">
      <w:pPr>
        <w:pStyle w:val="Nadpis4"/>
      </w:pPr>
      <w:bookmarkStart w:id="126" w:name="_Toc525716216"/>
      <w:r>
        <w:t>Energetika</w:t>
      </w:r>
      <w:bookmarkEnd w:id="126"/>
    </w:p>
    <w:p w14:paraId="4483FAAE" w14:textId="1634C6FF" w:rsidR="004B7118" w:rsidRPr="004F3AF2" w:rsidRDefault="004B7118" w:rsidP="004F3AF2">
      <w:pPr>
        <w:spacing w:before="240" w:line="360" w:lineRule="auto"/>
        <w:rPr>
          <w:b/>
          <w:u w:val="single"/>
        </w:rPr>
      </w:pPr>
      <w:r w:rsidRPr="004F3AF2">
        <w:rPr>
          <w:b/>
          <w:u w:val="single"/>
        </w:rPr>
        <w:t>Východiska</w:t>
      </w:r>
    </w:p>
    <w:p w14:paraId="06469027" w14:textId="77777777" w:rsidR="00C70A96" w:rsidRPr="004B7118" w:rsidRDefault="00C70A96" w:rsidP="00C70A96">
      <w:pPr>
        <w:spacing w:before="40" w:after="40" w:line="360" w:lineRule="auto"/>
        <w:ind w:firstLine="708"/>
        <w:jc w:val="both"/>
      </w:pPr>
      <w:r w:rsidRPr="004B7118">
        <w:t>Energetika je významným segmentem národního hospodářství, na kterém spočívá chod mnoha dalších činností v ekonomice (výrobní odvětví, zemědělství, fungování služeb, zajištění přepravy osob a materiálu atd.). Rolí energetiky je především zajištění energie v potřebném množství a kvalitě, environmentálně přijatelným způsobem za schůdné ceny pro průmysl a obyvatelstvo.</w:t>
      </w:r>
    </w:p>
    <w:p w14:paraId="5C14CE01" w14:textId="77777777" w:rsidR="00C70A96" w:rsidRPr="004B7118" w:rsidRDefault="00C70A96" w:rsidP="00C70A96">
      <w:pPr>
        <w:spacing w:after="0" w:line="360" w:lineRule="auto"/>
        <w:ind w:firstLine="708"/>
        <w:jc w:val="both"/>
      </w:pPr>
      <w:r w:rsidRPr="004B7118">
        <w:t>V rámci klasifikace ekonomických činností je výroba a rozvod elektřiny, plynu, tepla a</w:t>
      </w:r>
      <w:r>
        <w:t> </w:t>
      </w:r>
      <w:r w:rsidRPr="004B7118">
        <w:t>klimatizovaného vzduchu zařazena v oddílu CZ</w:t>
      </w:r>
      <w:r>
        <w:t xml:space="preserve"> </w:t>
      </w:r>
      <w:r w:rsidRPr="004B7118">
        <w:t>NACE 35. Nejvyšší podíl tvoří skupina 35.1, která se na obratu oddílu v roce 2016 podílela 73,0 %, kdy u skupiny 35.2 to bylo 22,1 % a u skupiny 35.3 jen 5,0</w:t>
      </w:r>
      <w:r>
        <w:t> </w:t>
      </w:r>
      <w:r w:rsidRPr="004B7118">
        <w:t>%. Oddíl 35 se podílel v roce 2016 na přidané hodnotě průmyslu 12,5 %, z toho dominantních 9,4</w:t>
      </w:r>
      <w:r>
        <w:t> </w:t>
      </w:r>
      <w:r w:rsidRPr="004B7118">
        <w:t xml:space="preserve">% tvořil podíl skupiny 35.1, když skupina 35.2 činila necelé 4,5 % a skupina 35.3 cca 0,3 %. Vývoj tohoto podílu ve sledovaném období 2008 až 2016 byl ovlivněn jednak recesním propadem ostatních odvětví v roce </w:t>
      </w:r>
      <w:r w:rsidRPr="004B7118">
        <w:lastRenderedPageBreak/>
        <w:t>2009, kdy se podíl oddílu 35 dostal až k 19 %, a jednak snížením cen energetických zdrojů od roku 2014, kdy se na hodnotu 13,0 % dostal z 15,7 % v roce 2013</w:t>
      </w:r>
      <w:r w:rsidRPr="004B7118">
        <w:rPr>
          <w:rStyle w:val="Znakapoznpodarou"/>
        </w:rPr>
        <w:footnoteReference w:id="103"/>
      </w:r>
      <w:r w:rsidRPr="004B7118">
        <w:t>.</w:t>
      </w:r>
    </w:p>
    <w:p w14:paraId="252FF227" w14:textId="77777777" w:rsidR="00C70A96" w:rsidRPr="004B7118" w:rsidRDefault="00C70A96" w:rsidP="00C70A96">
      <w:pPr>
        <w:spacing w:after="0" w:line="360" w:lineRule="auto"/>
        <w:ind w:firstLine="708"/>
        <w:jc w:val="both"/>
      </w:pPr>
      <w:r w:rsidRPr="004B7118">
        <w:t>Energetika je pro účel tohoto dokumentu vymezena v širším pojetí jako výroba, distribuce a</w:t>
      </w:r>
      <w:r>
        <w:t> </w:t>
      </w:r>
      <w:r w:rsidRPr="004B7118">
        <w:t xml:space="preserve">užití energie (v průmyslu, službách, zemědělství a rezidenčním sektoru).  </w:t>
      </w:r>
    </w:p>
    <w:p w14:paraId="3B698A53" w14:textId="77777777" w:rsidR="00C70A96" w:rsidRPr="004B7118" w:rsidRDefault="00C70A96" w:rsidP="00C70A96">
      <w:pPr>
        <w:spacing w:before="40" w:after="0" w:line="360" w:lineRule="auto"/>
        <w:ind w:firstLine="708"/>
        <w:jc w:val="both"/>
      </w:pPr>
      <w:r w:rsidRPr="004B7118">
        <w:t>Energetika prochází vlivem objektivních podmínek a politických cílů do r. 2040 zásadní transformací spočívající v obměně výrobní základny (náhrada zdrojů za výrobny s vyšší účinností s významným podílem decentrálních zdrojů), změně využití primárních energetických zdrojů, vyšším využitím elektřiny v dopravě a významnými úsporami na straně spotřeby. Základní cíle jsou dány především klimaticko-energetickými balíčky (závazky vyplývající z dohod na úrovni EU) – závazek ČR je k r. 2020 dosáhnout snížení emisí skleníkových plynů o 21 % v sektorech zahrnutých do EU ETS (cca</w:t>
      </w:r>
      <w:r>
        <w:t> </w:t>
      </w:r>
      <w:r w:rsidRPr="004B7118">
        <w:t xml:space="preserve">360 podniků) ve srovnání s rokem 2005 a nepřesáhnout navýšení emisí skleníkových plynů o 9% mimo sektor EU ETS, navýšit podíl obnovitelných zdrojů na celkové hrubé konečné spotřebě na 13% (závazek se skládá z dodávek elektřiny, tepla a kapalných biopaliv) a snížit konečnou spotřebu energie o 20 %; k r. 2030 jsou pak celoevropské závazky navýšení podílu obnovitelných zdrojů na spotřebě energie nejméně na </w:t>
      </w:r>
      <w:r>
        <w:t>32</w:t>
      </w:r>
      <w:r w:rsidRPr="004B7118">
        <w:t xml:space="preserve"> %, snížení emisí skleníkových plynů o 40  % ve srovnání s rokem 1990 a je stanoven indikativní cíl pro energetickou účinnost</w:t>
      </w:r>
      <w:r>
        <w:t xml:space="preserve"> na úrovni 32,5 %</w:t>
      </w:r>
      <w:r w:rsidRPr="004B7118">
        <w:t xml:space="preserve">. </w:t>
      </w:r>
      <w:r>
        <w:t xml:space="preserve">ČR již aktuálně značně ovlivňuje energetická politiky v sousedním Německu </w:t>
      </w:r>
      <w:r w:rsidRPr="004B7118">
        <w:t>–</w:t>
      </w:r>
      <w:r>
        <w:t xml:space="preserve"> Energiewende a je možné očekávat, že k tomu docházet i do budoucna.</w:t>
      </w:r>
    </w:p>
    <w:p w14:paraId="5AEC68EB" w14:textId="26FDB7A0" w:rsidR="00C70A96" w:rsidRPr="004B7118" w:rsidRDefault="00C70A96" w:rsidP="00C70A96">
      <w:pPr>
        <w:spacing w:after="40" w:line="360" w:lineRule="auto"/>
        <w:ind w:firstLine="708"/>
        <w:jc w:val="both"/>
      </w:pPr>
      <w:r w:rsidRPr="004B7118">
        <w:t xml:space="preserve">Charakteristickým rysem energetiky ČR je </w:t>
      </w:r>
      <w:r>
        <w:t>omezená dostupnost některých</w:t>
      </w:r>
      <w:r w:rsidRPr="004B7118">
        <w:t xml:space="preserve"> primárních energetických zdrojů</w:t>
      </w:r>
      <w:r>
        <w:t xml:space="preserve">, jedná se zejména o </w:t>
      </w:r>
      <w:r w:rsidRPr="004B7118">
        <w:t>zemní plyn,</w:t>
      </w:r>
      <w:r>
        <w:t xml:space="preserve"> ropu,</w:t>
      </w:r>
      <w:r w:rsidRPr="004B7118">
        <w:t xml:space="preserve"> uran</w:t>
      </w:r>
      <w:r>
        <w:t>.</w:t>
      </w:r>
      <w:r w:rsidRPr="004B7118">
        <w:t xml:space="preserve"> </w:t>
      </w:r>
      <w:r>
        <w:t xml:space="preserve">Podmínky </w:t>
      </w:r>
      <w:r w:rsidRPr="004B7118">
        <w:t>pro využití obnovitelných zdrojů s výjimkou biomasy</w:t>
      </w:r>
      <w:r>
        <w:t xml:space="preserve"> (respektive bioenergie) je</w:t>
      </w:r>
      <w:r w:rsidRPr="004B7118">
        <w:t xml:space="preserve"> vzhledem ke geografickým, klimatickým a</w:t>
      </w:r>
      <w:r>
        <w:t> </w:t>
      </w:r>
      <w:r w:rsidRPr="004B7118">
        <w:t>geologickým charakteristikám ČR</w:t>
      </w:r>
      <w:r>
        <w:t xml:space="preserve"> pak možné označit za spíše nepříznivé ve srovnání s jinými státy EU.</w:t>
      </w:r>
      <w:r w:rsidRPr="004B7118">
        <w:t xml:space="preserve"> </w:t>
      </w:r>
      <w:r>
        <w:t xml:space="preserve">Česká republika je pak historicky relativně závislá (zejména při výrobě elektřiny a tepla, ale také v konečné spotřebě) na domácím černém a hnědém uhlí, u kterého však dochází k postupnému útlumu těžby. V roce 2016 bylo z černého a hnědého uhlí vyrobeno přibližně 50 % celkové elektřiny a přibližně 57 % celkové hrubé výroby tepla. </w:t>
      </w:r>
      <w:r w:rsidRPr="004B7118">
        <w:rPr>
          <w:b/>
        </w:rPr>
        <w:t>Výroba elektřiny</w:t>
      </w:r>
      <w:r w:rsidRPr="004B7118">
        <w:t xml:space="preserve"> v ČR má být, jak předpokládá aktualizovaná </w:t>
      </w:r>
      <w:r>
        <w:t>S</w:t>
      </w:r>
      <w:r w:rsidRPr="004B7118">
        <w:t>tátní energetická koncepce (2015), založena na využití jaderné energie, zemního plynu doplněné o</w:t>
      </w:r>
      <w:r>
        <w:t> </w:t>
      </w:r>
      <w:r w:rsidRPr="004B7118">
        <w:t xml:space="preserve">ekonomicky efektivní obnovitelné zdroje energie, se zajištěním potřebné infrastruktury. </w:t>
      </w:r>
      <w:r>
        <w:t>Monov</w:t>
      </w:r>
      <w:r w:rsidRPr="004B7118">
        <w:t xml:space="preserve">ýroba elektřiny bude nadále doplňována elektřinou z teplárenství (kombinované výroby elektřiny a tepla). V přechodovém období (do roku 2030) však může řízeně klesající procento instalovaného výkonu uhelných elektráren ještě stále hrát důležitou roli. Základní podmínkou </w:t>
      </w:r>
      <w:r>
        <w:t xml:space="preserve">dalšího provozu </w:t>
      </w:r>
      <w:r w:rsidRPr="004B7118">
        <w:t xml:space="preserve">uhelných elektráren </w:t>
      </w:r>
      <w:r>
        <w:t>je splnění požadavků na ekologizaci provozu a případně zvýšení flexibility v rámci energetického systému.</w:t>
      </w:r>
      <w:r w:rsidRPr="004B7118">
        <w:t xml:space="preserve"> Trendem bude vzrůstající výroba elektřiny</w:t>
      </w:r>
      <w:r>
        <w:t xml:space="preserve"> (respektive tepla)</w:t>
      </w:r>
      <w:r w:rsidRPr="004B7118">
        <w:t xml:space="preserve"> </w:t>
      </w:r>
      <w:r w:rsidRPr="004B7118">
        <w:lastRenderedPageBreak/>
        <w:t>z</w:t>
      </w:r>
      <w:r>
        <w:t> </w:t>
      </w:r>
      <w:r w:rsidRPr="004B7118">
        <w:t>decentrálních zdrojů, ať již založených na neobnovitelné (zemní plyn) či obnovitelné energii (především solární energie a biomasa, doplňkově bioplyn a větrná energie).</w:t>
      </w:r>
    </w:p>
    <w:p w14:paraId="3A81E640" w14:textId="42C1A172" w:rsidR="00C70A96" w:rsidRPr="004B7118" w:rsidRDefault="00C70A96" w:rsidP="00C70A96">
      <w:pPr>
        <w:spacing w:after="0" w:line="360" w:lineRule="auto"/>
        <w:ind w:firstLine="708"/>
        <w:jc w:val="both"/>
      </w:pPr>
      <w:r w:rsidRPr="00412AAB">
        <w:t xml:space="preserve">Zajištění </w:t>
      </w:r>
      <w:r>
        <w:t xml:space="preserve">bezpečného </w:t>
      </w:r>
      <w:r>
        <w:rPr>
          <w:b/>
        </w:rPr>
        <w:t>p</w:t>
      </w:r>
      <w:r w:rsidRPr="004B7118">
        <w:rPr>
          <w:b/>
        </w:rPr>
        <w:t>řenos</w:t>
      </w:r>
      <w:r>
        <w:rPr>
          <w:b/>
        </w:rPr>
        <w:t>u</w:t>
      </w:r>
      <w:r w:rsidRPr="004B7118">
        <w:rPr>
          <w:b/>
        </w:rPr>
        <w:t xml:space="preserve"> a distribuce elektrické energie</w:t>
      </w:r>
      <w:r w:rsidRPr="004B7118">
        <w:t xml:space="preserve"> je </w:t>
      </w:r>
      <w:r>
        <w:t>základní podmínkou fungování elektroenergetického systému</w:t>
      </w:r>
      <w:r w:rsidRPr="004B7118">
        <w:t>. Přenosová soustava</w:t>
      </w:r>
      <w:r>
        <w:t xml:space="preserve"> ČR</w:t>
      </w:r>
      <w:r w:rsidRPr="004B7118">
        <w:t xml:space="preserve"> je</w:t>
      </w:r>
      <w:r>
        <w:t>, i vzhledem k tranzitní roli ČR,</w:t>
      </w:r>
      <w:r w:rsidRPr="004B7118">
        <w:t xml:space="preserve"> </w:t>
      </w:r>
      <w:r>
        <w:t>aktuálně v dostatečné míře</w:t>
      </w:r>
      <w:r w:rsidRPr="004B7118">
        <w:t xml:space="preserve"> propojena na okolní soustavy; v poslední době je však ohrožována </w:t>
      </w:r>
      <w:r>
        <w:t>tzv</w:t>
      </w:r>
      <w:r w:rsidR="0020559D">
        <w:t>.</w:t>
      </w:r>
      <w:r>
        <w:t xml:space="preserve"> kruhovými</w:t>
      </w:r>
      <w:r w:rsidRPr="004B7118">
        <w:t xml:space="preserve"> přetoky elektřiny z Německa. </w:t>
      </w:r>
      <w:r>
        <w:t>U d</w:t>
      </w:r>
      <w:r w:rsidRPr="004B7118">
        <w:t>istribuční</w:t>
      </w:r>
      <w:r>
        <w:t>ch</w:t>
      </w:r>
      <w:r w:rsidRPr="004B7118">
        <w:t xml:space="preserve"> soustav, především na hladině nízkého napětí, </w:t>
      </w:r>
      <w:r>
        <w:t xml:space="preserve">je pak důležitá příprava na potenciálně </w:t>
      </w:r>
      <w:r w:rsidRPr="004B7118">
        <w:t xml:space="preserve">zásadní změny v důsledku zapojování decentrálních zdrojů a vzniku </w:t>
      </w:r>
      <w:r>
        <w:t>vzorců chování konečných zákazníků (kupříkladu v důsledku instalace inteligentního měření)</w:t>
      </w:r>
      <w:r w:rsidRPr="004B7118">
        <w:t>. Důležitá proto bude tržně motivovaná kooperace strany výroby se stranou spotřeby, při uplatnění systému a</w:t>
      </w:r>
      <w:r>
        <w:t> </w:t>
      </w:r>
      <w:r w:rsidRPr="004B7118">
        <w:t>technologií tzv. inteligentních sítí (Smart Grids).</w:t>
      </w:r>
    </w:p>
    <w:p w14:paraId="246AE7CA" w14:textId="77777777" w:rsidR="00C70A96" w:rsidRPr="004B7118" w:rsidRDefault="00C70A96" w:rsidP="00C70A96">
      <w:pPr>
        <w:spacing w:before="40" w:after="0" w:line="360" w:lineRule="auto"/>
        <w:ind w:firstLine="708"/>
        <w:jc w:val="both"/>
      </w:pPr>
      <w:r w:rsidRPr="004B7118">
        <w:rPr>
          <w:b/>
        </w:rPr>
        <w:t>Segment dodávek tepla</w:t>
      </w:r>
      <w:r w:rsidRPr="004B7118">
        <w:t xml:space="preserve">, včetně kogenerační výroby a distribuce tepla, dozná významných změn a v jeho dalším vývoji se odrazí nastavení podmínek státem, možnosti podnikatelských subjektů, ale i chování spotřebitelů. V současnosti je cca 50 % dodávaného tepla </w:t>
      </w:r>
      <w:r>
        <w:t xml:space="preserve"> vyrobeno </w:t>
      </w:r>
      <w:r w:rsidRPr="004B7118">
        <w:t>centráln</w:t>
      </w:r>
      <w:r>
        <w:t>ě</w:t>
      </w:r>
      <w:r w:rsidRPr="004B7118">
        <w:t xml:space="preserve">. </w:t>
      </w:r>
      <w:r>
        <w:t xml:space="preserve">Očekává se, že postupně dojde k většímu uplatnění tepla </w:t>
      </w:r>
      <w:r w:rsidRPr="004B7118">
        <w:t>z obnovitelných zdrojů energie (zejména biomasy, bioplynu, slunečních kolektorů pro ohřev vody, tepelných čerpadel), ale i z druhotných energetických surovin a</w:t>
      </w:r>
      <w:r>
        <w:t> </w:t>
      </w:r>
      <w:r w:rsidRPr="004B7118">
        <w:t>perspektivně možná i</w:t>
      </w:r>
      <w:r>
        <w:t> </w:t>
      </w:r>
      <w:r w:rsidRPr="004B7118">
        <w:t xml:space="preserve">vodíku nebo syntetických paliv (jako případné náhrady plynu). Teplárenství má vzhledem k předpokládanému </w:t>
      </w:r>
      <w:r>
        <w:t>změně výrobního portfolia mimo jiné ve prospěch většího zastoupení variabilních obnovitelných zdrojů relativně</w:t>
      </w:r>
      <w:r w:rsidRPr="004B7118">
        <w:t xml:space="preserve"> velkou příležitost pro </w:t>
      </w:r>
      <w:r>
        <w:t>poskytování dodatečné flexibility,</w:t>
      </w:r>
      <w:r w:rsidRPr="004B7118">
        <w:t xml:space="preserve"> a</w:t>
      </w:r>
      <w:r>
        <w:t> </w:t>
      </w:r>
      <w:r w:rsidRPr="004B7118">
        <w:t>to jak s využitím systému centrálního zásobování teplem, tak i v decentralizované oblasti (</w:t>
      </w:r>
      <w:r>
        <w:t>malé</w:t>
      </w:r>
      <w:r w:rsidRPr="004B7118">
        <w:t xml:space="preserve"> a</w:t>
      </w:r>
      <w:r>
        <w:t> </w:t>
      </w:r>
      <w:r w:rsidRPr="004B7118">
        <w:t xml:space="preserve">mikro kogenerace). Cílem bude stanovení priorit ověřování jednotlivých technologií tak, aby mohly být nasazovány v co nejkratších termínech, nebo tak, aby pomohly vyřešit problém řízení elektro-energetické soustavy (přenosové a distribuční) s velkým přírůstkem výkonu </w:t>
      </w:r>
      <w:r>
        <w:t xml:space="preserve">variabilních </w:t>
      </w:r>
      <w:r w:rsidRPr="004B7118">
        <w:t xml:space="preserve">obnovitelných zdrojů dodávajících elektřinu do </w:t>
      </w:r>
      <w:r>
        <w:t>elektrizační soustavy</w:t>
      </w:r>
      <w:r w:rsidRPr="004B7118">
        <w:t>.</w:t>
      </w:r>
    </w:p>
    <w:p w14:paraId="344AEF40" w14:textId="13CDFE30" w:rsidR="00C70A96" w:rsidRPr="004B7118" w:rsidRDefault="00C70A96" w:rsidP="00C70A96">
      <w:pPr>
        <w:spacing w:before="40" w:after="0" w:line="360" w:lineRule="auto"/>
        <w:ind w:firstLine="708"/>
        <w:jc w:val="both"/>
      </w:pPr>
      <w:r w:rsidRPr="004B7118">
        <w:rPr>
          <w:b/>
        </w:rPr>
        <w:t>V segmentu energie pro dopravu</w:t>
      </w:r>
      <w:r w:rsidRPr="004B7118">
        <w:t xml:space="preserve"> </w:t>
      </w:r>
      <w:r>
        <w:t>bude velmi pravděpodobně pokračovat tlak na dekarbonizaci tohoto sektoru a omezení využití fosilních paliv, a to i s ohledem na problematiku mitigace změny klimatu, ale také ochrany ovzduší. V důsledku tlaku na omezení spotřeby ropných produktů</w:t>
      </w:r>
      <w:r w:rsidR="00C466D4">
        <w:t>,</w:t>
      </w:r>
      <w:r>
        <w:t xml:space="preserve"> </w:t>
      </w:r>
      <w:r w:rsidRPr="004B7118">
        <w:t>a později</w:t>
      </w:r>
      <w:r>
        <w:t xml:space="preserve"> také zemního</w:t>
      </w:r>
      <w:r w:rsidRPr="004B7118">
        <w:t xml:space="preserve"> plynu, najdou větší uplatnění, elektřina a vodík. Přechodové období bude pokryto částečně biopalivy a plynem (CNG). </w:t>
      </w:r>
      <w:r>
        <w:t>Existuje také postupný tlak na přechod od potravinářských biopaliv k biopalivům tzv. vyšší generace.</w:t>
      </w:r>
    </w:p>
    <w:p w14:paraId="39C92CF0" w14:textId="77777777" w:rsidR="00C70A96" w:rsidRDefault="00C70A96" w:rsidP="00C70A96">
      <w:pPr>
        <w:spacing w:before="40" w:after="40" w:line="360" w:lineRule="auto"/>
        <w:jc w:val="both"/>
      </w:pPr>
      <w:r>
        <w:t>Zvyšování energetické účinnosti</w:t>
      </w:r>
      <w:r w:rsidRPr="004B7118">
        <w:t xml:space="preserve"> se </w:t>
      </w:r>
      <w:r>
        <w:t xml:space="preserve">pak </w:t>
      </w:r>
      <w:r w:rsidRPr="004B7118">
        <w:t>týk</w:t>
      </w:r>
      <w:r>
        <w:t>á</w:t>
      </w:r>
      <w:r w:rsidRPr="004B7118">
        <w:t xml:space="preserve"> celého řetězce, od získávání primárních zdrojů, přes jejich transformaci její distribuci a konečnou spotřebu.</w:t>
      </w:r>
    </w:p>
    <w:p w14:paraId="75CDBFFC" w14:textId="77777777" w:rsidR="00C70A96" w:rsidRDefault="00C70A96" w:rsidP="00C70A96">
      <w:pPr>
        <w:spacing w:before="40" w:after="40" w:line="360" w:lineRule="auto"/>
        <w:jc w:val="both"/>
        <w:rPr>
          <w:u w:val="single"/>
        </w:rPr>
      </w:pPr>
    </w:p>
    <w:p w14:paraId="195B66DC" w14:textId="77777777" w:rsidR="0020559D" w:rsidRDefault="0020559D" w:rsidP="00C70A96">
      <w:pPr>
        <w:spacing w:before="40" w:after="40" w:line="360" w:lineRule="auto"/>
        <w:jc w:val="both"/>
        <w:rPr>
          <w:u w:val="single"/>
        </w:rPr>
      </w:pPr>
    </w:p>
    <w:p w14:paraId="6285D498" w14:textId="77777777" w:rsidR="0020559D" w:rsidRPr="00A41C0F" w:rsidRDefault="0020559D" w:rsidP="00C70A96">
      <w:pPr>
        <w:spacing w:before="40" w:after="40" w:line="360" w:lineRule="auto"/>
        <w:jc w:val="both"/>
        <w:rPr>
          <w:u w:val="single"/>
        </w:rPr>
      </w:pPr>
    </w:p>
    <w:p w14:paraId="714B2DB7" w14:textId="77777777" w:rsidR="00C70A96" w:rsidRPr="00A41C0F" w:rsidRDefault="00C70A96" w:rsidP="00C70A96">
      <w:pPr>
        <w:spacing w:before="40" w:after="40" w:line="360" w:lineRule="auto"/>
        <w:jc w:val="both"/>
        <w:rPr>
          <w:b/>
          <w:u w:val="single"/>
        </w:rPr>
      </w:pPr>
      <w:r w:rsidRPr="00A41C0F">
        <w:rPr>
          <w:b/>
          <w:u w:val="single"/>
        </w:rPr>
        <w:lastRenderedPageBreak/>
        <w:t>Popis potřeb a jejich řešení</w:t>
      </w:r>
    </w:p>
    <w:p w14:paraId="6C25B964" w14:textId="77777777" w:rsidR="00C70A96" w:rsidRPr="005C089E" w:rsidRDefault="00C70A96" w:rsidP="00C70A96">
      <w:pPr>
        <w:spacing w:after="0" w:line="360" w:lineRule="auto"/>
        <w:ind w:firstLine="708"/>
        <w:jc w:val="both"/>
        <w:rPr>
          <w:lang w:eastAsia="cs-CZ"/>
        </w:rPr>
      </w:pPr>
      <w:r w:rsidRPr="005C089E">
        <w:rPr>
          <w:lang w:eastAsia="cs-CZ"/>
        </w:rPr>
        <w:t xml:space="preserve">V oblasti </w:t>
      </w:r>
      <w:r w:rsidRPr="005C089E">
        <w:rPr>
          <w:b/>
          <w:lang w:eastAsia="cs-CZ"/>
        </w:rPr>
        <w:t>technologií pro výrobu elektřiny a tepla v jaderných zdrojích</w:t>
      </w:r>
      <w:r w:rsidRPr="005C089E">
        <w:rPr>
          <w:lang w:eastAsia="cs-CZ"/>
        </w:rPr>
        <w:t xml:space="preserve"> bude významným úkolem výzkumu a vývoje zejména stálé zajišťování vysoké úrovně bezpečnosti, včetně získání znalostí a potřebných nástrojů a dat ve všech potřebných oblastech k průběžnému zajištění kvalitní legislativy, dozorné činnosti SÚJB (včetně odborné podpory regulátora), potřeb provozovatelů, a to vše synergicky sloužící k udržení a zvyšování kvality potřebných odborníků. Součástí jsou modely pro zdokonalení deterministických a pravděpodobnostních analýz bezpečnosti (včetně role lidského činitele), nové technologie a přístupy k prevenci a zvládání těžkých havárií. Významnou oblastí výzkumu je problematika využití projektových rezerv, ať výkonnostních (včetně optimalizace palivových cyklů) či životnostních (spojeno s odvozením chování a stárnutí materiálů, komponent a zařízení). Potenciál představuje příprava dokonalejších metod zpracování a úpravy radioaktivních odpadů, dekontaminace a demontáže jaderných elektráren po ukončení provozu (včetně uplatnění robotů). Důležitým výzkumným tématem jsou i systémy 4. generace, jaderná fúze, zdroje částic a malé modulární reaktory (SMR).</w:t>
      </w:r>
    </w:p>
    <w:p w14:paraId="7E463187" w14:textId="77777777" w:rsidR="00C70A96" w:rsidRPr="005C089E" w:rsidRDefault="00C70A96" w:rsidP="00C70A96">
      <w:pPr>
        <w:spacing w:after="0" w:line="360" w:lineRule="auto"/>
        <w:ind w:firstLine="708"/>
        <w:jc w:val="both"/>
      </w:pPr>
      <w:r w:rsidRPr="005C089E">
        <w:rPr>
          <w:lang w:eastAsia="cs-CZ"/>
        </w:rPr>
        <w:t xml:space="preserve">V oblasti </w:t>
      </w:r>
      <w:r w:rsidRPr="005C089E">
        <w:rPr>
          <w:b/>
          <w:lang w:eastAsia="cs-CZ"/>
        </w:rPr>
        <w:t>výroby energie z fosilních paliv</w:t>
      </w:r>
      <w:r w:rsidRPr="005C089E">
        <w:rPr>
          <w:lang w:eastAsia="cs-CZ"/>
        </w:rPr>
        <w:t xml:space="preserve"> musí výzkum a vývoj zajistit potřebné nástroje pro umožnění provozu s větší flexibilitou, včetně zvýšení regulačního rozsahu zdroje (s poznáním vlivů na životnosti materiálů a zařízení a jejich údržbu), technologie k průběžnému plnění snižujících se limitů na emise z provozovaných zdrojů (především uhelných) a zvyšování jejich účinnosti (technická řešení, pokročilé modely řízení). Předmětem výzkumu by mělo být rovněž využití vedlejších energetických produktů ze spalovacích procesů uhelných zdrojů (popel, popílky, energosádrovec apod.), především pro produkci stavebních a konstrukčních materiálů, a to včetně odvození podmínek použití nových materiálů (hodnocení dopadů škodlivých látek, návrhy testovacích metod, ekotoxikologie atd.). Možným směrem vývoje je také </w:t>
      </w:r>
      <w:r w:rsidRPr="005C089E">
        <w:t>zhodnocení černého a hnědého uhlí jiným způsobem než spalováním.</w:t>
      </w:r>
    </w:p>
    <w:p w14:paraId="65E70027" w14:textId="77777777" w:rsidR="00C70A96" w:rsidRPr="005C089E" w:rsidRDefault="00C70A96" w:rsidP="00C70A96">
      <w:pPr>
        <w:spacing w:after="0" w:line="360" w:lineRule="auto"/>
        <w:ind w:firstLine="708"/>
        <w:jc w:val="both"/>
        <w:rPr>
          <w:lang w:eastAsia="cs-CZ"/>
        </w:rPr>
      </w:pPr>
      <w:r w:rsidRPr="005C089E">
        <w:rPr>
          <w:lang w:eastAsia="cs-CZ"/>
        </w:rPr>
        <w:t xml:space="preserve">V oblasti </w:t>
      </w:r>
      <w:r w:rsidRPr="005C089E">
        <w:rPr>
          <w:b/>
          <w:lang w:eastAsia="cs-CZ"/>
        </w:rPr>
        <w:t>výroby a distribuce tepla</w:t>
      </w:r>
      <w:r w:rsidRPr="005C089E">
        <w:rPr>
          <w:lang w:eastAsia="cs-CZ"/>
        </w:rPr>
        <w:t xml:space="preserve"> (popř. chladu) je velkou výzvou do budoucna zefektivnění systémů, a to podle konkrétních podmínek na zdroji (výkonové rozsahy kotlů, optimální řešení pro deSOx/deNox/prach, snížení minimálního vynucení kondenzační výroby, řešení pro multipalivové využití, atd.) či v teplárenské síti (technické možnosti snížení ztrát, moderní systémy řízení soustavy). Zásadními vývojovými tématy jsou rovněž akumulace energie (tepla či přebytků elektřiny v elektrizační soustavě) a „hybridizace“ soustav – efektivní částečná decentralizace systémů (synergie centrálních a decentrálních zařízení). Pozornost musí být věnována vývoji inovativních technologií malé kogenerace a mikrogenerace (zdokonalené motory, palivové články, ORC cykly atd.), trigeneraci a</w:t>
      </w:r>
      <w:r>
        <w:rPr>
          <w:lang w:eastAsia="cs-CZ"/>
        </w:rPr>
        <w:t> </w:t>
      </w:r>
      <w:r w:rsidRPr="005C089E">
        <w:rPr>
          <w:lang w:eastAsia="cs-CZ"/>
        </w:rPr>
        <w:t>výrobě a distribuci chladu a jejich ověřování v praxi.</w:t>
      </w:r>
    </w:p>
    <w:p w14:paraId="69FDB899" w14:textId="77777777" w:rsidR="00C70A96" w:rsidRPr="005C089E" w:rsidRDefault="00C70A96" w:rsidP="00C70A96">
      <w:pPr>
        <w:spacing w:after="0" w:line="360" w:lineRule="auto"/>
        <w:ind w:firstLine="708"/>
        <w:jc w:val="both"/>
        <w:rPr>
          <w:lang w:eastAsia="cs-CZ"/>
        </w:rPr>
      </w:pPr>
      <w:r w:rsidRPr="005C089E">
        <w:rPr>
          <w:lang w:eastAsia="cs-CZ"/>
        </w:rPr>
        <w:t xml:space="preserve">Pro nákladově efektivní </w:t>
      </w:r>
      <w:r w:rsidRPr="005C089E">
        <w:rPr>
          <w:b/>
          <w:lang w:eastAsia="cs-CZ"/>
        </w:rPr>
        <w:t>využití obnovitelných zdrojů</w:t>
      </w:r>
      <w:r w:rsidRPr="005C089E">
        <w:rPr>
          <w:lang w:eastAsia="cs-CZ"/>
        </w:rPr>
        <w:t xml:space="preserve"> je potřebné vyvíjet a testovat takové technologie, které odpovídají podmínkám ČR. Systémy využívající biomasu mají značný potenciál – </w:t>
      </w:r>
      <w:r w:rsidRPr="005C089E">
        <w:rPr>
          <w:lang w:eastAsia="cs-CZ"/>
        </w:rPr>
        <w:lastRenderedPageBreak/>
        <w:t xml:space="preserve">budoucí řešení jsou především v opatřování tepla v lokálním (regionálním) měřítku. Výzkum a vývoj se musí soustředit na udržitelné </w:t>
      </w:r>
      <w:r>
        <w:rPr>
          <w:lang w:eastAsia="cs-CZ"/>
        </w:rPr>
        <w:t>získávání</w:t>
      </w:r>
      <w:r w:rsidRPr="005C089E">
        <w:rPr>
          <w:lang w:eastAsia="cs-CZ"/>
        </w:rPr>
        <w:t xml:space="preserve"> biomasy (zbytky a odpady z lesnictví a zemědělství), cíleně pěstovaná biomasa a její transformace do podoby vhodné pro přepravu a konečné využití. Kotle musí být k dispozici ve všech potřebných výkonových řadách splňující budoucí požadavky (u malých kotlů </w:t>
      </w:r>
      <w:r>
        <w:rPr>
          <w:lang w:eastAsia="cs-CZ"/>
        </w:rPr>
        <w:t xml:space="preserve">se jedná o požadavky vyplývající z legislativy o </w:t>
      </w:r>
      <w:r w:rsidRPr="005C089E">
        <w:rPr>
          <w:lang w:eastAsia="cs-CZ"/>
        </w:rPr>
        <w:t>ekodesign</w:t>
      </w:r>
      <w:r>
        <w:rPr>
          <w:lang w:eastAsia="cs-CZ"/>
        </w:rPr>
        <w:t>u</w:t>
      </w:r>
      <w:r w:rsidRPr="005C089E">
        <w:rPr>
          <w:lang w:eastAsia="cs-CZ"/>
        </w:rPr>
        <w:t xml:space="preserve">). Předmětem musí být vhodné transformační procesy biomasy ukazující nejefektivnější řešení v budoucnu. Tématy u bioplynových stanic jsou rozšiřování palivové základny a </w:t>
      </w:r>
      <w:r>
        <w:rPr>
          <w:lang w:eastAsia="cs-CZ"/>
        </w:rPr>
        <w:t xml:space="preserve">efektivní </w:t>
      </w:r>
      <w:r w:rsidRPr="005C089E">
        <w:rPr>
          <w:lang w:eastAsia="cs-CZ"/>
        </w:rPr>
        <w:t xml:space="preserve">využití tepla. </w:t>
      </w:r>
    </w:p>
    <w:p w14:paraId="459FBD05" w14:textId="77777777" w:rsidR="00C70A96" w:rsidRPr="005C089E" w:rsidRDefault="00C70A96" w:rsidP="00C70A96">
      <w:pPr>
        <w:spacing w:after="0" w:line="360" w:lineRule="auto"/>
        <w:ind w:firstLine="708"/>
        <w:jc w:val="both"/>
        <w:rPr>
          <w:lang w:eastAsia="cs-CZ"/>
        </w:rPr>
      </w:pPr>
      <w:r w:rsidRPr="005C089E">
        <w:rPr>
          <w:lang w:eastAsia="cs-CZ"/>
        </w:rPr>
        <w:t xml:space="preserve">Využití vodní energie větších výkonů bude svázáno se zefektivněním provozu zařízení (inovativní stroje a jejich řízení) a snižováním environmentálních vlivů při výstavbě a provozu zařízení. Důležité jsou komplexní modely řízení soustav zohledňující energetické, vodohospodářské a jiné funkce. Jistý potenciál představují malé vodní elektrárny pro malé spády a průtoky vyžadující inovativní technologie (málokomponentní systémy, nové typy turbín, jednoduchá regulace, atd.). Oblastmi vývoje ve využití větrné energie jsou řešení pro snížení ztrát (převodování atd.) a bezproblémové zapojení do elektrizační soustavy. </w:t>
      </w:r>
    </w:p>
    <w:p w14:paraId="1C2330D3" w14:textId="77777777" w:rsidR="00C70A96" w:rsidRPr="005C089E" w:rsidRDefault="00C70A96" w:rsidP="00C70A96">
      <w:pPr>
        <w:spacing w:line="360" w:lineRule="auto"/>
        <w:ind w:firstLine="708"/>
        <w:jc w:val="both"/>
        <w:rPr>
          <w:lang w:eastAsia="cs-CZ"/>
        </w:rPr>
      </w:pPr>
      <w:r w:rsidRPr="005C089E">
        <w:rPr>
          <w:lang w:eastAsia="cs-CZ"/>
        </w:rPr>
        <w:t xml:space="preserve">Využití solární energie by se mělo soustředit na rozšíření střešních fotovoltaických instalací v kombinaci s vhodnou akumulací pro maximalizaci domácí spotřeby (rezidenční sféra, služby); inovativní řešení pro solární termické systémy (snížení nákladů, kombinace s netradičními řešeními akumulace tepla atd.). Vývoj musí být rovněž soustředěn na využití tepelných čerpadel – zvyšování SOC, plynová čerpadla, kombinace s dalšími technologiemi na úrovni domu či lokality.  </w:t>
      </w:r>
    </w:p>
    <w:p w14:paraId="0D14D77C" w14:textId="77777777" w:rsidR="00C70A96" w:rsidRPr="005C089E" w:rsidRDefault="00C70A96" w:rsidP="00C70A96">
      <w:pPr>
        <w:spacing w:after="0" w:line="360" w:lineRule="auto"/>
        <w:ind w:firstLine="708"/>
        <w:jc w:val="both"/>
        <w:rPr>
          <w:lang w:eastAsia="cs-CZ"/>
        </w:rPr>
      </w:pPr>
      <w:r w:rsidRPr="005C089E">
        <w:rPr>
          <w:lang w:eastAsia="cs-CZ"/>
        </w:rPr>
        <w:t xml:space="preserve">Decentrální zdroje je nutné </w:t>
      </w:r>
      <w:r>
        <w:rPr>
          <w:lang w:eastAsia="cs-CZ"/>
        </w:rPr>
        <w:t>vnímat</w:t>
      </w:r>
      <w:r w:rsidRPr="005C089E">
        <w:rPr>
          <w:lang w:eastAsia="cs-CZ"/>
        </w:rPr>
        <w:t xml:space="preserve"> nejen jako izolované technologie, ale také explorovat jejich synergické fungování – např. spojování do virtuálních elektráren</w:t>
      </w:r>
      <w:r>
        <w:rPr>
          <w:lang w:eastAsia="cs-CZ"/>
        </w:rPr>
        <w:t xml:space="preserve"> (respektive tazv. agregátorů)</w:t>
      </w:r>
      <w:r w:rsidRPr="005C089E">
        <w:rPr>
          <w:lang w:eastAsia="cs-CZ"/>
        </w:rPr>
        <w:t xml:space="preserve"> a zdrojů zajištění tepla. Předmětem vývoje bude také technologie power-to-gas, tj. přeměna energie na vodík nebo metan za účelem akumulace energie.</w:t>
      </w:r>
    </w:p>
    <w:p w14:paraId="739B78CD" w14:textId="77777777" w:rsidR="00C70A96" w:rsidRPr="005C089E" w:rsidRDefault="00C70A96" w:rsidP="00C70A96">
      <w:pPr>
        <w:spacing w:after="0" w:line="360" w:lineRule="auto"/>
        <w:ind w:firstLine="708"/>
        <w:jc w:val="both"/>
        <w:rPr>
          <w:lang w:eastAsia="cs-CZ"/>
        </w:rPr>
      </w:pPr>
      <w:r w:rsidRPr="005C089E">
        <w:rPr>
          <w:lang w:eastAsia="cs-CZ"/>
        </w:rPr>
        <w:t xml:space="preserve">V oblasti </w:t>
      </w:r>
      <w:r w:rsidRPr="005C089E">
        <w:rPr>
          <w:b/>
          <w:lang w:eastAsia="cs-CZ"/>
        </w:rPr>
        <w:t>elektrických sítí</w:t>
      </w:r>
      <w:r w:rsidRPr="005C089E">
        <w:rPr>
          <w:lang w:eastAsia="cs-CZ"/>
        </w:rPr>
        <w:t xml:space="preserve"> bude výzkum a vývoj orientován na zabezpečení spolehlivého a</w:t>
      </w:r>
      <w:r>
        <w:rPr>
          <w:lang w:eastAsia="cs-CZ"/>
        </w:rPr>
        <w:t> </w:t>
      </w:r>
      <w:r w:rsidRPr="005C089E">
        <w:rPr>
          <w:lang w:eastAsia="cs-CZ"/>
        </w:rPr>
        <w:t>bezpečného (včetně zabezpečení) provozu elektrizační soustavy v měnících se podmínkách zdrojové a</w:t>
      </w:r>
      <w:r>
        <w:rPr>
          <w:lang w:eastAsia="cs-CZ"/>
        </w:rPr>
        <w:t> </w:t>
      </w:r>
      <w:r w:rsidRPr="005C089E">
        <w:rPr>
          <w:lang w:eastAsia="cs-CZ"/>
        </w:rPr>
        <w:t>spotřebitelské strany. Pro oblast přenosu jsou důležitými tématy modely řízení, nové technické prvky posilující robustnost, účinnost a spolehlivost systému, rozvíjení vize integrace sítí a řízení rovnováhy elektrizační soustavy v evropském kontextu. Pro oblast distribučních sítí jsou důležitá výzkumně-vývojová a demonstrační témata zajišťující spolehlivý a bezpečný provoz – nové prvky automatizace (dálkově ovládané prvky), pokročilé přístupy v diagnostice a monitoringu (prediktivní diagnostika, atd.), inteligentní měření spotřeby (smart metering) a integrace obnovitelných zdrojů, distribuované výroby a elektromobility. Zásadním tématem je optimalizace výroby a spotřeby – pokročilý load management (rozvíjení HDO) a řízení spotřeby na základě cenových a jiných motivačních signálů (demand side management / demand response).</w:t>
      </w:r>
    </w:p>
    <w:p w14:paraId="2E7638A0" w14:textId="77777777" w:rsidR="00C70A96" w:rsidRPr="005C089E" w:rsidRDefault="00C70A96" w:rsidP="00C70A96">
      <w:pPr>
        <w:spacing w:after="0" w:line="360" w:lineRule="auto"/>
        <w:ind w:firstLine="708"/>
        <w:jc w:val="both"/>
        <w:rPr>
          <w:lang w:eastAsia="cs-CZ"/>
        </w:rPr>
      </w:pPr>
      <w:r w:rsidRPr="005C089E">
        <w:rPr>
          <w:lang w:eastAsia="cs-CZ"/>
        </w:rPr>
        <w:lastRenderedPageBreak/>
        <w:t xml:space="preserve">Klíčovým prvkem mezi výrobou a spotřebou bude do budoucna </w:t>
      </w:r>
      <w:r w:rsidRPr="005C089E">
        <w:rPr>
          <w:b/>
          <w:lang w:eastAsia="cs-CZ"/>
        </w:rPr>
        <w:t>akumulace energie</w:t>
      </w:r>
      <w:r w:rsidRPr="005C089E">
        <w:rPr>
          <w:lang w:eastAsia="cs-CZ"/>
        </w:rPr>
        <w:t xml:space="preserve">. Důležité je proto vyvíjet a testovat systémy akumulace energie </w:t>
      </w:r>
      <w:r>
        <w:rPr>
          <w:lang w:eastAsia="cs-CZ"/>
        </w:rPr>
        <w:t>s různými charakteristikami a s různými nosiči</w:t>
      </w:r>
      <w:r w:rsidRPr="005C089E">
        <w:rPr>
          <w:lang w:eastAsia="cs-CZ"/>
        </w:rPr>
        <w:t xml:space="preserve"> potenciálně vhodné pro danou funkcionalitu (energie a výkon; zapojení do sítě či řešení pro ostrovní provoz atd.) se zohledněním potenciálu pro zlevnění.</w:t>
      </w:r>
    </w:p>
    <w:p w14:paraId="08671830" w14:textId="19A59246" w:rsidR="00C70A96" w:rsidRPr="005C089E" w:rsidRDefault="00C70A96" w:rsidP="00C70A96">
      <w:pPr>
        <w:spacing w:after="0" w:line="360" w:lineRule="auto"/>
        <w:ind w:firstLine="708"/>
        <w:jc w:val="both"/>
        <w:rPr>
          <w:lang w:eastAsia="cs-CZ"/>
        </w:rPr>
      </w:pPr>
      <w:r w:rsidRPr="005C089E">
        <w:rPr>
          <w:lang w:eastAsia="cs-CZ"/>
        </w:rPr>
        <w:t xml:space="preserve">V oblasti energetických </w:t>
      </w:r>
      <w:r w:rsidRPr="005C089E">
        <w:rPr>
          <w:b/>
          <w:lang w:eastAsia="cs-CZ"/>
        </w:rPr>
        <w:t>úspor</w:t>
      </w:r>
      <w:r w:rsidRPr="005C089E">
        <w:rPr>
          <w:lang w:eastAsia="cs-CZ"/>
        </w:rPr>
        <w:t xml:space="preserve"> je klíčové vyvíjet a demonstrovat prakticky uplatnitelná řešení </w:t>
      </w:r>
      <w:r>
        <w:rPr>
          <w:lang w:eastAsia="cs-CZ"/>
        </w:rPr>
        <w:t>v</w:t>
      </w:r>
      <w:r w:rsidR="0020559D">
        <w:rPr>
          <w:lang w:eastAsia="cs-CZ"/>
        </w:rPr>
        <w:t> </w:t>
      </w:r>
      <w:r>
        <w:rPr>
          <w:lang w:eastAsia="cs-CZ"/>
        </w:rPr>
        <w:t xml:space="preserve">sektorech konečné </w:t>
      </w:r>
      <w:r w:rsidRPr="005C089E">
        <w:rPr>
          <w:lang w:eastAsia="cs-CZ"/>
        </w:rPr>
        <w:t>spotřeb</w:t>
      </w:r>
      <w:r>
        <w:rPr>
          <w:lang w:eastAsia="cs-CZ"/>
        </w:rPr>
        <w:t>y</w:t>
      </w:r>
      <w:r w:rsidRPr="005C089E">
        <w:rPr>
          <w:lang w:eastAsia="cs-CZ"/>
        </w:rPr>
        <w:t xml:space="preserve"> – </w:t>
      </w:r>
      <w:r>
        <w:rPr>
          <w:lang w:eastAsia="cs-CZ"/>
        </w:rPr>
        <w:t>domácnosti</w:t>
      </w:r>
      <w:r w:rsidRPr="005C089E">
        <w:rPr>
          <w:lang w:eastAsia="cs-CZ"/>
        </w:rPr>
        <w:t>, průmysl, služby i zemědělství. Komplexní oblastí je příprava a demonstrace integrálních řešení pro města a městské aglomerace (smart cities and regions) ve vazbě na evropské iniciativy, avšak zohledňující specifika ČR. Podstatou je synergicky integrovat výrobu a</w:t>
      </w:r>
      <w:r>
        <w:rPr>
          <w:lang w:eastAsia="cs-CZ"/>
        </w:rPr>
        <w:t> </w:t>
      </w:r>
      <w:r w:rsidRPr="005C089E">
        <w:rPr>
          <w:lang w:eastAsia="cs-CZ"/>
        </w:rPr>
        <w:t xml:space="preserve">přenos energie, využití energií v budovách a energetickou náročnost dopravy, a to vše při aplikaci ICT technologií. V rezidenční sféře má být rozvíjen koncept inteligentních domů a bydlení, což je průsečíkem mezi stavebnictvím, lokální výrobou energie, inteligentními spotřebiči, ale i dalšími prvky pro bezpečný a spokojený život. Energetické úspory musí být zaměřeny nejen na technická řešení, ale i na obchodní modely a modely financování. Podstatné je i snížení energetické náročnosti budov, včetně jejich zateplení. Pasivní domy </w:t>
      </w:r>
      <w:r w:rsidRPr="005C089E">
        <w:t>vedou ke zvýšení kvality vnitřního a vnějšího životního prostředí v důsledku nižších hodnot zdraví škodlivých látek uvnitř budovy a nižších emisí lokálního znečištění do okolí.</w:t>
      </w:r>
    </w:p>
    <w:p w14:paraId="7617968B" w14:textId="77777777" w:rsidR="00C70A96" w:rsidRPr="005C089E" w:rsidRDefault="00C70A96" w:rsidP="00C70A96">
      <w:pPr>
        <w:spacing w:after="0" w:line="360" w:lineRule="auto"/>
        <w:ind w:firstLine="708"/>
        <w:jc w:val="both"/>
        <w:rPr>
          <w:lang w:eastAsia="cs-CZ"/>
        </w:rPr>
      </w:pPr>
      <w:r w:rsidRPr="005C089E">
        <w:rPr>
          <w:lang w:eastAsia="cs-CZ"/>
        </w:rPr>
        <w:t xml:space="preserve">Oblast </w:t>
      </w:r>
      <w:r w:rsidRPr="005C089E">
        <w:rPr>
          <w:b/>
          <w:lang w:eastAsia="cs-CZ"/>
        </w:rPr>
        <w:t>energie pro dopravu</w:t>
      </w:r>
      <w:r w:rsidRPr="005C089E">
        <w:rPr>
          <w:lang w:eastAsia="cs-CZ"/>
        </w:rPr>
        <w:t xml:space="preserve"> má být zaměřena na přípravu a demonstrace řešení pro širší využití elektromobility (integrace dobíjecích stanic do sítě, řídicí systémy, integrace s akumulací, hybridní řešení, indukční dobíjení atd.), hybridních vozidel a na vývoj konceptů a ověřování klíčových prvků pro pohony a přepravu na bázi palivových článků. Důležitou oblastí je také vývoj nových typů biopaliv či </w:t>
      </w:r>
      <w:r w:rsidRPr="005C089E">
        <w:t>využití vedlejších energetických produktů k budování silniční sítě a infrastruktury.</w:t>
      </w:r>
    </w:p>
    <w:p w14:paraId="01F739AD" w14:textId="77777777" w:rsidR="00C70A96" w:rsidRPr="005C089E" w:rsidRDefault="00C70A96" w:rsidP="00C70A96">
      <w:pPr>
        <w:spacing w:after="0" w:line="360" w:lineRule="auto"/>
        <w:ind w:firstLine="708"/>
        <w:jc w:val="both"/>
      </w:pPr>
      <w:r w:rsidRPr="005C089E">
        <w:t xml:space="preserve">V oblasti </w:t>
      </w:r>
      <w:r w:rsidRPr="005C089E">
        <w:rPr>
          <w:b/>
        </w:rPr>
        <w:t>perspektivních energetických technologií,</w:t>
      </w:r>
      <w:r w:rsidRPr="005C089E">
        <w:t xml:space="preserve"> k jejichž uplatnění dojde v delším časovém horizontu, bude výzkum a vývoj zaměřen např. na malé modulární reaktory pracující v oblasti vysokých teplot s vysokou bezpečností, reaktory čtvrté generace, vodíkové technologie zejména pro akumulaci energie, jadern</w:t>
      </w:r>
      <w:r>
        <w:t>ou</w:t>
      </w:r>
      <w:r w:rsidRPr="005C089E">
        <w:t xml:space="preserve"> fúz</w:t>
      </w:r>
      <w:r>
        <w:t>i</w:t>
      </w:r>
      <w:r w:rsidRPr="005C089E">
        <w:t>, pokročilé technologie akumulace a transformace energie a</w:t>
      </w:r>
      <w:r>
        <w:t> </w:t>
      </w:r>
      <w:r w:rsidRPr="005C089E">
        <w:t>termodynamické cykly.</w:t>
      </w:r>
    </w:p>
    <w:p w14:paraId="046C59F9" w14:textId="77777777" w:rsidR="00C70A96" w:rsidRPr="005C089E" w:rsidRDefault="00C70A96" w:rsidP="00C70A96">
      <w:pPr>
        <w:spacing w:after="0" w:line="360" w:lineRule="auto"/>
        <w:ind w:firstLine="708"/>
        <w:jc w:val="both"/>
      </w:pPr>
      <w:r w:rsidRPr="005C089E">
        <w:rPr>
          <w:lang w:eastAsia="cs-CZ"/>
        </w:rPr>
        <w:t xml:space="preserve">Pro podporu rozhodování v oblasti energetiky je nezbytné disponovat kvalitními </w:t>
      </w:r>
      <w:r w:rsidRPr="005C089E">
        <w:rPr>
          <w:b/>
          <w:lang w:eastAsia="cs-CZ"/>
        </w:rPr>
        <w:t>analytickými podklady</w:t>
      </w:r>
      <w:r w:rsidRPr="005C089E">
        <w:rPr>
          <w:lang w:eastAsia="cs-CZ"/>
        </w:rPr>
        <w:t xml:space="preserve">, které se mohou vztahovat k jednotlivým výše uvedeným oblastem či být společné pro několik z nich. Konvenčním a větším obnovitelným zdrojům i distribuci energie je společný vývoj modelů rizikově orientovaného rozhodování (modely provozování, údržba) založených na pokročilých matematických řešeních a nakládání s daty. Dalším tématem je </w:t>
      </w:r>
      <w:r w:rsidRPr="005C089E">
        <w:t>analýza možností a limitů rozvoje energetiky v ČR pro různé časové horizonty či modely z</w:t>
      </w:r>
      <w:r w:rsidRPr="005C089E">
        <w:rPr>
          <w:rFonts w:cs="Cambria"/>
        </w:rPr>
        <w:t xml:space="preserve">ajištění energetické bezpečnosti a zvýšení energetické a surovinové efektivity hospodářství. </w:t>
      </w:r>
    </w:p>
    <w:p w14:paraId="4BC45ACF" w14:textId="77777777" w:rsidR="00C70A96" w:rsidRPr="005C089E" w:rsidRDefault="00C70A96" w:rsidP="00C70A96">
      <w:pPr>
        <w:spacing w:after="0" w:line="360" w:lineRule="auto"/>
        <w:ind w:firstLine="708"/>
        <w:jc w:val="both"/>
      </w:pPr>
      <w:r w:rsidRPr="005C089E">
        <w:lastRenderedPageBreak/>
        <w:t xml:space="preserve">Zohledněna musí být také </w:t>
      </w:r>
      <w:r w:rsidRPr="005C089E">
        <w:rPr>
          <w:b/>
        </w:rPr>
        <w:t>průřezová témata</w:t>
      </w:r>
      <w:r w:rsidRPr="005C089E">
        <w:t xml:space="preserve"> výzkumu a vývoje, kterými jsou uplatnění ICT technologií (digitalizace, big data), nové materiály a výrobní technologie (rapid prototyping, customized manufacturing atd.).</w:t>
      </w:r>
    </w:p>
    <w:p w14:paraId="46DC8E42" w14:textId="77777777" w:rsidR="00C70A96" w:rsidRPr="005C089E" w:rsidRDefault="00C70A96" w:rsidP="00C70A96">
      <w:pPr>
        <w:spacing w:before="40" w:after="40" w:line="360" w:lineRule="auto"/>
        <w:ind w:firstLine="708"/>
        <w:jc w:val="both"/>
      </w:pPr>
      <w:r w:rsidRPr="005C089E">
        <w:t xml:space="preserve">V oblasti </w:t>
      </w:r>
      <w:r w:rsidRPr="005C089E">
        <w:rPr>
          <w:b/>
        </w:rPr>
        <w:t>nanotechnologií</w:t>
      </w:r>
      <w:r w:rsidRPr="005C089E">
        <w:t xml:space="preserve"> je zapotřebí orientovat výzkum na možnosti aplikace grafenu (grafenový superkondenzátor) a použití nanomateriálů v konstrukci baterií (3D baterie).</w:t>
      </w:r>
    </w:p>
    <w:p w14:paraId="7A9096CB" w14:textId="77777777" w:rsidR="007B71FE" w:rsidRDefault="007B71FE" w:rsidP="00D9192C">
      <w:pPr>
        <w:spacing w:before="40" w:after="40" w:line="360" w:lineRule="auto"/>
        <w:jc w:val="both"/>
      </w:pPr>
    </w:p>
    <w:p w14:paraId="323BFA08" w14:textId="526A3AEB" w:rsidR="004B62EC" w:rsidRDefault="004B62EC" w:rsidP="004B62EC">
      <w:pPr>
        <w:pStyle w:val="Nadpis4"/>
      </w:pPr>
      <w:bookmarkStart w:id="127" w:name="_Toc525716217"/>
      <w:r>
        <w:t>Hutnictví</w:t>
      </w:r>
      <w:bookmarkEnd w:id="127"/>
    </w:p>
    <w:p w14:paraId="41F3CA37" w14:textId="1097154B" w:rsidR="004B62EC" w:rsidRPr="00CD0501" w:rsidRDefault="004B62EC" w:rsidP="004B62EC">
      <w:pPr>
        <w:spacing w:before="240" w:line="360" w:lineRule="auto"/>
        <w:rPr>
          <w:b/>
          <w:u w:val="single"/>
        </w:rPr>
      </w:pPr>
      <w:r w:rsidRPr="00CD0501">
        <w:rPr>
          <w:b/>
          <w:u w:val="single"/>
        </w:rPr>
        <w:t>Východiska</w:t>
      </w:r>
    </w:p>
    <w:p w14:paraId="4216D97F" w14:textId="0E852C4B" w:rsidR="00EB2503" w:rsidRPr="00EB2503" w:rsidRDefault="00EB2503" w:rsidP="00AD61CD">
      <w:pPr>
        <w:spacing w:before="40" w:after="0" w:line="360" w:lineRule="auto"/>
        <w:ind w:firstLine="708"/>
        <w:jc w:val="both"/>
      </w:pPr>
      <w:r w:rsidRPr="00EB2503">
        <w:rPr>
          <w:b/>
        </w:rPr>
        <w:t>Hutnictví železa</w:t>
      </w:r>
      <w:r w:rsidRPr="00EB2503">
        <w:t xml:space="preserve"> je obor surovinově a energeticky náročný, s vysokou fondovou vybaveností, a</w:t>
      </w:r>
      <w:r>
        <w:t> </w:t>
      </w:r>
      <w:r w:rsidRPr="00EB2503">
        <w:t xml:space="preserve">to zejména hmotného investičního majetku. Rozhodující výrobní zařízení mají dlouhou dobu životnosti a dlouhý cyklus obnovy. Z tohoto hlediska (nízká pružnost oboru na změnu sortimentu) je třeba přistupovat k budoucímu rozvoji oboru s vysokou mírou přesnosti. </w:t>
      </w:r>
    </w:p>
    <w:p w14:paraId="01A2B748" w14:textId="77777777" w:rsidR="00EB2503" w:rsidRPr="00EB2503" w:rsidRDefault="00EB2503" w:rsidP="00AD61CD">
      <w:pPr>
        <w:autoSpaceDE w:val="0"/>
        <w:autoSpaceDN w:val="0"/>
        <w:adjustRightInd w:val="0"/>
        <w:spacing w:after="0" w:line="360" w:lineRule="auto"/>
        <w:ind w:firstLine="708"/>
        <w:jc w:val="both"/>
      </w:pPr>
      <w:r w:rsidRPr="00EB2503">
        <w:t xml:space="preserve">Hutní výroba je materiálově i energeticky vysoce náročná. Hutnictví v ČR, stejně jako evropské, prochází strukturálním vývojem, který nastal společně s vypuknutím celosvětové krize. Od roku 2013 však nastal obrat k růstu, a i když se produkce oceli velmi pravděpodobně nevrátí na předkrizovou úroveň, výroba i spotřeba roste a měla by růst i nadále. Hutnictví tvoří základ pro dodávky ostatním zpracovatelským průmyslům. Oddíl ročně přinese do veřejných rozpočtů cca 15 mld. Kč. </w:t>
      </w:r>
    </w:p>
    <w:p w14:paraId="5A5DE5F9" w14:textId="77777777" w:rsidR="00EB2503" w:rsidRPr="00EB2503" w:rsidRDefault="00EB2503" w:rsidP="00AD61CD">
      <w:pPr>
        <w:spacing w:before="40" w:after="0" w:line="360" w:lineRule="auto"/>
        <w:jc w:val="both"/>
      </w:pPr>
      <w:r w:rsidRPr="00EB2503">
        <w:t>Statistické údaje ocelářství za období od r. 1970 do letošního roku prokazatelně dokumentují, že vývoj, poznamenaný od r. 2008 výrazným poklesem poptávky (což souvisí s tendencí průmyslu jako takového), zřetelně sděluje:</w:t>
      </w:r>
    </w:p>
    <w:p w14:paraId="4414C259" w14:textId="77777777" w:rsidR="00EB2503" w:rsidRDefault="00EB2503" w:rsidP="00543C1B">
      <w:pPr>
        <w:pStyle w:val="Odstavecseseznamem"/>
        <w:numPr>
          <w:ilvl w:val="0"/>
          <w:numId w:val="90"/>
        </w:numPr>
        <w:spacing w:before="40" w:after="0" w:line="360" w:lineRule="auto"/>
        <w:jc w:val="both"/>
      </w:pPr>
      <w:r w:rsidRPr="00EB2503">
        <w:t>ocelářství již neobnoví svojí produkci na úroveň před r. 2007;</w:t>
      </w:r>
    </w:p>
    <w:p w14:paraId="1DDF0B9E" w14:textId="77777777" w:rsidR="00EB2503" w:rsidRDefault="00EB2503" w:rsidP="00543C1B">
      <w:pPr>
        <w:pStyle w:val="Odstavecseseznamem"/>
        <w:numPr>
          <w:ilvl w:val="0"/>
          <w:numId w:val="90"/>
        </w:numPr>
        <w:spacing w:before="40" w:after="0" w:line="360" w:lineRule="auto"/>
        <w:jc w:val="both"/>
      </w:pPr>
      <w:r w:rsidRPr="00EB2503">
        <w:t>v odvětví je minimálně 20 % nadbytečných kapacit;</w:t>
      </w:r>
    </w:p>
    <w:p w14:paraId="5645707D" w14:textId="10CD62E0" w:rsidR="00EB2503" w:rsidRPr="00EB2503" w:rsidRDefault="00EB2503" w:rsidP="00543C1B">
      <w:pPr>
        <w:pStyle w:val="Odstavecseseznamem"/>
        <w:numPr>
          <w:ilvl w:val="0"/>
          <w:numId w:val="90"/>
        </w:numPr>
        <w:spacing w:before="40" w:after="0" w:line="360" w:lineRule="auto"/>
        <w:jc w:val="both"/>
      </w:pPr>
      <w:r w:rsidRPr="00EB2503">
        <w:t>predikce ocelářství míří zcela ve směru k vyšším finalitám a sofistikovaným výrobám</w:t>
      </w:r>
      <w:r w:rsidRPr="00EB2503">
        <w:rPr>
          <w:rStyle w:val="Znakapoznpodarou"/>
        </w:rPr>
        <w:footnoteReference w:id="104"/>
      </w:r>
      <w:r w:rsidRPr="00EB2503">
        <w:t>.</w:t>
      </w:r>
    </w:p>
    <w:p w14:paraId="40F94759" w14:textId="77777777" w:rsidR="00EB2503" w:rsidRPr="00EB2503" w:rsidRDefault="00EB2503" w:rsidP="00AD61CD">
      <w:pPr>
        <w:spacing w:before="40" w:after="0" w:line="360" w:lineRule="auto"/>
        <w:ind w:firstLine="708"/>
        <w:jc w:val="both"/>
      </w:pPr>
      <w:r w:rsidRPr="00EB2503">
        <w:t xml:space="preserve">V </w:t>
      </w:r>
      <w:r w:rsidRPr="00EB2503">
        <w:rPr>
          <w:b/>
        </w:rPr>
        <w:t xml:space="preserve">ocelářství </w:t>
      </w:r>
      <w:r w:rsidRPr="00EB2503">
        <w:t xml:space="preserve">nepůjde o „obvyklou fázi“ cyklického vývoje (tak, jak se opakoval v minulosti), ale půjde o zásadní strukturální vývoj v průmyslu i s riziky pro ocelářství EU. Ocelářství je nesporně zatěžováno vlivy ekologické legislativy a  růstem nákladů z vývoje cen energií. Konkurence dovozů hutních materiálů (Rusko, Ukrajina, Turecko, Čína, Jižní Korea aj.) je faktorem, který prokazuje, že zpřísněná pravidla v oblasti ekologie a energetiky, dávají (spolu s obtížností přístupu k surovinám) šanci získat silnou pozici na trhu právě již dříve saturovaným evropským ocelářským podnikům (Německo, Francie). </w:t>
      </w:r>
    </w:p>
    <w:p w14:paraId="3632F64D" w14:textId="77777777" w:rsidR="00EB2503" w:rsidRPr="00EB2503" w:rsidRDefault="00EB2503" w:rsidP="00AD61CD">
      <w:pPr>
        <w:spacing w:before="40" w:after="0" w:line="360" w:lineRule="auto"/>
        <w:jc w:val="both"/>
      </w:pPr>
      <w:r w:rsidRPr="00EB2503">
        <w:t>Cestou pro dosažení a udržení konkurenční schopnosti ocelářství v ČR jsou:</w:t>
      </w:r>
    </w:p>
    <w:p w14:paraId="77DC5DC0" w14:textId="77777777" w:rsidR="00EB2503" w:rsidRDefault="00EB2503" w:rsidP="00543C1B">
      <w:pPr>
        <w:pStyle w:val="Odstavecseseznamem"/>
        <w:numPr>
          <w:ilvl w:val="0"/>
          <w:numId w:val="91"/>
        </w:numPr>
        <w:spacing w:before="40" w:after="0" w:line="360" w:lineRule="auto"/>
        <w:jc w:val="both"/>
      </w:pPr>
      <w:r w:rsidRPr="00EB2503">
        <w:lastRenderedPageBreak/>
        <w:t>výzkum, vývoj, inovace;</w:t>
      </w:r>
    </w:p>
    <w:p w14:paraId="5FEB4040" w14:textId="77777777" w:rsidR="00EB2503" w:rsidRDefault="00EB2503" w:rsidP="00543C1B">
      <w:pPr>
        <w:pStyle w:val="Odstavecseseznamem"/>
        <w:numPr>
          <w:ilvl w:val="0"/>
          <w:numId w:val="91"/>
        </w:numPr>
        <w:spacing w:before="40" w:after="0" w:line="360" w:lineRule="auto"/>
        <w:jc w:val="both"/>
      </w:pPr>
      <w:r w:rsidRPr="00EB2503">
        <w:t>optimalizace portfolia kapacit (z pohledu trhu, zakázek a koncentrace výrob na nejprogresivnější technologie);</w:t>
      </w:r>
    </w:p>
    <w:p w14:paraId="784A2647" w14:textId="5F0CD1AE" w:rsidR="00EB2503" w:rsidRPr="00EB2503" w:rsidRDefault="00EB2503" w:rsidP="00543C1B">
      <w:pPr>
        <w:pStyle w:val="Odstavecseseznamem"/>
        <w:numPr>
          <w:ilvl w:val="0"/>
          <w:numId w:val="91"/>
        </w:numPr>
        <w:spacing w:before="40" w:after="0" w:line="360" w:lineRule="auto"/>
        <w:jc w:val="both"/>
      </w:pPr>
      <w:r w:rsidRPr="00EB2503">
        <w:t>směr vertikální integrace (k surovinám, energiím) má dnes vyšší prioritu než cesta horizontální spolupráce a kapitálového propojení.</w:t>
      </w:r>
    </w:p>
    <w:p w14:paraId="4FAB62A2" w14:textId="77777777" w:rsidR="00EB2503" w:rsidRPr="00EB2503" w:rsidRDefault="00EB2503" w:rsidP="00AD61CD">
      <w:pPr>
        <w:spacing w:before="40" w:after="0" w:line="360" w:lineRule="auto"/>
        <w:ind w:firstLine="708"/>
        <w:jc w:val="both"/>
      </w:pPr>
      <w:r w:rsidRPr="00EB2503">
        <w:t xml:space="preserve">Další úspěšný vývoj ocelářství vyžaduje rovněž věnovat zvláštní pozornost problematice ekologie. V některých aspektech by mohlo jít o samou existenci ocelářského průmyslu v ČR. </w:t>
      </w:r>
    </w:p>
    <w:p w14:paraId="7CF3CFF8" w14:textId="77777777" w:rsidR="00EB2503" w:rsidRPr="00EB2503" w:rsidRDefault="00EB2503" w:rsidP="00AD61CD">
      <w:pPr>
        <w:spacing w:before="40" w:after="0" w:line="360" w:lineRule="auto"/>
        <w:jc w:val="both"/>
      </w:pPr>
      <w:r w:rsidRPr="00EB2503">
        <w:t>Pro rovnocenné podmínky je nezbytné:</w:t>
      </w:r>
    </w:p>
    <w:p w14:paraId="38EFF3DB" w14:textId="77777777" w:rsidR="00EB2503" w:rsidRDefault="00EB2503" w:rsidP="00543C1B">
      <w:pPr>
        <w:pStyle w:val="Odstavecseseznamem"/>
        <w:numPr>
          <w:ilvl w:val="0"/>
          <w:numId w:val="92"/>
        </w:numPr>
        <w:spacing w:before="40" w:after="0" w:line="360" w:lineRule="auto"/>
        <w:jc w:val="both"/>
      </w:pPr>
      <w:r w:rsidRPr="00EB2503">
        <w:t>zavedení a dodržování spravedlivých podmínek pro oblast ekologie, energetiky;</w:t>
      </w:r>
    </w:p>
    <w:p w14:paraId="0CED29F2" w14:textId="77777777" w:rsidR="00EB2503" w:rsidRDefault="00EB2503" w:rsidP="00543C1B">
      <w:pPr>
        <w:pStyle w:val="Odstavecseseznamem"/>
        <w:numPr>
          <w:ilvl w:val="0"/>
          <w:numId w:val="92"/>
        </w:numPr>
        <w:spacing w:before="40" w:after="0" w:line="360" w:lineRule="auto"/>
        <w:jc w:val="both"/>
      </w:pPr>
      <w:r w:rsidRPr="00EB2503">
        <w:t>v tomto smyslu prosazovat taková řešení, která nebudou poškozovat a existenčně ohrožovat průmyslové podniky;</w:t>
      </w:r>
    </w:p>
    <w:p w14:paraId="055BE263" w14:textId="016EF186" w:rsidR="00EB2503" w:rsidRPr="00EB2503" w:rsidRDefault="00EB2503" w:rsidP="00543C1B">
      <w:pPr>
        <w:pStyle w:val="Odstavecseseznamem"/>
        <w:numPr>
          <w:ilvl w:val="0"/>
          <w:numId w:val="92"/>
        </w:numPr>
        <w:spacing w:before="40" w:after="0" w:line="360" w:lineRule="auto"/>
        <w:jc w:val="both"/>
      </w:pPr>
      <w:r w:rsidRPr="00EB2503">
        <w:t>nepřipustit přijetí legislativy, která nepostihuje všechny zdroje znečišťování (ovzduší, odpady, vody) a je diskriminující k průmyslovým odvětvím</w:t>
      </w:r>
      <w:r w:rsidRPr="00EB2503">
        <w:rPr>
          <w:rStyle w:val="Znakapoznpodarou"/>
        </w:rPr>
        <w:footnoteReference w:id="105"/>
      </w:r>
      <w:r w:rsidRPr="00EB2503">
        <w:t>.</w:t>
      </w:r>
    </w:p>
    <w:p w14:paraId="3108B0EE" w14:textId="2AC2108F" w:rsidR="00EB2503" w:rsidRPr="00EB2503" w:rsidRDefault="00EB2503" w:rsidP="00AD61CD">
      <w:pPr>
        <w:spacing w:before="40" w:after="0" w:line="360" w:lineRule="auto"/>
        <w:ind w:firstLine="709"/>
        <w:jc w:val="both"/>
      </w:pPr>
      <w:r w:rsidRPr="00EB2503">
        <w:t>Z iniciativy EK byl přijat dne 11. června 2013 dokument „Akční plán pro konkurenceschopnost a</w:t>
      </w:r>
      <w:r>
        <w:t> </w:t>
      </w:r>
      <w:r w:rsidRPr="00EB2503">
        <w:t>udržitelné ocelářství v Evropě“. Zahrnuje kombinaci opatření na pomoc ocelářskému sektoru ve výrobě a pro stimulaci místní poptávky, liberalizaci směrnic a financování vzdělávání a výzkumu. Akční plán je dobrým startovacím bodem, který přináší mimo jiné vyčerpávající pohled i na zmíněnou energetickou efektivnost odvětví (stěžejní problém ocelářství v Evropě). Plán je monitorován skupinou ocelářských odborníků a osobností průmyslu, kteří jsou pověřeni jeho průběžným hodnocením.</w:t>
      </w:r>
    </w:p>
    <w:p w14:paraId="3166404A" w14:textId="287ABC42" w:rsidR="004B62EC" w:rsidRPr="00EB2503" w:rsidRDefault="00EB2503" w:rsidP="00AD61CD">
      <w:pPr>
        <w:spacing w:line="360" w:lineRule="auto"/>
        <w:ind w:firstLine="708"/>
        <w:jc w:val="both"/>
        <w:rPr>
          <w:b/>
        </w:rPr>
      </w:pPr>
      <w:r w:rsidRPr="00EB2503">
        <w:t xml:space="preserve">České </w:t>
      </w:r>
      <w:r w:rsidRPr="00BF6339">
        <w:rPr>
          <w:b/>
        </w:rPr>
        <w:t xml:space="preserve">slévárenství </w:t>
      </w:r>
      <w:r w:rsidRPr="00EB2503">
        <w:t>za posledních dvacet let diametrálně změnilo svůj charakter. Operativní flexibilitou komerčně zaměřených sléváren došlo k výrazné diversifikaci vyráběných materiálů.</w:t>
      </w:r>
      <w:r w:rsidR="003C14F3">
        <w:t xml:space="preserve"> </w:t>
      </w:r>
      <w:r w:rsidR="003C14F3" w:rsidRPr="003C14F3">
        <w:t>Slévárenský průmysl se v převážné míře přizpůsobil podmínkám trhu a v rámci ČR tvoří významnou součást průmyslových technologií.</w:t>
      </w:r>
    </w:p>
    <w:p w14:paraId="5DEFA9FC" w14:textId="77777777" w:rsidR="00C403B6" w:rsidRDefault="00C403B6" w:rsidP="004B62EC">
      <w:pPr>
        <w:rPr>
          <w:b/>
        </w:rPr>
      </w:pPr>
    </w:p>
    <w:p w14:paraId="289C55DF" w14:textId="7F2F8AE0" w:rsidR="004B62EC" w:rsidRPr="00CD0501" w:rsidRDefault="00C403B6" w:rsidP="004B62EC">
      <w:pPr>
        <w:rPr>
          <w:b/>
          <w:u w:val="single"/>
        </w:rPr>
      </w:pPr>
      <w:r w:rsidRPr="00CD0501">
        <w:rPr>
          <w:b/>
          <w:u w:val="single"/>
        </w:rPr>
        <w:t>Popis potřeb a jejich řešení</w:t>
      </w:r>
    </w:p>
    <w:p w14:paraId="523D485D" w14:textId="698F744F" w:rsidR="00C403B6" w:rsidRPr="00C403B6" w:rsidRDefault="00C403B6" w:rsidP="00CD0501">
      <w:pPr>
        <w:spacing w:after="0" w:line="360" w:lineRule="auto"/>
        <w:ind w:firstLine="708"/>
        <w:jc w:val="both"/>
      </w:pPr>
      <w:r w:rsidRPr="00C403B6">
        <w:t>Pro zajištění výroby průmyslových společností a uplatnění jejich produktů na trhu je zapotřebí provádět kontinuálně výzkumnou a vývojovou činnost vedoucí k</w:t>
      </w:r>
      <w:r w:rsidRPr="00C403B6">
        <w:rPr>
          <w:b/>
        </w:rPr>
        <w:t xml:space="preserve"> novým sofistikovaným výrobkům </w:t>
      </w:r>
      <w:r w:rsidRPr="00C403B6">
        <w:t xml:space="preserve">v reakci na požadavky odběratelských odvětví, a to za účelem plnění neustále přísnějších kritérií na kvalitu, reagování na poptávky nových výrobků, inovativnosti a možnosti nabídky, například lehčího materiálu se stejnými mechanickými vlastnostmi jako u materiálu původního. Tento postup napomůže konkurovat ČR světovým firmám v oblasti kvality produktů. Dalšími dílčími tématy aplikovaného výzkumu v metalurgii vedoucímu k vývoji nových výrobků jsou lehké slitiny, buněčné materiály </w:t>
      </w:r>
      <w:r w:rsidRPr="00C403B6">
        <w:lastRenderedPageBreak/>
        <w:t>a</w:t>
      </w:r>
      <w:r>
        <w:t> </w:t>
      </w:r>
      <w:r w:rsidRPr="00C403B6">
        <w:t>kompozity, extrémní slitiny a kompozity, nové a vylepšené oceli, pokročilé supervodiče, vývoj kombinačních slitin, biokompatibilní metalurgie, kovové konstrukce a technologické celky, hutní polotovary z mědi a slitin, vývoj nových a zvyšování parametrů existujících pomocných materiálů (chemické látky, oleje apod.), nové typy žáruvzdorných materiálů, vč. jejich povlaků pro odlévání nových typů slitin.</w:t>
      </w:r>
    </w:p>
    <w:p w14:paraId="140E00D6" w14:textId="79556D81" w:rsidR="00C403B6" w:rsidRPr="00C403B6" w:rsidRDefault="00C403B6" w:rsidP="00CD0501">
      <w:pPr>
        <w:spacing w:after="0" w:line="360" w:lineRule="auto"/>
        <w:ind w:firstLine="708"/>
        <w:jc w:val="both"/>
      </w:pPr>
      <w:r w:rsidRPr="00C403B6">
        <w:t>Dalším tématem</w:t>
      </w:r>
      <w:r w:rsidRPr="00C403B6">
        <w:rPr>
          <w:b/>
        </w:rPr>
        <w:t xml:space="preserve"> </w:t>
      </w:r>
      <w:r w:rsidRPr="00C403B6">
        <w:t>je vývoj</w:t>
      </w:r>
      <w:r w:rsidRPr="00C403B6">
        <w:rPr>
          <w:b/>
        </w:rPr>
        <w:t xml:space="preserve"> nových technologií</w:t>
      </w:r>
      <w:r w:rsidRPr="00C403B6">
        <w:t xml:space="preserve"> v hutnictví. Světovým trendem je využívání nových prostředků, technologických postupů a technologických zařízení umožňujících navýšení výrobnosti, snížení výrobních nákladů či snížení množství spotřebované energie, včetně materiálu při výrobě. Je vhodné se tedy zaměřit na aplikaci nových technologií formou VaV, na nákup a instalaci nových zařízení, strojů apod. s následným vývojem a optimalizací postupů pro plnění výše uvedených cílů. V oboru hutnictví a slévárenství je tedy nutné neustálé zlepšování efektivity procesů, a to formou kombinace vstupních surovin,</w:t>
      </w:r>
      <w:r w:rsidR="000E5163">
        <w:t xml:space="preserve"> smížení</w:t>
      </w:r>
      <w:r w:rsidRPr="00C403B6">
        <w:t xml:space="preserve"> spotřeby energií na výrobu</w:t>
      </w:r>
      <w:r w:rsidR="000E5163">
        <w:t xml:space="preserve"> a dále zvýšením úrovně materiálového využití odpadních produktů</w:t>
      </w:r>
      <w:r w:rsidRPr="00C403B6">
        <w:t xml:space="preserve"> apod. Tento postup napomůže konkurovat ČR světovým firmám v oblasti ceny za produkt. Dalšími dílčími tématy ve vývoji nových technologií jsou termoelektrika s vysokým ZT koeficientem, škálovatelná termoelektrika, povlakování a povrchová ochrana, prášková metalurgie.</w:t>
      </w:r>
    </w:p>
    <w:p w14:paraId="7842DE8A" w14:textId="5817A16A" w:rsidR="00C403B6" w:rsidRDefault="00C403B6" w:rsidP="00A252C2">
      <w:pPr>
        <w:spacing w:line="360" w:lineRule="auto"/>
        <w:ind w:firstLine="708"/>
        <w:jc w:val="both"/>
      </w:pPr>
      <w:r w:rsidRPr="00C403B6">
        <w:t xml:space="preserve">V oblasti </w:t>
      </w:r>
      <w:r w:rsidRPr="00C403B6">
        <w:rPr>
          <w:b/>
        </w:rPr>
        <w:t xml:space="preserve">řízení výroby </w:t>
      </w:r>
      <w:r w:rsidRPr="00C403B6">
        <w:t>budou témata VaV zaměřena na optimalizaci výrobních nákladů, energetické a materiální náročnosti, kvalitativní parametry nebo navýšení výrobnosti při produkci výrobků. Patří sem 3D mikročástice a senzory, automatizovaná aditivní výroba, prediktivní modelování, metrologie a pokročilé charakterizování, recyklování, zjemňování a znovuvyužití kritických a vysoce hodnotných kovů, optimalizace kvalitativních parametrů hutních výrobků, včetně zlepšování kontroly a řízení výrobních postupů (mechatronika). Dalšími tématy s dopadem na snížení prašnosti a</w:t>
      </w:r>
      <w:r w:rsidR="00A252C2">
        <w:t> </w:t>
      </w:r>
      <w:r w:rsidRPr="00C403B6">
        <w:t>ekologické zátěže jsou: využití odpadního tepla z výroby a zpracování železa a oceli, zpracování (recyklace) kovonosných odpadů, druhotných surovin a odprašků za účelem jejích opětovných využití ve výrobě, využití produktů vedlejších surovin z hutnictví, ocelářství a slévárenství (struska, škvára apod.).</w:t>
      </w:r>
    </w:p>
    <w:p w14:paraId="4BF48EA9" w14:textId="77777777" w:rsidR="00A252C2" w:rsidRDefault="00A252C2" w:rsidP="00A252C2">
      <w:pPr>
        <w:spacing w:line="360" w:lineRule="auto"/>
        <w:ind w:firstLine="708"/>
        <w:jc w:val="both"/>
      </w:pPr>
    </w:p>
    <w:p w14:paraId="410084D4" w14:textId="2B1CE311" w:rsidR="00A252C2" w:rsidRDefault="00A252C2" w:rsidP="00A252C2">
      <w:pPr>
        <w:pStyle w:val="Nadpis4"/>
      </w:pPr>
      <w:bookmarkStart w:id="128" w:name="_Toc525716218"/>
      <w:r>
        <w:t>Průmyslová chemie</w:t>
      </w:r>
      <w:bookmarkEnd w:id="128"/>
    </w:p>
    <w:p w14:paraId="71912BC4" w14:textId="6948E980" w:rsidR="00A252C2" w:rsidRPr="001109D9" w:rsidRDefault="00A252C2" w:rsidP="00A252C2">
      <w:pPr>
        <w:spacing w:before="240" w:line="360" w:lineRule="auto"/>
        <w:rPr>
          <w:b/>
          <w:u w:val="single"/>
        </w:rPr>
      </w:pPr>
      <w:r w:rsidRPr="001109D9">
        <w:rPr>
          <w:b/>
          <w:u w:val="single"/>
        </w:rPr>
        <w:t>Východiska</w:t>
      </w:r>
    </w:p>
    <w:p w14:paraId="4CA7977F" w14:textId="394EAC3A" w:rsidR="00A252C2" w:rsidRPr="00BF4753" w:rsidRDefault="00A252C2" w:rsidP="00A252C2">
      <w:pPr>
        <w:pStyle w:val="Bezmezer1"/>
        <w:spacing w:before="120" w:after="120" w:line="360" w:lineRule="auto"/>
        <w:ind w:firstLine="708"/>
        <w:jc w:val="both"/>
        <w:rPr>
          <w:rFonts w:asciiTheme="minorHAnsi" w:hAnsiTheme="minorHAnsi" w:cstheme="minorBidi"/>
        </w:rPr>
      </w:pPr>
      <w:r w:rsidRPr="00BF4753">
        <w:rPr>
          <w:rFonts w:asciiTheme="minorHAnsi" w:hAnsiTheme="minorHAnsi" w:cstheme="minorBidi"/>
        </w:rPr>
        <w:t xml:space="preserve">Chemický průmysl je </w:t>
      </w:r>
      <w:r>
        <w:rPr>
          <w:rFonts w:asciiTheme="minorHAnsi" w:hAnsiTheme="minorHAnsi" w:cstheme="minorBidi"/>
        </w:rPr>
        <w:t xml:space="preserve">druhým </w:t>
      </w:r>
      <w:r w:rsidRPr="00BF4753">
        <w:rPr>
          <w:rFonts w:asciiTheme="minorHAnsi" w:hAnsiTheme="minorHAnsi" w:cstheme="minorBidi"/>
        </w:rPr>
        <w:t>největším průmyslovým odvětvím České republiky</w:t>
      </w:r>
      <w:r>
        <w:rPr>
          <w:rFonts w:asciiTheme="minorHAnsi" w:hAnsiTheme="minorHAnsi" w:cstheme="minorBidi"/>
        </w:rPr>
        <w:t xml:space="preserve"> (vi</w:t>
      </w:r>
      <w:r w:rsidRPr="00791956">
        <w:rPr>
          <w:rFonts w:asciiTheme="minorHAnsi" w:hAnsiTheme="minorHAnsi" w:cstheme="minorBidi"/>
        </w:rPr>
        <w:t xml:space="preserve">z </w:t>
      </w:r>
      <w:r w:rsidR="000524B9" w:rsidRPr="00791956">
        <w:rPr>
          <w:rFonts w:asciiTheme="minorHAnsi" w:hAnsiTheme="minorHAnsi" w:cstheme="minorBidi"/>
        </w:rPr>
        <w:fldChar w:fldCharType="begin"/>
      </w:r>
      <w:r w:rsidR="000524B9" w:rsidRPr="00791956">
        <w:rPr>
          <w:rFonts w:asciiTheme="minorHAnsi" w:hAnsiTheme="minorHAnsi" w:cstheme="minorBidi"/>
        </w:rPr>
        <w:instrText xml:space="preserve"> REF _Ref521677783 \h </w:instrText>
      </w:r>
      <w:r w:rsidR="000524B9" w:rsidRPr="00791956">
        <w:rPr>
          <w:rFonts w:asciiTheme="minorHAnsi" w:hAnsiTheme="minorHAnsi" w:cstheme="minorBidi"/>
        </w:rPr>
      </w:r>
      <w:r w:rsidR="000524B9" w:rsidRPr="00791956">
        <w:rPr>
          <w:rFonts w:asciiTheme="minorHAnsi" w:hAnsiTheme="minorHAnsi" w:cstheme="minorBidi"/>
        </w:rPr>
        <w:fldChar w:fldCharType="separate"/>
      </w:r>
      <w:r w:rsidR="00DE40D4">
        <w:t xml:space="preserve">Graf </w:t>
      </w:r>
      <w:r w:rsidR="00DE40D4">
        <w:rPr>
          <w:noProof/>
        </w:rPr>
        <w:t>16</w:t>
      </w:r>
      <w:r w:rsidR="000524B9" w:rsidRPr="00791956">
        <w:rPr>
          <w:rFonts w:asciiTheme="minorHAnsi" w:hAnsiTheme="minorHAnsi" w:cstheme="minorBidi"/>
        </w:rPr>
        <w:fldChar w:fldCharType="end"/>
      </w:r>
      <w:r w:rsidRPr="00791956">
        <w:rPr>
          <w:rFonts w:asciiTheme="minorHAnsi" w:hAnsiTheme="minorHAnsi" w:cstheme="minorBidi"/>
        </w:rPr>
        <w:t xml:space="preserve">). </w:t>
      </w:r>
      <w:r w:rsidRPr="00BF4753">
        <w:rPr>
          <w:rFonts w:asciiTheme="minorHAnsi" w:hAnsiTheme="minorHAnsi" w:cstheme="minorBidi"/>
        </w:rPr>
        <w:t>Jeho výrobky jsou nezastupitelné pro zajištění spotřeby obyvatelstva a jako surovina pro další průmyslová odvětví a zemědělství (dvě třetiny ze své produkce vydá na zásobování ostatních sektorů zpracovatelského průmyslu</w:t>
      </w:r>
      <w:r>
        <w:rPr>
          <w:rFonts w:asciiTheme="minorHAnsi" w:hAnsiTheme="minorHAnsi" w:cstheme="minorBidi"/>
        </w:rPr>
        <w:t>)</w:t>
      </w:r>
      <w:r w:rsidRPr="00BF4753">
        <w:rPr>
          <w:rFonts w:asciiTheme="minorHAnsi" w:hAnsiTheme="minorHAnsi" w:cstheme="minorBidi"/>
        </w:rPr>
        <w:t xml:space="preserve">, další důležitá propojení existují se sektorem zemědělství a službami). </w:t>
      </w:r>
      <w:r w:rsidRPr="00BF4753">
        <w:rPr>
          <w:rFonts w:asciiTheme="minorHAnsi" w:hAnsiTheme="minorHAnsi"/>
        </w:rPr>
        <w:lastRenderedPageBreak/>
        <w:t>Toto</w:t>
      </w:r>
      <w:r w:rsidRPr="00BF4753">
        <w:rPr>
          <w:rFonts w:asciiTheme="minorHAnsi" w:hAnsiTheme="minorHAnsi" w:cstheme="minorBidi"/>
        </w:rPr>
        <w:t xml:space="preserve"> odvětví je náročné na kvalifikovanou pracovní sílu, na zajištění zdrojů neobnovitelných (fosilních) surovin (uhlí, ropa, zemní plyn, minerály a rudy), byť i postupné uplatňování obnovitelných zdrojů zde postupně nachází stále větší uplatnění, dále na disponibilitu vody a zajištění tepla a elektrické energie.</w:t>
      </w:r>
    </w:p>
    <w:p w14:paraId="546BBF5F" w14:textId="77777777" w:rsidR="00A252C2" w:rsidRDefault="00A252C2" w:rsidP="00A252C2">
      <w:pPr>
        <w:pStyle w:val="Bezmezer1"/>
        <w:spacing w:before="120" w:after="120" w:line="360" w:lineRule="auto"/>
        <w:jc w:val="both"/>
        <w:rPr>
          <w:rFonts w:asciiTheme="minorHAnsi" w:hAnsiTheme="minorHAnsi" w:cstheme="minorBidi"/>
        </w:rPr>
      </w:pPr>
      <w:r w:rsidRPr="00BF4753">
        <w:rPr>
          <w:rFonts w:asciiTheme="minorHAnsi" w:hAnsiTheme="minorHAnsi" w:cstheme="minorBidi"/>
        </w:rPr>
        <w:t>Chemický průmysl lze rozdělit na</w:t>
      </w:r>
      <w:r>
        <w:rPr>
          <w:rFonts w:asciiTheme="minorHAnsi" w:hAnsiTheme="minorHAnsi" w:cstheme="minorBidi"/>
        </w:rPr>
        <w:t>:</w:t>
      </w:r>
    </w:p>
    <w:p w14:paraId="4499905B" w14:textId="7C58567F" w:rsidR="00A252C2" w:rsidRDefault="00353331" w:rsidP="00543C1B">
      <w:pPr>
        <w:pStyle w:val="Bezmezer1"/>
        <w:numPr>
          <w:ilvl w:val="0"/>
          <w:numId w:val="94"/>
        </w:numPr>
        <w:spacing w:before="120" w:after="120" w:line="360" w:lineRule="auto"/>
        <w:jc w:val="both"/>
        <w:rPr>
          <w:rFonts w:asciiTheme="minorHAnsi" w:hAnsiTheme="minorHAnsi" w:cstheme="minorBidi"/>
        </w:rPr>
      </w:pPr>
      <w:r>
        <w:rPr>
          <w:rFonts w:asciiTheme="minorHAnsi" w:hAnsiTheme="minorHAnsi" w:cstheme="minorBidi"/>
          <w:b/>
        </w:rPr>
        <w:t xml:space="preserve">CZ </w:t>
      </w:r>
      <w:r w:rsidR="00A252C2" w:rsidRPr="00772854">
        <w:rPr>
          <w:rFonts w:asciiTheme="minorHAnsi" w:hAnsiTheme="minorHAnsi" w:cstheme="minorBidi"/>
          <w:b/>
        </w:rPr>
        <w:t>NACE 19.2</w:t>
      </w:r>
      <w:r w:rsidR="00A252C2">
        <w:rPr>
          <w:rFonts w:asciiTheme="minorHAnsi" w:hAnsiTheme="minorHAnsi" w:cstheme="minorBidi"/>
        </w:rPr>
        <w:t xml:space="preserve"> Výroba rafinovaných ropných produktů (zpracování ropy</w:t>
      </w:r>
      <w:r w:rsidR="00A252C2" w:rsidRPr="00BF4753">
        <w:rPr>
          <w:rFonts w:asciiTheme="minorHAnsi" w:hAnsiTheme="minorHAnsi" w:cstheme="minorBidi"/>
        </w:rPr>
        <w:t>)</w:t>
      </w:r>
      <w:r w:rsidR="00A252C2">
        <w:rPr>
          <w:rFonts w:asciiTheme="minorHAnsi" w:hAnsiTheme="minorHAnsi" w:cstheme="minorBidi"/>
        </w:rPr>
        <w:t>,</w:t>
      </w:r>
    </w:p>
    <w:p w14:paraId="5243BBAA" w14:textId="3AEE5C1B" w:rsidR="00A252C2" w:rsidRPr="007603CB" w:rsidRDefault="00A252C2" w:rsidP="00543C1B">
      <w:pPr>
        <w:pStyle w:val="Bezmezer1"/>
        <w:numPr>
          <w:ilvl w:val="0"/>
          <w:numId w:val="94"/>
        </w:numPr>
        <w:spacing w:before="120" w:after="120" w:line="360" w:lineRule="auto"/>
        <w:jc w:val="both"/>
        <w:rPr>
          <w:rFonts w:asciiTheme="minorHAnsi" w:hAnsiTheme="minorHAnsi" w:cstheme="minorBidi"/>
        </w:rPr>
      </w:pPr>
      <w:r w:rsidRPr="00772854">
        <w:rPr>
          <w:rFonts w:asciiTheme="minorHAnsi" w:hAnsiTheme="minorHAnsi" w:cstheme="minorBidi"/>
          <w:b/>
        </w:rPr>
        <w:t>CZ</w:t>
      </w:r>
      <w:r w:rsidR="00353331">
        <w:rPr>
          <w:rFonts w:asciiTheme="minorHAnsi" w:hAnsiTheme="minorHAnsi" w:cstheme="minorBidi"/>
          <w:b/>
        </w:rPr>
        <w:t xml:space="preserve"> </w:t>
      </w:r>
      <w:r w:rsidRPr="00772854">
        <w:rPr>
          <w:rFonts w:asciiTheme="minorHAnsi" w:hAnsiTheme="minorHAnsi" w:cstheme="minorBidi"/>
          <w:b/>
        </w:rPr>
        <w:t>NACE 20</w:t>
      </w:r>
      <w:r>
        <w:rPr>
          <w:rFonts w:asciiTheme="minorHAnsi" w:hAnsiTheme="minorHAnsi" w:cstheme="minorBidi"/>
        </w:rPr>
        <w:t xml:space="preserve"> Výroba chemických látek a chemických přípravků (z</w:t>
      </w:r>
      <w:r w:rsidRPr="00BF4753">
        <w:rPr>
          <w:rFonts w:asciiTheme="minorHAnsi" w:hAnsiTheme="minorHAnsi" w:cstheme="minorBidi"/>
        </w:rPr>
        <w:t>á</w:t>
      </w:r>
      <w:r>
        <w:rPr>
          <w:rFonts w:asciiTheme="minorHAnsi" w:hAnsiTheme="minorHAnsi" w:cstheme="minorBidi"/>
        </w:rPr>
        <w:t>kladní chemie</w:t>
      </w:r>
      <w:r w:rsidRPr="00BF4753">
        <w:rPr>
          <w:rFonts w:asciiTheme="minorHAnsi" w:hAnsiTheme="minorHAnsi" w:cstheme="minorBidi"/>
        </w:rPr>
        <w:t>)</w:t>
      </w:r>
      <w:r>
        <w:rPr>
          <w:rFonts w:asciiTheme="minorHAnsi" w:hAnsiTheme="minorHAnsi" w:cstheme="minorBidi"/>
        </w:rPr>
        <w:t xml:space="preserve">, </w:t>
      </w:r>
    </w:p>
    <w:p w14:paraId="0B8342FA" w14:textId="2F51BD1E" w:rsidR="00A252C2" w:rsidRPr="007603CB" w:rsidRDefault="00A252C2" w:rsidP="00543C1B">
      <w:pPr>
        <w:pStyle w:val="Bezmezer1"/>
        <w:numPr>
          <w:ilvl w:val="0"/>
          <w:numId w:val="94"/>
        </w:numPr>
        <w:spacing w:before="120" w:after="120" w:line="360" w:lineRule="auto"/>
        <w:jc w:val="both"/>
        <w:rPr>
          <w:rFonts w:asciiTheme="minorHAnsi" w:hAnsiTheme="minorHAnsi" w:cstheme="minorBidi"/>
        </w:rPr>
      </w:pPr>
      <w:r w:rsidRPr="007603CB">
        <w:rPr>
          <w:rFonts w:asciiTheme="minorHAnsi" w:hAnsiTheme="minorHAnsi" w:cstheme="minorBidi"/>
          <w:b/>
        </w:rPr>
        <w:t>CZ</w:t>
      </w:r>
      <w:r w:rsidR="00353331">
        <w:rPr>
          <w:rFonts w:asciiTheme="minorHAnsi" w:hAnsiTheme="minorHAnsi" w:cstheme="minorBidi"/>
          <w:b/>
        </w:rPr>
        <w:t xml:space="preserve"> </w:t>
      </w:r>
      <w:r w:rsidRPr="007603CB">
        <w:rPr>
          <w:rFonts w:asciiTheme="minorHAnsi" w:hAnsiTheme="minorHAnsi" w:cstheme="minorBidi"/>
          <w:b/>
        </w:rPr>
        <w:t xml:space="preserve">NACE </w:t>
      </w:r>
      <w:r>
        <w:t> </w:t>
      </w:r>
      <w:r w:rsidRPr="007603CB">
        <w:rPr>
          <w:b/>
        </w:rPr>
        <w:t>20.15</w:t>
      </w:r>
      <w:r w:rsidRPr="001F11E6">
        <w:t xml:space="preserve"> Výroba hnojiv a dusíkatých sl</w:t>
      </w:r>
      <w:r>
        <w:t xml:space="preserve">oučenin; obsaženo jako hlavní relevantní CZ – NACE v aplikačním odvětví </w:t>
      </w:r>
      <w:r w:rsidRPr="00772854">
        <w:t>Udržitelné zemědělství a</w:t>
      </w:r>
      <w:r>
        <w:t> </w:t>
      </w:r>
      <w:r w:rsidRPr="00772854">
        <w:t>lesnic</w:t>
      </w:r>
      <w:r w:rsidRPr="00417F84">
        <w:t xml:space="preserve">tví (NIP VI. - </w:t>
      </w:r>
      <w:r w:rsidR="00417F84" w:rsidRPr="00417F84">
        <w:t>Udržitelné zemědělství a environmentální aplikační odvětví</w:t>
      </w:r>
      <w:r w:rsidRPr="00417F84">
        <w:t>),</w:t>
      </w:r>
    </w:p>
    <w:p w14:paraId="45AD189B" w14:textId="55F698CF" w:rsidR="00A252C2" w:rsidRPr="007603CB" w:rsidRDefault="00A252C2" w:rsidP="00543C1B">
      <w:pPr>
        <w:pStyle w:val="Bezmezer1"/>
        <w:numPr>
          <w:ilvl w:val="0"/>
          <w:numId w:val="94"/>
        </w:numPr>
        <w:spacing w:before="120" w:after="120" w:line="360" w:lineRule="auto"/>
        <w:jc w:val="both"/>
        <w:rPr>
          <w:rFonts w:asciiTheme="minorHAnsi" w:hAnsiTheme="minorHAnsi" w:cstheme="minorBidi"/>
        </w:rPr>
      </w:pPr>
      <w:r>
        <w:rPr>
          <w:b/>
        </w:rPr>
        <w:t xml:space="preserve">CZ NACE </w:t>
      </w:r>
      <w:r w:rsidRPr="007603CB">
        <w:rPr>
          <w:b/>
        </w:rPr>
        <w:t>20.2</w:t>
      </w:r>
      <w:r>
        <w:t xml:space="preserve"> Výroba pesticidů a jiných agrochemických přípravků; obsaženo jako hlavní relevantní CZ NACE v aplikačním odvětví </w:t>
      </w:r>
      <w:r w:rsidRPr="00772854">
        <w:t>Udržitelné zemědělství a</w:t>
      </w:r>
      <w:r>
        <w:t> </w:t>
      </w:r>
      <w:r w:rsidRPr="00772854">
        <w:t>lesnictví</w:t>
      </w:r>
      <w:r>
        <w:t xml:space="preserve"> (NIP VI. - </w:t>
      </w:r>
      <w:r w:rsidR="00417F84" w:rsidRPr="00417F84">
        <w:t>Udržitelné zemědělství a environmentální aplikační odvětví</w:t>
      </w:r>
      <w:r>
        <w:t xml:space="preserve">), </w:t>
      </w:r>
    </w:p>
    <w:p w14:paraId="1C95DD75" w14:textId="4F273591" w:rsidR="00A252C2" w:rsidRPr="000A6863" w:rsidRDefault="00A252C2" w:rsidP="00543C1B">
      <w:pPr>
        <w:pStyle w:val="Bezmezer1"/>
        <w:numPr>
          <w:ilvl w:val="0"/>
          <w:numId w:val="94"/>
        </w:numPr>
        <w:spacing w:before="120" w:after="120" w:line="360" w:lineRule="auto"/>
        <w:jc w:val="both"/>
        <w:rPr>
          <w:rFonts w:asciiTheme="minorHAnsi" w:hAnsiTheme="minorHAnsi" w:cstheme="minorBidi"/>
        </w:rPr>
      </w:pPr>
      <w:r>
        <w:rPr>
          <w:rFonts w:asciiTheme="minorHAnsi" w:hAnsiTheme="minorHAnsi" w:cstheme="minorBidi"/>
          <w:b/>
        </w:rPr>
        <w:t xml:space="preserve">CZ NACE 21 </w:t>
      </w:r>
      <w:r>
        <w:rPr>
          <w:rFonts w:asciiTheme="minorHAnsi" w:hAnsiTheme="minorHAnsi" w:cstheme="minorBidi"/>
        </w:rPr>
        <w:t>Výroba základních farmaceutických výrobků a farmaceutických přípravků (</w:t>
      </w:r>
      <w:r w:rsidRPr="00BF4753">
        <w:rPr>
          <w:rFonts w:asciiTheme="minorHAnsi" w:hAnsiTheme="minorHAnsi" w:cstheme="minorBidi"/>
        </w:rPr>
        <w:t>farmaceutický průmysl</w:t>
      </w:r>
      <w:r>
        <w:rPr>
          <w:rFonts w:asciiTheme="minorHAnsi" w:hAnsiTheme="minorHAnsi" w:cstheme="minorBidi"/>
        </w:rPr>
        <w:t xml:space="preserve">); </w:t>
      </w:r>
      <w:r>
        <w:t xml:space="preserve">obsaženo jako hlavní relevantní CZ – NACE v aplikačním odvětví </w:t>
      </w:r>
      <w:r w:rsidRPr="007603CB">
        <w:t>Léčiva, biotechnologie, prostředky zdravotnické techniky a Life Sciences (NIP IV.</w:t>
      </w:r>
      <w:r>
        <w:t xml:space="preserve"> – Péče o zdraví, pokročilá medicína).</w:t>
      </w:r>
    </w:p>
    <w:p w14:paraId="3C5DA19A" w14:textId="62F3ED42" w:rsidR="00A252C2" w:rsidRDefault="00A252C2" w:rsidP="00543C1B">
      <w:pPr>
        <w:pStyle w:val="Bezmezer1"/>
        <w:numPr>
          <w:ilvl w:val="0"/>
          <w:numId w:val="94"/>
        </w:numPr>
        <w:spacing w:before="120" w:after="120" w:line="360" w:lineRule="auto"/>
        <w:jc w:val="both"/>
        <w:rPr>
          <w:rFonts w:asciiTheme="minorHAnsi" w:hAnsiTheme="minorHAnsi" w:cstheme="minorBidi"/>
        </w:rPr>
      </w:pPr>
      <w:r w:rsidRPr="000A6863">
        <w:rPr>
          <w:rFonts w:asciiTheme="minorHAnsi" w:hAnsiTheme="minorHAnsi" w:cstheme="minorBidi"/>
          <w:b/>
        </w:rPr>
        <w:t xml:space="preserve">CZ NACE 22 </w:t>
      </w:r>
      <w:r w:rsidRPr="000A6863">
        <w:rPr>
          <w:rFonts w:asciiTheme="minorHAnsi" w:hAnsiTheme="minorHAnsi" w:cstheme="minorBidi"/>
        </w:rPr>
        <w:t>Výroba pryžových a plastových výrobků (gumárenský a plastikářský průmysl</w:t>
      </w:r>
      <w:r>
        <w:rPr>
          <w:rFonts w:asciiTheme="minorHAnsi" w:hAnsiTheme="minorHAnsi" w:cstheme="minorBidi"/>
        </w:rPr>
        <w:t>)</w:t>
      </w:r>
      <w:r w:rsidRPr="000A6863">
        <w:rPr>
          <w:rFonts w:asciiTheme="minorHAnsi" w:hAnsiTheme="minorHAnsi" w:cstheme="minorBidi"/>
        </w:rPr>
        <w:t xml:space="preserve">. </w:t>
      </w:r>
    </w:p>
    <w:p w14:paraId="6F0D7173" w14:textId="77777777" w:rsidR="00A252C2" w:rsidRPr="000A6863" w:rsidRDefault="00A252C2" w:rsidP="001109D9">
      <w:pPr>
        <w:pStyle w:val="Bezmezer1"/>
        <w:spacing w:line="360" w:lineRule="auto"/>
        <w:ind w:firstLine="709"/>
        <w:jc w:val="both"/>
        <w:rPr>
          <w:rFonts w:asciiTheme="minorHAnsi" w:hAnsiTheme="minorHAnsi" w:cstheme="minorBidi"/>
        </w:rPr>
      </w:pPr>
      <w:r w:rsidRPr="000A6863">
        <w:rPr>
          <w:rFonts w:asciiTheme="minorHAnsi" w:hAnsiTheme="minorHAnsi" w:cstheme="minorBidi"/>
        </w:rPr>
        <w:t>Největší podíl na celkových tržbách má výroba základních chemických látek (64 %). Chemický průmysl se podílí na zaměstnanosti, výsledku hospodaření a</w:t>
      </w:r>
      <w:r>
        <w:rPr>
          <w:rFonts w:asciiTheme="minorHAnsi" w:hAnsiTheme="minorHAnsi" w:cstheme="minorBidi"/>
        </w:rPr>
        <w:t> </w:t>
      </w:r>
      <w:r w:rsidRPr="000A6863">
        <w:rPr>
          <w:rFonts w:asciiTheme="minorHAnsi" w:hAnsiTheme="minorHAnsi" w:cstheme="minorBidi"/>
        </w:rPr>
        <w:t xml:space="preserve">dalších významných ekonomických charakteristikách v českém zpracovatelském průmyslu ve výši 12 – 15 %. Přidaná hodnota na zaměstnance a průměrná měsíční mzda zaměstnance je u chemických podniků vyšší než průměr zpracovatelského průmyslu. Váha chemického průmyslu ČR na celkové průmyslové výrobě odpovídá významu odvětví v rozvinutých průmyslových zemích, jako je Německo a Francie, a v produkci na obyvatele je na špičce. </w:t>
      </w:r>
    </w:p>
    <w:p w14:paraId="71C6472E" w14:textId="469AB63E" w:rsidR="00A252C2" w:rsidRPr="00BF4753" w:rsidRDefault="00A252C2" w:rsidP="001109D9">
      <w:pPr>
        <w:pStyle w:val="Bezmezer1"/>
        <w:spacing w:line="360" w:lineRule="auto"/>
        <w:ind w:firstLine="708"/>
        <w:jc w:val="both"/>
        <w:rPr>
          <w:rFonts w:asciiTheme="minorHAnsi" w:hAnsiTheme="minorHAnsi" w:cstheme="minorBidi"/>
        </w:rPr>
      </w:pPr>
      <w:r w:rsidRPr="00BF4753">
        <w:rPr>
          <w:rFonts w:asciiTheme="minorHAnsi" w:hAnsiTheme="minorHAnsi" w:cstheme="minorBidi"/>
        </w:rPr>
        <w:t xml:space="preserve">Chemický průmysl se potýká s </w:t>
      </w:r>
      <w:r w:rsidRPr="00BF4753">
        <w:rPr>
          <w:rFonts w:asciiTheme="minorHAnsi" w:hAnsiTheme="minorHAnsi"/>
        </w:rPr>
        <w:t>výzvami</w:t>
      </w:r>
      <w:r w:rsidRPr="00BF4753">
        <w:rPr>
          <w:rFonts w:asciiTheme="minorHAnsi" w:hAnsiTheme="minorHAnsi" w:cstheme="minorBidi"/>
        </w:rPr>
        <w:t>, jako jsou zvýšená mezinárodní konkurence, zvyšování cen jednotlivých forem energie a vstupních surovin, je vystaven tlaku na účinnější využívání zdrojů, musí reagovat na nové předpisy, zákony a potřebu inovací. Jako energeticky náročné odvětví je chemický průmysl závislý na hospodářské politice v oblasti změn klimatu a energetiky. Navíc je chemický sektor velmi regulovaný z důvodu ochrany zdraví svých zaměstnanců, zdraví konzumentů a</w:t>
      </w:r>
      <w:r>
        <w:rPr>
          <w:rFonts w:asciiTheme="minorHAnsi" w:hAnsiTheme="minorHAnsi" w:cstheme="minorBidi"/>
        </w:rPr>
        <w:t> </w:t>
      </w:r>
      <w:r w:rsidRPr="00BF4753">
        <w:rPr>
          <w:rFonts w:asciiTheme="minorHAnsi" w:hAnsiTheme="minorHAnsi" w:cstheme="minorBidi"/>
        </w:rPr>
        <w:t>ochrany životního prostředí.</w:t>
      </w:r>
    </w:p>
    <w:p w14:paraId="5EA59A08" w14:textId="77777777" w:rsidR="00A252C2" w:rsidRPr="00BF4753" w:rsidRDefault="00A252C2" w:rsidP="001109D9">
      <w:pPr>
        <w:pStyle w:val="Bezmezer1"/>
        <w:spacing w:line="360" w:lineRule="auto"/>
        <w:ind w:firstLine="708"/>
        <w:jc w:val="both"/>
        <w:rPr>
          <w:rFonts w:asciiTheme="minorHAnsi" w:hAnsiTheme="minorHAnsi" w:cstheme="minorBidi"/>
        </w:rPr>
      </w:pPr>
      <w:r w:rsidRPr="00BF4753">
        <w:rPr>
          <w:rFonts w:asciiTheme="minorHAnsi" w:hAnsiTheme="minorHAnsi" w:cstheme="minorBidi"/>
        </w:rPr>
        <w:t xml:space="preserve">Na rozdíl od jiných středoevropských zemí si zachoval svou váhu v národním hospodářství, podařilo se mu díky rozvojovým investicím zajistit konkurence-schopnost vůči evropským, ale i asijským </w:t>
      </w:r>
      <w:r w:rsidRPr="00BF4753">
        <w:rPr>
          <w:rFonts w:asciiTheme="minorHAnsi" w:hAnsiTheme="minorHAnsi" w:cstheme="minorBidi"/>
        </w:rPr>
        <w:lastRenderedPageBreak/>
        <w:t xml:space="preserve">výrobcům, byť bilance zahraničního obchodu zůstává </w:t>
      </w:r>
      <w:r w:rsidRPr="00BF4753">
        <w:rPr>
          <w:rFonts w:asciiTheme="minorHAnsi" w:hAnsiTheme="minorHAnsi"/>
        </w:rPr>
        <w:t>dlouhodobě</w:t>
      </w:r>
      <w:r w:rsidRPr="00BF4753">
        <w:rPr>
          <w:rFonts w:asciiTheme="minorHAnsi" w:hAnsiTheme="minorHAnsi" w:cstheme="minorBidi"/>
        </w:rPr>
        <w:t xml:space="preserve"> negativní. Přes vysoký objem dovozů chemických výrobků do ČR však chemická produkce českého původu významně přispívá i</w:t>
      </w:r>
      <w:r>
        <w:rPr>
          <w:rFonts w:asciiTheme="minorHAnsi" w:hAnsiTheme="minorHAnsi" w:cstheme="minorBidi"/>
        </w:rPr>
        <w:t> </w:t>
      </w:r>
      <w:r w:rsidRPr="00BF4753">
        <w:rPr>
          <w:rFonts w:asciiTheme="minorHAnsi" w:hAnsiTheme="minorHAnsi" w:cstheme="minorBidi"/>
        </w:rPr>
        <w:t>k exportnímu potenciálu ČR. Český chemický průmysl zaujímá 1 – 2 % podíl tržeb chemického průmyslu EU a ve středoevropském regionu zastává významné postavení.</w:t>
      </w:r>
    </w:p>
    <w:p w14:paraId="12131B85" w14:textId="77777777" w:rsidR="00A252C2" w:rsidRPr="00BF4753" w:rsidRDefault="00A252C2" w:rsidP="001109D9">
      <w:pPr>
        <w:pStyle w:val="Bezmezer1"/>
        <w:spacing w:line="360" w:lineRule="auto"/>
        <w:ind w:firstLine="708"/>
        <w:jc w:val="both"/>
        <w:rPr>
          <w:rFonts w:asciiTheme="minorHAnsi" w:hAnsiTheme="minorHAnsi" w:cstheme="minorBidi"/>
        </w:rPr>
      </w:pPr>
      <w:r w:rsidRPr="00BF4753">
        <w:rPr>
          <w:rFonts w:asciiTheme="minorHAnsi" w:hAnsiTheme="minorHAnsi" w:cstheme="minorBidi"/>
        </w:rPr>
        <w:t>Kapacity českého chemického průmyslu byly zcela privatizovány (státem zůstaly vlastněny pouze logistické společnosti zajišťující dopravu ropy do ČR a logistiku pohonných hmot, příp. některých rafinérských polotovarů v rámci ČR), do významné části tohoto odvětví vstoupil zahraniční kapitál.</w:t>
      </w:r>
    </w:p>
    <w:p w14:paraId="02138567" w14:textId="77777777" w:rsidR="00A252C2" w:rsidRPr="00BF4753" w:rsidRDefault="00A252C2" w:rsidP="001109D9">
      <w:pPr>
        <w:pStyle w:val="Bezmezer1"/>
        <w:spacing w:line="360" w:lineRule="auto"/>
        <w:ind w:firstLine="360"/>
        <w:jc w:val="both"/>
        <w:rPr>
          <w:rFonts w:asciiTheme="minorHAnsi" w:hAnsiTheme="minorHAnsi" w:cstheme="minorBidi"/>
        </w:rPr>
      </w:pPr>
      <w:r w:rsidRPr="00BF4753">
        <w:rPr>
          <w:rFonts w:asciiTheme="minorHAnsi" w:hAnsiTheme="minorHAnsi" w:cstheme="minorBidi"/>
        </w:rPr>
        <w:t xml:space="preserve">Česká chemie, chemické a biochemické inženýrství se v badatelském výzkumu plně integruje do současných trendů rozvíjejících se v průmyslově nejvyspělejších zemích, konkrétně v oblastech např. </w:t>
      </w:r>
    </w:p>
    <w:p w14:paraId="41F169DB" w14:textId="77777777" w:rsidR="00A252C2" w:rsidRPr="00C833C0" w:rsidRDefault="00A252C2" w:rsidP="00543C1B">
      <w:pPr>
        <w:numPr>
          <w:ilvl w:val="0"/>
          <w:numId w:val="93"/>
        </w:numPr>
        <w:spacing w:before="120" w:after="120" w:line="360" w:lineRule="auto"/>
        <w:jc w:val="both"/>
      </w:pPr>
      <w:r w:rsidRPr="00C833C0">
        <w:t>mikroreaktorů a mikrobioreaktorů s příslušnou analytickou technikou “laboratoř na čipu”,</w:t>
      </w:r>
    </w:p>
    <w:p w14:paraId="6576BB31" w14:textId="77777777" w:rsidR="00A252C2" w:rsidRPr="00C833C0" w:rsidRDefault="00A252C2" w:rsidP="00543C1B">
      <w:pPr>
        <w:numPr>
          <w:ilvl w:val="0"/>
          <w:numId w:val="93"/>
        </w:numPr>
        <w:spacing w:before="120" w:after="120" w:line="360" w:lineRule="auto"/>
        <w:jc w:val="both"/>
      </w:pPr>
      <w:r w:rsidRPr="00C833C0">
        <w:t>pokročilých materiálů včetně nových materiálů pro uchování energie a nové typy vysoce kapacitních baterií,</w:t>
      </w:r>
    </w:p>
    <w:p w14:paraId="16F84655" w14:textId="77777777" w:rsidR="00A252C2" w:rsidRPr="00C833C0" w:rsidRDefault="00A252C2" w:rsidP="00543C1B">
      <w:pPr>
        <w:numPr>
          <w:ilvl w:val="0"/>
          <w:numId w:val="93"/>
        </w:numPr>
        <w:spacing w:before="120" w:after="120" w:line="360" w:lineRule="auto"/>
        <w:jc w:val="both"/>
      </w:pPr>
      <w:r w:rsidRPr="00C833C0">
        <w:t xml:space="preserve">3 D </w:t>
      </w:r>
      <w:r w:rsidRPr="00C833C0">
        <w:rPr>
          <w:rFonts w:ascii="Calibri" w:eastAsia="Calibri" w:hAnsi="Calibri" w:cs="Times New Roman"/>
        </w:rPr>
        <w:t>chemických</w:t>
      </w:r>
      <w:r w:rsidRPr="00C833C0">
        <w:t xml:space="preserve"> syntéz (“tisk”) produktů jinak obtížně ziskatelných vzhledem ke komplikovaným jejich syntézám a řízením procesů,</w:t>
      </w:r>
    </w:p>
    <w:p w14:paraId="4DAEE433" w14:textId="77777777" w:rsidR="00A252C2" w:rsidRPr="00C833C0" w:rsidRDefault="00A252C2" w:rsidP="00543C1B">
      <w:pPr>
        <w:numPr>
          <w:ilvl w:val="0"/>
          <w:numId w:val="93"/>
        </w:numPr>
        <w:spacing w:before="120" w:after="120" w:line="360" w:lineRule="auto"/>
        <w:jc w:val="both"/>
      </w:pPr>
      <w:r w:rsidRPr="00C833C0">
        <w:rPr>
          <w:rFonts w:ascii="Calibri" w:eastAsia="Calibri" w:hAnsi="Calibri" w:cs="Times New Roman"/>
        </w:rPr>
        <w:t>fotoatalytický</w:t>
      </w:r>
      <w:r w:rsidRPr="00C833C0">
        <w:t xml:space="preserve"> rozklad vody pro generaci vodíku jako alternativní energie a nové typy fotovoltaických panelů,</w:t>
      </w:r>
    </w:p>
    <w:p w14:paraId="497550A5" w14:textId="77777777" w:rsidR="00A252C2" w:rsidRPr="00C833C0" w:rsidRDefault="00A252C2" w:rsidP="00543C1B">
      <w:pPr>
        <w:numPr>
          <w:ilvl w:val="0"/>
          <w:numId w:val="93"/>
        </w:numPr>
        <w:spacing w:before="120" w:after="120" w:line="360" w:lineRule="auto"/>
        <w:jc w:val="both"/>
      </w:pPr>
      <w:r w:rsidRPr="00C833C0">
        <w:t>procesy zhodnocení odpadní biomasy pro generaci alternativních zdrojů energie (včetně katalytické pyrolýzy pro generaci biomolekul a syntézních plynů a hydrodeoxidace pro přímou generaci uhlovodíků jako paliv),</w:t>
      </w:r>
    </w:p>
    <w:p w14:paraId="34A394CC" w14:textId="77777777" w:rsidR="00A252C2" w:rsidRPr="00C833C0" w:rsidRDefault="00A252C2" w:rsidP="00543C1B">
      <w:pPr>
        <w:numPr>
          <w:ilvl w:val="0"/>
          <w:numId w:val="93"/>
        </w:numPr>
        <w:spacing w:before="120" w:after="120" w:line="360" w:lineRule="auto"/>
        <w:jc w:val="both"/>
      </w:pPr>
      <w:r w:rsidRPr="00C833C0">
        <w:rPr>
          <w:rFonts w:ascii="Calibri" w:eastAsia="Calibri" w:hAnsi="Calibri" w:cs="Times New Roman"/>
        </w:rPr>
        <w:t>biodegradabilnich</w:t>
      </w:r>
      <w:r w:rsidRPr="00C833C0">
        <w:t xml:space="preserve"> plastů a aerogelů a supersorbentů s použitím v environmentální chemii pro záchyt toxických polutantů ale i žádaných složek jako drahých kovů ale zejména v regenerativní medicíně pro tvorbu poškozených orgánů (svalů, kostí, kůže, tkání),</w:t>
      </w:r>
    </w:p>
    <w:p w14:paraId="02901B33" w14:textId="77777777" w:rsidR="00A252C2" w:rsidRPr="00C833C0" w:rsidRDefault="00A252C2" w:rsidP="00543C1B">
      <w:pPr>
        <w:numPr>
          <w:ilvl w:val="0"/>
          <w:numId w:val="93"/>
        </w:numPr>
        <w:spacing w:before="120" w:after="120" w:line="360" w:lineRule="auto"/>
        <w:jc w:val="both"/>
      </w:pPr>
      <w:r w:rsidRPr="00C833C0">
        <w:t xml:space="preserve">dekontaminace mikropolutantů, zejména hormonů, farmak a prostředků osobní péče </w:t>
      </w:r>
      <w:r w:rsidRPr="00C833C0">
        <w:rPr>
          <w:rFonts w:ascii="Calibri" w:eastAsia="Calibri" w:hAnsi="Calibri" w:cs="Times New Roman"/>
        </w:rPr>
        <w:t>ve</w:t>
      </w:r>
      <w:r w:rsidRPr="00C833C0">
        <w:t xml:space="preserve"> vodách pro ochranu kvality pitné vody, což je v současnosti jedním z prioritních zdravotních problémů pro společnost.</w:t>
      </w:r>
    </w:p>
    <w:p w14:paraId="7F8D05F4" w14:textId="44A716D4" w:rsidR="00A252C2" w:rsidRDefault="00A252C2" w:rsidP="00E81E72">
      <w:pPr>
        <w:pStyle w:val="Bezmezer1"/>
        <w:spacing w:before="120" w:after="120" w:line="360" w:lineRule="auto"/>
        <w:ind w:firstLine="709"/>
        <w:jc w:val="both"/>
        <w:rPr>
          <w:rFonts w:asciiTheme="minorHAnsi" w:hAnsiTheme="minorHAnsi" w:cstheme="minorBidi"/>
        </w:rPr>
      </w:pPr>
      <w:r w:rsidRPr="00C833C0">
        <w:rPr>
          <w:rFonts w:asciiTheme="minorHAnsi" w:hAnsiTheme="minorHAnsi" w:cstheme="minorBidi"/>
        </w:rPr>
        <w:t>Velký potenciál českého chemického průmyslu vidíme v možnostech vyvíjet a vyrábět nové pokročilé materiály s vysokou přidanou hodnotou (např. nanomateriály, materiály pro AM a 3D tisk, materiály pro úschovu energie, materiály pro medicínské využití, kompozitní konstrukční materiály a</w:t>
      </w:r>
      <w:r w:rsidR="00C833C0">
        <w:rPr>
          <w:rFonts w:asciiTheme="minorHAnsi" w:hAnsiTheme="minorHAnsi" w:cstheme="minorBidi"/>
        </w:rPr>
        <w:t> </w:t>
      </w:r>
      <w:r w:rsidRPr="00C833C0">
        <w:rPr>
          <w:rFonts w:asciiTheme="minorHAnsi" w:hAnsiTheme="minorHAnsi" w:cstheme="minorBidi"/>
        </w:rPr>
        <w:t>další chemické speciality) vzhledem k menším kapacitám stávajících hlavních výrobních linek ve srovnání se světem a vzhledem k rozvoji zejména automobilového a elektrotechnického průmyslu v</w:t>
      </w:r>
      <w:r w:rsidR="00C833C0">
        <w:rPr>
          <w:rFonts w:asciiTheme="minorHAnsi" w:hAnsiTheme="minorHAnsi" w:cstheme="minorBidi"/>
        </w:rPr>
        <w:t> </w:t>
      </w:r>
      <w:r w:rsidRPr="00C833C0">
        <w:rPr>
          <w:rFonts w:asciiTheme="minorHAnsi" w:hAnsiTheme="minorHAnsi" w:cstheme="minorBidi"/>
        </w:rPr>
        <w:t>ČR.</w:t>
      </w:r>
    </w:p>
    <w:p w14:paraId="07E5E3A5" w14:textId="77777777" w:rsidR="00A311F5" w:rsidRDefault="00A311F5" w:rsidP="00580DE3">
      <w:pPr>
        <w:pStyle w:val="Titulek"/>
      </w:pPr>
      <w:bookmarkStart w:id="129" w:name="_Ref521677783"/>
    </w:p>
    <w:p w14:paraId="195AE698" w14:textId="77777777" w:rsidR="00A311F5" w:rsidRDefault="00A311F5" w:rsidP="00580DE3">
      <w:pPr>
        <w:pStyle w:val="Titulek"/>
      </w:pPr>
    </w:p>
    <w:p w14:paraId="404CAE15" w14:textId="6AADFD1A" w:rsidR="00A252C2" w:rsidRDefault="007C4662" w:rsidP="00580DE3">
      <w:pPr>
        <w:pStyle w:val="Titulek"/>
      </w:pPr>
      <w:bookmarkStart w:id="130" w:name="_Toc525716318"/>
      <w:r>
        <w:lastRenderedPageBreak/>
        <w:t xml:space="preserve">Graf </w:t>
      </w:r>
      <w:r w:rsidR="009D08F2">
        <w:rPr>
          <w:noProof/>
        </w:rPr>
        <w:fldChar w:fldCharType="begin"/>
      </w:r>
      <w:r w:rsidR="009D08F2">
        <w:rPr>
          <w:noProof/>
        </w:rPr>
        <w:instrText xml:space="preserve"> SEQ Graf \* ARABIC </w:instrText>
      </w:r>
      <w:r w:rsidR="009D08F2">
        <w:rPr>
          <w:noProof/>
        </w:rPr>
        <w:fldChar w:fldCharType="separate"/>
      </w:r>
      <w:r w:rsidR="00DE40D4">
        <w:rPr>
          <w:noProof/>
        </w:rPr>
        <w:t>16</w:t>
      </w:r>
      <w:r w:rsidR="009D08F2">
        <w:rPr>
          <w:noProof/>
        </w:rPr>
        <w:fldChar w:fldCharType="end"/>
      </w:r>
      <w:bookmarkEnd w:id="129"/>
      <w:r w:rsidR="00264AAB">
        <w:t xml:space="preserve">: </w:t>
      </w:r>
      <w:r w:rsidR="00A252C2">
        <w:t>Podíl tržeb podle CZ</w:t>
      </w:r>
      <w:r w:rsidR="002616DA">
        <w:t xml:space="preserve"> </w:t>
      </w:r>
      <w:r w:rsidR="00A252C2">
        <w:t>NACE 2015 (zpracovatelský průmysl = 100)</w:t>
      </w:r>
      <w:bookmarkEnd w:id="130"/>
    </w:p>
    <w:p w14:paraId="2AC9B2C6" w14:textId="77777777" w:rsidR="00E81E72" w:rsidRDefault="00117C76" w:rsidP="00E81E72">
      <w:pPr>
        <w:jc w:val="center"/>
        <w:rPr>
          <w:i/>
          <w:sz w:val="18"/>
          <w:szCs w:val="18"/>
        </w:rPr>
      </w:pPr>
      <w:r>
        <w:rPr>
          <w:noProof/>
          <w:lang w:eastAsia="cs-CZ"/>
        </w:rPr>
        <w:drawing>
          <wp:inline distT="0" distB="0" distL="0" distR="0" wp14:anchorId="71F5EA02" wp14:editId="227A3099">
            <wp:extent cx="3224494" cy="256032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Z NACE 2015xx.jpg"/>
                    <pic:cNvPicPr/>
                  </pic:nvPicPr>
                  <pic:blipFill>
                    <a:blip r:embed="rId36">
                      <a:extLst>
                        <a:ext uri="{28A0092B-C50C-407E-A947-70E740481C1C}">
                          <a14:useLocalDpi xmlns:a14="http://schemas.microsoft.com/office/drawing/2010/main" val="0"/>
                        </a:ext>
                      </a:extLst>
                    </a:blip>
                    <a:stretch>
                      <a:fillRect/>
                    </a:stretch>
                  </pic:blipFill>
                  <pic:spPr>
                    <a:xfrm>
                      <a:off x="0" y="0"/>
                      <a:ext cx="3236044" cy="2569491"/>
                    </a:xfrm>
                    <a:prstGeom prst="rect">
                      <a:avLst/>
                    </a:prstGeom>
                  </pic:spPr>
                </pic:pic>
              </a:graphicData>
            </a:graphic>
          </wp:inline>
        </w:drawing>
      </w:r>
    </w:p>
    <w:p w14:paraId="45481B68" w14:textId="16DC176B" w:rsidR="00BC5838" w:rsidRPr="005E7978" w:rsidRDefault="00BC5838" w:rsidP="00E81E72">
      <w:pPr>
        <w:ind w:left="1416" w:firstLine="708"/>
        <w:rPr>
          <w:i/>
          <w:sz w:val="18"/>
          <w:szCs w:val="18"/>
        </w:rPr>
      </w:pPr>
      <w:r w:rsidRPr="005E7978">
        <w:rPr>
          <w:i/>
          <w:sz w:val="18"/>
          <w:szCs w:val="18"/>
        </w:rPr>
        <w:t>Zdroj: ČSÚ</w:t>
      </w:r>
    </w:p>
    <w:p w14:paraId="4F4D0ACB" w14:textId="77777777" w:rsidR="00A311F5" w:rsidRDefault="00A311F5" w:rsidP="00BC5838">
      <w:pPr>
        <w:spacing w:before="240" w:line="360" w:lineRule="auto"/>
        <w:rPr>
          <w:b/>
          <w:u w:val="single"/>
        </w:rPr>
      </w:pPr>
    </w:p>
    <w:p w14:paraId="0284CBAC" w14:textId="3B863BE1" w:rsidR="00DD01D5" w:rsidRPr="00645E65" w:rsidRDefault="00DD01D5" w:rsidP="00BC5838">
      <w:pPr>
        <w:spacing w:before="240" w:line="360" w:lineRule="auto"/>
        <w:rPr>
          <w:b/>
          <w:u w:val="single"/>
        </w:rPr>
      </w:pPr>
      <w:r w:rsidRPr="00645E65">
        <w:rPr>
          <w:b/>
          <w:u w:val="single"/>
        </w:rPr>
        <w:t>Popis potřeb a jejich řešení</w:t>
      </w:r>
    </w:p>
    <w:p w14:paraId="6DDAB2D8" w14:textId="204F71DA" w:rsidR="00DD01D5" w:rsidRPr="00DD01D5" w:rsidRDefault="00DD01D5" w:rsidP="00645E65">
      <w:pPr>
        <w:pStyle w:val="Bezmezer1"/>
        <w:spacing w:before="120" w:after="120" w:line="360" w:lineRule="auto"/>
        <w:ind w:firstLine="708"/>
        <w:jc w:val="both"/>
      </w:pPr>
      <w:r w:rsidRPr="00DD01D5">
        <w:rPr>
          <w:lang w:eastAsia="cs-CZ"/>
        </w:rPr>
        <w:t>Potřeby dalšího rozvoje chemie jsou determinovány technologickými, ekonomickými a</w:t>
      </w:r>
      <w:r w:rsidR="00645E65">
        <w:rPr>
          <w:lang w:eastAsia="cs-CZ"/>
        </w:rPr>
        <w:t> </w:t>
      </w:r>
      <w:r w:rsidRPr="00DD01D5">
        <w:rPr>
          <w:lang w:eastAsia="cs-CZ"/>
        </w:rPr>
        <w:t>sociálními změnami ve světě, včetně dopadů klimatických změn, čtvrté průmyslové revoluce, nedostatku některých surovin, snižování zásob vody, exponenciálního růstu populace a zvyšování kontaminace životního prostředí. Pochopení a hlavně včasná reakce na tyto změny může zásadně ovlivnit udržitelnost a zachování konkurenceschopnosti české chemie. Specifické, interdisciplinární postavení oborů chemie, chemické technologie, materiálového a procesního inženýrství, které se uplatňuje v</w:t>
      </w:r>
      <w:r w:rsidR="00B17C79">
        <w:rPr>
          <w:lang w:eastAsia="cs-CZ"/>
        </w:rPr>
        <w:t> </w:t>
      </w:r>
      <w:r w:rsidRPr="00DD01D5">
        <w:rPr>
          <w:lang w:eastAsia="cs-CZ"/>
        </w:rPr>
        <w:t xml:space="preserve">mnoha oborech lidské činnosti, vyžaduje včas se připravit na důslednou recyklaci a zajištění obnovitelných surovinových zdrojů pro chemický průmysl, včetně přechodu části chemického průmyslu na biochemické technologie zaměřené na důkladnější využívání biologického odpadu všeho druhu, a to nikoliv jen pro jeho zejména energetické využití. </w:t>
      </w:r>
      <w:r w:rsidRPr="00DD01D5">
        <w:t>Primární snahou přitom bude nenavyšovat podíl potravinářských surovin pro chemický průmysl a energetiku na úkor zajištění potravinové bezpečnosti a maximalizovat chemické využití odpadních surovin všeho druhu, s využitím efektivních technologických procesů a postupů a progresivních technologických zařízení.</w:t>
      </w:r>
    </w:p>
    <w:p w14:paraId="7A0BFBC8" w14:textId="77777777" w:rsidR="00DD01D5" w:rsidRPr="00DD01D5" w:rsidRDefault="00DD01D5" w:rsidP="00DD01D5">
      <w:pPr>
        <w:spacing w:before="120" w:after="120" w:line="360" w:lineRule="auto"/>
        <w:jc w:val="both"/>
        <w:rPr>
          <w:rFonts w:ascii="Calibri" w:eastAsia="Times New Roman" w:hAnsi="Calibri" w:cs="Times New Roman"/>
          <w:b/>
          <w:lang w:eastAsia="cs-CZ"/>
        </w:rPr>
      </w:pPr>
    </w:p>
    <w:p w14:paraId="38C7167A" w14:textId="77777777" w:rsidR="00DD01D5" w:rsidRPr="00C253D0" w:rsidRDefault="00DD01D5" w:rsidP="00DD01D5">
      <w:pPr>
        <w:spacing w:before="120" w:after="120" w:line="360" w:lineRule="auto"/>
        <w:jc w:val="both"/>
        <w:rPr>
          <w:rFonts w:ascii="Calibri" w:eastAsia="Times New Roman" w:hAnsi="Calibri" w:cs="Times New Roman"/>
          <w:lang w:eastAsia="cs-CZ"/>
        </w:rPr>
      </w:pPr>
      <w:r w:rsidRPr="00C253D0">
        <w:rPr>
          <w:rFonts w:ascii="Calibri" w:eastAsia="Times New Roman" w:hAnsi="Calibri" w:cs="Times New Roman"/>
          <w:b/>
          <w:lang w:eastAsia="cs-CZ"/>
        </w:rPr>
        <w:t>Pokročilé výrobní technologie</w:t>
      </w:r>
    </w:p>
    <w:p w14:paraId="48B612AC" w14:textId="77777777" w:rsidR="00DD01D5" w:rsidRPr="00DD01D5" w:rsidRDefault="00DD01D5" w:rsidP="0058641E">
      <w:pPr>
        <w:pStyle w:val="Bezmezer1"/>
        <w:spacing w:line="360" w:lineRule="auto"/>
        <w:ind w:firstLine="708"/>
        <w:jc w:val="both"/>
        <w:rPr>
          <w:lang w:eastAsia="cs-CZ"/>
        </w:rPr>
      </w:pPr>
      <w:r w:rsidRPr="00DD01D5">
        <w:rPr>
          <w:lang w:eastAsia="cs-CZ"/>
        </w:rPr>
        <w:t xml:space="preserve">Intenzifikace chemických procesů je obecně vnímána z pohledu bezpečného a ekologického provozu, kvality produkce a zmenšení výrobního zařízení, které je konkurence schopné v porovnání se současným stavem techniky. Intenzifikace procesů tak poskytuje efektivní a životaschopné řešení, </w:t>
      </w:r>
      <w:r w:rsidRPr="00DD01D5">
        <w:rPr>
          <w:lang w:eastAsia="cs-CZ"/>
        </w:rPr>
        <w:lastRenderedPageBreak/>
        <w:t xml:space="preserve">které jen netransformuje neefektivní redukci spotřeby energie. Koncepce intenzifikace procesů byla nastartována v 70. letech za účelem snížení investičních a provozních nákladů. </w:t>
      </w:r>
    </w:p>
    <w:p w14:paraId="0BF72DD9" w14:textId="53A83812" w:rsidR="00DD01D5" w:rsidRPr="00DD01D5" w:rsidRDefault="00DD01D5" w:rsidP="0058641E">
      <w:pPr>
        <w:pStyle w:val="Bezmezer1"/>
        <w:spacing w:line="360" w:lineRule="auto"/>
        <w:ind w:firstLine="708"/>
        <w:jc w:val="both"/>
        <w:rPr>
          <w:lang w:eastAsia="cs-CZ"/>
        </w:rPr>
      </w:pPr>
      <w:r w:rsidRPr="00DD01D5">
        <w:rPr>
          <w:lang w:eastAsia="cs-CZ"/>
        </w:rPr>
        <w:t>Intenzifikace chemických procesů se stává důležitou oblastí kvůli svému potenciálu získat inovativní a</w:t>
      </w:r>
      <w:r w:rsidR="00B17C79">
        <w:rPr>
          <w:lang w:eastAsia="cs-CZ"/>
        </w:rPr>
        <w:t> </w:t>
      </w:r>
      <w:r w:rsidRPr="00DD01D5">
        <w:rPr>
          <w:lang w:eastAsia="cs-CZ"/>
        </w:rPr>
        <w:t xml:space="preserve">více udržitelné alternativy návrhu výrobní technologie. Ve fázi vývoje intenzifikace procesu typicky zahrnuje snížení počtu zařízení (typicky jednotkových </w:t>
      </w:r>
      <w:r w:rsidRPr="00DD01D5">
        <w:rPr>
          <w:rFonts w:asciiTheme="minorHAnsi" w:hAnsiTheme="minorHAnsi" w:cstheme="minorBidi"/>
        </w:rPr>
        <w:t>operací</w:t>
      </w:r>
      <w:r w:rsidRPr="00DD01D5">
        <w:rPr>
          <w:lang w:eastAsia="cs-CZ"/>
        </w:rPr>
        <w:t>), které zlepší reakční kinetiku, zvýší energetickou účinnost, sníží investiční náklady a zlepší bezpečnost procesu. Významné je také hledisko inherentní bezpečnosti chemických procesů v souvislosti s jejich udržitelností. Je evidentní, že procesy prováděné v menším měřítku jsou nepochybně bezpečnější.</w:t>
      </w:r>
    </w:p>
    <w:p w14:paraId="24A69DBF" w14:textId="2DA9F832" w:rsidR="00DD01D5" w:rsidRPr="00DD01D5" w:rsidRDefault="00DD01D5" w:rsidP="0058641E">
      <w:pPr>
        <w:pStyle w:val="Bezmezer1"/>
        <w:spacing w:line="360" w:lineRule="auto"/>
        <w:ind w:firstLine="708"/>
        <w:jc w:val="both"/>
        <w:rPr>
          <w:lang w:eastAsia="cs-CZ"/>
        </w:rPr>
      </w:pPr>
      <w:r w:rsidRPr="00DD01D5">
        <w:rPr>
          <w:lang w:eastAsia="cs-CZ"/>
        </w:rPr>
        <w:t>Principy intenzifikace procesů zahrnují zejména: maximalizaci účinnosti intramolekulárních a</w:t>
      </w:r>
      <w:r w:rsidR="00B17C79">
        <w:rPr>
          <w:lang w:eastAsia="cs-CZ"/>
        </w:rPr>
        <w:t> </w:t>
      </w:r>
      <w:r w:rsidRPr="00DD01D5">
        <w:rPr>
          <w:lang w:eastAsia="cs-CZ"/>
        </w:rPr>
        <w:t>mezimolekulárních přeměn a interakcí, optimalizaci hnacích sil přenosových jevů v každém měřítku reakčního systému včetně maximalizace specifických mezifázových povrchů a přísun, resp. odvod energie z reakčního systému.</w:t>
      </w:r>
    </w:p>
    <w:p w14:paraId="26FE7FE8" w14:textId="77777777" w:rsidR="00DD01D5" w:rsidRPr="00DD01D5" w:rsidRDefault="00DD01D5" w:rsidP="0058641E">
      <w:pPr>
        <w:pStyle w:val="Bezmezer1"/>
        <w:spacing w:line="360" w:lineRule="auto"/>
        <w:ind w:firstLine="708"/>
        <w:jc w:val="both"/>
        <w:rPr>
          <w:rFonts w:eastAsia="Calibri"/>
        </w:rPr>
      </w:pPr>
      <w:r w:rsidRPr="00DD01D5">
        <w:rPr>
          <w:lang w:eastAsia="cs-CZ"/>
        </w:rPr>
        <w:t>Intenzifikace procesů s využitím modifikace zařízení může být synergicky realizována použitím multifunkčních zařízení, zvýšením reakčních rychlostí s použitím sofistikovanější konfigurace reaktoru a aplikací netradičního energetického zdroje. Vývoj nových procesních aparátů tak významně ovlivní efektivnost celého výrobního procesu. Mezi nově vyvíjená zařízení patří bioreaktory,</w:t>
      </w:r>
      <w:r w:rsidRPr="00DD01D5">
        <w:rPr>
          <w:rFonts w:eastAsia="Calibri"/>
        </w:rPr>
        <w:t xml:space="preserve"> </w:t>
      </w:r>
      <w:r w:rsidRPr="00DD01D5">
        <w:rPr>
          <w:lang w:eastAsia="cs-CZ"/>
        </w:rPr>
        <w:t>mikroreaktory,</w:t>
      </w:r>
      <w:r w:rsidRPr="00DD01D5">
        <w:rPr>
          <w:rFonts w:eastAsia="Calibri"/>
        </w:rPr>
        <w:t xml:space="preserve"> </w:t>
      </w:r>
      <w:r w:rsidRPr="00DD01D5">
        <w:rPr>
          <w:lang w:eastAsia="cs-CZ"/>
        </w:rPr>
        <w:t xml:space="preserve">průtočné reaktory, </w:t>
      </w:r>
      <w:r w:rsidRPr="00DD01D5">
        <w:rPr>
          <w:rFonts w:eastAsia="Calibri"/>
        </w:rPr>
        <w:t>rotační diskové reaktory, reaktory se statickými mixery a také různá separační zařízení, destilační kolony, výměníky tepla a další.</w:t>
      </w:r>
    </w:p>
    <w:p w14:paraId="0C7DA0C1" w14:textId="77777777" w:rsidR="00DD01D5" w:rsidRPr="00DD01D5" w:rsidRDefault="00DD01D5" w:rsidP="0058641E">
      <w:pPr>
        <w:pStyle w:val="Bezmezer1"/>
        <w:spacing w:line="360" w:lineRule="auto"/>
        <w:ind w:firstLine="708"/>
        <w:jc w:val="both"/>
        <w:rPr>
          <w:lang w:eastAsia="cs-CZ"/>
        </w:rPr>
      </w:pPr>
      <w:r w:rsidRPr="00DD01D5">
        <w:rPr>
          <w:rFonts w:eastAsia="Calibri"/>
        </w:rPr>
        <w:t xml:space="preserve">V souvislosti s dalším vývojem efektivních a environmentálně přijatelných technologií budou zkoumány </w:t>
      </w:r>
      <w:r w:rsidRPr="00DD01D5">
        <w:rPr>
          <w:rFonts w:asciiTheme="minorHAnsi" w:hAnsiTheme="minorHAnsi" w:cstheme="minorBidi"/>
        </w:rPr>
        <w:t>nové</w:t>
      </w:r>
      <w:r w:rsidRPr="00DD01D5">
        <w:rPr>
          <w:rFonts w:eastAsia="Calibri"/>
        </w:rPr>
        <w:t xml:space="preserve"> chemické procesy a aplikována zařízení pro výrobu polymerů, kompozitů a dalších speciálních organických, anorganických a kovových materiálů.</w:t>
      </w:r>
    </w:p>
    <w:p w14:paraId="4A8CCBCD" w14:textId="44ED6222" w:rsidR="00DD01D5" w:rsidRPr="00DD01D5" w:rsidRDefault="00DD01D5" w:rsidP="0058641E">
      <w:pPr>
        <w:pStyle w:val="Bezmezer1"/>
        <w:spacing w:line="360" w:lineRule="auto"/>
        <w:ind w:firstLine="708"/>
        <w:jc w:val="both"/>
        <w:rPr>
          <w:lang w:eastAsia="cs-CZ"/>
        </w:rPr>
      </w:pPr>
      <w:r w:rsidRPr="00DD01D5">
        <w:rPr>
          <w:lang w:eastAsia="cs-CZ"/>
        </w:rPr>
        <w:t>V důsledku zvyšujících se požadavků na nepřerušovaný provoz v rafinérsko-petrochemických komplexech, z důvodu rovnoměrného zásobení trhu a optimalizace nákladů na údržbu, se bude dále prodlužovat v současnosti běžný čtyřletý cyklus zarážek pro vybraná zařízení. Porostou tedy nároky na spolehlivost a odolnost výrobních zařízení. Z hlediska aparátů se pozornost bude soustřeďovat především na vývoj reaktorů. V důsledku požadavků na čistá paliva se zásadně zvětšil jejich objem a</w:t>
      </w:r>
      <w:r w:rsidR="000857AC">
        <w:rPr>
          <w:lang w:eastAsia="cs-CZ"/>
        </w:rPr>
        <w:t> </w:t>
      </w:r>
      <w:r w:rsidRPr="00DD01D5">
        <w:rPr>
          <w:lang w:eastAsia="cs-CZ"/>
        </w:rPr>
        <w:t xml:space="preserve">kontrola tepelných efektů v reaktorech integrací různých </w:t>
      </w:r>
      <w:r w:rsidRPr="00DD01D5">
        <w:rPr>
          <w:rFonts w:asciiTheme="minorHAnsi" w:hAnsiTheme="minorHAnsi" w:cstheme="minorBidi"/>
        </w:rPr>
        <w:t>chladicích</w:t>
      </w:r>
      <w:r w:rsidRPr="00DD01D5">
        <w:rPr>
          <w:lang w:eastAsia="cs-CZ"/>
        </w:rPr>
        <w:t xml:space="preserve"> proudů. Z důvodu prodlužování plánovacího cyklu zarážek a zvyšující se ostrosti reakčních podmínek budou preferovány reaktory s</w:t>
      </w:r>
      <w:r w:rsidR="000857AC">
        <w:rPr>
          <w:lang w:eastAsia="cs-CZ"/>
        </w:rPr>
        <w:t> </w:t>
      </w:r>
      <w:r w:rsidRPr="00DD01D5">
        <w:rPr>
          <w:lang w:eastAsia="cs-CZ"/>
        </w:rPr>
        <w:t>pohyblivým katalytickým ložem, jak je tomu nyní u procesů FCC, CCR u hydro-konverze ropných zbytků a nebo FT syntézy. Intenzivním vývojem prošly především reaktory používané pro dva posledně jmenované procesy. Uplatňovat se bude i katalytická destilace, např. při syntéze etherů a hydrogenační rafinaci benzinu z FCC. V souvislosti s rozvojem hydrogenačních a hydro-krakovacích kapacit se bude dále zvyšovat provozní tlak v zařízeních, což si vyžádá zvýšené nároky na konstrukční materiály.</w:t>
      </w:r>
    </w:p>
    <w:p w14:paraId="16736073" w14:textId="77777777" w:rsidR="00DD01D5" w:rsidRPr="00DD01D5" w:rsidRDefault="00DD01D5" w:rsidP="00DD01D5">
      <w:pPr>
        <w:spacing w:before="120" w:after="120" w:line="360" w:lineRule="auto"/>
        <w:jc w:val="both"/>
        <w:rPr>
          <w:rFonts w:ascii="Calibri" w:eastAsia="Times New Roman" w:hAnsi="Calibri" w:cs="Times New Roman"/>
          <w:highlight w:val="blue"/>
          <w:lang w:eastAsia="cs-CZ"/>
        </w:rPr>
      </w:pPr>
    </w:p>
    <w:p w14:paraId="6347E19C" w14:textId="77777777" w:rsidR="00DD01D5" w:rsidRPr="00DD01D5" w:rsidRDefault="00DD01D5" w:rsidP="00DD01D5">
      <w:pPr>
        <w:spacing w:before="120" w:after="120" w:line="360" w:lineRule="auto"/>
        <w:jc w:val="both"/>
        <w:rPr>
          <w:rFonts w:ascii="Calibri" w:eastAsia="Times New Roman" w:hAnsi="Calibri" w:cs="Times New Roman"/>
          <w:lang w:eastAsia="cs-CZ"/>
        </w:rPr>
      </w:pPr>
      <w:r w:rsidRPr="00DD01D5">
        <w:rPr>
          <w:rFonts w:ascii="Calibri" w:eastAsia="Times New Roman" w:hAnsi="Calibri" w:cs="Times New Roman"/>
          <w:b/>
          <w:lang w:eastAsia="cs-CZ"/>
        </w:rPr>
        <w:lastRenderedPageBreak/>
        <w:t>Pokročilé materiály</w:t>
      </w:r>
    </w:p>
    <w:p w14:paraId="57A70299" w14:textId="77777777" w:rsidR="00DD01D5" w:rsidRPr="00DD01D5" w:rsidRDefault="00DD01D5" w:rsidP="00DD01D5">
      <w:pPr>
        <w:spacing w:before="120" w:after="120" w:line="360" w:lineRule="auto"/>
        <w:jc w:val="both"/>
        <w:rPr>
          <w:rFonts w:ascii="Calibri" w:eastAsia="Times New Roman" w:hAnsi="Calibri" w:cs="Times New Roman"/>
          <w:i/>
          <w:lang w:eastAsia="cs-CZ"/>
        </w:rPr>
      </w:pPr>
      <w:r w:rsidRPr="00DD01D5">
        <w:rPr>
          <w:rFonts w:ascii="Calibri" w:eastAsia="Times New Roman" w:hAnsi="Calibri" w:cs="Times New Roman"/>
          <w:i/>
          <w:lang w:eastAsia="cs-CZ"/>
        </w:rPr>
        <w:t>Moderní plasty</w:t>
      </w:r>
    </w:p>
    <w:p w14:paraId="3D1B9B1F" w14:textId="77777777" w:rsidR="00DD01D5" w:rsidRPr="00DD01D5" w:rsidRDefault="00DD01D5" w:rsidP="00E63F72">
      <w:pPr>
        <w:pStyle w:val="Bezmezer1"/>
        <w:spacing w:line="360" w:lineRule="auto"/>
        <w:ind w:firstLine="708"/>
        <w:jc w:val="both"/>
        <w:rPr>
          <w:lang w:eastAsia="cs-CZ"/>
        </w:rPr>
      </w:pPr>
      <w:r w:rsidRPr="00DD01D5">
        <w:rPr>
          <w:lang w:eastAsia="cs-CZ"/>
        </w:rPr>
        <w:t>Vývoj a užití nových plastů s vlastnostmi připravovanými na míru (tailor made) je důležitým stimulem rozvoje v řadě průmyslových odvětví. Potřeba budoucích technologií se promítá přímo do rostoucích požadavků na nové speciální plasty a materiály s požadovanými vlastnostmi, metod jejich přípravy, nákladovosti výroby a jejich recyklovatelnosti. Je to také cesta, jak zapojit do řetězce velkých výrobců komoditních plastů firmy zabývající se kompaundováním.</w:t>
      </w:r>
    </w:p>
    <w:p w14:paraId="671AD18C" w14:textId="77777777" w:rsidR="00DD01D5" w:rsidRPr="00DD01D5" w:rsidRDefault="00DD01D5" w:rsidP="00E63F72">
      <w:pPr>
        <w:pStyle w:val="Bezmezer1"/>
        <w:spacing w:line="360" w:lineRule="auto"/>
        <w:ind w:firstLine="708"/>
        <w:jc w:val="both"/>
        <w:rPr>
          <w:lang w:eastAsia="cs-CZ"/>
        </w:rPr>
      </w:pPr>
      <w:r w:rsidRPr="00DD01D5">
        <w:rPr>
          <w:lang w:eastAsia="cs-CZ"/>
        </w:rPr>
        <w:t xml:space="preserve">Rostou kvalitativní požadavky strojírenství, automobilového průmyslu a stavebnictví, rozvíjí se další uplatnění speciálních plastů ve zdravotnictví a elektrotechnice. Dlouhodobě </w:t>
      </w:r>
      <w:r w:rsidRPr="00DD01D5">
        <w:rPr>
          <w:rFonts w:asciiTheme="minorHAnsi" w:hAnsiTheme="minorHAnsi" w:cstheme="minorBidi"/>
        </w:rPr>
        <w:t>obtížně</w:t>
      </w:r>
      <w:r w:rsidRPr="00DD01D5">
        <w:rPr>
          <w:lang w:eastAsia="cs-CZ"/>
        </w:rPr>
        <w:t xml:space="preserve"> řešitelným problémem jsou náhrady některých dosud používaných chemikálií, jejichž používání je omezováno nařízením REACH. Hledají se řešení na snížení hořlavosti plastů a pro výrobu odbouratelných plastů.</w:t>
      </w:r>
    </w:p>
    <w:p w14:paraId="0AE5C72C" w14:textId="77777777" w:rsidR="00DD01D5" w:rsidRDefault="00DD01D5" w:rsidP="00122DA9">
      <w:pPr>
        <w:pStyle w:val="Bezmezer1"/>
        <w:spacing w:before="120" w:after="120" w:line="360" w:lineRule="auto"/>
        <w:ind w:firstLine="708"/>
        <w:jc w:val="both"/>
        <w:rPr>
          <w:lang w:eastAsia="cs-CZ"/>
        </w:rPr>
      </w:pPr>
      <w:r w:rsidRPr="00DD01D5">
        <w:rPr>
          <w:lang w:eastAsia="cs-CZ"/>
        </w:rPr>
        <w:t xml:space="preserve">Další výzkum a vývoj je třeba zaměřit na bioplasty ve spojení s výběrem vhodných surovin, optimalizací </w:t>
      </w:r>
      <w:r w:rsidRPr="00DD01D5">
        <w:rPr>
          <w:rFonts w:asciiTheme="minorHAnsi" w:hAnsiTheme="minorHAnsi" w:cstheme="minorBidi"/>
        </w:rPr>
        <w:t>výrobních</w:t>
      </w:r>
      <w:r w:rsidRPr="00DD01D5">
        <w:rPr>
          <w:lang w:eastAsia="cs-CZ"/>
        </w:rPr>
        <w:t xml:space="preserve"> postupů, vývojem efektivnějších biokatalyzátorů a také s řešením zpracování bioplastů po skončení jejich životnosti.</w:t>
      </w:r>
    </w:p>
    <w:p w14:paraId="7A51D061" w14:textId="77777777" w:rsidR="00C253D0" w:rsidRPr="00DD01D5" w:rsidRDefault="00C253D0" w:rsidP="00122DA9">
      <w:pPr>
        <w:pStyle w:val="Bezmezer1"/>
        <w:spacing w:before="120" w:after="120" w:line="360" w:lineRule="auto"/>
        <w:ind w:firstLine="708"/>
        <w:jc w:val="both"/>
        <w:rPr>
          <w:lang w:eastAsia="cs-CZ"/>
        </w:rPr>
      </w:pPr>
    </w:p>
    <w:p w14:paraId="2C169843" w14:textId="77777777" w:rsidR="00DD01D5" w:rsidRPr="00DD01D5" w:rsidRDefault="00DD01D5" w:rsidP="00DD01D5">
      <w:pPr>
        <w:spacing w:before="120" w:after="120" w:line="360" w:lineRule="auto"/>
        <w:jc w:val="both"/>
        <w:rPr>
          <w:rFonts w:ascii="Calibri" w:eastAsia="Calibri" w:hAnsi="Calibri" w:cs="Times New Roman"/>
          <w:i/>
        </w:rPr>
      </w:pPr>
      <w:r w:rsidRPr="00DD01D5">
        <w:rPr>
          <w:rFonts w:ascii="Calibri" w:eastAsia="Calibri" w:hAnsi="Calibri" w:cs="Times New Roman"/>
          <w:i/>
        </w:rPr>
        <w:t>Pokročilé kovové materiály</w:t>
      </w:r>
    </w:p>
    <w:p w14:paraId="79DBFB6F" w14:textId="2A9FC00D" w:rsidR="00DD01D5" w:rsidRPr="00DD01D5" w:rsidRDefault="00DD01D5" w:rsidP="00122DA9">
      <w:pPr>
        <w:pStyle w:val="Bezmezer1"/>
        <w:spacing w:before="120" w:after="120" w:line="360" w:lineRule="auto"/>
        <w:ind w:firstLine="708"/>
        <w:jc w:val="both"/>
        <w:rPr>
          <w:rFonts w:eastAsia="Calibri"/>
        </w:rPr>
      </w:pPr>
      <w:r w:rsidRPr="00DD01D5">
        <w:rPr>
          <w:rFonts w:eastAsia="Calibri"/>
        </w:rPr>
        <w:t>Oblast výzkumu, vývoje a výroby pokročilých kovových materiálů má v České republice dlouhou tradici. Odráží se zde silné postavení automobilového průmyslu, energetiky, strojírenství. V</w:t>
      </w:r>
      <w:r w:rsidR="007662E1">
        <w:rPr>
          <w:rFonts w:eastAsia="Calibri"/>
        </w:rPr>
        <w:t> </w:t>
      </w:r>
      <w:r w:rsidRPr="00DD01D5">
        <w:rPr>
          <w:rFonts w:eastAsia="Calibri"/>
        </w:rPr>
        <w:t>těchto oblastech probíhá intenzivní vývoj nových kovových materiálů se zvýšenými užitnými vlastnostmi – pevností, otěruvzdorností, únavovou životností, korozní odolností, odolností vysokým teplotám. Nové materiály umožní vyšší provozní zatížení komponent, snížení hmotnosti, což v důsledku znamená zvýšení energetické účinnosti, životnosti a v řadě případů snížení ceny. Vyspělá medicína v České republice je oborem vyžadujícím inovativní postupy designu, výroby a zpracování kovů vzhledem ke stále rostoucímu průměrnému věku populace a rostoucím nárokům na životnost implantátů a na kvalitu zdravotní péče. V České republice se nacházejí bohatá ložiska cenných kovů a</w:t>
      </w:r>
      <w:r w:rsidR="005649CA">
        <w:rPr>
          <w:rFonts w:eastAsia="Calibri"/>
        </w:rPr>
        <w:t> </w:t>
      </w:r>
      <w:r w:rsidRPr="00DD01D5">
        <w:rPr>
          <w:rFonts w:eastAsia="Calibri"/>
        </w:rPr>
        <w:t>proto vývoj ekonomických a ekologických postupů jejich separace je dalším významným oborem.</w:t>
      </w:r>
    </w:p>
    <w:p w14:paraId="0749BAE7" w14:textId="77777777" w:rsidR="00DD01D5" w:rsidRPr="00DD01D5" w:rsidRDefault="00DD01D5" w:rsidP="00DD01D5">
      <w:pPr>
        <w:spacing w:before="120" w:after="120" w:line="360" w:lineRule="auto"/>
        <w:jc w:val="both"/>
        <w:rPr>
          <w:rFonts w:ascii="Calibri" w:eastAsia="Calibri" w:hAnsi="Calibri" w:cs="Times New Roman"/>
          <w:i/>
        </w:rPr>
      </w:pPr>
    </w:p>
    <w:p w14:paraId="3293E0D9" w14:textId="77777777" w:rsidR="00DD01D5" w:rsidRPr="00DD01D5" w:rsidRDefault="00DD01D5" w:rsidP="00DD01D5">
      <w:pPr>
        <w:spacing w:before="120" w:after="120" w:line="360" w:lineRule="auto"/>
        <w:jc w:val="both"/>
        <w:rPr>
          <w:rFonts w:ascii="Calibri" w:eastAsia="Times New Roman" w:hAnsi="Calibri" w:cs="Times New Roman"/>
          <w:i/>
          <w:lang w:eastAsia="cs-CZ"/>
        </w:rPr>
      </w:pPr>
      <w:r w:rsidRPr="00DD01D5">
        <w:rPr>
          <w:rFonts w:ascii="Calibri" w:eastAsia="Calibri" w:hAnsi="Calibri" w:cs="Times New Roman"/>
          <w:i/>
        </w:rPr>
        <w:t>Materiály pro konverzi a skladování energií</w:t>
      </w:r>
    </w:p>
    <w:p w14:paraId="6E25AFC2" w14:textId="71DD3AAE" w:rsidR="00DD01D5" w:rsidRPr="00DD01D5" w:rsidRDefault="00DD01D5" w:rsidP="00C253D0">
      <w:pPr>
        <w:pStyle w:val="Bezmezer1"/>
        <w:spacing w:line="360" w:lineRule="auto"/>
        <w:ind w:firstLine="708"/>
        <w:jc w:val="both"/>
        <w:rPr>
          <w:lang w:eastAsia="cs-CZ"/>
        </w:rPr>
      </w:pPr>
      <w:r w:rsidRPr="00DD01D5">
        <w:rPr>
          <w:lang w:eastAsia="cs-CZ"/>
        </w:rPr>
        <w:t xml:space="preserve">Evropská rada schválila cíl snížení emisí skleníkových plynů alespoň o 40 % do roku 2030 ve srovnání s rokem 1990, stanovila cíl výroby alespoň 27 % energie z obnovitelných zdrojů a také orientační cíl úspor energie do roku 2030. Výše uvedené cíle do roku 2030 představují pro ČR velkou výzvu v oblasti snížení energetické náročnosti a zvýšení odolnosti elektrické rozvodné sítě, efektivní </w:t>
      </w:r>
      <w:r w:rsidRPr="00DD01D5">
        <w:rPr>
          <w:lang w:eastAsia="cs-CZ"/>
        </w:rPr>
        <w:lastRenderedPageBreak/>
        <w:t xml:space="preserve">transformace energie a jejího </w:t>
      </w:r>
      <w:r w:rsidRPr="00DD01D5">
        <w:rPr>
          <w:rFonts w:asciiTheme="minorHAnsi" w:hAnsiTheme="minorHAnsi" w:cstheme="minorBidi"/>
        </w:rPr>
        <w:t>využití</w:t>
      </w:r>
      <w:r w:rsidRPr="00DD01D5">
        <w:rPr>
          <w:lang w:eastAsia="cs-CZ"/>
        </w:rPr>
        <w:t xml:space="preserve"> v průmyslu a v dopravě, přenosu energie a jejího skladování, zachycování oxidu uhličitého, jeho skladování, i konverze na suroviny chemického průmyslu s cílem redukce emisí skleníkových plynů z fosilních paliv a biopaliv. Vzhledem ke geografickým predispozicím představuje pro ČR primární zdroj obnovitelné energie sluneční záření. Technologie jeho využití, zejména pak zvyšování účinnosti solárních panelů, se neustále vyvíjejí. Doposud však zůstává jeden zásadní problém – efektivní využití těchto zdrojů charakteristických fluktuací výkonu v čase. To umožní pouze efektivní vysokokapacitní skladování okamžitých, či sezónních přebytků produkované energie a</w:t>
      </w:r>
      <w:r w:rsidR="000833C9">
        <w:rPr>
          <w:lang w:eastAsia="cs-CZ"/>
        </w:rPr>
        <w:t> </w:t>
      </w:r>
      <w:r w:rsidRPr="00DD01D5">
        <w:rPr>
          <w:lang w:eastAsia="cs-CZ"/>
        </w:rPr>
        <w:t>její zpožděné dodání do distribuční sítě v případě převisu spotřeby. Inteligentní sítě pro přenos a</w:t>
      </w:r>
      <w:r w:rsidR="000833C9">
        <w:rPr>
          <w:lang w:eastAsia="cs-CZ"/>
        </w:rPr>
        <w:t> </w:t>
      </w:r>
      <w:r w:rsidRPr="00DD01D5">
        <w:rPr>
          <w:lang w:eastAsia="cs-CZ"/>
        </w:rPr>
        <w:t>skladování jsou klíčovým prvkem v budoucí energetické infrastruktuře a budou tvořit páteř budoucího nízkouhlíkového energetického systému.</w:t>
      </w:r>
    </w:p>
    <w:p w14:paraId="36D497E5" w14:textId="77777777" w:rsidR="00DD01D5" w:rsidRPr="00DD01D5" w:rsidRDefault="00DD01D5" w:rsidP="00C253D0">
      <w:pPr>
        <w:pStyle w:val="Bezmezer1"/>
        <w:spacing w:line="360" w:lineRule="auto"/>
        <w:ind w:firstLine="708"/>
        <w:jc w:val="both"/>
        <w:rPr>
          <w:lang w:eastAsia="cs-CZ"/>
        </w:rPr>
      </w:pPr>
      <w:r w:rsidRPr="00DD01D5">
        <w:rPr>
          <w:lang w:eastAsia="cs-CZ"/>
        </w:rPr>
        <w:t>Obrovskou výhodou fosilních paliv je jejich velká energetická hustota. Konverzí elektrické energie na chemickou energii umožňuje flexibilnější využívání energie v různých aplikacích (doprava, obytné budovy, průmysl atd.). Lidstvo stojí před mimořádně vážným problémem jak zajistit rychle rostoucí spotřebu energie a omezit využívání neobnovitelných zdrojů energie. Fotovoltaika patří k nejperspektivnějším obnovitelným zdrojům energie a očekává se, že během relativně krátké doby budou fotovoltaické panely vyrábět až desetinu celosvětové spotřeby energie.</w:t>
      </w:r>
    </w:p>
    <w:p w14:paraId="14D3EDC2" w14:textId="77777777" w:rsidR="00DD01D5" w:rsidRPr="00DD01D5" w:rsidRDefault="00DD01D5" w:rsidP="00C253D0">
      <w:pPr>
        <w:pStyle w:val="Bezmezer1"/>
        <w:spacing w:line="360" w:lineRule="auto"/>
        <w:ind w:firstLine="708"/>
        <w:jc w:val="both"/>
        <w:rPr>
          <w:lang w:eastAsia="cs-CZ"/>
        </w:rPr>
      </w:pPr>
      <w:r w:rsidRPr="00DD01D5">
        <w:rPr>
          <w:lang w:eastAsia="cs-CZ"/>
        </w:rPr>
        <w:t>Vývoj zařízení na přeměnu a ukládání energie je v popředí výzkumu zaměřeného na udržitelnou budoucnost. Existuje však mnoho problémů, které brání rozsáhlému využívání těchto technologií, včetně nákladů, výkonu a trvanlivosti. Tato omezení mohou být přímo spojena s použitými materiály. Konkrétně se očekává, že návrh a výroba nanostrukturovaných hybridních materiálů poskytne průlom pro rozvoj těchto technologií. Technologie konverze energie jsou z chemického pohledu spojeny s elektrochemickými ději. Mezi základní elektrochemické konverzní technologie patří:</w:t>
      </w:r>
    </w:p>
    <w:p w14:paraId="2154DC7B" w14:textId="77777777" w:rsidR="00DD01D5" w:rsidRPr="00DD01D5" w:rsidRDefault="00DD01D5" w:rsidP="00DD01D5">
      <w:pPr>
        <w:spacing w:before="120" w:after="120" w:line="360" w:lineRule="auto"/>
        <w:jc w:val="both"/>
        <w:rPr>
          <w:lang w:eastAsia="cs-CZ"/>
        </w:rPr>
      </w:pPr>
      <w:r w:rsidRPr="00DD01D5">
        <w:rPr>
          <w:lang w:eastAsia="cs-CZ"/>
        </w:rPr>
        <w:t>a) baterie (včetně průtočných),</w:t>
      </w:r>
    </w:p>
    <w:p w14:paraId="4F9B2C94" w14:textId="77777777" w:rsidR="00DD01D5" w:rsidRPr="00DD01D5" w:rsidRDefault="00DD01D5" w:rsidP="00DD01D5">
      <w:pPr>
        <w:spacing w:before="120" w:after="120" w:line="360" w:lineRule="auto"/>
        <w:jc w:val="both"/>
        <w:rPr>
          <w:lang w:eastAsia="cs-CZ"/>
        </w:rPr>
      </w:pPr>
      <w:r w:rsidRPr="00DD01D5">
        <w:rPr>
          <w:lang w:eastAsia="cs-CZ"/>
        </w:rPr>
        <w:t>b) vodíkové procesy (palivové články, elektrolýza vody)</w:t>
      </w:r>
    </w:p>
    <w:p w14:paraId="0F0A1810" w14:textId="77777777" w:rsidR="00DD01D5" w:rsidRPr="00DD01D5" w:rsidRDefault="00DD01D5" w:rsidP="00DD01D5">
      <w:pPr>
        <w:spacing w:before="120" w:after="120" w:line="360" w:lineRule="auto"/>
        <w:jc w:val="both"/>
        <w:rPr>
          <w:lang w:eastAsia="cs-CZ"/>
        </w:rPr>
      </w:pPr>
      <w:r w:rsidRPr="00DD01D5">
        <w:rPr>
          <w:lang w:eastAsia="cs-CZ"/>
        </w:rPr>
        <w:t>c) superkapacitory.</w:t>
      </w:r>
    </w:p>
    <w:p w14:paraId="1149DFAD" w14:textId="77777777" w:rsidR="00DD01D5" w:rsidRPr="00DD01D5" w:rsidRDefault="00DD01D5" w:rsidP="00122DA9">
      <w:pPr>
        <w:pStyle w:val="Bezmezer1"/>
        <w:spacing w:before="120" w:after="120" w:line="360" w:lineRule="auto"/>
        <w:ind w:firstLine="708"/>
        <w:jc w:val="both"/>
        <w:rPr>
          <w:lang w:eastAsia="cs-CZ"/>
        </w:rPr>
      </w:pPr>
      <w:r w:rsidRPr="00DD01D5">
        <w:rPr>
          <w:lang w:eastAsia="cs-CZ"/>
        </w:rPr>
        <w:t>Vodíkové procesy se vyznačují skutečností, že vedle konverze energie umožňují uskutečnit současně konverzi oxidu uhličitého na využitelné suroviny. Základní složky těchto technologií představují elektrody (katoda a anoda) a separátor, nejčastěji na bázi polymerní, či keramické membrány. Vývoj nových, zejména (nano)strukturovaných, či kompozitních materiálů, může být odpovědí na řadu stávajících problémů uvedených technologií. Jako příklady perspektivních materiálů lze uvést grafen a jeho deriváty vykazující slibné chemické i fyzikální vlastnosti, funkcionalizované polymeru, (nano)strukturovanou keramiku, (nano)strukturované kompozity keramika-kov, polymer-uhlík a další.</w:t>
      </w:r>
    </w:p>
    <w:p w14:paraId="3552ECFC" w14:textId="77777777" w:rsidR="00DD01D5" w:rsidRPr="00DD01D5" w:rsidRDefault="00DD01D5" w:rsidP="00DD01D5">
      <w:pPr>
        <w:spacing w:before="120" w:after="120" w:line="360" w:lineRule="auto"/>
        <w:jc w:val="both"/>
        <w:rPr>
          <w:rFonts w:ascii="Calibri" w:eastAsia="Times New Roman" w:hAnsi="Calibri" w:cs="Times New Roman"/>
          <w:i/>
          <w:lang w:eastAsia="cs-CZ"/>
        </w:rPr>
      </w:pPr>
      <w:r w:rsidRPr="00DD01D5">
        <w:rPr>
          <w:rFonts w:ascii="Calibri" w:eastAsia="Times New Roman" w:hAnsi="Calibri" w:cs="Times New Roman"/>
          <w:i/>
          <w:lang w:eastAsia="cs-CZ"/>
        </w:rPr>
        <w:lastRenderedPageBreak/>
        <w:t xml:space="preserve">Moderní katalyzátory </w:t>
      </w:r>
    </w:p>
    <w:p w14:paraId="495A48FA" w14:textId="6CD3B829" w:rsidR="00DD01D5" w:rsidRPr="00DD01D5" w:rsidRDefault="00DD01D5" w:rsidP="00C253D0">
      <w:pPr>
        <w:pStyle w:val="Bezmezer1"/>
        <w:spacing w:line="360" w:lineRule="auto"/>
        <w:ind w:firstLine="708"/>
        <w:jc w:val="both"/>
        <w:rPr>
          <w:lang w:eastAsia="cs-CZ"/>
        </w:rPr>
      </w:pPr>
      <w:r w:rsidRPr="00DD01D5">
        <w:rPr>
          <w:lang w:eastAsia="cs-CZ"/>
        </w:rPr>
        <w:t>Společnost je významně ovlivňována pokročilými materiály a technologiemi. Materiály pomohly zvýšit naši životní úroveň, ale stále se objevují nové výzvy a vyžadují se nové materiály a</w:t>
      </w:r>
      <w:r w:rsidR="00122DA9">
        <w:rPr>
          <w:lang w:eastAsia="cs-CZ"/>
        </w:rPr>
        <w:t> </w:t>
      </w:r>
      <w:r w:rsidRPr="00DD01D5">
        <w:rPr>
          <w:lang w:eastAsia="cs-CZ"/>
        </w:rPr>
        <w:t>vlastnosti, které představují klíčový prvek úspěchu zítřejších průmyslových výrobků a</w:t>
      </w:r>
      <w:r w:rsidR="00122DA9">
        <w:rPr>
          <w:lang w:eastAsia="cs-CZ"/>
        </w:rPr>
        <w:t> </w:t>
      </w:r>
      <w:r w:rsidRPr="00DD01D5">
        <w:rPr>
          <w:lang w:eastAsia="cs-CZ"/>
        </w:rPr>
        <w:t>konkurenceschopnosti českého chemického průmyslu. V tomto ohledu je katalýza jednou z</w:t>
      </w:r>
      <w:r w:rsidR="00122DA9">
        <w:rPr>
          <w:lang w:eastAsia="cs-CZ"/>
        </w:rPr>
        <w:t> </w:t>
      </w:r>
      <w:r w:rsidRPr="00DD01D5">
        <w:rPr>
          <w:lang w:eastAsia="cs-CZ"/>
        </w:rPr>
        <w:t>nejrozsáhlejších a nejdůležitějších disciplín v chemickém průmyslu. Katalytické materiály mají zásadní význam pro snížení dnešních a budoucích zátěží v oblasti životního prostředí a mohou přispět k</w:t>
      </w:r>
      <w:r w:rsidR="00122DA9">
        <w:rPr>
          <w:lang w:eastAsia="cs-CZ"/>
        </w:rPr>
        <w:t> </w:t>
      </w:r>
      <w:r w:rsidRPr="00DD01D5">
        <w:rPr>
          <w:lang w:eastAsia="cs-CZ"/>
        </w:rPr>
        <w:t>ekologičtějšímu a udržitelnějšímu vývoji produktů, ke snížení emisí CO</w:t>
      </w:r>
      <w:r w:rsidRPr="00DD01D5">
        <w:rPr>
          <w:vertAlign w:val="subscript"/>
          <w:lang w:eastAsia="cs-CZ"/>
        </w:rPr>
        <w:t>2</w:t>
      </w:r>
      <w:r w:rsidRPr="00DD01D5">
        <w:rPr>
          <w:lang w:eastAsia="cs-CZ"/>
        </w:rPr>
        <w:t xml:space="preserve"> nebo k řešení budoucích energetických problémů.  Klíčovou charakteristikou katalýzy jako vědní disciplíny je její interdisciplinární charakter. Úspěšná realizace nových katalytických řešení a technologií vyžaduje integraci odborných znalostí z chemie, fyziky, biologie, matematiky do chemického a materiálového inženýrství a aplikované průmyslové chemie. Integrace teoretického modelování in situ k pochopení reakčních mechanismů, vědy o přípravě katalyzátoru na úrovni nanometrů, pokročilé mikrokinetiky a modelování reaktorů jsou příklady současných trendů v katalýze. </w:t>
      </w:r>
      <w:r w:rsidRPr="00DD01D5">
        <w:rPr>
          <w:rFonts w:cs="Calibri"/>
          <w:lang w:eastAsia="cs-CZ"/>
        </w:rPr>
        <w:t>Katalýza je jednou z klíčových technologií pro většinu ze sedmi společenských výzev v programu Horizont 2020.</w:t>
      </w:r>
      <w:r w:rsidRPr="00DD01D5">
        <w:rPr>
          <w:lang w:eastAsia="cs-CZ"/>
        </w:rPr>
        <w:t xml:space="preserve"> </w:t>
      </w:r>
    </w:p>
    <w:p w14:paraId="27AE78F6" w14:textId="77777777" w:rsidR="00DD01D5" w:rsidRPr="00DD01D5" w:rsidRDefault="00DD01D5" w:rsidP="00E5290C">
      <w:pPr>
        <w:pStyle w:val="Bezmezer1"/>
        <w:spacing w:line="360" w:lineRule="auto"/>
        <w:ind w:firstLine="708"/>
        <w:jc w:val="both"/>
        <w:rPr>
          <w:lang w:eastAsia="cs-CZ"/>
        </w:rPr>
      </w:pPr>
      <w:r w:rsidRPr="00DD01D5">
        <w:rPr>
          <w:lang w:eastAsia="cs-CZ"/>
        </w:rPr>
        <w:t>Katalýza a katalytické procesy představují přímo nebo nepřímo asi 20 – 30 % světového HDP. Výroba katalyzátorů v Evropě má velký ekonomický dopad, který činí zhruba 3 – 4 miliardy EUR. Technická zlepšení katalyzátorů a výrobních procesů by mohly do roku 2050 snížit energetickou náročnost výrobků o 20 – 40 %. V absolutních číslech by zlepšení mohlo ušetřit ročně až 13 EJ (exajouly) a 1 Gt ekvivalentu oxidu uhličitého (CO</w:t>
      </w:r>
      <w:r w:rsidRPr="00DD01D5">
        <w:rPr>
          <w:vertAlign w:val="subscript"/>
          <w:lang w:eastAsia="cs-CZ"/>
        </w:rPr>
        <w:t>2</w:t>
      </w:r>
      <w:r w:rsidRPr="00DD01D5">
        <w:rPr>
          <w:lang w:eastAsia="cs-CZ"/>
        </w:rPr>
        <w:t xml:space="preserve"> ekv.). Katalýza je proto zásadní pro snížení tohoto zatížení životního prostředí. Více než 85 % všech současných chemických produktů se vyrábí pomocí katalytických procesů a katalytické procesy umožňují moderní rafinování paliv. Katalýza neovlivňuje jen chemický průmysl a ropné rafinérie, ale má i rozhodující úlohu při umožnění udržitelného využívání energie, například v palivových článcích a bateriích, při výrobě biopaliv, jakož i při ochraně životního prostředí a klimatu. </w:t>
      </w:r>
    </w:p>
    <w:p w14:paraId="6B633C8C" w14:textId="05CEAA12" w:rsidR="00DD01D5" w:rsidRPr="00DD01D5" w:rsidRDefault="00DD01D5" w:rsidP="00E5290C">
      <w:pPr>
        <w:pStyle w:val="Bezmezer1"/>
        <w:spacing w:after="120" w:line="360" w:lineRule="auto"/>
        <w:ind w:firstLine="708"/>
        <w:jc w:val="both"/>
        <w:rPr>
          <w:rFonts w:eastAsia="Calibri"/>
        </w:rPr>
      </w:pPr>
      <w:r w:rsidRPr="00DD01D5">
        <w:rPr>
          <w:lang w:eastAsia="cs-CZ"/>
        </w:rPr>
        <w:t>Současný výzkum je zaměřen na hledání nových teoretických přístupů k přípravě katalyzátorů pomocí efektivního modelování. Je třeba získat další znalosti o molekulárních mechanismech heterogenní katalýzy a aktivace / deaktivace katalyzátorů v nano rozměrech. V cirkulární ekonomice je CO</w:t>
      </w:r>
      <w:r w:rsidRPr="00DD01D5">
        <w:rPr>
          <w:vertAlign w:val="subscript"/>
          <w:lang w:eastAsia="cs-CZ"/>
        </w:rPr>
        <w:t>2</w:t>
      </w:r>
      <w:r w:rsidRPr="00DD01D5">
        <w:rPr>
          <w:lang w:eastAsia="cs-CZ"/>
        </w:rPr>
        <w:t xml:space="preserve"> stále častěji vnímán chemickým průmyslem jako potenciální uhlíkatá surovina, nikoliv jako chemický odpad. Pokračuje úsilí o reakci CO</w:t>
      </w:r>
      <w:r w:rsidRPr="00DD01D5">
        <w:rPr>
          <w:vertAlign w:val="subscript"/>
          <w:lang w:eastAsia="cs-CZ"/>
        </w:rPr>
        <w:t>2</w:t>
      </w:r>
      <w:r w:rsidRPr="00DD01D5">
        <w:rPr>
          <w:lang w:eastAsia="cs-CZ"/>
        </w:rPr>
        <w:t xml:space="preserve"> s olefiny, dieny a alkiny za vzniku karboxylátů, karbonátů a karbamátů. Mnohé z těchto procesů jsou katalytické. Některé procesy jsou endergonické a tedy je lze obtížnější realizovat. Zpravidla se mnoho chemických procesů spoléhá na syntézní plyn (CO + H</w:t>
      </w:r>
      <w:r w:rsidRPr="00DD01D5">
        <w:rPr>
          <w:vertAlign w:val="subscript"/>
          <w:lang w:eastAsia="cs-CZ"/>
        </w:rPr>
        <w:t>2</w:t>
      </w:r>
      <w:r w:rsidRPr="00DD01D5">
        <w:rPr>
          <w:lang w:eastAsia="cs-CZ"/>
        </w:rPr>
        <w:t>), např. Fischer-Tropschova syntéza, hydroformylace a karbonylace. Je třeba zkoumat možnosti rozvoje chemie založené na CO</w:t>
      </w:r>
      <w:r w:rsidRPr="00DD01D5">
        <w:rPr>
          <w:vertAlign w:val="subscript"/>
          <w:lang w:eastAsia="cs-CZ"/>
        </w:rPr>
        <w:t>2</w:t>
      </w:r>
      <w:r w:rsidRPr="00DD01D5">
        <w:rPr>
          <w:lang w:eastAsia="cs-CZ"/>
        </w:rPr>
        <w:t xml:space="preserve"> + H</w:t>
      </w:r>
      <w:r w:rsidRPr="00DD01D5">
        <w:rPr>
          <w:vertAlign w:val="subscript"/>
          <w:lang w:eastAsia="cs-CZ"/>
        </w:rPr>
        <w:t>2</w:t>
      </w:r>
      <w:r w:rsidRPr="00DD01D5">
        <w:rPr>
          <w:lang w:eastAsia="cs-CZ"/>
        </w:rPr>
        <w:t xml:space="preserve"> namísto CO + H</w:t>
      </w:r>
      <w:r w:rsidRPr="00DD01D5">
        <w:rPr>
          <w:vertAlign w:val="subscript"/>
          <w:lang w:eastAsia="cs-CZ"/>
        </w:rPr>
        <w:t>2</w:t>
      </w:r>
      <w:r w:rsidRPr="00DD01D5">
        <w:rPr>
          <w:lang w:eastAsia="cs-CZ"/>
        </w:rPr>
        <w:t xml:space="preserve"> jako vhodného způsobu funkcionalizace uhlovodíků. </w:t>
      </w:r>
      <w:r w:rsidRPr="00DD01D5">
        <w:rPr>
          <w:lang w:eastAsia="cs-CZ"/>
        </w:rPr>
        <w:lastRenderedPageBreak/>
        <w:t>Příprava uhličitanů a polykarbonátů z CO</w:t>
      </w:r>
      <w:r w:rsidRPr="00DD01D5">
        <w:rPr>
          <w:vertAlign w:val="subscript"/>
          <w:lang w:eastAsia="cs-CZ"/>
        </w:rPr>
        <w:t>2</w:t>
      </w:r>
      <w:r w:rsidRPr="00DD01D5">
        <w:rPr>
          <w:lang w:eastAsia="cs-CZ"/>
        </w:rPr>
        <w:t xml:space="preserve"> nabízí přímý přístup na rozsáhlé trhy v sektorech chemie a</w:t>
      </w:r>
      <w:r w:rsidR="00122DA9">
        <w:rPr>
          <w:lang w:eastAsia="cs-CZ"/>
        </w:rPr>
        <w:t> </w:t>
      </w:r>
      <w:r w:rsidRPr="00DD01D5">
        <w:rPr>
          <w:lang w:eastAsia="cs-CZ"/>
        </w:rPr>
        <w:t>plastů. V</w:t>
      </w:r>
      <w:r w:rsidR="00122DA9">
        <w:rPr>
          <w:lang w:eastAsia="cs-CZ"/>
        </w:rPr>
        <w:t> </w:t>
      </w:r>
      <w:r w:rsidRPr="00DD01D5">
        <w:rPr>
          <w:lang w:eastAsia="cs-CZ"/>
        </w:rPr>
        <w:t>oblasti katalýzy lze zaznamenat některé významné pokroky, např. katalytická karboxylace nabízí nové způsoby výroby karboxylových kyselin, nebo elektrokatalytická konverze CO</w:t>
      </w:r>
      <w:r w:rsidRPr="00DD01D5">
        <w:rPr>
          <w:vertAlign w:val="subscript"/>
          <w:lang w:eastAsia="cs-CZ"/>
        </w:rPr>
        <w:t>2</w:t>
      </w:r>
      <w:r w:rsidRPr="00DD01D5">
        <w:rPr>
          <w:lang w:eastAsia="cs-CZ"/>
        </w:rPr>
        <w:t xml:space="preserve"> představuje další velmi elegantní způsob použití oxidu uhličitého pro syntézu organických kyselin.</w:t>
      </w:r>
    </w:p>
    <w:p w14:paraId="5916B620" w14:textId="77777777" w:rsidR="00DD01D5" w:rsidRPr="00DD01D5" w:rsidRDefault="00DD01D5" w:rsidP="00DD01D5">
      <w:pPr>
        <w:spacing w:before="120" w:after="120" w:line="360" w:lineRule="auto"/>
        <w:jc w:val="both"/>
        <w:rPr>
          <w:rFonts w:ascii="Calibri" w:eastAsia="Times New Roman" w:hAnsi="Calibri" w:cs="Times New Roman"/>
          <w:highlight w:val="blue"/>
          <w:lang w:eastAsia="cs-CZ"/>
        </w:rPr>
      </w:pPr>
    </w:p>
    <w:p w14:paraId="5755DFC9" w14:textId="77777777" w:rsidR="00DD01D5" w:rsidRPr="00DD01D5" w:rsidRDefault="00DD01D5" w:rsidP="00DD01D5">
      <w:pPr>
        <w:spacing w:before="120" w:after="120" w:line="360" w:lineRule="auto"/>
        <w:jc w:val="both"/>
        <w:rPr>
          <w:rFonts w:ascii="Calibri" w:eastAsia="Times New Roman" w:hAnsi="Calibri" w:cs="Times New Roman"/>
          <w:b/>
          <w:lang w:eastAsia="cs-CZ"/>
        </w:rPr>
      </w:pPr>
      <w:r w:rsidRPr="00DD01D5">
        <w:rPr>
          <w:rFonts w:ascii="Calibri" w:eastAsia="Times New Roman" w:hAnsi="Calibri" w:cs="Times New Roman"/>
          <w:b/>
          <w:lang w:eastAsia="cs-CZ"/>
        </w:rPr>
        <w:t>Nanotechnologie</w:t>
      </w:r>
    </w:p>
    <w:p w14:paraId="14770D05" w14:textId="7A89A942" w:rsidR="00DD01D5" w:rsidRPr="00DD01D5" w:rsidRDefault="00DD01D5" w:rsidP="00E5290C">
      <w:pPr>
        <w:pStyle w:val="Bezmezer1"/>
        <w:spacing w:line="360" w:lineRule="auto"/>
        <w:ind w:firstLine="708"/>
        <w:jc w:val="both"/>
        <w:rPr>
          <w:lang w:eastAsia="cs-CZ"/>
        </w:rPr>
      </w:pPr>
      <w:r w:rsidRPr="00DD01D5">
        <w:rPr>
          <w:lang w:eastAsia="cs-CZ"/>
        </w:rPr>
        <w:t>Nanotechnologie a nanomateriály jsou jednou z perspektivních technologií, kterým je pro 21.</w:t>
      </w:r>
      <w:r w:rsidR="00DA238C">
        <w:rPr>
          <w:lang w:eastAsia="cs-CZ"/>
        </w:rPr>
        <w:t> </w:t>
      </w:r>
      <w:r w:rsidRPr="00DD01D5">
        <w:rPr>
          <w:lang w:eastAsia="cs-CZ"/>
        </w:rPr>
        <w:t>století prognózována velká budoucnost s ohledem na možnosti řešení hlavních současných problémů lidstva jako jsou energie, životní prostředí a zdraví obyvatel. Realizace záměrů Národní Strategie inteligentní specializace ČR a zejména Průmyslu 4.0 není reálná bez široké aplikace nanomateriálů a nanotechnologií. Experti předpokládají, že globální trh s nanomateriály v příštím desetiletí poroste meziročně přibližně o 20 %. Z hlediska dlouhodobé perspektivy jsou hlavními kandidáty využiti výsledků výzkumu v oblasti nanotechnologií informační a komunikační technologie, jenž nahradí stávající mikroelektroniku  nanoelektronikou. Zde sehraji významnou roli uhlíkové nanotrubičky a fullereny. Očekává se, že se budou rozvíjet metody výroby tenkých nanodrátků do nanosenzorů (např. pro detekci chemických a biologicky nebezpečných látek). Nanomateriály s</w:t>
      </w:r>
      <w:r w:rsidR="00DA238C">
        <w:rPr>
          <w:lang w:eastAsia="cs-CZ"/>
        </w:rPr>
        <w:t> </w:t>
      </w:r>
      <w:r w:rsidRPr="00DD01D5">
        <w:rPr>
          <w:lang w:eastAsia="cs-CZ"/>
        </w:rPr>
        <w:t>vylepšenými vlastnostmi se budou používat při vysoce účinné katalýze v chemických procesech a při přeměně energie ve fotovoltaických a palivových článcích, biokonverzi energie či zpracováni odpadů a</w:t>
      </w:r>
      <w:r w:rsidR="00DA238C">
        <w:rPr>
          <w:lang w:eastAsia="cs-CZ"/>
        </w:rPr>
        <w:t> </w:t>
      </w:r>
      <w:r w:rsidRPr="00DD01D5">
        <w:rPr>
          <w:lang w:eastAsia="cs-CZ"/>
        </w:rPr>
        <w:t>kontrole ovzduší. V medicíně se budou dále vyvíjet nová diagnostická zařízeni, terapeutika, cílený transport léků nebo biokompatibilní materiály pro tělní implantáty a protézy.</w:t>
      </w:r>
    </w:p>
    <w:p w14:paraId="363B3AFB" w14:textId="77777777" w:rsidR="00DD01D5" w:rsidRPr="00DD01D5" w:rsidRDefault="00DD01D5" w:rsidP="00E5290C">
      <w:pPr>
        <w:pStyle w:val="Bezmezer1"/>
        <w:spacing w:line="360" w:lineRule="auto"/>
        <w:ind w:firstLine="708"/>
        <w:jc w:val="both"/>
        <w:rPr>
          <w:lang w:eastAsia="cs-CZ"/>
        </w:rPr>
      </w:pPr>
      <w:r w:rsidRPr="00DD01D5">
        <w:rPr>
          <w:lang w:eastAsia="cs-CZ"/>
        </w:rPr>
        <w:t>Velké naděje se vkládají do budoucího využiti tzv. „extrémní nanotechnologie“, která zahrnuje manipulaci s atomy a molekulami. Jde o samoreplikující se a samosestavující se systémy, které mohou mít uplatněni v elektronice nebo lékařství. Výzkum se soustředí na nadějné aplikace grafenu a jeho derivátů např. v environmentální oblasti, elektroniky, ale také strojírenství. Další žádoucí výzkumnou oblastí jsou multifunkční nanohybridní materiály, nanokompozity a senzory. Vždy je potřebná úzká spolupráce s koncovým uživatelem nanomateriálů.</w:t>
      </w:r>
    </w:p>
    <w:p w14:paraId="19527193" w14:textId="4BA27D26" w:rsidR="00DD01D5" w:rsidRPr="00DD01D5" w:rsidRDefault="00DD01D5" w:rsidP="001A713D">
      <w:pPr>
        <w:pStyle w:val="Bezmezer1"/>
        <w:spacing w:line="360" w:lineRule="auto"/>
        <w:ind w:firstLine="708"/>
        <w:jc w:val="both"/>
        <w:rPr>
          <w:lang w:eastAsia="cs-CZ"/>
        </w:rPr>
      </w:pPr>
      <w:r w:rsidRPr="00DD01D5">
        <w:rPr>
          <w:lang w:eastAsia="cs-CZ"/>
        </w:rPr>
        <w:t>S rozvojem výroby nanomateriálů jsou spojeny i záměry na rozvoj 3D tisku, jako podskupina aditivní výroby (AM), lehkých multifunkčních materiálů a nanokompozitů, moderních katalyzátorů a</w:t>
      </w:r>
      <w:r w:rsidR="00DB7048">
        <w:rPr>
          <w:lang w:eastAsia="cs-CZ"/>
        </w:rPr>
        <w:t> </w:t>
      </w:r>
      <w:r w:rsidRPr="00DD01D5">
        <w:rPr>
          <w:lang w:eastAsia="cs-CZ"/>
        </w:rPr>
        <w:t xml:space="preserve">materiálů pro konverzi a skladování energií. Požadavky na vývoj lehkých multifunkčních materiálů a kompozitů úzce souvisí s Národní RIS3 strategií, která stanovuje další záměr posilovat a rozvíjet mimo jiné výrobu dopravních prostředků a zařízení, strojírenství, elektroniku a elektrotechniku. To jsou obory, které kladou nejvyšší nároky a určují špičkové požadované parametry na dodávané komponenty a materiály. Významná úloha nových materiálů je spojována i s nutností hledat náhrady za kritické </w:t>
      </w:r>
      <w:r w:rsidRPr="00DD01D5">
        <w:rPr>
          <w:lang w:eastAsia="cs-CZ"/>
        </w:rPr>
        <w:lastRenderedPageBreak/>
        <w:t>suroviny. Mikro- a nano-tiskové techniky nalézají řadu aplikací v oblasti elektroniky, biotechnologie, zdravotnictví a syntézy materiálů. Považují se za zárodek další průmyslové revoluce.</w:t>
      </w:r>
    </w:p>
    <w:p w14:paraId="0ADBC556" w14:textId="77777777" w:rsidR="00DD01D5" w:rsidRPr="00DD01D5" w:rsidRDefault="00DD01D5" w:rsidP="001A713D">
      <w:pPr>
        <w:pStyle w:val="Bezmezer1"/>
        <w:spacing w:line="360" w:lineRule="auto"/>
        <w:ind w:firstLine="708"/>
        <w:jc w:val="both"/>
        <w:rPr>
          <w:lang w:eastAsia="cs-CZ"/>
        </w:rPr>
      </w:pPr>
      <w:r w:rsidRPr="00DD01D5">
        <w:rPr>
          <w:lang w:eastAsia="cs-CZ"/>
        </w:rPr>
        <w:t>Neustále roste význam nanomateriálů v katalýze. Nanomateriály na základě vlastností závislých na velikosti a povrchu částic nacházejí stále širší uplatnění v chemickém průmyslu, energetice, automobilovém a leteckém průmyslu, v obnově životního prostředí atd. To však vyžaduje věnovat mimořádnou pozornost hodnocení jejich bezpečnosti v rámci celého životného cyklu.</w:t>
      </w:r>
    </w:p>
    <w:p w14:paraId="2C2E18CF" w14:textId="77777777" w:rsidR="00DD01D5" w:rsidRPr="00DD01D5" w:rsidRDefault="00DD01D5" w:rsidP="00DD01D5">
      <w:pPr>
        <w:spacing w:before="120" w:after="120" w:line="360" w:lineRule="auto"/>
        <w:jc w:val="both"/>
        <w:rPr>
          <w:rFonts w:ascii="Calibri" w:eastAsia="Times New Roman" w:hAnsi="Calibri" w:cs="Times New Roman"/>
          <w:lang w:eastAsia="cs-CZ"/>
        </w:rPr>
      </w:pPr>
    </w:p>
    <w:p w14:paraId="7F7A893F" w14:textId="77777777" w:rsidR="00DD01D5" w:rsidRPr="00DD01D5" w:rsidRDefault="00DD01D5" w:rsidP="00DD01D5">
      <w:pPr>
        <w:spacing w:before="120" w:after="120" w:line="360" w:lineRule="auto"/>
        <w:jc w:val="both"/>
        <w:rPr>
          <w:rFonts w:ascii="Calibri" w:eastAsia="Times New Roman" w:hAnsi="Calibri" w:cs="Times New Roman"/>
          <w:b/>
          <w:lang w:eastAsia="cs-CZ"/>
        </w:rPr>
      </w:pPr>
      <w:r w:rsidRPr="00DD01D5">
        <w:rPr>
          <w:rFonts w:ascii="Calibri" w:eastAsia="Times New Roman" w:hAnsi="Calibri" w:cs="Times New Roman"/>
          <w:b/>
          <w:lang w:eastAsia="cs-CZ"/>
        </w:rPr>
        <w:t>Průmyslové biotechnologie</w:t>
      </w:r>
    </w:p>
    <w:p w14:paraId="1AF0441A" w14:textId="677CF32C" w:rsidR="00DD01D5" w:rsidRPr="00DD01D5" w:rsidRDefault="00DD01D5" w:rsidP="006B7397">
      <w:pPr>
        <w:pStyle w:val="Bezmezer1"/>
        <w:spacing w:line="360" w:lineRule="auto"/>
        <w:ind w:firstLine="708"/>
        <w:jc w:val="both"/>
        <w:rPr>
          <w:lang w:eastAsia="cs-CZ"/>
        </w:rPr>
      </w:pPr>
      <w:r w:rsidRPr="00DD01D5">
        <w:rPr>
          <w:lang w:eastAsia="cs-CZ"/>
        </w:rPr>
        <w:t>Průmyslové biotechnologie představují progresivní způsob získávání cenných produktů z</w:t>
      </w:r>
      <w:r w:rsidR="00DB7048">
        <w:rPr>
          <w:lang w:eastAsia="cs-CZ"/>
        </w:rPr>
        <w:t> </w:t>
      </w:r>
      <w:r w:rsidRPr="00DD01D5">
        <w:rPr>
          <w:lang w:eastAsia="cs-CZ"/>
        </w:rPr>
        <w:t>rostlinné a</w:t>
      </w:r>
      <w:r w:rsidR="00DB7048">
        <w:rPr>
          <w:lang w:eastAsia="cs-CZ"/>
        </w:rPr>
        <w:t> </w:t>
      </w:r>
      <w:r w:rsidRPr="00DD01D5">
        <w:rPr>
          <w:lang w:eastAsia="cs-CZ"/>
        </w:rPr>
        <w:t>živočišné biomasy. Mohou to být jak primární suroviny, které poskytuje sama příroda, tak i případné odpadní druhotné suroviny ze zemědělsko-potravinářského komplexu. Takové procesy se zabývají ekonomicky výhodným a ekologicky přátelským způsobem získávání cenných produktů, které jsou obecně využitelné v řadě odvětví zemědělského, potravinářského a spotřebního průmyslu, nebo v konečné fázi i jako energetické zdroje a biopaliva. Významnou předností je možnost využívání domácí surovinové základny. Cílem těchto postupů je dokonalé využití biomasy, recyklace biogenních prvků a</w:t>
      </w:r>
      <w:r w:rsidR="00DB7048">
        <w:rPr>
          <w:lang w:eastAsia="cs-CZ"/>
        </w:rPr>
        <w:t> </w:t>
      </w:r>
      <w:r w:rsidRPr="00DD01D5">
        <w:rPr>
          <w:lang w:eastAsia="cs-CZ"/>
        </w:rPr>
        <w:t>příprava ceněných netradičních produktů s vysokou přidanou hodnotou (chemických, farmaceutických, kosmetických, potravinářských výrobků) převážně za šetrných podmínek v</w:t>
      </w:r>
      <w:r w:rsidR="00DB7048">
        <w:rPr>
          <w:lang w:eastAsia="cs-CZ"/>
        </w:rPr>
        <w:t> </w:t>
      </w:r>
      <w:r w:rsidRPr="00DD01D5">
        <w:rPr>
          <w:lang w:eastAsia="cs-CZ"/>
        </w:rPr>
        <w:t xml:space="preserve">separačních aparátech a bioreaktorech. Biorafinaci lze posuzovat v analogii existujících a široce provozovaných procesů rafinace neobnovitelné fosilní ropy. Jednotkové operace jsou přitom při biorafinačním procesu obvykle rozdílné než u chemických technologií a jedná se zejména o jednotkové procesy zaměřené na tuhé fáze, například mletí vláknitých materiálů, extrakce tuhá látka – kapalina (biodegradabilními rozpouštědly) atd. Výhoda biorafinace ve srovnání s rafinací ropy vychází z větší rozmanitosti surovin, nevýhodou je množství procesních kroků, které je nutno pro získání výrobku biorafinací aplikovat, přičemž většina biotechnologií je ještě v před-komerčním stadiu. Tím větší výzvu dnes biorafinace pro vědu a udržitelný rozvoj společnosti představuje. </w:t>
      </w:r>
    </w:p>
    <w:p w14:paraId="0E7169FF" w14:textId="77777777" w:rsidR="00DD01D5" w:rsidRPr="00DD01D5" w:rsidRDefault="00DD01D5" w:rsidP="006B7397">
      <w:pPr>
        <w:pStyle w:val="Bezmezer1"/>
        <w:spacing w:line="360" w:lineRule="auto"/>
        <w:ind w:firstLine="708"/>
        <w:jc w:val="both"/>
        <w:rPr>
          <w:lang w:eastAsia="cs-CZ"/>
        </w:rPr>
      </w:pPr>
      <w:r w:rsidRPr="00DD01D5">
        <w:rPr>
          <w:lang w:eastAsia="cs-CZ"/>
        </w:rPr>
        <w:t>Biorafinačním postupem tak lze z obnovitelných zdrojů biomasy získat takové platformní chemikálie, které mohou v blízké budoucnosti zcela změnit tvář průmyslové chemie. Na komerční bázi se již dnes z biomasy produkují například oxid uhličitý, kyselina octová, kvasnými procesy jednoduché alifatické alkoholy, aldehydy a též aceton, glycerol, organické kyseliny, třeba octová, mléčná, citronová.</w:t>
      </w:r>
    </w:p>
    <w:p w14:paraId="10AE927A" w14:textId="2FFC193B" w:rsidR="00DD01D5" w:rsidRDefault="00DD01D5" w:rsidP="006B7397">
      <w:pPr>
        <w:spacing w:line="360" w:lineRule="auto"/>
        <w:ind w:firstLine="708"/>
        <w:jc w:val="both"/>
        <w:rPr>
          <w:lang w:eastAsia="cs-CZ"/>
        </w:rPr>
      </w:pPr>
      <w:r w:rsidRPr="00DD01D5">
        <w:rPr>
          <w:lang w:eastAsia="cs-CZ"/>
        </w:rPr>
        <w:t>V neposlední řadě je třeba zmínit velký význam a uplatnitelnost biotechnologických přístupů při prevenci a odstraňování ekologických zátěží v průmyslu a veřejném prostoru, a to ať již jako samostatné technologie nebo jako součást integrovaných technologických řešení.</w:t>
      </w:r>
    </w:p>
    <w:p w14:paraId="3DE88D45" w14:textId="77777777" w:rsidR="00087EC7" w:rsidRPr="00DD01D5" w:rsidRDefault="00087EC7" w:rsidP="00DB7048">
      <w:pPr>
        <w:spacing w:before="240" w:line="360" w:lineRule="auto"/>
        <w:ind w:firstLine="708"/>
        <w:jc w:val="both"/>
        <w:rPr>
          <w:b/>
        </w:rPr>
      </w:pPr>
    </w:p>
    <w:p w14:paraId="67B4255F" w14:textId="39BD4CEF" w:rsidR="000C5CAD" w:rsidRDefault="000C5CAD" w:rsidP="00EF4A38">
      <w:pPr>
        <w:pStyle w:val="Nadpis3"/>
      </w:pPr>
      <w:bookmarkStart w:id="131" w:name="_Toc525716219"/>
      <w:r w:rsidRPr="00EF4A38">
        <w:lastRenderedPageBreak/>
        <w:t>Digital Market Technologies a Elektrotechnika</w:t>
      </w:r>
      <w:bookmarkEnd w:id="131"/>
    </w:p>
    <w:p w14:paraId="70BC04C5" w14:textId="2104DED2" w:rsidR="00475A2C" w:rsidRDefault="00475A2C" w:rsidP="00475A2C">
      <w:pPr>
        <w:pStyle w:val="Nadpis4"/>
      </w:pPr>
      <w:bookmarkStart w:id="132" w:name="_Toc525716220"/>
      <w:r>
        <w:t>Elektronika a elektrotechnika v digitálním věku</w:t>
      </w:r>
      <w:bookmarkEnd w:id="132"/>
    </w:p>
    <w:p w14:paraId="060C9434" w14:textId="721CD98A" w:rsidR="00475A2C" w:rsidRPr="008B7055" w:rsidRDefault="00475A2C" w:rsidP="00475A2C">
      <w:pPr>
        <w:spacing w:before="240" w:line="360" w:lineRule="auto"/>
        <w:rPr>
          <w:b/>
          <w:u w:val="single"/>
        </w:rPr>
      </w:pPr>
      <w:r w:rsidRPr="008B7055">
        <w:rPr>
          <w:b/>
          <w:u w:val="single"/>
        </w:rPr>
        <w:t>Východiska</w:t>
      </w:r>
    </w:p>
    <w:p w14:paraId="5F0FCE07" w14:textId="03940CD5" w:rsidR="00305943" w:rsidRPr="00305943" w:rsidRDefault="00305943" w:rsidP="008B7055">
      <w:pPr>
        <w:autoSpaceDE w:val="0"/>
        <w:autoSpaceDN w:val="0"/>
        <w:adjustRightInd w:val="0"/>
        <w:spacing w:after="0" w:line="360" w:lineRule="auto"/>
        <w:ind w:firstLine="708"/>
        <w:jc w:val="both"/>
        <w:rPr>
          <w:rFonts w:cs="Calibri"/>
        </w:rPr>
      </w:pPr>
      <w:r w:rsidRPr="00305943">
        <w:rPr>
          <w:rFonts w:cs="Calibri"/>
        </w:rPr>
        <w:t>Obecně lze elektrotechnický průmysl, jak v části elektronické, tak i elektrotechnické, považovat za dobře etablovaný, historicky vybavený kapacitou jak pro základní, tak i aplikovaný výzkum. Díky inovačnímu potenciálu se i řada malých firem stala konkurenceschopnými a vytvořily si své postavení v podmínkách vysoce globalizovaného odvětví, které je závislé na mnoha vlivech, které z ČR nedokážeme ovlivnit a mnohdy ani predikovat. Toto platí zejména pro oblast ICT technologií a v nemalé míře i o spotřební elektronice. Přesto v sektoru elektroniky (CZ NACE 26) a elektrotechniky (CZ NACE</w:t>
      </w:r>
      <w:r w:rsidR="006B5694">
        <w:rPr>
          <w:rFonts w:cs="Calibri"/>
        </w:rPr>
        <w:t> </w:t>
      </w:r>
      <w:r w:rsidRPr="00305943">
        <w:rPr>
          <w:rFonts w:cs="Calibri"/>
        </w:rPr>
        <w:t>27) je mnoho příležitostí pro uplatnění českého VaVaI a v mnohém se již tento průmysl nejen v evropském měřítku prosadil a nadále prosazuje.</w:t>
      </w:r>
    </w:p>
    <w:p w14:paraId="7F6BF18A" w14:textId="4D8277DC" w:rsidR="00305943" w:rsidRPr="00305943" w:rsidRDefault="00305943" w:rsidP="008B7055">
      <w:pPr>
        <w:spacing w:after="0" w:line="360" w:lineRule="auto"/>
        <w:ind w:firstLine="708"/>
        <w:jc w:val="both"/>
      </w:pPr>
      <w:r w:rsidRPr="00305943">
        <w:t>Výroba počítačů, elektronických a optických přístrojů a zařízení (CZ NACE 26) se řadí mezi nejvýznamnější oddíly zpracovatelského průmyslu. Je důležitým dodavatelem pro ostatní průmyslová odvětví, zejména automobilový průmysl a strojírenství. Výrobky elektrotechnického průmyslu jsou používány prakticky ve všech sférách lidské činnosti a jejich životní cyklus se neustále zkracuje. Produkce se řadí do kategorie vysoké a středně náročné technologie. Oddíl zahrnuje na jedné straně pracovně náročné výroby a na druhé straně i vysoce produktivní automatizované výroby. Fotonika jako výroba a integrace laserů, laserových součástí včetně opticky aktivních prostředí a technologie využívající laser jako aditivní výroba, spadající pod CZ NACE 26.7,</w:t>
      </w:r>
      <w:r w:rsidR="002616DA">
        <w:t xml:space="preserve"> tvoří významnou část oddílu CZ</w:t>
      </w:r>
      <w:r w:rsidRPr="00305943">
        <w:t>NACE</w:t>
      </w:r>
      <w:r w:rsidR="002616DA">
        <w:t> </w:t>
      </w:r>
      <w:r w:rsidRPr="00305943">
        <w:t>26. Oddíl je nejvíce zapojen do globálních hodnotových řetězců nadnárodních firem. V nich dochází k</w:t>
      </w:r>
      <w:r w:rsidR="00822470">
        <w:t> </w:t>
      </w:r>
      <w:r w:rsidRPr="00305943">
        <w:t>rozdílné segmentaci činností, kdy mateřské firmy si zpravidla ponechávají v pravomoci počáteční produkční aktivity jako je výzkum a vývoj, inovace, design a poprodukční činnosti (logistika, marketing, poprodejní uživatelské služby) s vyšší znalostní úrovní zaměstnanců a vyšší přidanou hodnotou, zatímco vlastní produkce (montáž) je lokalizována v méně ekonomicky vyspělých zemích s</w:t>
      </w:r>
      <w:r w:rsidR="00530692">
        <w:t> </w:t>
      </w:r>
      <w:r w:rsidRPr="00305943">
        <w:t>nižší úrovní znalostí pracovníků a nižší přidanou hodnotou. Produkce tohoto oddílu je z větší části určena pro vývoz, ale zároveň je náročná na dovoz komponentů. Každá koruna vývozu představuje 99</w:t>
      </w:r>
      <w:r w:rsidR="00562FCE">
        <w:t> </w:t>
      </w:r>
      <w:r w:rsidRPr="00305943">
        <w:t>haléřů dovozu a</w:t>
      </w:r>
      <w:r w:rsidR="00822470">
        <w:t> </w:t>
      </w:r>
      <w:r w:rsidRPr="00305943">
        <w:t>tato dovozní náročnost vývozu je nejvyšší ze všech oddílů zpracovatelského průmyslu. Z této velké otevřenosti a intenzívního zapojení do světové ekonomiky vyplývá i velká citlivost odvětví na hospodářské cykly globální ekonomiky.</w:t>
      </w:r>
    </w:p>
    <w:p w14:paraId="30160F5E" w14:textId="55911115" w:rsidR="00305943" w:rsidRPr="00305943" w:rsidRDefault="00305943" w:rsidP="00822470">
      <w:pPr>
        <w:spacing w:before="40" w:after="40" w:line="360" w:lineRule="auto"/>
        <w:ind w:firstLine="708"/>
        <w:jc w:val="both"/>
      </w:pPr>
      <w:r w:rsidRPr="00305943">
        <w:t>V roce 2016 působilo v oddílu CZ NACE 26 celkem 3 352 podniků, které zaměstnávaly 41</w:t>
      </w:r>
      <w:r w:rsidR="00822470">
        <w:t> </w:t>
      </w:r>
      <w:r w:rsidRPr="00305943">
        <w:t>796</w:t>
      </w:r>
      <w:r w:rsidR="00822470">
        <w:t> </w:t>
      </w:r>
      <w:r w:rsidRPr="00305943">
        <w:t>osob. Produktivita práce v tomto CZ NACE zaznamenala rychlý růst (v roce 2016 byla o 81,8</w:t>
      </w:r>
      <w:r w:rsidR="00E81E72">
        <w:t> </w:t>
      </w:r>
      <w:r w:rsidRPr="00305943">
        <w:t>% nad úrovní roku 2008)</w:t>
      </w:r>
      <w:r w:rsidRPr="00305943">
        <w:rPr>
          <w:rStyle w:val="Znakapoznpodarou"/>
          <w:rFonts w:ascii="Arial" w:hAnsi="Arial" w:cs="Arial"/>
          <w:sz w:val="20"/>
        </w:rPr>
        <w:footnoteReference w:id="106"/>
      </w:r>
      <w:r w:rsidRPr="00305943">
        <w:rPr>
          <w:rFonts w:ascii="Arial" w:hAnsi="Arial" w:cs="Arial"/>
          <w:sz w:val="20"/>
        </w:rPr>
        <w:t>.</w:t>
      </w:r>
    </w:p>
    <w:p w14:paraId="59584DDB" w14:textId="737D4473" w:rsidR="00305943" w:rsidRPr="00305943" w:rsidRDefault="00305943" w:rsidP="00822470">
      <w:pPr>
        <w:autoSpaceDE w:val="0"/>
        <w:autoSpaceDN w:val="0"/>
        <w:adjustRightInd w:val="0"/>
        <w:spacing w:after="0" w:line="360" w:lineRule="auto"/>
        <w:ind w:firstLine="708"/>
        <w:jc w:val="both"/>
      </w:pPr>
      <w:r w:rsidRPr="00305943">
        <w:rPr>
          <w:rFonts w:ascii="Calibri" w:hAnsi="Calibri" w:cs="Calibri"/>
        </w:rPr>
        <w:lastRenderedPageBreak/>
        <w:t>Nejen historicky, ale i v současnosti nejvýznamnějším částí elektrotechnického průmyslu je CZ</w:t>
      </w:r>
      <w:r w:rsidR="00822470">
        <w:rPr>
          <w:rFonts w:ascii="Calibri" w:hAnsi="Calibri" w:cs="Calibri"/>
        </w:rPr>
        <w:t> </w:t>
      </w:r>
      <w:r w:rsidRPr="00305943">
        <w:rPr>
          <w:rFonts w:ascii="Calibri" w:hAnsi="Calibri" w:cs="Calibri"/>
        </w:rPr>
        <w:t>NACE 27.1, tedy výroba elektrických motorů, generátorů, transformátorů a elektrických rozvodných a kontrolních zařízení. V podstatě ve všech metrikách, ať se jedná o přidanou hodnotu, tržby, výnosy či třeba počet zaměstnanců, je obor naprosto dominantní a dosahuje přibližně poloviny celého oddílu CZ NACE 27. Je tedy logické, že se jedná o obor podstatný nejen pro elektrotechniku a zpracovatelský průmysl, ale pro celou výkonnost ekonomiky. Elektrotočivé stroje vzhledem k širokému uplatnění a velké škále rozměrů a požadovaných výkonových charakteristik je nutné vyvíjet právě s ohledem na tyto požadované funkce. Koncept Průmysl 4.0 vytváří nové požadavky na servomotory, aktuátory a</w:t>
      </w:r>
      <w:r w:rsidR="00822470">
        <w:rPr>
          <w:rFonts w:ascii="Calibri" w:hAnsi="Calibri" w:cs="Calibri"/>
        </w:rPr>
        <w:t> </w:t>
      </w:r>
      <w:r w:rsidRPr="00305943">
        <w:rPr>
          <w:rFonts w:ascii="Calibri" w:hAnsi="Calibri" w:cs="Calibri"/>
        </w:rPr>
        <w:t xml:space="preserve">obdobné pohony, výrobní technologie si vyžadují specifické motory mnohdy jako „embedded“ řešení. Vytváří se požadavky na nová řešení trakčních motorů. Specifické požadavky na točivé stroje vyžaduje energetika, </w:t>
      </w:r>
      <w:r w:rsidRPr="00305943">
        <w:t xml:space="preserve">je třeba vyvinout řadu synchronních generátorů buzených permanentními magnety s vysokou účinností v rozsahu 5 až 500 kW, určených pro získávání „čisté“ energie a v této souvislosti i řadu odpovídajících turbín. Potřebným úkolem je též stanovení materiálů a technologií použitých pro aplikaci permanentních magnetů na bázi vzácných zemin v elektrických strojích s ohledem na dlouhodobou garanci magnetických a mechanických parametrů. </w:t>
      </w:r>
    </w:p>
    <w:p w14:paraId="2BAFBA0E" w14:textId="77777777" w:rsidR="00305943" w:rsidRPr="00305943" w:rsidRDefault="00305943" w:rsidP="00822470">
      <w:pPr>
        <w:autoSpaceDE w:val="0"/>
        <w:autoSpaceDN w:val="0"/>
        <w:adjustRightInd w:val="0"/>
        <w:spacing w:after="0" w:line="360" w:lineRule="auto"/>
        <w:ind w:firstLine="708"/>
        <w:jc w:val="both"/>
      </w:pPr>
      <w:r w:rsidRPr="00305943">
        <w:t>KVET vyžaduje zdroje tepelné a elektrické energie umožňující efektivnější získávání energie využitím biomasy nebo odpadního tepla z technologických procesů. Jsou realizovány na bázi mikroturbín přímo spojených s vysokootáčkovým elektrickým generátorem, který je zapojen do mě</w:t>
      </w:r>
      <w:r w:rsidRPr="00305943">
        <w:softHyphen/>
        <w:t>niče frekvence zajišťujícího výstupní síťové napětí.</w:t>
      </w:r>
    </w:p>
    <w:p w14:paraId="0F81695B" w14:textId="77777777" w:rsidR="00305943" w:rsidRPr="00305943" w:rsidRDefault="00305943" w:rsidP="00822470">
      <w:pPr>
        <w:autoSpaceDE w:val="0"/>
        <w:autoSpaceDN w:val="0"/>
        <w:adjustRightInd w:val="0"/>
        <w:spacing w:after="0" w:line="360" w:lineRule="auto"/>
        <w:ind w:firstLine="708"/>
        <w:jc w:val="both"/>
      </w:pPr>
      <w:r w:rsidRPr="00305943">
        <w:t>Vzhledem k velikosti průmyslu, zkušenostem a disponibilní řešitelské kapacitě nelze opomíjet pohony pro náročné vnější prostředí.  Pohony pro prašné prostředí (pouště, doly apod.); pohony pro chemické aplikace a agresivní podmínky; pohony pro seismicky aktivní oblasti; pohony pro radioaktivní prostředí; pohony pro přímořské oblasti s agresivní mlhou z mořské vody apod.</w:t>
      </w:r>
    </w:p>
    <w:p w14:paraId="5616C696" w14:textId="289B3E89" w:rsidR="00822470" w:rsidRDefault="00305943" w:rsidP="00002432">
      <w:pPr>
        <w:spacing w:after="0" w:line="360" w:lineRule="auto"/>
        <w:ind w:firstLine="708"/>
        <w:jc w:val="both"/>
      </w:pPr>
      <w:r w:rsidRPr="00305943">
        <w:t>S vývojem trakčních pohonů úzce souvisí a zároveň jsou prioritou řešení vedoucí k pohonům pro elektromobily a hybridní vozidela s ohledem na kompaktní zástavbu, vysokou účinnost a</w:t>
      </w:r>
      <w:r w:rsidR="00822470">
        <w:t> </w:t>
      </w:r>
      <w:r w:rsidRPr="00305943">
        <w:t>spolehlivost.</w:t>
      </w:r>
    </w:p>
    <w:p w14:paraId="4244A8E2" w14:textId="42CD43C1" w:rsidR="00305943" w:rsidRDefault="00305943" w:rsidP="00002432">
      <w:pPr>
        <w:spacing w:after="0" w:line="360" w:lineRule="auto"/>
        <w:ind w:firstLine="708"/>
        <w:jc w:val="both"/>
        <w:rPr>
          <w:rFonts w:ascii="Calibri" w:hAnsi="Calibri" w:cs="Calibri"/>
        </w:rPr>
      </w:pPr>
      <w:r w:rsidRPr="00305943">
        <w:rPr>
          <w:rFonts w:ascii="Calibri" w:hAnsi="Calibri" w:cs="Calibri"/>
        </w:rPr>
        <w:t xml:space="preserve">Společnosti, které jsou aktivní i v dalších oblastech (27.9 a 27.3), jsou zároveň schopné dodávat investiční celky na klíč, což je schopnost, která v ČR téměř vymizela. Obnovuje se s velkými obtížemi, zejména díky obrovskému deficitu odborníků jednotlivých profesí, kteří navíc nejsou zastřešení jednou dodavatelskou korporací. I přes určité problémy obor stále lineárně roste bez výraznějších zaváhání. Také zahraniční obchod vykazuje kladné saldo a jeho vysokou hodnotu nepoznamenaly ani výpadky ruského trhu, přestože byly pro některé společnosti zásadní. To ukazuje, že většina společností již před propadem ruského trhu diverzifikovala své exportní aktivity. Přesto, že jsme obchodně navázáni na Německo, tato země není vždy cílovou destinací našich produktů a z Německa jsou reexportovány často po kompletaci do vyšších produktových celků. V každém případě elektrotechnika je extrémně </w:t>
      </w:r>
      <w:r w:rsidRPr="00305943">
        <w:rPr>
          <w:rFonts w:ascii="Calibri" w:hAnsi="Calibri" w:cs="Calibri"/>
        </w:rPr>
        <w:lastRenderedPageBreak/>
        <w:t>globální obor, firmy z ČR se mohou ucházet o zakázky skutečně po celém světě, ale také mají z celého světa konkurenty. Udržet se v oboru na špičce mohou jen ty firmy, které se výraznou měrou zaměřují na výzkum a vývoj nových produktů.</w:t>
      </w:r>
    </w:p>
    <w:p w14:paraId="2B3F923F" w14:textId="77777777" w:rsidR="008B7055" w:rsidRDefault="008B7055" w:rsidP="00822470">
      <w:pPr>
        <w:spacing w:line="360" w:lineRule="auto"/>
        <w:ind w:firstLine="708"/>
        <w:jc w:val="both"/>
        <w:rPr>
          <w:rFonts w:ascii="Calibri" w:hAnsi="Calibri" w:cs="Calibri"/>
        </w:rPr>
      </w:pPr>
    </w:p>
    <w:p w14:paraId="05E8AEEC" w14:textId="4A8B420A" w:rsidR="00744C76" w:rsidRPr="008B7055" w:rsidRDefault="00744C76" w:rsidP="00744C76">
      <w:pPr>
        <w:spacing w:line="360" w:lineRule="auto"/>
        <w:jc w:val="both"/>
        <w:rPr>
          <w:rFonts w:ascii="Calibri" w:hAnsi="Calibri" w:cs="Calibri"/>
          <w:b/>
          <w:u w:val="single"/>
        </w:rPr>
      </w:pPr>
      <w:r w:rsidRPr="008B7055">
        <w:rPr>
          <w:rFonts w:ascii="Calibri" w:hAnsi="Calibri" w:cs="Calibri"/>
          <w:b/>
          <w:u w:val="single"/>
        </w:rPr>
        <w:t>Popis potřeb a jejich řešení</w:t>
      </w:r>
    </w:p>
    <w:p w14:paraId="23702860" w14:textId="60655A52" w:rsidR="00744C76" w:rsidRPr="00744C76" w:rsidRDefault="00744C76" w:rsidP="00C12928">
      <w:pPr>
        <w:spacing w:after="0" w:line="360" w:lineRule="auto"/>
        <w:ind w:firstLine="708"/>
        <w:jc w:val="both"/>
      </w:pPr>
      <w:r w:rsidRPr="00744C76">
        <w:t>Elektronika a elektrotechnika jsou obory, které se prolínají či úzce souvisí se všemi průmyslovými obory. Identifikované příležitosti můžeme rozdělit do tří oblastí – Nové materiály a</w:t>
      </w:r>
      <w:r>
        <w:t> </w:t>
      </w:r>
      <w:r w:rsidRPr="00744C76">
        <w:t>technologie, Elektrotechnika pro Průmysl 4.0 a Elektrotechnika pro jednotlivé obory.</w:t>
      </w:r>
    </w:p>
    <w:p w14:paraId="20C9AD7D" w14:textId="77777777" w:rsidR="00744C76" w:rsidRPr="00744C76" w:rsidRDefault="00744C76" w:rsidP="00C12928">
      <w:pPr>
        <w:spacing w:after="0" w:line="360" w:lineRule="auto"/>
        <w:ind w:firstLine="708"/>
        <w:jc w:val="both"/>
        <w:rPr>
          <w:rFonts w:cs="Arial"/>
        </w:rPr>
      </w:pPr>
      <w:r w:rsidRPr="00744C76">
        <w:rPr>
          <w:b/>
        </w:rPr>
        <w:t>Nové materiály a technologie</w:t>
      </w:r>
      <w:r w:rsidRPr="00744C76">
        <w:t xml:space="preserve"> zahrnují širokou škálu témat, zejména nové materiály pro pájení, izolace </w:t>
      </w:r>
      <w:r w:rsidRPr="00744C76">
        <w:rPr>
          <w:rFonts w:cs="Arial"/>
        </w:rPr>
        <w:t>k náhradě permanentních magnetů ze vzácných zemin</w:t>
      </w:r>
      <w:r w:rsidRPr="00744C76">
        <w:t xml:space="preserve"> a mikro-nano elektronické technologie. Vznikat by tak měla </w:t>
      </w:r>
      <w:r w:rsidRPr="00744C76">
        <w:rPr>
          <w:rFonts w:cs="Arial"/>
        </w:rPr>
        <w:t xml:space="preserve">elektrická zabezpečovací technika, sondy, čidla, měřicí přístroje, </w:t>
      </w:r>
      <w:r w:rsidRPr="00744C76">
        <w:t xml:space="preserve">nové metody měření fyzikálních veličin, řídicí systémy, instrumentace, mikroskopy, </w:t>
      </w:r>
      <w:r w:rsidRPr="00744C76">
        <w:rPr>
          <w:rFonts w:cs="Arial"/>
        </w:rPr>
        <w:t>kalibrátory, kamerové systémy pro potrubí, monitorovací systémy v oblasti geodynamiky, měřící technologie pro geologické vědy a meteorologii, elektrické spoje, plošné spoje, rozvaděče, kabely a řešení pro elektrotechnickou infrastrukturu, elektroinstalační úložné materiály, kontaktní a konektorové systémy, optické vláknové technologie, supravodivé materiály, elektronky, akumulátorové baterie, mikrovlnné spoje pro přenos dat, LED svítidla, svítící dlažební kostky, výstražná světelná zařízení.</w:t>
      </w:r>
    </w:p>
    <w:p w14:paraId="74115A3E" w14:textId="77777777" w:rsidR="00744C76" w:rsidRPr="00744C76" w:rsidRDefault="00744C76" w:rsidP="0087520A">
      <w:pPr>
        <w:spacing w:after="0" w:line="360" w:lineRule="auto"/>
        <w:ind w:firstLine="708"/>
        <w:jc w:val="both"/>
        <w:rPr>
          <w:rFonts w:cs="Arial"/>
        </w:rPr>
      </w:pPr>
      <w:r w:rsidRPr="00744C76">
        <w:t xml:space="preserve">Tato oblast zahrnuje také vývoj nových technologií pro ultra přesné obrábění (v řádech nanometrů) a vývoj </w:t>
      </w:r>
      <w:r w:rsidRPr="00744C76">
        <w:rPr>
          <w:rFonts w:cs="Arial"/>
        </w:rPr>
        <w:t xml:space="preserve">technologií a procesů pro výrobu přesných asferických a free-form optických elementů (čoček a zrcadel) stejně jako </w:t>
      </w:r>
      <w:r w:rsidRPr="00744C76">
        <w:t>návrh optických osvětlovacích a zobrazovacích systémů, které dokáží vhodně využít unikátních vlastností přesných asferických a free-form elementů.</w:t>
      </w:r>
    </w:p>
    <w:p w14:paraId="58BFE173" w14:textId="5789D2A4" w:rsidR="00744C76" w:rsidRPr="00744C76" w:rsidRDefault="00744C76" w:rsidP="0087520A">
      <w:pPr>
        <w:autoSpaceDE w:val="0"/>
        <w:autoSpaceDN w:val="0"/>
        <w:adjustRightInd w:val="0"/>
        <w:spacing w:after="0" w:line="360" w:lineRule="auto"/>
        <w:ind w:firstLine="708"/>
        <w:jc w:val="both"/>
        <w:rPr>
          <w:rFonts w:cs="Calibri"/>
        </w:rPr>
      </w:pPr>
      <w:r w:rsidRPr="00744C76">
        <w:rPr>
          <w:rFonts w:cs="Calibri"/>
        </w:rPr>
        <w:t>Nové výrobní technologie vyžadují zvyšování podílu senzoriky – nejen jako zdokonalené smysly robotů, ale všech nových sofistikovaných výrobků. Klíčový požadavek na další výzkum souvisí s potřebou rozvoje nových technologií s jistou mírou interakce s okolím založenou na pokročilých snímačích a inteligentních koncových efektorech, zprostředkovat „lidské“ dovednosti na základě pokročilého silového řízení či pokročilých technik pro 2D/3D strojové vidění, zpracování řeči a dalších senzorových vstupů. Dalším požadavkem je Scalability – nezávislost na velikosti a složitosti procesu a</w:t>
      </w:r>
      <w:r>
        <w:rPr>
          <w:rFonts w:cs="Calibri"/>
        </w:rPr>
        <w:t> </w:t>
      </w:r>
      <w:r w:rsidRPr="00744C76">
        <w:rPr>
          <w:rFonts w:cs="Calibri"/>
        </w:rPr>
        <w:t>potřeba řešení pokročilých simulačních a optimalizačních nástrojů.</w:t>
      </w:r>
    </w:p>
    <w:p w14:paraId="5438EC64" w14:textId="3259708F" w:rsidR="00744C76" w:rsidRPr="00744C76" w:rsidRDefault="00744C76" w:rsidP="00C12928">
      <w:pPr>
        <w:spacing w:after="0" w:line="360" w:lineRule="auto"/>
        <w:ind w:firstLine="708"/>
        <w:jc w:val="both"/>
        <w:rPr>
          <w:rFonts w:cs="Arial"/>
        </w:rPr>
      </w:pPr>
      <w:r w:rsidRPr="00744C76">
        <w:rPr>
          <w:rFonts w:cs="Arial"/>
        </w:rPr>
        <w:t xml:space="preserve">S výše uvedeným již úzce souvisí technologie pro rozvíjející se koncept </w:t>
      </w:r>
      <w:r w:rsidRPr="00744C76">
        <w:rPr>
          <w:rFonts w:cs="Arial"/>
          <w:b/>
        </w:rPr>
        <w:t>Průmyslu 4.0,</w:t>
      </w:r>
      <w:r w:rsidRPr="00744C76">
        <w:rPr>
          <w:rFonts w:cs="Arial"/>
        </w:rPr>
        <w:t xml:space="preserve"> který v sobě zahrnuje jak oblast sensorů (pokročilé senzory, aktuátory, data agregátory, nové součástky a</w:t>
      </w:r>
      <w:r>
        <w:rPr>
          <w:rFonts w:cs="Arial"/>
        </w:rPr>
        <w:t> </w:t>
      </w:r>
      <w:r w:rsidRPr="00744C76">
        <w:rPr>
          <w:rFonts w:cs="Arial"/>
        </w:rPr>
        <w:t xml:space="preserve">komponenty systémů, embedded systémy, optovláknové technologie a senzory a metody zpracování senzorových dat), tak oblast automatizace, robotiky, mechatroniky, měření, zjednodušování uplatnění průmyslové automatizace a robotizace pro nové průmyslové procesy zejména pro spolupráci člověk – robot/stroj a pro virtuální a rozšířenou realitu (rozvoj brýlí). Neodmyslitelnou součástí Průmyslu 4.0 je </w:t>
      </w:r>
      <w:r w:rsidRPr="00744C76">
        <w:rPr>
          <w:rFonts w:cs="Arial"/>
        </w:rPr>
        <w:lastRenderedPageBreak/>
        <w:t>také automatizace průmyslových procesů, diagnostické systémy, řídicí a informační systémy, systémy řízení technologických procesů, průmyslová manipulační ramena či zařízení pro inteligentní dopravní systémy.</w:t>
      </w:r>
    </w:p>
    <w:p w14:paraId="26D19C96" w14:textId="0E20867C" w:rsidR="00744C76" w:rsidRPr="00744C76" w:rsidRDefault="00744C76" w:rsidP="00C12928">
      <w:pPr>
        <w:spacing w:after="0" w:line="360" w:lineRule="auto"/>
        <w:ind w:firstLine="708"/>
        <w:jc w:val="both"/>
      </w:pPr>
      <w:r w:rsidRPr="00744C76">
        <w:rPr>
          <w:rFonts w:cs="Arial"/>
        </w:rPr>
        <w:t xml:space="preserve">Digitalizace se neobejde bez </w:t>
      </w:r>
      <w:r w:rsidRPr="00744C76" w:rsidDel="00C21913">
        <w:rPr>
          <w:rFonts w:cs="Arial"/>
        </w:rPr>
        <w:t>nových metod a simulačních nástrojů pro řízení agregátů, výrob a</w:t>
      </w:r>
      <w:r>
        <w:rPr>
          <w:rFonts w:cs="Arial"/>
        </w:rPr>
        <w:t> </w:t>
      </w:r>
      <w:r w:rsidRPr="00744C76" w:rsidDel="00C21913">
        <w:rPr>
          <w:rFonts w:cs="Arial"/>
        </w:rPr>
        <w:t>nadřazených systémů</w:t>
      </w:r>
      <w:r w:rsidRPr="00744C76">
        <w:rPr>
          <w:rFonts w:cs="Arial"/>
        </w:rPr>
        <w:t xml:space="preserve"> a technické a SW podpory</w:t>
      </w:r>
      <w:r w:rsidRPr="00744C76" w:rsidDel="00C21913">
        <w:rPr>
          <w:rFonts w:cs="Arial"/>
        </w:rPr>
        <w:t xml:space="preserve"> řízení výrobních technologií, řešení sběru, přenosu, ukládání, zpracování, archivace dat a vytváření informací pro řízení celého životního cyklu, pro zajištění kvality, šetrnosti k životnímu prostředí, zajištění bezpečnosti osob i věcí</w:t>
      </w:r>
      <w:r w:rsidRPr="00744C76">
        <w:rPr>
          <w:rFonts w:cs="Arial"/>
        </w:rPr>
        <w:t xml:space="preserve">, což úzce souvisí i s rozvojem nástrojů pro podporu IoT (Internet věcí), IoS (Internet služeb) a IoP (Internet osob), návrh a řešení vestavěných procesorových systémů. Pro robotizaci je nezbytnou podmínkou rozvoj nástrojů umělé inteligence a jejich implementace ve zpracovatelském průmyslu, identifikační systémy, včetně souvisejících služeb, řídicí prvky a systémy pro agregáty, stroje, výrobní linky, budovy, včetně software podpory. Vznikat budou i speciální roboti pro inspekci distribučních sítí a dalších liniových staveb a nástroje pro integraci Smart Systems. </w:t>
      </w:r>
      <w:r w:rsidRPr="00744C76">
        <w:t xml:space="preserve">Stále více průmyslových aplikací ICT, jako jsou autonomní systémy a zařízení a komplexní simulace, jsou výpočetně velmi náročné a vyžadují </w:t>
      </w:r>
      <w:r w:rsidRPr="00744C76">
        <w:rPr>
          <w:b/>
        </w:rPr>
        <w:t>vývoj superpočítačů</w:t>
      </w:r>
      <w:r w:rsidRPr="00744C76">
        <w:t xml:space="preserve">. </w:t>
      </w:r>
    </w:p>
    <w:p w14:paraId="5270DB51" w14:textId="2D99F061" w:rsidR="00744C76" w:rsidRPr="00744C76" w:rsidRDefault="00744C76" w:rsidP="00C12928">
      <w:pPr>
        <w:spacing w:after="0" w:line="360" w:lineRule="auto"/>
        <w:ind w:firstLine="708"/>
        <w:jc w:val="both"/>
        <w:rPr>
          <w:rFonts w:cs="Arial"/>
        </w:rPr>
      </w:pPr>
      <w:r w:rsidRPr="00744C76">
        <w:rPr>
          <w:rFonts w:cs="Arial"/>
          <w:b/>
        </w:rPr>
        <w:t>Elektrotechnika je</w:t>
      </w:r>
      <w:r w:rsidRPr="00744C76">
        <w:rPr>
          <w:rFonts w:cs="Arial"/>
        </w:rPr>
        <w:t xml:space="preserve"> </w:t>
      </w:r>
      <w:r w:rsidRPr="00744C76">
        <w:rPr>
          <w:rFonts w:cs="Arial"/>
          <w:b/>
        </w:rPr>
        <w:t>subdodavatelem</w:t>
      </w:r>
      <w:r w:rsidRPr="00744C76">
        <w:rPr>
          <w:rFonts w:cs="Arial"/>
        </w:rPr>
        <w:t xml:space="preserve"> </w:t>
      </w:r>
      <w:r w:rsidRPr="00744C76">
        <w:rPr>
          <w:rFonts w:cs="Arial"/>
          <w:b/>
        </w:rPr>
        <w:t>pro mnoho dalších oborů</w:t>
      </w:r>
      <w:r w:rsidRPr="00744C76">
        <w:rPr>
          <w:rFonts w:cs="Arial"/>
        </w:rPr>
        <w:t xml:space="preserve"> hospodářství. Pro vznik inovací jsou důležitá především mezioborová řešení, přičemž prioritou jsou řešení pro automobilový průmysl, chemický průmysl, dopravu, stavebnictví a zdravotnictví. Pro hospodářství ČR je klíčová zejména automobilová a průmyslová elektronika, elektromotory pro automobilový průmysl, výměna baterií u</w:t>
      </w:r>
      <w:r>
        <w:rPr>
          <w:rFonts w:cs="Arial"/>
        </w:rPr>
        <w:t> </w:t>
      </w:r>
      <w:r w:rsidRPr="00744C76">
        <w:rPr>
          <w:rFonts w:cs="Arial"/>
        </w:rPr>
        <w:t>elektromobilů. Specificky je možné zdůraznit i oblast pohonů (pohony a jejich řízení, specifické pohony, zvyšování energetické účinnosti pohonů, nové materiály pro stavbu pohonů (permanentní magnety, izolace).</w:t>
      </w:r>
    </w:p>
    <w:p w14:paraId="4E9A8E70" w14:textId="77777777" w:rsidR="00744C76" w:rsidRPr="00744C76" w:rsidRDefault="00744C76" w:rsidP="002165F0">
      <w:pPr>
        <w:spacing w:after="0" w:line="360" w:lineRule="auto"/>
        <w:ind w:firstLine="708"/>
        <w:jc w:val="both"/>
        <w:rPr>
          <w:rFonts w:cs="Arial"/>
        </w:rPr>
      </w:pPr>
      <w:r w:rsidRPr="00744C76">
        <w:rPr>
          <w:rFonts w:cs="Arial"/>
        </w:rPr>
        <w:t>Z dalších oborů, pro které je elektronika a elektrotechnika a jejich výstupy nezbytností, je možné jmenovat spotřební a medicínskou robotiku, elektrotechniku pro lékařské aplikace, e</w:t>
      </w:r>
      <w:r w:rsidRPr="00744C76">
        <w:t>lektrotechniku pro obranný průmysl a speciální aplikace (pasivní a aktivní radiolokace, zejména civilní letectví, meteorologii a bezpečnostní aplikace),</w:t>
      </w:r>
      <w:r w:rsidRPr="00744C76">
        <w:rPr>
          <w:rFonts w:cs="Arial"/>
        </w:rPr>
        <w:t xml:space="preserve"> polovodičový průmysl, zobrazovací techniku a digitální projekce (včetně technického zabezpečení analogových a digitálních přenosů s ohledem na zvýšení přenosových rychlostí, kvality a snížení energetické náročnosti přenosu).</w:t>
      </w:r>
    </w:p>
    <w:p w14:paraId="1A573AA1" w14:textId="77777777" w:rsidR="00744C76" w:rsidRPr="00744C76" w:rsidRDefault="00744C76" w:rsidP="002165F0">
      <w:pPr>
        <w:spacing w:after="0" w:line="360" w:lineRule="auto"/>
        <w:ind w:firstLine="708"/>
        <w:jc w:val="both"/>
        <w:rPr>
          <w:rFonts w:cs="Arial"/>
        </w:rPr>
      </w:pPr>
      <w:r w:rsidRPr="00744C76">
        <w:rPr>
          <w:rFonts w:cs="Arial"/>
        </w:rPr>
        <w:t>Elektrotechnika je také vstupem pro Smart Society a inteligentní budovy. V této souvislosti je nutné zdůraznit i potřebu zabezpečení a spolehlivosti u všech výše uvedených témat.</w:t>
      </w:r>
    </w:p>
    <w:p w14:paraId="1F70E119" w14:textId="77777777" w:rsidR="00744C76" w:rsidRPr="00744C76" w:rsidRDefault="00744C76" w:rsidP="002165F0">
      <w:pPr>
        <w:spacing w:after="0" w:line="360" w:lineRule="auto"/>
        <w:ind w:firstLine="708"/>
        <w:jc w:val="both"/>
        <w:rPr>
          <w:rFonts w:cs="Arial"/>
        </w:rPr>
      </w:pPr>
      <w:r w:rsidRPr="00744C76">
        <w:rPr>
          <w:rFonts w:cs="Arial"/>
        </w:rPr>
        <w:t>Posledním odvětvím, které je významným subdodavatelem do dalších průmyslových oborů v ČR i ve světě je elektronová mikroskopie, nanotechnologie pro elektronické součástky a oblast automatizované identifikace (RFID).</w:t>
      </w:r>
    </w:p>
    <w:p w14:paraId="5B715D36" w14:textId="48782ECF" w:rsidR="00744C76" w:rsidRDefault="00744C76" w:rsidP="002165F0">
      <w:pPr>
        <w:spacing w:after="0" w:line="360" w:lineRule="auto"/>
        <w:ind w:firstLine="708"/>
        <w:jc w:val="both"/>
      </w:pPr>
      <w:r w:rsidRPr="00744C76">
        <w:t xml:space="preserve">Výroba počítačů, elektronických a optických přístrojů a zařízení se řadí mezi nejvýznamnější oddíly zpracovatelského průmyslu. Je důležitým dodavatelem pro ostatní průmyslová odvětví, zejména automobilový průmysl a strojírenství. Výrobky elektrotechnického průmyslu jsou používány prakticky </w:t>
      </w:r>
      <w:r w:rsidRPr="00744C76">
        <w:lastRenderedPageBreak/>
        <w:t>ve všech sférách lidské činnosti a jejich životní cyklus se neustále zkracuje. Produkce se řadí do kategorie vysoké a středně náročné technologie. Oddíl zahrnuje na jedné straně pracovně náročné výroby a na druhé straně i vysoce produktivní automatizované výroby. Tento oddíl je nejvíce zapojen do globálních hodnotových řetězců nadnárodních firem. V nich dochází k rozdílné segmentaci činností, kdy si mateřské firmy zpravidla ponechávají v pravomoci počáteční produkční aktivity (výzkum a vývoj, inovace, design) a poprodukční činnosti (logistika, marketing, poprodejní uživatelské služby) s vyšší znalostní úrovní zaměstnanců a vyšší přidanou hodnotou, zatímco vlastní produkce (montáž) je lokalizována v méně ekonomicky vyspělých zemích s nižší úrovní znalostí pracovníků a nižší přidanou hodnotou. Produkce tohoto oddílu je z větší části určena pro vývoz, ale zároveň je náročná na dovoz komponentů. Každá koruna vývozu představuje 99 haléřů dovozu a tato dovozní náročnost vývozu je nejvyšší ze všech oddílů zpracovatelského průmyslu. Z této velké otevřenosti a intenzívního zapojení do světové ekonomiky vyplývá i velká citlivost odvětví na hospodářské cykly globální ekonomiky.</w:t>
      </w:r>
    </w:p>
    <w:p w14:paraId="1FEE25BF" w14:textId="77777777" w:rsidR="003A542A" w:rsidRDefault="003A542A" w:rsidP="002165F0">
      <w:pPr>
        <w:spacing w:after="0" w:line="360" w:lineRule="auto"/>
        <w:ind w:firstLine="708"/>
        <w:jc w:val="both"/>
      </w:pPr>
    </w:p>
    <w:p w14:paraId="273AFE3A" w14:textId="121FE70F" w:rsidR="00E1628E" w:rsidRDefault="00E1628E" w:rsidP="00E1628E">
      <w:pPr>
        <w:pStyle w:val="Nadpis4"/>
      </w:pPr>
      <w:bookmarkStart w:id="133" w:name="_Toc525716221"/>
      <w:r>
        <w:t>Digitální ekonomika a digitální obsah</w:t>
      </w:r>
      <w:bookmarkEnd w:id="133"/>
    </w:p>
    <w:p w14:paraId="1B0A9DE3" w14:textId="719558D8" w:rsidR="00070CE2" w:rsidRDefault="00070CE2" w:rsidP="00070CE2">
      <w:pPr>
        <w:spacing w:before="240" w:line="360" w:lineRule="auto"/>
        <w:jc w:val="both"/>
        <w:rPr>
          <w:b/>
        </w:rPr>
      </w:pPr>
      <w:r>
        <w:rPr>
          <w:b/>
        </w:rPr>
        <w:t>Východiska</w:t>
      </w:r>
    </w:p>
    <w:p w14:paraId="48CE5C95" w14:textId="77777777" w:rsidR="00070CE2" w:rsidRPr="00070CE2" w:rsidRDefault="00070CE2" w:rsidP="00070CE2">
      <w:pPr>
        <w:autoSpaceDE w:val="0"/>
        <w:autoSpaceDN w:val="0"/>
        <w:adjustRightInd w:val="0"/>
        <w:spacing w:before="240" w:after="0" w:line="360" w:lineRule="auto"/>
        <w:ind w:firstLine="708"/>
        <w:jc w:val="both"/>
        <w:rPr>
          <w:rFonts w:cs="Calibri"/>
        </w:rPr>
      </w:pPr>
      <w:r w:rsidRPr="00070CE2">
        <w:rPr>
          <w:rFonts w:cs="Calibri"/>
        </w:rPr>
        <w:t>Obecně lze elektrotechnický průmysl, jak v části elektronické, tak i elektrotechnické, považovat za dobře etablovaný, historicky vybavený kapacitou jak pro základní, tak i aplikovaný výzkum. Díky inovačnímu potenciálu se i řada malých firem stala konkurenceschopnými a vytvořily si své postavení v podmínkách vysoce globalizovaného odvětví, které je závislé na mnoha vlivech, které z ČR nedokážeme ovlivnit a mnohdy ani predikovat. Toto platí zejména pro oblast ICT technologií a v nemalé míře i o spotřební elektronice. Přesto v sektoru elektroniky (CZ NACE 26) a elektrotechniky (CZ NACE 27) je mnoho příležitostí pro uplatnění českého VaVaI a v mnohém se již tento průmysl nejen v evropském měřítku prosadil a nadále prosazuje.</w:t>
      </w:r>
    </w:p>
    <w:p w14:paraId="58CA430E" w14:textId="03D2A8A4" w:rsidR="00070CE2" w:rsidRPr="00070CE2" w:rsidRDefault="00070CE2" w:rsidP="002165F0">
      <w:pPr>
        <w:spacing w:after="0" w:line="360" w:lineRule="auto"/>
        <w:ind w:firstLine="708"/>
        <w:jc w:val="both"/>
      </w:pPr>
      <w:r w:rsidRPr="00070CE2">
        <w:t>Výroba počítačů, elektronických a optických přístrojů a zařízení (CZ NACE 26) se řadí mezi nejvýznamnější oddíly zpracovatelského průmyslu. Je důležitým dodavatelem pro ostatní průmyslová odvětví, zejména automobilový průmysl a strojírenství. Výrobky elektrotechnického průmyslu jsou používány prakticky ve všech sférách lidské činnosti a jejich životní cyklus se neustále zkracuje. Produkce se řadí do kategorie vysoké a středně náročné technologie. Oddíl zahrnuje na jedné straně pracovně náročné výroby a na druhé straně i vysoce produktivní automatizované výroby. Fotonika jako výroba a integrace laserů, laserových součástí včetně opticky aktivních prostředí a technologie využívající laser jako aditivní výroba, spadající pod CZ NACE 26.7,</w:t>
      </w:r>
      <w:r w:rsidR="00CF451E">
        <w:t xml:space="preserve"> tvoří významnou část oddílu CZ </w:t>
      </w:r>
      <w:r w:rsidRPr="00070CE2">
        <w:t>NACE 26. Oddíl je nejvíce zapojen do globálních hodnotových řetězců nadnárodních firem. V nich dochází k</w:t>
      </w:r>
      <w:r w:rsidR="00CF451E">
        <w:t> </w:t>
      </w:r>
      <w:r w:rsidRPr="00070CE2">
        <w:t xml:space="preserve">rozdílné segmentaci činností, kdy mateřské firmy si zpravidla ponechávají v pravomoci počáteční </w:t>
      </w:r>
      <w:r w:rsidRPr="00070CE2">
        <w:lastRenderedPageBreak/>
        <w:t>produkční aktivity jako je výzkum a vývoj, inovace, design a poprodukční činnosti (logistika, marketing, poprodejní uživatelské služby) s vyšší znalostní úrovní zaměstnanců a vyšší přidanou hodnotou, zatímco vlastní produkce (montáž) je lokalizována v méně ekonomicky vyspělých zemích s nižší úrovní znalostí pracovníků a nižší přidanou hodnotou. Produkce tohoto oddílu je z větší části určena pro vývoz, ale zároveň je náročná na dovoz komponentů. Každá koruna vývozu představuje 99 haléřů dovozu a</w:t>
      </w:r>
      <w:r w:rsidR="00326BF6">
        <w:t> </w:t>
      </w:r>
      <w:r w:rsidRPr="00070CE2">
        <w:t>tato dovozní náročnost vývozu je nejvyšší ze všech oddílů zpracovatelského průmyslu. Z této velké otevřenosti a intenzívního zapojení do světové ekonomiky vyplývá i velká citlivost odvětví na hospodářské cykly globální ekonomiky.</w:t>
      </w:r>
    </w:p>
    <w:p w14:paraId="324532F0" w14:textId="2DA3680C" w:rsidR="00070CE2" w:rsidRPr="00070CE2" w:rsidRDefault="00070CE2" w:rsidP="002165F0">
      <w:pPr>
        <w:spacing w:after="0" w:line="360" w:lineRule="auto"/>
        <w:ind w:firstLine="708"/>
        <w:jc w:val="both"/>
      </w:pPr>
      <w:r w:rsidRPr="00070CE2">
        <w:t>V roce 2016 působilo v oddílu CZ NACE 26 celkem 3 352 podniků, které zaměstnávaly 41</w:t>
      </w:r>
      <w:r w:rsidR="00D454B0">
        <w:t> </w:t>
      </w:r>
      <w:r w:rsidRPr="00070CE2">
        <w:t>796</w:t>
      </w:r>
      <w:r w:rsidR="00D454B0">
        <w:t> </w:t>
      </w:r>
      <w:r w:rsidRPr="00070CE2">
        <w:t>osob. Produktivita práce v tomto CZ NACE zaznamenala rychlý růst (v roce 2016 byla o 81,8 % nad úrovní roku 2008)</w:t>
      </w:r>
      <w:r w:rsidRPr="00070CE2">
        <w:rPr>
          <w:rStyle w:val="Znakapoznpodarou"/>
          <w:rFonts w:cs="Arial"/>
        </w:rPr>
        <w:footnoteReference w:id="107"/>
      </w:r>
      <w:r w:rsidRPr="00070CE2">
        <w:rPr>
          <w:rFonts w:cs="Arial"/>
        </w:rPr>
        <w:t>.</w:t>
      </w:r>
    </w:p>
    <w:p w14:paraId="167E53AF" w14:textId="6BFCFF6E" w:rsidR="00070CE2" w:rsidRPr="00070CE2" w:rsidRDefault="00070CE2" w:rsidP="009B1394">
      <w:pPr>
        <w:autoSpaceDE w:val="0"/>
        <w:autoSpaceDN w:val="0"/>
        <w:adjustRightInd w:val="0"/>
        <w:spacing w:after="0" w:line="360" w:lineRule="auto"/>
        <w:ind w:firstLine="708"/>
        <w:jc w:val="both"/>
      </w:pPr>
      <w:r w:rsidRPr="00070CE2">
        <w:rPr>
          <w:rFonts w:cs="Calibri"/>
        </w:rPr>
        <w:t>Nejen historicky, ale i v současnosti nejvýznamnějším částí elektrotechnického průmyslu je CZ</w:t>
      </w:r>
      <w:r w:rsidR="002165F0">
        <w:rPr>
          <w:rFonts w:cs="Calibri"/>
        </w:rPr>
        <w:t> </w:t>
      </w:r>
      <w:r w:rsidRPr="00070CE2">
        <w:rPr>
          <w:rFonts w:cs="Calibri"/>
        </w:rPr>
        <w:t>NACE 27.1, tedy výroba elektrických motorů, generátorů, transformátorů a elektrických rozvodných a</w:t>
      </w:r>
      <w:r>
        <w:rPr>
          <w:rFonts w:cs="Calibri"/>
        </w:rPr>
        <w:t> </w:t>
      </w:r>
      <w:r w:rsidRPr="00070CE2">
        <w:rPr>
          <w:rFonts w:cs="Calibri"/>
        </w:rPr>
        <w:t>kontrolních zařízení. V podstatě ve všech metrikách, ať se jedná o přidanou hodnotu, tržby, výnosy či třeba počet zaměstnanců, je obor naprosto dominantní a dosahuje přibližně poloviny celého oddílu CZ NACE 27. Je tedy logické, že se jedná o obor podstatný nejen pro elektrotechniku a zpracovatelský průmysl, ale pro celou výkonnost ekonomiky. Elektrotočivé stroje vzhledem k širokému uplatnění a velké škále rozměrů a požadovaných výkonových charakteristik je nutné vyvíjet právě s ohledem na tyto požadované funkce. Koncept Průmysl 4.0 vytváří nové požadavky na servomotory, aktuátory a</w:t>
      </w:r>
      <w:r w:rsidR="0027067C">
        <w:rPr>
          <w:rFonts w:cs="Calibri"/>
        </w:rPr>
        <w:t> </w:t>
      </w:r>
      <w:r w:rsidRPr="00070CE2">
        <w:rPr>
          <w:rFonts w:cs="Calibri"/>
        </w:rPr>
        <w:t xml:space="preserve">obdobné pohony, výrobní technologie si vyžadují specifické motory mnohdy jako „embedded“ řešení. Vytváří se požadavky na nová řešení trakčních motorů. Specifické požadavky na točivé stroje vyžaduje energetika, </w:t>
      </w:r>
      <w:r w:rsidRPr="00070CE2">
        <w:t xml:space="preserve">je třeba vyvinout řadu synchronních generátorů buzených permanentními magnety s vysokou účinností v rozsahu 5 až 500 kW, určených pro získávání „čisté“ energie a v této souvislosti i řadu odpovídajících turbín. Potřebným úkolem je též stanovení materiálů a technologií použitých pro aplikaci permanentních magnetů na bázi vzácných zemin v elektrických strojích s ohledem na dlouhodobou garanci magnetických a mechanických parametrů. </w:t>
      </w:r>
    </w:p>
    <w:p w14:paraId="075D21D7" w14:textId="77777777" w:rsidR="00070CE2" w:rsidRPr="00070CE2" w:rsidRDefault="00070CE2" w:rsidP="009B1394">
      <w:pPr>
        <w:autoSpaceDE w:val="0"/>
        <w:autoSpaceDN w:val="0"/>
        <w:adjustRightInd w:val="0"/>
        <w:spacing w:after="0" w:line="360" w:lineRule="auto"/>
        <w:ind w:firstLine="708"/>
        <w:jc w:val="both"/>
      </w:pPr>
      <w:r w:rsidRPr="00070CE2">
        <w:t>KVET vyžaduje zdroje tepelné a elektrické energie umožňující efektivnější získávání energie využitím biomasy nebo odpadního tepla z technologických procesů. Jsou realizovány na bázi mikroturbín přímo spojených s vysokootáčkovým elektrickým generátorem, který je zapojen do mě</w:t>
      </w:r>
      <w:r w:rsidRPr="00070CE2">
        <w:softHyphen/>
        <w:t>niče frekvence zajišťujícího výstupní síťové napětí.</w:t>
      </w:r>
    </w:p>
    <w:p w14:paraId="1AE7F09A" w14:textId="77777777" w:rsidR="00070CE2" w:rsidRPr="00070CE2" w:rsidRDefault="00070CE2" w:rsidP="009B1394">
      <w:pPr>
        <w:autoSpaceDE w:val="0"/>
        <w:autoSpaceDN w:val="0"/>
        <w:adjustRightInd w:val="0"/>
        <w:spacing w:after="0" w:line="360" w:lineRule="auto"/>
        <w:ind w:firstLine="708"/>
        <w:jc w:val="both"/>
      </w:pPr>
      <w:r w:rsidRPr="00070CE2">
        <w:t xml:space="preserve">Vzhledem k velikosti průmyslu, zkušenostem a disponibilní řešitelské kapacitě nelze opomíjet pohony pro náročné vnější prostředí.  Pohony pro prašné prostředí (pouště, doly apod.); pohony pro </w:t>
      </w:r>
      <w:r w:rsidRPr="00070CE2">
        <w:lastRenderedPageBreak/>
        <w:t>chemické aplikace a agresivní podmínky; pohony pro seismicky aktivní oblasti; pohony pro radioaktivní prostředí; pohony pro přímořské oblasti s agresivní mlhou z mořské vody apod.</w:t>
      </w:r>
    </w:p>
    <w:p w14:paraId="4F05FFF6" w14:textId="6C4B03E9" w:rsidR="00070CE2" w:rsidRPr="00070CE2" w:rsidRDefault="00070CE2" w:rsidP="009B1394">
      <w:pPr>
        <w:spacing w:after="0" w:line="360" w:lineRule="auto"/>
        <w:ind w:firstLine="708"/>
        <w:jc w:val="both"/>
      </w:pPr>
      <w:r w:rsidRPr="00070CE2">
        <w:t>S vývojem trakčních pohonů úzce souvisí a zároveň jsou prioritou řešení vedoucí k pohonům pro elektromobily a hybridní vozidela s ohledem na kompaktní zástavbu, vysokou účinnost a</w:t>
      </w:r>
      <w:r w:rsidR="0045755B">
        <w:t> </w:t>
      </w:r>
      <w:r w:rsidRPr="00070CE2">
        <w:t>spolehlivost.</w:t>
      </w:r>
    </w:p>
    <w:p w14:paraId="63477E8A" w14:textId="34396D2A" w:rsidR="00070CE2" w:rsidRPr="00070CE2" w:rsidRDefault="00070CE2" w:rsidP="009B1394">
      <w:pPr>
        <w:spacing w:after="0" w:line="360" w:lineRule="auto"/>
        <w:ind w:firstLine="708"/>
        <w:jc w:val="both"/>
        <w:rPr>
          <w:b/>
        </w:rPr>
      </w:pPr>
      <w:r w:rsidRPr="00070CE2">
        <w:rPr>
          <w:rFonts w:cs="Calibri"/>
        </w:rPr>
        <w:t>Společnosti, které jsou aktivní i v dalších oblastech (27.9 a 27.3), jsou zároveň schopné dodávat investiční celky na klíč, což je schopnost, která v ČR téměř vymizela. Obnovuje se s velkými obtížemi, zejména díky obrovskému deficitu odborníků jednotlivých profesí, kteří navíc nejsou zastřešení jednou dodavatelskou korporací. I přes určité problémy obor stále lineárně roste bez výraznějších zaváhání. Také zahraniční obchod vykazuje kladné saldo a jeho vysokou hodnotu nepoznamenaly ani výpadky ruského trhu, přestože byly pro některé společnosti zásadní. To ukazuje, že většina společností již před propadem ruského trhu diverzifikovala své exportní aktivity. Přesto, že jsme obchodně navázáni na Německo, tato země není vždy cílovou destinací našich produktů a z Německa jsou reexportovány často po kompletaci do vyšších produktových celků. V každém případě elektrotechnika je extrémně globální obor, firmy z ČR se mohou ucházet o zakázky skutečně po celém světě, ale také mají z celého světa konkurenty. Udržet se v oboru na špičce mohou jen ty firmy, které se výraznou měrou zaměřují na výzkum a vývoj nových produktů.</w:t>
      </w:r>
    </w:p>
    <w:p w14:paraId="78AD8C3B" w14:textId="77777777" w:rsidR="00070CE2" w:rsidRDefault="00070CE2" w:rsidP="00070CE2">
      <w:pPr>
        <w:spacing w:before="240" w:line="360" w:lineRule="auto"/>
        <w:jc w:val="both"/>
        <w:rPr>
          <w:b/>
        </w:rPr>
      </w:pPr>
    </w:p>
    <w:p w14:paraId="3BEC84E9" w14:textId="278DB8AD" w:rsidR="0045755B" w:rsidRPr="009B1394" w:rsidRDefault="0045755B" w:rsidP="00070CE2">
      <w:pPr>
        <w:spacing w:before="240" w:line="360" w:lineRule="auto"/>
        <w:jc w:val="both"/>
        <w:rPr>
          <w:b/>
          <w:u w:val="single"/>
        </w:rPr>
      </w:pPr>
      <w:r w:rsidRPr="009B1394">
        <w:rPr>
          <w:b/>
          <w:u w:val="single"/>
        </w:rPr>
        <w:t>Popis potřeb a jejich řešení</w:t>
      </w:r>
    </w:p>
    <w:p w14:paraId="32CFDF9C" w14:textId="6DE22223" w:rsidR="0045755B" w:rsidRPr="0045755B" w:rsidRDefault="0045755B" w:rsidP="009B1394">
      <w:pPr>
        <w:spacing w:after="0" w:line="360" w:lineRule="auto"/>
        <w:ind w:firstLine="708"/>
        <w:jc w:val="both"/>
      </w:pPr>
      <w:r w:rsidRPr="0045755B">
        <w:t>Elektronika a elektrotechnika jsou obory, které se prolínají či úzce souvisí se všemi průmyslovými obory. Identifikované příležitosti můžeme rozdělit do tří oblastí – Nové materiály a</w:t>
      </w:r>
      <w:r>
        <w:t> </w:t>
      </w:r>
      <w:r w:rsidRPr="0045755B">
        <w:t>technologie, Elektrotechnika pro Průmysl 4.0 a Elektrotechnika pro jednotlivé obory.</w:t>
      </w:r>
    </w:p>
    <w:p w14:paraId="6BC22A2D" w14:textId="77777777" w:rsidR="0045755B" w:rsidRPr="0045755B" w:rsidRDefault="0045755B" w:rsidP="009B1394">
      <w:pPr>
        <w:spacing w:after="0" w:line="360" w:lineRule="auto"/>
        <w:ind w:firstLine="708"/>
        <w:jc w:val="both"/>
        <w:rPr>
          <w:rFonts w:cs="Arial"/>
        </w:rPr>
      </w:pPr>
      <w:r w:rsidRPr="0045755B">
        <w:rPr>
          <w:b/>
        </w:rPr>
        <w:t>Nové materiály a technologie</w:t>
      </w:r>
      <w:r w:rsidRPr="0045755B">
        <w:t xml:space="preserve"> zahrnují širokou škálu témat, zejména nové materiály pro pájení, izolace </w:t>
      </w:r>
      <w:r w:rsidRPr="0045755B">
        <w:rPr>
          <w:rFonts w:cs="Arial"/>
        </w:rPr>
        <w:t>k náhradě permanentních magnetů ze vzácných zemin</w:t>
      </w:r>
      <w:r w:rsidRPr="0045755B">
        <w:t xml:space="preserve"> a mikro-nano elektronické technologie. Vznikat by tak měla </w:t>
      </w:r>
      <w:r w:rsidRPr="0045755B">
        <w:rPr>
          <w:rFonts w:cs="Arial"/>
        </w:rPr>
        <w:t xml:space="preserve">elektrická zabezpečovací technika, sondy, čidla, měřicí přístroje, </w:t>
      </w:r>
      <w:r w:rsidRPr="0045755B">
        <w:t xml:space="preserve">nové metody měření fyzikálních veličin, řídicí systémy, instrumentace, mikroskopy, </w:t>
      </w:r>
      <w:r w:rsidRPr="0045755B">
        <w:rPr>
          <w:rFonts w:cs="Arial"/>
        </w:rPr>
        <w:t>kalibrátory, kamerové systémy pro potrubí, monitorovací systémy v oblasti geodynamiky, měřící technologie pro geologické vědy a meteorologii, elektrické spoje, plošné spoje, rozvaděče, kabely a řešení pro elektrotechnickou infrastrukturu, elektroinstalační úložné materiály, kontaktní a konektorové systémy, optické vláknové technologie, supravodivé materiály, elektronky, akumulátorové baterie, mikrovlnné spoje pro přenos dat, LED svítidla, svítící dlažební kostky, výstražná světelná zařízení.</w:t>
      </w:r>
    </w:p>
    <w:p w14:paraId="12D8FDA1" w14:textId="77777777" w:rsidR="0045755B" w:rsidRPr="0045755B" w:rsidRDefault="0045755B" w:rsidP="009B1394">
      <w:pPr>
        <w:spacing w:after="0" w:line="360" w:lineRule="auto"/>
        <w:ind w:firstLine="708"/>
        <w:jc w:val="both"/>
        <w:rPr>
          <w:rFonts w:cs="Arial"/>
        </w:rPr>
      </w:pPr>
      <w:r w:rsidRPr="0045755B">
        <w:t xml:space="preserve">Tato oblast zahrnuje také vývoj nových technologií pro ultra přesné obrábění (v řádech nanometrů) a vývoj </w:t>
      </w:r>
      <w:r w:rsidRPr="0045755B">
        <w:rPr>
          <w:rFonts w:cs="Arial"/>
        </w:rPr>
        <w:t xml:space="preserve">technologií a procesů pro výrobu přesných asferických a free-form optických </w:t>
      </w:r>
      <w:r w:rsidRPr="0045755B">
        <w:rPr>
          <w:rFonts w:cs="Arial"/>
        </w:rPr>
        <w:lastRenderedPageBreak/>
        <w:t xml:space="preserve">elementů (čoček a zrcadel) stejně jako </w:t>
      </w:r>
      <w:r w:rsidRPr="0045755B">
        <w:t>návrh optických osvětlovacích a zobrazovacích systémů, které dokáží vhodně využít unikátních vlastností přesných asferických a free-form elementů.</w:t>
      </w:r>
    </w:p>
    <w:p w14:paraId="2986D7F1" w14:textId="159C25BD" w:rsidR="0045755B" w:rsidRPr="0045755B" w:rsidRDefault="0045755B" w:rsidP="009B1394">
      <w:pPr>
        <w:autoSpaceDE w:val="0"/>
        <w:autoSpaceDN w:val="0"/>
        <w:adjustRightInd w:val="0"/>
        <w:spacing w:after="0" w:line="360" w:lineRule="auto"/>
        <w:ind w:firstLine="708"/>
        <w:jc w:val="both"/>
        <w:rPr>
          <w:rFonts w:cs="Calibri"/>
        </w:rPr>
      </w:pPr>
      <w:r w:rsidRPr="0045755B">
        <w:rPr>
          <w:rFonts w:cs="Calibri"/>
        </w:rPr>
        <w:t>Nové výrobní technologie vyžadují zvyšování podílu senzoriky – nejen jako zdokonalené smysly robotů, ale všech nových sofistikovaných výrobků. Klíčový požadavek na další výzkum souvisí s potřebou rozvoje nových technologií s jistou mírou interakce s okolím založenou na pokročilých snímačích a inteligentních koncových efektorech, zprostředkovat „lidské“ dovednosti na základě pokročilého silového řízení či pokročilých technik pro 2D/3D strojové vidění, zpracování řeči a dalších senzorových vstupů. Dalším požadavkem je Scalability – nezávislost na velikosti a složitosti procesu a</w:t>
      </w:r>
      <w:r w:rsidR="003C6D44">
        <w:rPr>
          <w:rFonts w:cs="Calibri"/>
        </w:rPr>
        <w:t>  </w:t>
      </w:r>
      <w:r w:rsidRPr="0045755B">
        <w:rPr>
          <w:rFonts w:cs="Calibri"/>
        </w:rPr>
        <w:t>potřeba řešení pokročilých simulačních a optimalizačních nástrojů.</w:t>
      </w:r>
    </w:p>
    <w:p w14:paraId="3516F2D9" w14:textId="3D076891" w:rsidR="0045755B" w:rsidRPr="0045755B" w:rsidRDefault="0045755B" w:rsidP="009B1394">
      <w:pPr>
        <w:spacing w:after="0" w:line="360" w:lineRule="auto"/>
        <w:ind w:firstLine="708"/>
        <w:jc w:val="both"/>
        <w:rPr>
          <w:rFonts w:cs="Arial"/>
        </w:rPr>
      </w:pPr>
      <w:r w:rsidRPr="0045755B">
        <w:rPr>
          <w:rFonts w:cs="Arial"/>
        </w:rPr>
        <w:t xml:space="preserve">S výše uvedeným již úzce souvisí technologie pro rozvíjející se koncept </w:t>
      </w:r>
      <w:r w:rsidRPr="0045755B">
        <w:rPr>
          <w:rFonts w:cs="Arial"/>
          <w:b/>
        </w:rPr>
        <w:t>Průmyslu 4.0,</w:t>
      </w:r>
      <w:r w:rsidRPr="0045755B">
        <w:rPr>
          <w:rFonts w:cs="Arial"/>
        </w:rPr>
        <w:t xml:space="preserve"> který v sobě zahrnuje jak oblast sensorů (pokročilé senzory, aktuátory, data agregátory, nové součástky a</w:t>
      </w:r>
      <w:r>
        <w:rPr>
          <w:rFonts w:cs="Arial"/>
        </w:rPr>
        <w:t> </w:t>
      </w:r>
      <w:r w:rsidRPr="0045755B">
        <w:rPr>
          <w:rFonts w:cs="Arial"/>
        </w:rPr>
        <w:t>komponenty systémů, embedded systémy, optovláknové technologie a senzory a metody zpracování senzorových dat), tak oblast automatizace, robotiky, mechatroniky, měření, zjednodušování uplatnění průmyslové automatizace a robotizace pro nové průmyslové procesy zejména pro spolupráci člověk – robot/stroj a pro virtuální a rozšířenou realitu (rozvoj brýlí). Neodmyslitelnou součástí Průmyslu 4.0 je také automatizace průmyslových procesů, diagnostické systémy, řídicí a informační systémy, systémy řízení technologických procesů, průmyslová manipulační ramena či zařízení pro inteligentní dopravní systémy.</w:t>
      </w:r>
    </w:p>
    <w:p w14:paraId="4C6F2E72" w14:textId="103BC86B" w:rsidR="0045755B" w:rsidRPr="0045755B" w:rsidRDefault="0045755B" w:rsidP="009B1394">
      <w:pPr>
        <w:spacing w:after="0" w:line="360" w:lineRule="auto"/>
        <w:ind w:firstLine="708"/>
        <w:jc w:val="both"/>
      </w:pPr>
      <w:r w:rsidRPr="0045755B">
        <w:rPr>
          <w:rFonts w:cs="Arial"/>
        </w:rPr>
        <w:t xml:space="preserve">Digitalizace se neobejde bez </w:t>
      </w:r>
      <w:r w:rsidRPr="0045755B" w:rsidDel="00C21913">
        <w:rPr>
          <w:rFonts w:cs="Arial"/>
        </w:rPr>
        <w:t>nových metod a simulačních nástrojů pro řízení agregátů, výrob a</w:t>
      </w:r>
      <w:r>
        <w:rPr>
          <w:rFonts w:cs="Arial"/>
        </w:rPr>
        <w:t> </w:t>
      </w:r>
      <w:r w:rsidRPr="0045755B" w:rsidDel="00C21913">
        <w:rPr>
          <w:rFonts w:cs="Arial"/>
        </w:rPr>
        <w:t>nadřazených systémů</w:t>
      </w:r>
      <w:r w:rsidRPr="0045755B">
        <w:rPr>
          <w:rFonts w:cs="Arial"/>
        </w:rPr>
        <w:t xml:space="preserve"> a technické a SW podpory</w:t>
      </w:r>
      <w:r w:rsidRPr="0045755B" w:rsidDel="00C21913">
        <w:rPr>
          <w:rFonts w:cs="Arial"/>
        </w:rPr>
        <w:t xml:space="preserve"> řízení výrobních technologií, řešení sběru, přenosu, ukládání, zpracování, archivace dat a vytváření informací pro řízení celého životního cyklu, pro zajištění kvality, šetrnosti k životnímu prostředí, zajištění bezpečnosti osob i věcí</w:t>
      </w:r>
      <w:r w:rsidRPr="0045755B">
        <w:rPr>
          <w:rFonts w:cs="Arial"/>
        </w:rPr>
        <w:t xml:space="preserve">, což úzce souvisí i s rozvojem nástrojů pro podporu IoT (Internet věcí), IoS (Internet služeb) a IoP (Internet osob), návrh a řešení vestavěných procesorových systémů. Pro robotizaci je nezbytnou podmínkou rozvoj nástrojů umělé inteligence a jejich implementace ve zpracovatelském průmyslu, identifikační systémy, včetně souvisejících služeb, řídicí prvky a systémy pro agregáty, stroje, výrobní linky, budovy, včetně software podpory. Vznikat budou i speciální roboti pro inspekci distribučních sítí a dalších liniových staveb a nástroje pro integraci Smart Systems. </w:t>
      </w:r>
      <w:r w:rsidRPr="0045755B">
        <w:t xml:space="preserve">Stále více průmyslových aplikací ICT, jako jsou autonomní systémy a zařízení a komplexní simulace, jsou výpočetně velmi náročné a vyžadují </w:t>
      </w:r>
      <w:r w:rsidRPr="0045755B">
        <w:rPr>
          <w:b/>
        </w:rPr>
        <w:t>vývoj superpočítačů</w:t>
      </w:r>
      <w:r w:rsidRPr="0045755B">
        <w:t xml:space="preserve">. </w:t>
      </w:r>
    </w:p>
    <w:p w14:paraId="6055AD6B" w14:textId="3E2D66EF" w:rsidR="0045755B" w:rsidRPr="0045755B" w:rsidRDefault="0045755B" w:rsidP="009B1394">
      <w:pPr>
        <w:spacing w:after="0" w:line="360" w:lineRule="auto"/>
        <w:ind w:firstLine="708"/>
        <w:jc w:val="both"/>
        <w:rPr>
          <w:rFonts w:cs="Arial"/>
        </w:rPr>
      </w:pPr>
      <w:r w:rsidRPr="0045755B">
        <w:rPr>
          <w:rFonts w:cs="Arial"/>
          <w:b/>
        </w:rPr>
        <w:t>Elektrotechnika je</w:t>
      </w:r>
      <w:r w:rsidRPr="0045755B">
        <w:rPr>
          <w:rFonts w:cs="Arial"/>
        </w:rPr>
        <w:t xml:space="preserve"> </w:t>
      </w:r>
      <w:r w:rsidRPr="0045755B">
        <w:rPr>
          <w:rFonts w:cs="Arial"/>
          <w:b/>
        </w:rPr>
        <w:t>subdodavatelem</w:t>
      </w:r>
      <w:r w:rsidRPr="0045755B">
        <w:rPr>
          <w:rFonts w:cs="Arial"/>
        </w:rPr>
        <w:t xml:space="preserve"> </w:t>
      </w:r>
      <w:r w:rsidRPr="0045755B">
        <w:rPr>
          <w:rFonts w:cs="Arial"/>
          <w:b/>
        </w:rPr>
        <w:t>pro mnoho dalších oborů</w:t>
      </w:r>
      <w:r w:rsidRPr="0045755B">
        <w:rPr>
          <w:rFonts w:cs="Arial"/>
        </w:rPr>
        <w:t xml:space="preserve"> hospodářství. Pro vznik inovací jsou důležitá především mezioborová řešení, přičemž prioritou jsou řešení pro automobilový průmysl, chemický průmysl, dopravu, stavebnictví a zdravotnictví. Pro hospodářství ČR je klíčová zejména automobilová a průmyslová elektronika, elektromotory pro automobilový průmysl, výměna baterií u</w:t>
      </w:r>
      <w:r w:rsidR="004C7FC4">
        <w:rPr>
          <w:rFonts w:cs="Arial"/>
        </w:rPr>
        <w:t> </w:t>
      </w:r>
      <w:r w:rsidRPr="0045755B">
        <w:rPr>
          <w:rFonts w:cs="Arial"/>
        </w:rPr>
        <w:t xml:space="preserve">elektromobilů. Specificky je možné zdůraznit i oblast pohonů (pohony a jejich řízení, specifické </w:t>
      </w:r>
      <w:r w:rsidRPr="0045755B">
        <w:rPr>
          <w:rFonts w:cs="Arial"/>
        </w:rPr>
        <w:lastRenderedPageBreak/>
        <w:t>pohony, zvyšování energetické účinnosti pohonů, nové materiály pro stavbu pohonů (permanentní magnety, izolace).</w:t>
      </w:r>
    </w:p>
    <w:p w14:paraId="51EAD230" w14:textId="77777777" w:rsidR="0045755B" w:rsidRPr="0045755B" w:rsidRDefault="0045755B" w:rsidP="009B1394">
      <w:pPr>
        <w:spacing w:after="0" w:line="360" w:lineRule="auto"/>
        <w:ind w:firstLine="708"/>
        <w:jc w:val="both"/>
        <w:rPr>
          <w:rFonts w:cs="Arial"/>
        </w:rPr>
      </w:pPr>
      <w:r w:rsidRPr="0045755B">
        <w:rPr>
          <w:rFonts w:cs="Arial"/>
        </w:rPr>
        <w:t>Z dalších oborů, pro které je elektronika a elektrotechnika a jejich výstupy nezbytností, je možné jmenovat spotřební a medicínskou robotiku, elektrotechniku pro lékařské aplikace, e</w:t>
      </w:r>
      <w:r w:rsidRPr="0045755B">
        <w:t>lektrotechniku pro obranný průmysl a speciální aplikace (pasivní a aktivní radiolokace, zejména civilní letectví, meteorologii a bezpečnostní aplikace),</w:t>
      </w:r>
      <w:r w:rsidRPr="0045755B">
        <w:rPr>
          <w:rFonts w:cs="Arial"/>
        </w:rPr>
        <w:t xml:space="preserve"> polovodičový průmysl, zobrazovací techniku a digitální projekce (včetně technického zabezpečení analogových a digitálních přenosů s ohledem na zvýšení přenosových rychlostí, kvality a snížení energetické náročnosti přenosu).</w:t>
      </w:r>
    </w:p>
    <w:p w14:paraId="388E5FFE" w14:textId="77777777" w:rsidR="0045755B" w:rsidRPr="0045755B" w:rsidRDefault="0045755B" w:rsidP="009B1394">
      <w:pPr>
        <w:spacing w:after="0" w:line="360" w:lineRule="auto"/>
        <w:ind w:firstLine="708"/>
        <w:jc w:val="both"/>
        <w:rPr>
          <w:rFonts w:cs="Arial"/>
        </w:rPr>
      </w:pPr>
      <w:r w:rsidRPr="0045755B">
        <w:rPr>
          <w:rFonts w:cs="Arial"/>
        </w:rPr>
        <w:t>Elektrotechnika je také vstupem pro Smart Society a inteligentní budovy. V této souvislosti je nutné zdůraznit i potřebu zabezpečení a spolehlivosti u všech výše uvedených témat.</w:t>
      </w:r>
    </w:p>
    <w:p w14:paraId="5C51BA4D" w14:textId="77777777" w:rsidR="0087520A" w:rsidRDefault="0045755B" w:rsidP="0087520A">
      <w:pPr>
        <w:spacing w:after="0" w:line="360" w:lineRule="auto"/>
        <w:ind w:firstLine="708"/>
        <w:jc w:val="both"/>
        <w:rPr>
          <w:rFonts w:cs="Arial"/>
        </w:rPr>
      </w:pPr>
      <w:r w:rsidRPr="0045755B">
        <w:rPr>
          <w:rFonts w:cs="Arial"/>
        </w:rPr>
        <w:t>Posledním odvětvím, které je významným subdodavatelem do dalších průmyslových oborů v ČR i ve světě je elektronová mikroskopie, nanotechnologie pro elektronické součástky a oblast automatizované identifikace (RFID).</w:t>
      </w:r>
    </w:p>
    <w:p w14:paraId="541D691F" w14:textId="466516A1" w:rsidR="000945EC" w:rsidRDefault="0045755B" w:rsidP="0087520A">
      <w:pPr>
        <w:spacing w:after="0" w:line="360" w:lineRule="auto"/>
        <w:ind w:firstLine="708"/>
        <w:jc w:val="both"/>
      </w:pPr>
      <w:r w:rsidRPr="0045755B">
        <w:t>Výroba počítačů, elektronických a optických přístrojů a zařízení se řadí mezi nejvýznamnější oddíly zpracovatelského průmyslu. Je důležitým dodavatelem pro ostatní průmyslová odvětví, zejména automobilový průmysl a strojírenství. Výrobky elektrotechnického průmyslu jsou používány prakticky ve všech sférách lidské činnosti a jejich životní cyklus se neustále zkracuje. Produkce se řadí do kategorie vysoké a středně náročné technologie. Oddíl zahrnuje na jedné straně pracovně náročné výroby a na druhé straně i vysoce produktivní automatizované výroby. Tento oddíl je nejvíce zapojen do globálních hodnotových řetězců nadnárodních firem. V nich dochází k rozdílné segmentaci činností, kdy si mateřské firmy zpravidla ponechávají v pravomoci počáteční produkční aktivity (výzkum a vývoj, inovace, design) a poprodukční činnosti (logistika, marketing, poprodejní uživatelské služby) s vyšší znalostní úrovní zaměstnanců a vyšší přidanou hodnotou, zatímco vlastní produkce (montáž) je lokalizována v méně ekonomicky vyspělých zemích s nižší úrovní znalostí pracovníků a nižší přidanou hodnotou. Produkce tohoto oddílu je z větší části určena pro vývoz, ale zároveň je náročná na dovoz komponentů. Každá koruna vývozu představuje 99 haléřů dovozu a tato dovozní náročnost vývozu je nejvyšší ze všech oddílů zpracovatelského průmyslu. Z této velké otevřenosti a intenzívního zapojení do světové ekonomiky vyplývá i velká citlivost odvětví na hospodářské cykly globální ekonomiky.</w:t>
      </w:r>
    </w:p>
    <w:p w14:paraId="2177E259" w14:textId="77777777" w:rsidR="00087EC7" w:rsidRPr="0087520A" w:rsidRDefault="00087EC7" w:rsidP="0087520A">
      <w:pPr>
        <w:spacing w:after="0" w:line="360" w:lineRule="auto"/>
        <w:ind w:firstLine="708"/>
        <w:jc w:val="both"/>
        <w:rPr>
          <w:rFonts w:cs="Arial"/>
        </w:rPr>
      </w:pPr>
    </w:p>
    <w:p w14:paraId="050AAE05" w14:textId="60607CD9" w:rsidR="000C5CAD" w:rsidRDefault="000C5CAD" w:rsidP="000945EC">
      <w:pPr>
        <w:pStyle w:val="Nadpis3"/>
      </w:pPr>
      <w:bookmarkStart w:id="134" w:name="_Toc525716222"/>
      <w:r w:rsidRPr="00EF4A38">
        <w:t>Dopravní prostředky pro 21. století</w:t>
      </w:r>
      <w:bookmarkEnd w:id="134"/>
    </w:p>
    <w:p w14:paraId="5C0926D0" w14:textId="469A9DE9" w:rsidR="000945EC" w:rsidRDefault="000945EC" w:rsidP="000945EC">
      <w:pPr>
        <w:pStyle w:val="Nadpis4"/>
      </w:pPr>
      <w:r>
        <w:t xml:space="preserve"> </w:t>
      </w:r>
      <w:bookmarkStart w:id="135" w:name="_Toc525716223"/>
      <w:r>
        <w:t>Automotive</w:t>
      </w:r>
      <w:bookmarkEnd w:id="135"/>
    </w:p>
    <w:p w14:paraId="697CAE17" w14:textId="6F2FA81B" w:rsidR="009B1394" w:rsidRPr="009B1394" w:rsidRDefault="009B1394" w:rsidP="009B1394">
      <w:pPr>
        <w:spacing w:before="240" w:line="360" w:lineRule="auto"/>
        <w:rPr>
          <w:b/>
          <w:u w:val="single"/>
        </w:rPr>
      </w:pPr>
      <w:r w:rsidRPr="009B1394">
        <w:rPr>
          <w:b/>
          <w:u w:val="single"/>
        </w:rPr>
        <w:t>Východiska</w:t>
      </w:r>
    </w:p>
    <w:p w14:paraId="1841DDB4" w14:textId="77777777" w:rsidR="00345D19" w:rsidRPr="00345D19" w:rsidRDefault="00345D19" w:rsidP="00345D19">
      <w:pPr>
        <w:spacing w:before="40" w:after="40" w:line="360" w:lineRule="auto"/>
        <w:ind w:firstLine="708"/>
        <w:jc w:val="both"/>
      </w:pPr>
      <w:r w:rsidRPr="00345D19">
        <w:t xml:space="preserve">Automobilový průmysl se významně podílí na celkových hospodářských výsledcích České republiky. Odvětví zahrnuje výrobkovou skladbu: osobní, lehké užitkové a nákladní automobily, přívěsy </w:t>
      </w:r>
      <w:r w:rsidRPr="00345D19">
        <w:lastRenderedPageBreak/>
        <w:t>a návěsy, autobusy a trolejbusy, pásová sněhová vozidla, golfové vozíky, obojživelná vozidla, požární vozidla a výrobu jejich částí.</w:t>
      </w:r>
    </w:p>
    <w:p w14:paraId="31E30F91" w14:textId="77777777" w:rsidR="00345D19" w:rsidRPr="00345D19" w:rsidRDefault="00345D19" w:rsidP="00345D19">
      <w:pPr>
        <w:spacing w:before="40" w:after="40" w:line="360" w:lineRule="auto"/>
        <w:ind w:firstLine="708"/>
        <w:jc w:val="both"/>
      </w:pPr>
      <w:r w:rsidRPr="00345D19">
        <w:t xml:space="preserve">V posledních letech svůj podíl na zpracovatelském průmyslu ještě zvyšuje, rostou jeho tržby, počet zaměstnanců i export. </w:t>
      </w:r>
    </w:p>
    <w:p w14:paraId="6ED90AF5" w14:textId="77777777" w:rsidR="00345D19" w:rsidRPr="00345D19" w:rsidRDefault="00345D19" w:rsidP="00345D19">
      <w:pPr>
        <w:spacing w:before="40" w:after="40" w:line="360" w:lineRule="auto"/>
        <w:jc w:val="both"/>
      </w:pPr>
      <w:r w:rsidRPr="00345D19">
        <w:t>Rychlý rozvoj oddílu 29 se projevil v růstu jeho podílu přidané hodnoty na zpracovatelském průmyslu, který se z 14,8 % v roce 2008 zvýšil na 21,2 % v roce 2016. Pokud se podíváme na vývoj tržeb v období 2008 až 2016, můžeme konstatovat, že je přímo ukázkový. Tržby neustále rostly s výjimkou roku 2009. Česká republika těží z rostoucího zájmu o nová vozidla zejména v Evropské unii</w:t>
      </w:r>
      <w:r w:rsidRPr="00345D19">
        <w:rPr>
          <w:rStyle w:val="Znakapoznpodarou"/>
        </w:rPr>
        <w:footnoteReference w:id="108"/>
      </w:r>
      <w:r w:rsidRPr="00345D19">
        <w:t xml:space="preserve">. </w:t>
      </w:r>
    </w:p>
    <w:p w14:paraId="17865EAE" w14:textId="77777777" w:rsidR="00345D19" w:rsidRPr="00345D19" w:rsidRDefault="00345D19" w:rsidP="00345D19">
      <w:pPr>
        <w:spacing w:before="40" w:after="40" w:line="360" w:lineRule="auto"/>
        <w:ind w:firstLine="708"/>
        <w:jc w:val="both"/>
      </w:pPr>
      <w:r w:rsidRPr="00345D19">
        <w:t xml:space="preserve">Vývoz v roce 2016 dosáhl necelého 1 bilionu Kč. Vývoz komponentů zaznamenal historického maxima 309 mld. Kč. Česká republika je 8. největším globálním exportérem autodílů. Odvětví zaměstnává více než 150 tis. osob. </w:t>
      </w:r>
    </w:p>
    <w:p w14:paraId="18EAEE7D" w14:textId="5A4D3E49" w:rsidR="00345D19" w:rsidRPr="00345D19" w:rsidRDefault="00345D19" w:rsidP="00345D19">
      <w:pPr>
        <w:spacing w:before="40" w:after="40" w:line="360" w:lineRule="auto"/>
        <w:ind w:firstLine="708"/>
        <w:jc w:val="both"/>
      </w:pPr>
      <w:r w:rsidRPr="00345D19">
        <w:t>V mezinárodním měřítku je ČR automobilovou velmocí s dobrým zázemím technických znalostí a dovedností pracovníků. V roce 2016 se v ČR vyrobilo 127 aut na 1 000 obyvatel, což ČR řadí na přední místo mezi světovými lídry ve výrobě automobilů na obyvatele. V roce 2016 se vyrobilo více než 1,35</w:t>
      </w:r>
      <w:r>
        <w:t> </w:t>
      </w:r>
      <w:r w:rsidRPr="00345D19">
        <w:t xml:space="preserve">mil. </w:t>
      </w:r>
      <w:r w:rsidR="00E42ECD">
        <w:t>motorových vozidel</w:t>
      </w:r>
      <w:r w:rsidRPr="00345D19">
        <w:t>, což znamená, že ČR je 5. největším výrobcem motorových vozidel v Evropě a v regionu střední a východní Evropy je největším producentem osobních vozidel</w:t>
      </w:r>
      <w:r w:rsidRPr="00345D19">
        <w:rPr>
          <w:rStyle w:val="Znakapoznpodarou"/>
        </w:rPr>
        <w:footnoteReference w:id="109"/>
      </w:r>
      <w:r w:rsidRPr="00345D19">
        <w:t xml:space="preserve">. </w:t>
      </w:r>
    </w:p>
    <w:p w14:paraId="07CBEA82" w14:textId="77777777" w:rsidR="00345D19" w:rsidRPr="00345D19" w:rsidRDefault="00345D19" w:rsidP="00345D19">
      <w:pPr>
        <w:spacing w:before="40" w:after="40" w:line="360" w:lineRule="auto"/>
        <w:ind w:firstLine="708"/>
        <w:jc w:val="both"/>
      </w:pPr>
      <w:r w:rsidRPr="00345D19">
        <w:t>Dominantní a rostoucí roli v oddíle 29 hrají velké podniky, které v roce 2016 tvořily 94,0 % přidané hodnoty a obratu a 88,1 % zaměstnanosti. Velmi nízký podíl malých podniků má spíše klesající tendenci.  Z hlediska výzkumu a vývoje patří automobilový průmysl mezi nejvýznamnější odvětví v ČR. Výdaje na výzkum a vývoj představují více než 15 % výdajů celého podnikatelského sektoru na výzkum a vývoj.  Řada mezinárodně významných firem vybudovala v ČR svá technologická centra</w:t>
      </w:r>
      <w:r w:rsidRPr="00345D19">
        <w:rPr>
          <w:rStyle w:val="Znakapoznpodarou"/>
        </w:rPr>
        <w:footnoteReference w:id="110"/>
      </w:r>
      <w:r w:rsidRPr="00345D19">
        <w:t xml:space="preserve">. </w:t>
      </w:r>
    </w:p>
    <w:p w14:paraId="34F04070" w14:textId="77777777" w:rsidR="00345D19" w:rsidRPr="00345D19" w:rsidRDefault="00345D19" w:rsidP="00345D19">
      <w:pPr>
        <w:spacing w:before="40" w:after="40" w:line="360" w:lineRule="auto"/>
        <w:jc w:val="both"/>
      </w:pPr>
      <w:r w:rsidRPr="00345D19">
        <w:t xml:space="preserve">Za posledních 25 let význam automobilového průmyslu neustále roste. Dochází ke koncentraci zaměření výroby především na autodíly, osobní automobily a autobusy (trolejbusy). </w:t>
      </w:r>
    </w:p>
    <w:p w14:paraId="39209EE8" w14:textId="1B70D0E1" w:rsidR="000945EC" w:rsidRDefault="00345D19" w:rsidP="00345D19">
      <w:pPr>
        <w:spacing w:line="360" w:lineRule="auto"/>
        <w:ind w:firstLine="708"/>
        <w:jc w:val="both"/>
      </w:pPr>
      <w:r w:rsidRPr="00345D19">
        <w:t>Ve výrobě se stále více budou prosazovat robotizace a automatizace jako znalostně náročné technologie. Pro budoucnost odvětví je zásadní oblast spolupráce podniků se vzdělávacími a</w:t>
      </w:r>
      <w:r>
        <w:t> </w:t>
      </w:r>
      <w:r w:rsidRPr="00345D19">
        <w:t>výzkumnými subjekty.</w:t>
      </w:r>
    </w:p>
    <w:p w14:paraId="69631231" w14:textId="77777777" w:rsidR="00345D19" w:rsidRDefault="00345D19" w:rsidP="00345D19">
      <w:pPr>
        <w:spacing w:line="360" w:lineRule="auto"/>
        <w:ind w:firstLine="708"/>
        <w:jc w:val="both"/>
      </w:pPr>
    </w:p>
    <w:p w14:paraId="18BDDE2F" w14:textId="470178A1" w:rsidR="00345D19" w:rsidRPr="006029C6" w:rsidRDefault="00345D19" w:rsidP="00345D19">
      <w:pPr>
        <w:spacing w:line="360" w:lineRule="auto"/>
        <w:jc w:val="both"/>
        <w:rPr>
          <w:b/>
          <w:u w:val="single"/>
        </w:rPr>
      </w:pPr>
      <w:r w:rsidRPr="006029C6">
        <w:rPr>
          <w:b/>
          <w:u w:val="single"/>
        </w:rPr>
        <w:t>Popis potřeb a jejich řešení</w:t>
      </w:r>
    </w:p>
    <w:p w14:paraId="79A02C11" w14:textId="645BAD5D" w:rsidR="00345D19" w:rsidRPr="00345D19" w:rsidRDefault="00345D19" w:rsidP="00286318">
      <w:pPr>
        <w:spacing w:after="0" w:line="360" w:lineRule="auto"/>
        <w:ind w:firstLine="708"/>
        <w:jc w:val="both"/>
      </w:pPr>
      <w:r w:rsidRPr="00345D19">
        <w:t xml:space="preserve">Výzkumné cíle jsou zaměřené na inovace konstrukce vozidel (podvozkové systémy, celková odlehčená stavba, pokročilá aerodynamika). V rámci inovace </w:t>
      </w:r>
      <w:r w:rsidRPr="00345D19">
        <w:rPr>
          <w:b/>
        </w:rPr>
        <w:t>vozidla jako celku</w:t>
      </w:r>
      <w:r w:rsidRPr="00345D19">
        <w:t xml:space="preserve"> se jedná o nové </w:t>
      </w:r>
      <w:r w:rsidRPr="00345D19">
        <w:lastRenderedPageBreak/>
        <w:t>koncepce s pokročilými hnacími jednotkami a integrovaným řízením z hlediska dynamiky vozidla, aktivní bezpečnosti i pohodlí a hluku, uplatnění inteligentních silových prvků, lehké stavby karosérií a</w:t>
      </w:r>
      <w:r w:rsidR="00340F6A">
        <w:t> </w:t>
      </w:r>
      <w:r w:rsidRPr="00345D19">
        <w:t>rámů s důrazem na nové pokrokové materiály, vnější a vnitřní aerodynamika vozidel, inovace technologie výroby.</w:t>
      </w:r>
    </w:p>
    <w:p w14:paraId="10C79412" w14:textId="0095B9D6" w:rsidR="00345D19" w:rsidRPr="00345D19" w:rsidRDefault="00345D19" w:rsidP="00286318">
      <w:pPr>
        <w:spacing w:after="0" w:line="360" w:lineRule="auto"/>
        <w:ind w:firstLine="708"/>
        <w:jc w:val="both"/>
      </w:pPr>
      <w:r w:rsidRPr="00345D19">
        <w:t xml:space="preserve">Inovace </w:t>
      </w:r>
      <w:r w:rsidRPr="00345D19">
        <w:rPr>
          <w:b/>
        </w:rPr>
        <w:t xml:space="preserve">hnacích jednotek a paliv </w:t>
      </w:r>
      <w:r w:rsidRPr="00345D19">
        <w:t>povedou k jejich vyšší kompaktnosti a  efektivitě při současném snižování spotřeby fosilních paliv, biopaliv a emisí CO</w:t>
      </w:r>
      <w:r w:rsidRPr="00345D19">
        <w:rPr>
          <w:vertAlign w:val="subscript"/>
        </w:rPr>
        <w:t>2</w:t>
      </w:r>
      <w:r w:rsidRPr="00345D19">
        <w:t>. Jedná se zde o spalovací motory se zvýšenou účinností na fosilní paliva, biopaliva 2. generace, biopaliva vyšších generací, materiály a</w:t>
      </w:r>
      <w:r w:rsidR="00340F6A">
        <w:t> </w:t>
      </w:r>
      <w:r w:rsidRPr="00345D19">
        <w:t>komponenty alternativních hnacích jednotek, alternativní paliva a provozní tekutiny vozidel. Dále sem řadíme agregáty na alternativní paliva, hybridní pohony (výkonová elektronika, elektromotory, generátory, akumulátory, flexibilní spalovací motory inovativních hnacích jednotek na syntetická paliva apod.) a elektrické pohony (výkonová elektronika, elektromotory, generátory, akumulátory, flexibilní spalovací motory inovativních hnacích jednotek na syntetická paliva apod.). Pokles emisí CO</w:t>
      </w:r>
      <w:r w:rsidRPr="00345D19">
        <w:rPr>
          <w:vertAlign w:val="subscript"/>
        </w:rPr>
        <w:t>2</w:t>
      </w:r>
      <w:r w:rsidRPr="00345D19">
        <w:t xml:space="preserve"> je z části zajistitelný inovacemi hnacích jednotek s klasickými i flexibilními motory a snižováním hmotnosti vozidel. Klíčovou roli hraje zavedení paliv s recyklovaným uhlíkem a elektrifikace vozidel se současným snižováním emisí CO</w:t>
      </w:r>
      <w:r w:rsidRPr="00345D19">
        <w:rPr>
          <w:vertAlign w:val="subscript"/>
        </w:rPr>
        <w:t>2</w:t>
      </w:r>
      <w:r w:rsidRPr="00345D19">
        <w:t xml:space="preserve"> při výrobě elektrické energie. K poklesu spotřeby paliv s fosilním uhlíkem vede i</w:t>
      </w:r>
      <w:r w:rsidR="00340F6A">
        <w:t> </w:t>
      </w:r>
      <w:r w:rsidRPr="00345D19">
        <w:t>zlepšené řízení vozidel samotných i vozidel v dopravním proudu. Výzkumné cíle se dále orientují na emisní parametry (EURO 6+). Popsané inovace hnacích jednotek a konstrukcí vozidel povedou celkově také ke snižování hlučnosti. Systémy řízení musí být kompatibilní s rostoucími požadavky na autonomní systémy řízení jízdy.</w:t>
      </w:r>
    </w:p>
    <w:p w14:paraId="53882ECF" w14:textId="77777777" w:rsidR="00345D19" w:rsidRPr="00345D19" w:rsidRDefault="00345D19" w:rsidP="00286318">
      <w:pPr>
        <w:spacing w:after="0" w:line="360" w:lineRule="auto"/>
        <w:ind w:firstLine="708"/>
        <w:jc w:val="both"/>
      </w:pPr>
      <w:r w:rsidRPr="00345D19">
        <w:t xml:space="preserve">V oblasti </w:t>
      </w:r>
      <w:r w:rsidRPr="00345D19">
        <w:rPr>
          <w:b/>
        </w:rPr>
        <w:t>elektrické a elektronické výbavy vozidel</w:t>
      </w:r>
      <w:r w:rsidRPr="00345D19">
        <w:t xml:space="preserve"> se jedná o vozidlové sdělovací sítě, adaptivní a prediktivní řízení parametrů hnacích jednotek, integrované a hierarchické systémy řízení vozidel, včetně automatizace rutinních procesů, komponenty elektrických systémů s cílem snížení příkonu a ceny, zajištění robustnosti a vysoké funkční spolehlivosti pro zvyšování bezpečnosti, snižování energetických nároků, řešení problémů EMC a snižování hluku, diagnostické prostředky pro zabezpečení spolehlivosti integrovaných systémů řízení s novými spotřebiči.</w:t>
      </w:r>
    </w:p>
    <w:p w14:paraId="2A78A4DA" w14:textId="77777777" w:rsidR="00345D19" w:rsidRPr="00345D19" w:rsidRDefault="00345D19" w:rsidP="00286318">
      <w:pPr>
        <w:spacing w:after="0" w:line="360" w:lineRule="auto"/>
        <w:ind w:firstLine="708"/>
        <w:jc w:val="both"/>
      </w:pPr>
      <w:r w:rsidRPr="00345D19">
        <w:t xml:space="preserve">V oblasti rozhraní </w:t>
      </w:r>
      <w:r w:rsidRPr="00345D19">
        <w:rPr>
          <w:b/>
        </w:rPr>
        <w:t>stroj vs. člověk v dopravním provozu</w:t>
      </w:r>
      <w:r w:rsidRPr="00345D19">
        <w:t xml:space="preserve"> se jedná o HMI simulátory, vztah člověk/stroj. vnitřní a vnější HMI, mechanický, akustický a tepelný uživatelský komfort. Podstatnou součástí vztahu člověka a stroje je také Uživatelská akceptace systémů a pravidel autonomní jízdy („user experience“ testy).</w:t>
      </w:r>
    </w:p>
    <w:p w14:paraId="7158F704" w14:textId="2652612A" w:rsidR="00345D19" w:rsidRPr="00345D19" w:rsidRDefault="00345D19" w:rsidP="00286318">
      <w:pPr>
        <w:spacing w:after="0" w:line="360" w:lineRule="auto"/>
        <w:ind w:firstLine="708"/>
        <w:jc w:val="both"/>
      </w:pPr>
      <w:r w:rsidRPr="00345D19">
        <w:t xml:space="preserve">Nelze opominout ani oblast </w:t>
      </w:r>
      <w:r w:rsidRPr="00345D19">
        <w:rPr>
          <w:b/>
        </w:rPr>
        <w:t>ekologie</w:t>
      </w:r>
      <w:r w:rsidRPr="00345D19">
        <w:t>, kdy nedílnou součástí výzkumných cílů je i ekologická ohleduplnost výroby ve smyslu využívání surovinové základny na bázi recyklovaných materiálů či materiálů z obnovitelných zdrojů a výzkum efektivního surovinového využití dopravních prostředků po ukončení jejich životnosti. Dále zde řadíme e-mobilitní technologie a zelenou mobilitu (komponenty a</w:t>
      </w:r>
      <w:r w:rsidR="00340F6A">
        <w:t> </w:t>
      </w:r>
      <w:r w:rsidRPr="00345D19">
        <w:t>řízení pohonů) se zaměřením na elektromotory, výkonovou elektroniku, vyspělé algoritmy řízení pohonů a alternativní pohony.</w:t>
      </w:r>
    </w:p>
    <w:p w14:paraId="7D093AA7" w14:textId="77777777" w:rsidR="00345D19" w:rsidRPr="00345D19" w:rsidRDefault="00345D19" w:rsidP="00286318">
      <w:pPr>
        <w:spacing w:after="0" w:line="360" w:lineRule="auto"/>
        <w:ind w:firstLine="708"/>
        <w:jc w:val="both"/>
      </w:pPr>
      <w:r w:rsidRPr="00345D19">
        <w:lastRenderedPageBreak/>
        <w:t xml:space="preserve">Důraz bude kladen i na maximální </w:t>
      </w:r>
      <w:r w:rsidRPr="00345D19">
        <w:rPr>
          <w:b/>
        </w:rPr>
        <w:t>bezpečnost (Safety&amp;Security)</w:t>
      </w:r>
      <w:r w:rsidRPr="00345D19">
        <w:t xml:space="preserve"> zahrnující inovace v oblasti aktivní i pasivní bezpečnosti vozidel, ale i podpůrná opatření pro bezpečnost celého systému dopravy, jakými jsou kooperativní systémy pro sdílení informací mezi účastníky a dalšími prvky dopravního systému. V rámci bezpečnosti se dále jedná o vozovou datovou/komunikační bezpečnost a spolehlivost systémů.</w:t>
      </w:r>
    </w:p>
    <w:p w14:paraId="661C0F94" w14:textId="0D79B598" w:rsidR="00345D19" w:rsidRPr="00345D19" w:rsidRDefault="00345D19" w:rsidP="00286318">
      <w:pPr>
        <w:spacing w:after="0" w:line="360" w:lineRule="auto"/>
        <w:ind w:firstLine="708"/>
        <w:jc w:val="both"/>
      </w:pPr>
      <w:r w:rsidRPr="00345D19">
        <w:t xml:space="preserve">V rámci </w:t>
      </w:r>
      <w:r w:rsidRPr="00345D19">
        <w:rPr>
          <w:b/>
        </w:rPr>
        <w:t>ITS, mobility a infrastruktury</w:t>
      </w:r>
      <w:r w:rsidRPr="00345D19">
        <w:t xml:space="preserve"> se jedná o kooperativní systémy pro on-line sdílení informací mezi vozidly a ostatními druhy dopravy, a mezi vozidlem a okolím, systémy pro optimální využití dat o silniční síti, dopravním provozu a cestování i o energetických možnostech dobíjení elektrických, hybridních vozidel a energetických zásobníků včetně interakce nabíjecích systémů s energetickou sítí, jedná se také o garantované národní geografické a datové databáze, datové komunikační protokoly a sítě elektronických komunikací. Dále sem řadíme výzkum, vývoj a</w:t>
      </w:r>
      <w:r w:rsidR="00340F6A">
        <w:t> </w:t>
      </w:r>
      <w:r w:rsidRPr="00345D19">
        <w:t>implementaci asistenčních systémů řidiče, stejně jako i výzkum, vývoj, legalizaci a implementaci systémů autonomní jízdy. Vedle designérských inovací se na zvyšování pohodlí vozidel a jejich spolehlivosti budou podílet i integrované prediktivní a adaptivní řízení. Trendem je zvyšování podílu informačních technologií i v levnějších vozech.</w:t>
      </w:r>
    </w:p>
    <w:p w14:paraId="5D8E84CB" w14:textId="77777777" w:rsidR="00345D19" w:rsidRPr="00345D19" w:rsidRDefault="00345D19" w:rsidP="003130D7">
      <w:pPr>
        <w:spacing w:after="0" w:line="360" w:lineRule="auto"/>
        <w:ind w:firstLine="708"/>
        <w:jc w:val="both"/>
      </w:pPr>
      <w:r w:rsidRPr="00345D19">
        <w:t xml:space="preserve">Část výše popsaných inovací (např. snižování hmotnosti, zvyšování bezpečnosti, výroba nových typů motorů) bude realizována za použití nových pokročilých materiálů (plasty, kompozity, využití nanotechnologií apod.). Pod nové </w:t>
      </w:r>
      <w:r w:rsidRPr="00345D19">
        <w:rPr>
          <w:b/>
        </w:rPr>
        <w:t>zpracování materiálu</w:t>
      </w:r>
      <w:r w:rsidRPr="00345D19">
        <w:t xml:space="preserve"> patří i nanotechnologie (např. při ochraně povrchů, kdy lze využít antikorozních, samočistících, otěruvzdorných a dalších vlastností nanomateriálů) pro multifunkční materiály, pokročilé kovové, plastové a kompozitní materiály, aplikace moderních metod obrábění, dělení a spojování materiálu, metody zvyšování produktivity, včetně Design4x, VaV optimalizace výrobních procesů a zvyšování jejich flexibility a likvidačních metod. </w:t>
      </w:r>
    </w:p>
    <w:p w14:paraId="3F894C64" w14:textId="34121BF3" w:rsidR="00345D19" w:rsidRPr="00345D19" w:rsidRDefault="00345D19" w:rsidP="003130D7">
      <w:pPr>
        <w:spacing w:after="0" w:line="360" w:lineRule="auto"/>
        <w:ind w:firstLine="708"/>
        <w:jc w:val="both"/>
      </w:pPr>
      <w:r w:rsidRPr="00345D19">
        <w:t>Základem účinného řešení výše popsaných výzev je simultánní inženýrství (založené na integrovaném použití modelování simulacemi a experimenty) spojené se systematickým využitím předešlých zkušeností zachovaných ve znalostních databázích. Je proto nutné vytvářet VaV nástroje (metody simulace o různé úrovni, včetně virtuální reality nebo metody ukládání znalostí a dat) a tyto nástroje ověřovat při krátkodobě orientovaném experimentálním vývoji a využívat je pro strategický aplikovaný výzkum inovativních konceptů. Společná báze dat a znalostí podporuje hladké propojení mezi odborníky z oblastí mechaniky, termodynamiky, trakční elektrotechniky, řízení, sdělovacích a</w:t>
      </w:r>
      <w:r w:rsidR="00340F6A">
        <w:t> </w:t>
      </w:r>
      <w:r w:rsidRPr="00345D19">
        <w:t xml:space="preserve">informačních technologií, mikroelektroniky, mechatroniky a dopravního inženýrství. </w:t>
      </w:r>
      <w:r w:rsidRPr="00345D19">
        <w:rPr>
          <w:b/>
        </w:rPr>
        <w:t>Virtuální vývoj</w:t>
      </w:r>
      <w:r w:rsidRPr="00345D19">
        <w:t xml:space="preserve"> zahrnuje i výzkum simulačních technik a technik virtuální reality (VR) pro parametrickou optimalizaci výrobků, pro konceptuální optimalizaci inovaci vyšších řádů, VR pro urychlení přípravy výrobní fáze ve výrobním řetězci, využití VR při návrhu výrobní linky, aplikace pro návrhy uplatnitelné při případném zavádění koncepce Průmysl 4.0, potažmo Produktu 4.0 (logistických řetězců, řízení a optimalizací </w:t>
      </w:r>
      <w:r w:rsidRPr="00345D19">
        <w:lastRenderedPageBreak/>
        <w:t>energetických toků ve vozidle apod.). Důležitým faktorem jsou také softwarové algoritmy pro zpracování, plánování a vyhodnocování</w:t>
      </w:r>
    </w:p>
    <w:p w14:paraId="114480B5" w14:textId="77777777" w:rsidR="00345D19" w:rsidRPr="00345D19" w:rsidRDefault="00345D19" w:rsidP="00286318">
      <w:pPr>
        <w:spacing w:after="0" w:line="360" w:lineRule="auto"/>
        <w:ind w:firstLine="708"/>
        <w:jc w:val="both"/>
      </w:pPr>
      <w:r w:rsidRPr="00345D19">
        <w:t xml:space="preserve">Ve výrobě se tedy bude stále více prosazovat robotizace a automatizace, přičemž i tyto komponenty výrobního procesu budou u nejprogresivnějších producentů designovány pomocí prostředků virtuálního vývoje, který umožní urychlování přípravy výrobní fáze ve výrobním řetězci. Flexibilizace všech fází výroby také umožní pružné přizpůsobování se proměnlivým požadavkům zákazníků různého věku a zvyklostí a také posílí konkurenceschopnost českého automobilového průmyslu a to i na rozvíjejících se trzích. </w:t>
      </w:r>
      <w:r w:rsidRPr="00345D19">
        <w:rPr>
          <w:b/>
        </w:rPr>
        <w:t>Výrobní procesy</w:t>
      </w:r>
      <w:r w:rsidRPr="00345D19">
        <w:t xml:space="preserve"> by pak měly provázat virtuální kybernetický svět se světem fyzické reality a zároveň rozvinout průmyslovou a provozní inteligenci založenou na informačních a kybernetických technologiích.</w:t>
      </w:r>
    </w:p>
    <w:p w14:paraId="0C0A5435" w14:textId="77777777" w:rsidR="00345D19" w:rsidRPr="00345D19" w:rsidRDefault="00345D19" w:rsidP="00286318">
      <w:pPr>
        <w:spacing w:after="0" w:line="360" w:lineRule="auto"/>
        <w:ind w:firstLine="708"/>
        <w:jc w:val="both"/>
      </w:pPr>
      <w:r w:rsidRPr="00345D19">
        <w:t xml:space="preserve">V oblasti </w:t>
      </w:r>
      <w:r w:rsidRPr="00345D19">
        <w:rPr>
          <w:b/>
        </w:rPr>
        <w:t>energie</w:t>
      </w:r>
      <w:r w:rsidRPr="00345D19">
        <w:t xml:space="preserve"> je nutné vytvořit infrastrukturu a dopravní systémy pro elektromobilitu, dále infrastrukturu pro pokročilou dopravu – Smart Grids, vodíkovou infrastrukturu a power management vozidla pro řízení elektrobusů a hybridbusů.</w:t>
      </w:r>
    </w:p>
    <w:p w14:paraId="034D2E6E" w14:textId="77777777" w:rsidR="00345D19" w:rsidRDefault="00345D19" w:rsidP="00340F6A">
      <w:pPr>
        <w:spacing w:line="360" w:lineRule="auto"/>
        <w:ind w:firstLine="708"/>
        <w:jc w:val="both"/>
      </w:pPr>
      <w:r w:rsidRPr="00345D19">
        <w:t xml:space="preserve">Výzkum a vývoj se týká samozřejmě i </w:t>
      </w:r>
      <w:r w:rsidRPr="00345D19">
        <w:rPr>
          <w:b/>
        </w:rPr>
        <w:t>návazných komponent</w:t>
      </w:r>
      <w:r w:rsidRPr="00345D19">
        <w:t>.</w:t>
      </w:r>
    </w:p>
    <w:p w14:paraId="60FBD567" w14:textId="77777777" w:rsidR="002F77CA" w:rsidRDefault="002F77CA" w:rsidP="00340F6A">
      <w:pPr>
        <w:spacing w:line="360" w:lineRule="auto"/>
        <w:ind w:firstLine="708"/>
        <w:jc w:val="both"/>
      </w:pPr>
    </w:p>
    <w:p w14:paraId="35C717FD" w14:textId="7EE62C9B" w:rsidR="00340F6A" w:rsidRDefault="00340F6A" w:rsidP="00340F6A">
      <w:pPr>
        <w:pStyle w:val="Nadpis4"/>
      </w:pPr>
      <w:bookmarkStart w:id="136" w:name="_Toc525716224"/>
      <w:r>
        <w:t>Letecký a kosmický průmysl</w:t>
      </w:r>
      <w:bookmarkEnd w:id="136"/>
    </w:p>
    <w:p w14:paraId="6A1A685D" w14:textId="142387A0" w:rsidR="00340F6A" w:rsidRPr="00AA5CFA" w:rsidRDefault="00340F6A" w:rsidP="00340F6A">
      <w:pPr>
        <w:spacing w:before="240" w:line="360" w:lineRule="auto"/>
        <w:rPr>
          <w:b/>
          <w:u w:val="single"/>
        </w:rPr>
      </w:pPr>
      <w:r w:rsidRPr="00AA5CFA">
        <w:rPr>
          <w:b/>
          <w:u w:val="single"/>
        </w:rPr>
        <w:t>Východiska</w:t>
      </w:r>
    </w:p>
    <w:p w14:paraId="2E29ACBE" w14:textId="297D2756" w:rsidR="00340F6A" w:rsidRPr="00340F6A" w:rsidRDefault="00340F6A" w:rsidP="00AA5CFA">
      <w:pPr>
        <w:autoSpaceDE w:val="0"/>
        <w:autoSpaceDN w:val="0"/>
        <w:adjustRightInd w:val="0"/>
        <w:spacing w:after="0" w:line="360" w:lineRule="auto"/>
        <w:ind w:firstLine="708"/>
        <w:jc w:val="both"/>
        <w:rPr>
          <w:lang w:bidi="he-IL"/>
        </w:rPr>
      </w:pPr>
      <w:r w:rsidRPr="00340F6A">
        <w:rPr>
          <w:lang w:bidi="he-IL"/>
        </w:rPr>
        <w:t>Letecký průmysl má v ČR téměř stoletou tradici, jejíž nejsilnější stránkou je profesní kontinuita a internacionalizace. ČR je jedním z mála států v Evropě, který dokáže vlastními silami vyvíjet a vyrábět kompletní letadla a jejich části. Zároveň se český letecký průmysl stal součástí dodavatelských řetězců pro velké světové hráče jako je např. Airbus či Boeing. Letecký průmysl zaměstnává vysoce vzdělané, nezřídka úzce specializovaně zaměřené, odborníky. Jen málo z leteckých specializací nelze využít i</w:t>
      </w:r>
      <w:r>
        <w:rPr>
          <w:lang w:bidi="he-IL"/>
        </w:rPr>
        <w:t> </w:t>
      </w:r>
      <w:r w:rsidRPr="00340F6A">
        <w:rPr>
          <w:lang w:bidi="he-IL"/>
        </w:rPr>
        <w:t>v jiných průmyslových oborech.</w:t>
      </w:r>
    </w:p>
    <w:p w14:paraId="0FD4B0E5" w14:textId="77777777" w:rsidR="00340F6A" w:rsidRPr="00340F6A" w:rsidRDefault="00340F6A" w:rsidP="00AA5CFA">
      <w:pPr>
        <w:autoSpaceDE w:val="0"/>
        <w:autoSpaceDN w:val="0"/>
        <w:adjustRightInd w:val="0"/>
        <w:spacing w:after="0" w:line="360" w:lineRule="auto"/>
        <w:ind w:firstLine="708"/>
        <w:jc w:val="both"/>
        <w:rPr>
          <w:lang w:bidi="he-IL"/>
        </w:rPr>
      </w:pPr>
      <w:r w:rsidRPr="00340F6A">
        <w:rPr>
          <w:lang w:bidi="he-IL"/>
        </w:rPr>
        <w:t xml:space="preserve">Český letecký průmysl systematicky navazuje </w:t>
      </w:r>
      <w:r w:rsidRPr="00340F6A">
        <w:rPr>
          <w:rFonts w:cs="ArialNarrow"/>
          <w:lang w:bidi="he-IL"/>
        </w:rPr>
        <w:t>své výzkumné a vývojové aktivity na aktualizované strategické cíle leteckého průmyslu EU a svou činností se chce podílet na plnění cílů stanovených v evropských strategických dokumentech ACARE a Strategic Research &amp; Innovation Agenda (SRIA). To se týká zejména zvýšení kvality a dostupnosti letecké dopravy, zvýšení bezpečnosti letu a redukce leteckých nehod, posílení bezpečnosti letecké dopravy a v neposlední řadě také snížení negativních dopadů letecké dopravy na životní prostředí (snížení spotřeby paliva a emisí CO</w:t>
      </w:r>
      <w:r w:rsidRPr="00340F6A">
        <w:rPr>
          <w:rFonts w:cs="ArialNarrow"/>
          <w:vertAlign w:val="subscript"/>
          <w:lang w:bidi="he-IL"/>
        </w:rPr>
        <w:t>2</w:t>
      </w:r>
      <w:r w:rsidRPr="00340F6A">
        <w:rPr>
          <w:rFonts w:cs="ArialNarrow"/>
          <w:lang w:bidi="he-IL"/>
        </w:rPr>
        <w:t xml:space="preserve">, snížení vnějšího hluku apod.). </w:t>
      </w:r>
    </w:p>
    <w:p w14:paraId="6D92F9AF" w14:textId="52591AEB" w:rsidR="00340F6A" w:rsidRPr="00340F6A" w:rsidRDefault="00340F6A" w:rsidP="00AA5CFA">
      <w:pPr>
        <w:autoSpaceDE w:val="0"/>
        <w:autoSpaceDN w:val="0"/>
        <w:adjustRightInd w:val="0"/>
        <w:spacing w:after="0" w:line="360" w:lineRule="auto"/>
        <w:ind w:firstLine="708"/>
        <w:jc w:val="both"/>
        <w:rPr>
          <w:lang w:bidi="he-IL"/>
        </w:rPr>
      </w:pPr>
      <w:r w:rsidRPr="00340F6A">
        <w:rPr>
          <w:rFonts w:cs="Calibri"/>
        </w:rPr>
        <w:t>Český letecký průmysl každoročně utrží více než 25 miliard Kč. Z hlediska produkčních charakteristik v ČR představuje druhou nejvýznamnější skupinu oddílu CZ</w:t>
      </w:r>
      <w:r>
        <w:rPr>
          <w:rFonts w:cs="Calibri"/>
        </w:rPr>
        <w:t xml:space="preserve"> </w:t>
      </w:r>
      <w:r w:rsidRPr="00340F6A">
        <w:rPr>
          <w:rFonts w:cs="Calibri"/>
        </w:rPr>
        <w:t xml:space="preserve">NACE 30. </w:t>
      </w:r>
    </w:p>
    <w:p w14:paraId="3A81AD21" w14:textId="7726BE88" w:rsidR="00340F6A" w:rsidRPr="00340F6A" w:rsidRDefault="00340F6A" w:rsidP="00AA5CFA">
      <w:pPr>
        <w:autoSpaceDE w:val="0"/>
        <w:autoSpaceDN w:val="0"/>
        <w:adjustRightInd w:val="0"/>
        <w:spacing w:after="0" w:line="360" w:lineRule="auto"/>
        <w:ind w:firstLine="708"/>
        <w:jc w:val="both"/>
      </w:pPr>
      <w:r w:rsidRPr="00340F6A">
        <w:rPr>
          <w:rFonts w:cs="Calibri"/>
        </w:rPr>
        <w:lastRenderedPageBreak/>
        <w:t xml:space="preserve">Výroba letadel a jejich motorů patří mezi odvětví s vysokou technologickou náročností (jedná se o hi-tech odvětví). </w:t>
      </w:r>
      <w:r w:rsidRPr="00340F6A">
        <w:t>Z pohledu výzkumu a vývoje je oddíl CZ</w:t>
      </w:r>
      <w:r>
        <w:t xml:space="preserve"> </w:t>
      </w:r>
      <w:r w:rsidRPr="00340F6A">
        <w:t xml:space="preserve">NACE 30 pro ČR významný svým podílem na výdajích podnikatelského sektoru na výzkum a vývoj, který navíc meziročně roste. </w:t>
      </w:r>
    </w:p>
    <w:p w14:paraId="1BDB9CE3" w14:textId="41679681" w:rsidR="00340F6A" w:rsidRPr="00340F6A" w:rsidRDefault="00340F6A" w:rsidP="00AA5CFA">
      <w:pPr>
        <w:autoSpaceDE w:val="0"/>
        <w:autoSpaceDN w:val="0"/>
        <w:adjustRightInd w:val="0"/>
        <w:spacing w:after="0" w:line="360" w:lineRule="auto"/>
        <w:jc w:val="both"/>
        <w:rPr>
          <w:lang w:bidi="he-IL"/>
        </w:rPr>
      </w:pPr>
      <w:r w:rsidRPr="00340F6A">
        <w:rPr>
          <w:lang w:bidi="he-IL"/>
        </w:rPr>
        <w:t>V oblasti výzkumu a vývoje jsou české společnosti a výzkumné organizace již řadu let součástí Evropského výzkumného prostoru, kde se účastní vývoje nových technologií a prvků velkých dopravních letadel a vrtulníků po boku společností jako Airbus, Dassault Aviation, BAE, Finmecanica atd. Z mezinárodního pohledu je ČR konkurenceschopně vnímána především v produkci malých dopravních (do 19 cestujících) a sportovních letadel. Česká republika je druhým největším výrobcem a</w:t>
      </w:r>
      <w:r w:rsidR="00D55CD5">
        <w:rPr>
          <w:lang w:bidi="he-IL"/>
        </w:rPr>
        <w:t> </w:t>
      </w:r>
      <w:r w:rsidRPr="00340F6A">
        <w:rPr>
          <w:lang w:bidi="he-IL"/>
        </w:rPr>
        <w:t>exportérem v Evropě v oblasti malých sportovních letounů. Ve výrobě ultralightů Česko pokrývá více než čtvrtinu světového trhu.</w:t>
      </w:r>
    </w:p>
    <w:p w14:paraId="7E05C60F" w14:textId="77777777" w:rsidR="00497DE3" w:rsidRPr="00340F6A" w:rsidRDefault="00497DE3" w:rsidP="00AA5CFA">
      <w:pPr>
        <w:spacing w:line="360" w:lineRule="auto"/>
        <w:rPr>
          <w:b/>
        </w:rPr>
      </w:pPr>
    </w:p>
    <w:p w14:paraId="7E4008D7" w14:textId="7A1B6E6E" w:rsidR="00345D19" w:rsidRPr="00596635" w:rsidRDefault="00D55CD5" w:rsidP="00345D19">
      <w:pPr>
        <w:spacing w:line="360" w:lineRule="auto"/>
        <w:jc w:val="both"/>
        <w:rPr>
          <w:b/>
          <w:u w:val="single"/>
        </w:rPr>
      </w:pPr>
      <w:r w:rsidRPr="00596635">
        <w:rPr>
          <w:b/>
          <w:u w:val="single"/>
        </w:rPr>
        <w:t>Popis potřeb a jejich řešení</w:t>
      </w:r>
    </w:p>
    <w:p w14:paraId="528CDD70" w14:textId="00EA818C" w:rsidR="00D55CD5" w:rsidRPr="00D55CD5" w:rsidRDefault="00D55CD5" w:rsidP="00D55CD5">
      <w:pPr>
        <w:spacing w:before="40" w:after="40" w:line="360" w:lineRule="auto"/>
        <w:ind w:firstLine="708"/>
        <w:jc w:val="both"/>
      </w:pPr>
      <w:r w:rsidRPr="00D55CD5">
        <w:t xml:space="preserve">V oblasti </w:t>
      </w:r>
      <w:r w:rsidRPr="00D55CD5">
        <w:rPr>
          <w:b/>
        </w:rPr>
        <w:t>aerodynamiky, termomechaniky a mechaniky letu</w:t>
      </w:r>
      <w:r w:rsidRPr="00D55CD5">
        <w:t xml:space="preserve"> se výzkum a vývoj bude zaměřovat na aerodynamické profily, řízení mezní vrstvy, efektivní vztlakovou mechanizaci, aktivní prvky řízení aerodynamiky letounu, analýzu dynamických stavů letu, letové vlastnosti a výkony, simulaci vlivu námrazy a její eliminace, predikce vnitřního prostředí v kabinách, optimální aerodynamický návrh VTOL/STOL letadel, optimalizace hydrodynamiky u plovákových letadel a</w:t>
      </w:r>
      <w:r>
        <w:t> </w:t>
      </w:r>
      <w:r w:rsidRPr="00D55CD5">
        <w:t>létajících člunů, termodynamiku suborbitálních letounů, optimalizaci průtočné cesty turbínových motorů, optimalizaci lopatkových částí turbínových motorů a na optimalizaci aerodynamického návrhu vrtulí. Zkoumána bude i aeroelasticita (simulace aeroelastických jevů s vlivem prostředí) a</w:t>
      </w:r>
      <w:r>
        <w:t> </w:t>
      </w:r>
      <w:r w:rsidRPr="00D55CD5">
        <w:t>aeroakustika.</w:t>
      </w:r>
    </w:p>
    <w:p w14:paraId="10204FC9" w14:textId="103B2043" w:rsidR="00D55CD5" w:rsidRPr="00D55CD5" w:rsidRDefault="00D55CD5" w:rsidP="00D55CD5">
      <w:pPr>
        <w:spacing w:before="40" w:after="40" w:line="360" w:lineRule="auto"/>
        <w:ind w:firstLine="708"/>
        <w:jc w:val="both"/>
      </w:pPr>
      <w:r w:rsidRPr="00D55CD5">
        <w:t xml:space="preserve">Oblast </w:t>
      </w:r>
      <w:r w:rsidRPr="00D55CD5">
        <w:rPr>
          <w:b/>
        </w:rPr>
        <w:t>moderních konstrukcí a technologií</w:t>
      </w:r>
      <w:r w:rsidRPr="00D55CD5">
        <w:t xml:space="preserve"> bude zahrnovat progresivní konstrukční návrhy s ohledem na nové technologie a materiály, optimalizační nástroje pro progresivní design s ohledem na výrobní technologii, posuzování leteckých konstrukcí v oblasti únosnosti, únavy a životnosti, mezních stavů a způsobů porušování leteckých konstrukcí, únavové porušování, zpřesnění predikce zbytkové životnosti. Bude prováděn také výzkum vlivu konstrukčních, materiálových či technologických změn na porušování letadlových konstrukcí, zvyšování životnosti letadel. V oblasti pokročilé výrobní technologie je potřeba zkoumat možnosti efektivního a bezpečného užití, např. různých modifikací nových kompozitních technologií, spojování konstrukčních částí nebo výroby integrálních konstrukcí. Je potřeba hledat alternativní metody sestavování a montáží (3D metrologie, rozšířená/virtuální realita), odlévání částí leteckých konstrukcí z hliníkových a hořčíkových slitin vč. počítačových simulací, objemové a plošné tváření a obrábění nekonvenčních materiálů, vysoko-pevnostních ocelí a</w:t>
      </w:r>
      <w:r>
        <w:t> </w:t>
      </w:r>
      <w:r w:rsidRPr="00D55CD5">
        <w:t xml:space="preserve">neželezných slitin, ADM (Additive layer manufacturing) a prostředky snižující vnější a vnitřní hluk. </w:t>
      </w:r>
    </w:p>
    <w:p w14:paraId="484F0489" w14:textId="174C8F51" w:rsidR="00D55CD5" w:rsidRPr="00D55CD5" w:rsidRDefault="00D55CD5" w:rsidP="00D55CD5">
      <w:pPr>
        <w:spacing w:before="40" w:after="40" w:line="360" w:lineRule="auto"/>
        <w:ind w:firstLine="708"/>
        <w:jc w:val="both"/>
      </w:pPr>
      <w:r w:rsidRPr="00D55CD5">
        <w:lastRenderedPageBreak/>
        <w:t xml:space="preserve">V oblasti </w:t>
      </w:r>
      <w:r w:rsidRPr="00D55CD5">
        <w:rPr>
          <w:b/>
        </w:rPr>
        <w:t>materiálů</w:t>
      </w:r>
      <w:r w:rsidRPr="00D55CD5">
        <w:t xml:space="preserve"> je potřeba hledat materiály nových vlastností, které by pro letecké a</w:t>
      </w:r>
      <w:r>
        <w:t> </w:t>
      </w:r>
      <w:r w:rsidRPr="00D55CD5">
        <w:t>kosmické konstrukce měly vynikat nadstandardně výhodným poměrem vlastností k měrné hmotnosti. Potřebné jsou materiály odolávající korozi (drak), vysokým teplotám (součásti motorů), nehořlavé materiály (interiér), materiály s kluznými vlastnostmi (pohybové části), materiály s antiicing vlastnostmi, materiály snižující povrchové tření, materiály schopné absorbovat vysokou energii (přistávací podvozky), materiály s programovatelnými a inteligentními vlastnostmi apod. Jedním ze směrů vývoje je i používání materiálů s nanovlákny a nanoplnivy. Současně je potřeba u pokročilých materiálů (již existujících) hledat možnosti jejich letecké aplikace.</w:t>
      </w:r>
    </w:p>
    <w:p w14:paraId="03B9A710" w14:textId="77777777" w:rsidR="00D55CD5" w:rsidRPr="00D55CD5" w:rsidRDefault="00D55CD5" w:rsidP="00D55CD5">
      <w:pPr>
        <w:spacing w:before="40" w:after="40" w:line="360" w:lineRule="auto"/>
        <w:ind w:firstLine="708"/>
        <w:jc w:val="both"/>
      </w:pPr>
      <w:r w:rsidRPr="00D55CD5">
        <w:t xml:space="preserve">Vývoj v oblasti </w:t>
      </w:r>
      <w:r w:rsidRPr="00D55CD5">
        <w:rPr>
          <w:b/>
        </w:rPr>
        <w:t>pohonných jednotek</w:t>
      </w:r>
      <w:r w:rsidRPr="00D55CD5">
        <w:t xml:space="preserve"> se bude zaměřovat na alternativní paliva, nové pohonné systémy (pohony pro malá letadla, pohonné jednotky pro kluzáky, restartovatelný raketový pohon, elektrické a hybridní pohonné jednotky, vodíkové palivové články), spalovací komory, diagnostické systémy pohonných jednotek, konstrukce a modelování leteckých motorů a jejich komponent, optimalizace návrhu lehkých vrtulí a ventilátorů, dynamické simulace regulačních a řídicích systémů turbínového motoru, modelování a optimalizace termodynamických procesů ve spalovacích komorách, návrh a optimalizace vysokootáčkových převodovek.</w:t>
      </w:r>
    </w:p>
    <w:p w14:paraId="421A0AE9" w14:textId="77777777" w:rsidR="00D55CD5" w:rsidRPr="00D55CD5" w:rsidRDefault="00D55CD5" w:rsidP="00D55CD5">
      <w:pPr>
        <w:spacing w:before="40" w:after="40" w:line="360" w:lineRule="auto"/>
        <w:ind w:firstLine="708"/>
        <w:jc w:val="both"/>
      </w:pPr>
      <w:r w:rsidRPr="00D55CD5">
        <w:t xml:space="preserve">Vývoj v oblasti </w:t>
      </w:r>
      <w:r w:rsidRPr="00D55CD5">
        <w:rPr>
          <w:b/>
        </w:rPr>
        <w:t>letadlových palubních soustav</w:t>
      </w:r>
      <w:r w:rsidRPr="00D55CD5">
        <w:t xml:space="preserve"> se bude soustředit na integraci systémových soustav (hydraulika, palivo, vzduchotechnika), optimalizaci automatického řízení pohybu (funkce autopilota), bezpečnou datovou komunikaci, integrovaný elektrický zdrojový rozvodný systém, zvýšení přesnosti nízkonákladových inerciálních leteckých měřicích jednotek s využitím GPS a magnetometrů, částicové filtry, identifikaci a řídící algoritmy dynamických systémů, Integrované přijímače družicové navigace, integrované systémy družicové komunikace (SESAR), automatizovaný systém řízení a integrované stabilizované letadlové optické systémy.</w:t>
      </w:r>
    </w:p>
    <w:p w14:paraId="27E41A8A" w14:textId="260FC46D" w:rsidR="00D55CD5" w:rsidRPr="00D55CD5" w:rsidRDefault="00D55CD5" w:rsidP="00D55CD5">
      <w:pPr>
        <w:spacing w:before="40" w:after="40" w:line="360" w:lineRule="auto"/>
        <w:ind w:firstLine="708"/>
        <w:jc w:val="both"/>
      </w:pPr>
      <w:r w:rsidRPr="00D55CD5">
        <w:t xml:space="preserve">Vývoj </w:t>
      </w:r>
      <w:r w:rsidRPr="00D55CD5">
        <w:rPr>
          <w:b/>
        </w:rPr>
        <w:t>bezpilotních prostředků</w:t>
      </w:r>
      <w:r w:rsidRPr="00D55CD5">
        <w:t xml:space="preserve"> se bude zaměřovat na drony pro bezpečnostní potřeby (ochrana kritické infrastruktury a letišť, ostraha perimetrů, plašení a detekce ptáků a zvěře), na výzkum možného využití dronů v nejrůznějších oblastech (zemědělství a lesnictví – požární ochrana, monitoring poškození lesů, lineární stavby, tvorba ortofotomap, skenování terénu).  Je nutné také zkoumat možnost</w:t>
      </w:r>
      <w:r w:rsidRPr="00D55CD5">
        <w:rPr>
          <w:rFonts w:cs="Arial"/>
        </w:rPr>
        <w:t xml:space="preserve"> použití více bezpilotních prostředků v jednom prostoru – zahrnuje systémy řízení a</w:t>
      </w:r>
      <w:r>
        <w:rPr>
          <w:rFonts w:cs="Arial"/>
        </w:rPr>
        <w:t> </w:t>
      </w:r>
      <w:r w:rsidRPr="00D55CD5">
        <w:rPr>
          <w:rFonts w:cs="Arial"/>
        </w:rPr>
        <w:t>lety ve formaci, tactical, planning a collision avoidance, možnost plnění různých úkolů - tracking, surveillance, monitoring, patrolling, atd. a použití GT pro vice prostředků.</w:t>
      </w:r>
    </w:p>
    <w:p w14:paraId="0EB1E2C6" w14:textId="15A6B8A7" w:rsidR="00D55CD5" w:rsidRPr="00D55CD5" w:rsidRDefault="00D55CD5" w:rsidP="00250C13">
      <w:pPr>
        <w:autoSpaceDE w:val="0"/>
        <w:autoSpaceDN w:val="0"/>
        <w:adjustRightInd w:val="0"/>
        <w:spacing w:after="0" w:line="360" w:lineRule="auto"/>
        <w:ind w:firstLine="708"/>
        <w:jc w:val="both"/>
        <w:rPr>
          <w:rFonts w:cs="Arial"/>
        </w:rPr>
      </w:pPr>
      <w:r w:rsidRPr="00D55CD5">
        <w:t xml:space="preserve">V oblasti </w:t>
      </w:r>
      <w:r w:rsidRPr="00D55CD5">
        <w:rPr>
          <w:b/>
        </w:rPr>
        <w:t>kosmických aktivit</w:t>
      </w:r>
      <w:r w:rsidRPr="00D55CD5">
        <w:t xml:space="preserve"> bude předmětem výzkumu a vývoje především s</w:t>
      </w:r>
      <w:r w:rsidRPr="00D55CD5">
        <w:rPr>
          <w:rFonts w:cs="Arial"/>
        </w:rPr>
        <w:t>ensorika a</w:t>
      </w:r>
      <w:r w:rsidR="00250C13">
        <w:rPr>
          <w:rFonts w:cs="Arial"/>
        </w:rPr>
        <w:t> </w:t>
      </w:r>
      <w:r w:rsidRPr="00D55CD5">
        <w:rPr>
          <w:rFonts w:cs="Arial"/>
        </w:rPr>
        <w:t xml:space="preserve">přístrojová technika (akcelerometr, altimetr, radar, lidar, magnetometr, přijímač GNSS atd.), vesmírné mechanismy včetně schopností jejich testování, vývoj nových mechanismů s pohony na bázi materiálů s tvarovou pamětí (SMA), nové konstrukce mechanismů s vysokými užitnými mechanickými a termálními vlastnostmi i s využitím nových materiálů jako např. AlBeMet, pozemní testovací zařízení </w:t>
      </w:r>
      <w:r w:rsidRPr="00D55CD5">
        <w:rPr>
          <w:rFonts w:cs="Arial"/>
        </w:rPr>
        <w:lastRenderedPageBreak/>
        <w:t>(EGSE, MGSE, OGSE), mikropočítač pro družicové systémy, družicové palubní a SW systémy, automatické a robotické systémy, otevřené a bezpečné komunikační protokoly, MEMS technologie, materiály vylepšených vlastností pro použití v kosmu, strukturální a termální analýza, simulace aerotermoelastických jevů, vývoj malých družic a technologií pro raketové nosiče.</w:t>
      </w:r>
    </w:p>
    <w:p w14:paraId="3D257337" w14:textId="5985C55C" w:rsidR="00D55CD5" w:rsidRPr="00D55CD5" w:rsidRDefault="00D55CD5" w:rsidP="00256088">
      <w:pPr>
        <w:autoSpaceDE w:val="0"/>
        <w:autoSpaceDN w:val="0"/>
        <w:adjustRightInd w:val="0"/>
        <w:spacing w:after="0" w:line="360" w:lineRule="auto"/>
        <w:ind w:left="20" w:firstLine="688"/>
        <w:jc w:val="both"/>
        <w:rPr>
          <w:rFonts w:cs="Arial"/>
        </w:rPr>
      </w:pPr>
      <w:r w:rsidRPr="00D55CD5">
        <w:rPr>
          <w:rFonts w:cs="Arial"/>
        </w:rPr>
        <w:t xml:space="preserve">Letecký průmysl se ze společenského hlediska zabývá především energeticky a ekologicky udržitelnou dopravou a zajištěním její </w:t>
      </w:r>
      <w:r w:rsidRPr="00D55CD5">
        <w:rPr>
          <w:rFonts w:cs="Arial"/>
          <w:b/>
        </w:rPr>
        <w:t>bezpečnosti a spolehlivosti (safety and security).</w:t>
      </w:r>
      <w:r w:rsidRPr="00D55CD5">
        <w:rPr>
          <w:rFonts w:cs="Arial"/>
        </w:rPr>
        <w:t xml:space="preserve"> Z hlediska bezpečnosti jde na jedné straně o spolehlivost a životnost letounů a jejich komponent (provozní spolehlivost leteckých konstrukcí, civilní aplikace bezpilotních prostředků, zvyšování živostnosti leteckých konstrukcí (vyhodnocování poškozování letadel, experimentální prostředky pro sledování, měření a vyhodnocování namáhání a deformací částí leteckých konstrukcí za provozu), pokročilé pilotní kabiny, low-cost konstrukční prvky letadel, efektivní využití interiéru letadla), na straně druhé o zajištění bezpečnosti a plynulosti letového provozu</w:t>
      </w:r>
      <w:r w:rsidRPr="00D55CD5">
        <w:rPr>
          <w:rFonts w:cs="Arial"/>
          <w:b/>
        </w:rPr>
        <w:t xml:space="preserve"> </w:t>
      </w:r>
      <w:r w:rsidRPr="00D55CD5">
        <w:rPr>
          <w:rFonts w:cs="Arial"/>
        </w:rPr>
        <w:t>(technické systémy pro poskytování letových provozních služeb včetně technologie pro její vzdálené poskytování, letecké informační a komunikační technologie, detekční zařízení pro bezpilotní prostředky v okolí velkých letišť včetně detekčních zařízení pro bezpilotní prostředky v okolí velkých letišť, detekční systémy pro odhalování rušení a</w:t>
      </w:r>
      <w:r w:rsidR="00256088">
        <w:rPr>
          <w:rFonts w:cs="Arial"/>
        </w:rPr>
        <w:t> </w:t>
      </w:r>
      <w:r w:rsidRPr="00D55CD5">
        <w:rPr>
          <w:rFonts w:cs="Arial"/>
        </w:rPr>
        <w:t>podvržení signálu systémů GNSS).</w:t>
      </w:r>
    </w:p>
    <w:p w14:paraId="60C1DAC6" w14:textId="77777777" w:rsidR="00D55CD5" w:rsidRDefault="00D55CD5" w:rsidP="00256088">
      <w:pPr>
        <w:autoSpaceDE w:val="0"/>
        <w:autoSpaceDN w:val="0"/>
        <w:adjustRightInd w:val="0"/>
        <w:spacing w:after="0" w:line="360" w:lineRule="auto"/>
        <w:ind w:firstLine="708"/>
        <w:jc w:val="both"/>
        <w:rPr>
          <w:rFonts w:cs="Arial"/>
        </w:rPr>
      </w:pPr>
      <w:r w:rsidRPr="00D55CD5">
        <w:rPr>
          <w:rFonts w:cs="Arial"/>
        </w:rPr>
        <w:t>Bezpečnost zahrnuje i protiteroristické prvky, letadla s redukovanou posádkou, pasivní bezpečnost posádky a cestujících a snížení zátěže pilota,</w:t>
      </w:r>
      <w:r w:rsidRPr="00D55CD5">
        <w:t xml:space="preserve"> </w:t>
      </w:r>
      <w:r w:rsidRPr="00D55CD5">
        <w:rPr>
          <w:rFonts w:cs="Arial"/>
        </w:rPr>
        <w:t>přenos a sdílení velkých objemů konstrukčních dat mezi vzdálenými uživateli, virtuální realita v konstruování, pokročilé odmrazovací systémy, ochrana proti vlivům blesku, záchranné systémy pro letouny či vystřelovací sedačky.</w:t>
      </w:r>
    </w:p>
    <w:p w14:paraId="51CFFC03" w14:textId="77777777" w:rsidR="00087EC7" w:rsidRDefault="00087EC7" w:rsidP="00256088">
      <w:pPr>
        <w:autoSpaceDE w:val="0"/>
        <w:autoSpaceDN w:val="0"/>
        <w:adjustRightInd w:val="0"/>
        <w:spacing w:after="0" w:line="360" w:lineRule="auto"/>
        <w:ind w:firstLine="708"/>
        <w:jc w:val="both"/>
        <w:rPr>
          <w:rFonts w:cs="Arial"/>
        </w:rPr>
      </w:pPr>
    </w:p>
    <w:p w14:paraId="3E05A86F" w14:textId="00E0F97E" w:rsidR="00D55CD5" w:rsidRDefault="007731B6" w:rsidP="007731B6">
      <w:pPr>
        <w:pStyle w:val="Nadpis4"/>
      </w:pPr>
      <w:bookmarkStart w:id="137" w:name="_Toc525716225"/>
      <w:r>
        <w:t>Železniční a kolejová vozidla</w:t>
      </w:r>
      <w:bookmarkEnd w:id="137"/>
    </w:p>
    <w:p w14:paraId="48D60FEA" w14:textId="234286EE" w:rsidR="007731B6" w:rsidRPr="00596635" w:rsidRDefault="006F0BCD" w:rsidP="006F0BCD">
      <w:pPr>
        <w:spacing w:before="240" w:line="360" w:lineRule="auto"/>
        <w:rPr>
          <w:b/>
          <w:u w:val="single"/>
        </w:rPr>
      </w:pPr>
      <w:r w:rsidRPr="00596635">
        <w:rPr>
          <w:b/>
          <w:u w:val="single"/>
        </w:rPr>
        <w:t>Východiska</w:t>
      </w:r>
    </w:p>
    <w:p w14:paraId="7C70037A" w14:textId="77777777" w:rsidR="006F0BCD" w:rsidRPr="006F0BCD" w:rsidRDefault="006F0BCD" w:rsidP="008B2D2A">
      <w:pPr>
        <w:autoSpaceDE w:val="0"/>
        <w:autoSpaceDN w:val="0"/>
        <w:adjustRightInd w:val="0"/>
        <w:spacing w:before="40" w:after="40" w:line="360" w:lineRule="auto"/>
        <w:ind w:firstLine="708"/>
        <w:jc w:val="both"/>
        <w:rPr>
          <w:rFonts w:cs="Calibri"/>
        </w:rPr>
      </w:pPr>
      <w:r w:rsidRPr="006F0BCD">
        <w:rPr>
          <w:rFonts w:cs="Calibri"/>
        </w:rPr>
        <w:t>Z hlediska produkčních charakteristik je v ČR výroba železničních lokomotiv a vozového parku nejvýznamnější skupinou oddílu CZ NACE 30. Dominantní skupinou je 30.2 Výroba železničních lokomotiv a vozového parku, jejíž produkční charakteristiky tvoří zhruba polovinu oddílu, při nízkém počtu jednotek. Druhou největší skupinou, jejíž podíl na produkčních charakteristikách se pohybuje kolem jedné třetiny oddílu, je 30.3 Výroba letadel a jejich motorů, kosmických lodí a souvisejících zařízení, rovněž s nevelkým počtem jednotek</w:t>
      </w:r>
      <w:r w:rsidRPr="006F0BCD">
        <w:rPr>
          <w:rStyle w:val="Znakapoznpodarou"/>
          <w:rFonts w:cs="Calibri"/>
        </w:rPr>
        <w:footnoteReference w:id="111"/>
      </w:r>
      <w:r w:rsidRPr="006F0BCD">
        <w:rPr>
          <w:rFonts w:cs="Calibri"/>
        </w:rPr>
        <w:t xml:space="preserve">. </w:t>
      </w:r>
    </w:p>
    <w:p w14:paraId="704253E8" w14:textId="6E70FC99" w:rsidR="006F0BCD" w:rsidRPr="006F0BCD" w:rsidRDefault="006F0BCD" w:rsidP="008B2D2A">
      <w:pPr>
        <w:autoSpaceDE w:val="0"/>
        <w:autoSpaceDN w:val="0"/>
        <w:adjustRightInd w:val="0"/>
        <w:spacing w:before="40" w:after="40" w:line="360" w:lineRule="auto"/>
        <w:ind w:firstLine="708"/>
        <w:jc w:val="both"/>
      </w:pPr>
      <w:r w:rsidRPr="006F0BCD">
        <w:rPr>
          <w:rFonts w:cs="Calibri"/>
        </w:rPr>
        <w:t xml:space="preserve">Rozvoj železniční dopravy je v souladu s Bílou knihou EU o dopravě jako součást Strategie Doprava 2050 jednou z priorit EU. Výroba železničních a kolejových vozidel je řazena mezi odvětví s vyšší technologickou náročností (medium hi-tech odvětví). V souladu s evropskou strategií stavby </w:t>
      </w:r>
      <w:r w:rsidRPr="006F0BCD">
        <w:rPr>
          <w:rFonts w:cs="Calibri"/>
        </w:rPr>
        <w:lastRenderedPageBreak/>
        <w:t>vysokorychlostních železničních koridorů, posilováním významu kolejové městské a regionální dopravy (zejména v aglomeracích a jejich okolí) a v souladu s preferencí železnice v nákladní dopravě na střední a velké vzdálenosti lze očekávat nárůst zájmu dopravců o moderní, rychlé, spolehlivé, bezpečné a</w:t>
      </w:r>
      <w:r w:rsidR="008B2D2A">
        <w:rPr>
          <w:rFonts w:cs="Calibri"/>
        </w:rPr>
        <w:t> </w:t>
      </w:r>
      <w:r w:rsidRPr="006F0BCD">
        <w:rPr>
          <w:rFonts w:cs="Calibri"/>
        </w:rPr>
        <w:t xml:space="preserve">energeticky efektivní vlakové soupravy a související zařízení. Čeští výrobci v železničním průmyslu patří svojí kvalitou i cenovou konkurenceschopností k žádaným dodavatelům svých výrobků nejen na tuzemském trhu, ale i na trzích ostatních zemí EU a dalších zemí. Vývoz výrobků této skupiny převažuje v západní Evropě do Německa a do Francie. Export výrobců kolejových vozidel v ČR je velmi významně orientován do zemí střední a východní Evropy i do Asie. </w:t>
      </w:r>
    </w:p>
    <w:p w14:paraId="3B99DD66" w14:textId="1627AC8F" w:rsidR="006F0BCD" w:rsidRPr="006F0BCD" w:rsidRDefault="006F0BCD" w:rsidP="008B2D2A">
      <w:pPr>
        <w:autoSpaceDE w:val="0"/>
        <w:autoSpaceDN w:val="0"/>
        <w:adjustRightInd w:val="0"/>
        <w:spacing w:before="40" w:after="40" w:line="360" w:lineRule="auto"/>
        <w:ind w:firstLine="708"/>
        <w:jc w:val="both"/>
      </w:pPr>
      <w:r w:rsidRPr="006F0BCD">
        <w:t>Z pohle</w:t>
      </w:r>
      <w:r w:rsidR="00B8126F">
        <w:t xml:space="preserve">du výzkumu a vývoje je oddíl CZ </w:t>
      </w:r>
      <w:r w:rsidRPr="006F0BCD">
        <w:t xml:space="preserve">NACE 30 pro ČR významný svým podílem na výdajích podnikatelského sektoru na výzkum a vývoj, který navíc meziročně roste. </w:t>
      </w:r>
    </w:p>
    <w:p w14:paraId="18CF5E1C" w14:textId="77777777" w:rsidR="006F0BCD" w:rsidRPr="006F0BCD" w:rsidRDefault="006F0BCD" w:rsidP="006F0BCD">
      <w:pPr>
        <w:autoSpaceDE w:val="0"/>
        <w:autoSpaceDN w:val="0"/>
        <w:adjustRightInd w:val="0"/>
        <w:spacing w:before="40" w:after="40" w:line="360" w:lineRule="auto"/>
        <w:jc w:val="both"/>
      </w:pPr>
      <w:r w:rsidRPr="006F0BCD">
        <w:t>Výrobcům v železničním průmyslu pomůže modernizace železniční infrastruktury v souladu s evropskou strategií stavby vysokorychlostních železničních koridorů, která mimo jiné podnítí zájem dopravců o moderní rychlé vlakové soupravy a související zařízení. Firmy ve všech skupinách CZ NACE 30, jakožto výrobci high-tech produktů, jsou omezeny množstvím dostupných technicky kvalifikovaných pracovníků, kterých je v dnešní době nedostatek. I v této oblasti je role státu nezastupitelná.</w:t>
      </w:r>
    </w:p>
    <w:p w14:paraId="665A19A8" w14:textId="1A54AB29" w:rsidR="006F0BCD" w:rsidRPr="006F0BCD" w:rsidRDefault="006F0BCD" w:rsidP="00596635">
      <w:pPr>
        <w:spacing w:after="0" w:line="360" w:lineRule="auto"/>
        <w:ind w:firstLine="708"/>
        <w:jc w:val="both"/>
      </w:pPr>
      <w:r w:rsidRPr="006F0BCD">
        <w:t>Podle článku č. 2 závěrečného protokolu světové klimatické konference v Paříži ze dne 12.</w:t>
      </w:r>
      <w:r w:rsidR="008B2D2A">
        <w:t> </w:t>
      </w:r>
      <w:r w:rsidRPr="006F0BCD">
        <w:t>12.</w:t>
      </w:r>
      <w:r w:rsidR="008B2D2A">
        <w:t> </w:t>
      </w:r>
      <w:r w:rsidRPr="006F0BCD">
        <w:t>2015 budou přijata a uskutečněna opatření, aby cílové oteplení Země nepřesáhlo hodnotu 1,5</w:t>
      </w:r>
      <w:r w:rsidR="008B2D2A">
        <w:t> až 2 </w:t>
      </w:r>
      <w:r w:rsidRPr="006F0BCD">
        <w:t xml:space="preserve">°C vůči předindustriálnímu období. </w:t>
      </w:r>
    </w:p>
    <w:p w14:paraId="299738CB" w14:textId="77777777" w:rsidR="006F0BCD" w:rsidRPr="006F0BCD" w:rsidRDefault="006F0BCD" w:rsidP="00596635">
      <w:pPr>
        <w:spacing w:after="0" w:line="360" w:lineRule="auto"/>
        <w:ind w:firstLine="708"/>
        <w:jc w:val="both"/>
      </w:pPr>
      <w:r w:rsidRPr="006F0BCD">
        <w:t>Dosud bylo spalováním fosilních paliv předáno do zemského obalu zhruba 1 500 miliard t CO</w:t>
      </w:r>
      <w:r w:rsidRPr="006F0BCD">
        <w:rPr>
          <w:vertAlign w:val="subscript"/>
        </w:rPr>
        <w:t>2</w:t>
      </w:r>
      <w:r w:rsidRPr="006F0BCD">
        <w:t xml:space="preserve"> a oteplení Země vůči předindustriálnímu období dosáhlo cca 1,0 °C. Z jednoduchého propočtu vyplývá, že při současném tempu antropogenní produkce CO</w:t>
      </w:r>
      <w:r w:rsidRPr="006F0BCD">
        <w:rPr>
          <w:vertAlign w:val="subscript"/>
        </w:rPr>
        <w:t>2</w:t>
      </w:r>
      <w:r w:rsidRPr="006F0BCD">
        <w:t xml:space="preserve"> (2015: 32 miliard t CO</w:t>
      </w:r>
      <w:r w:rsidRPr="006F0BCD">
        <w:rPr>
          <w:vertAlign w:val="subscript"/>
        </w:rPr>
        <w:t>2</w:t>
      </w:r>
      <w:r w:rsidRPr="006F0BCD">
        <w:t xml:space="preserve">/rok) nás dělí od absolutního zákazu dalšího spalování fosilních paliv již jen 23 let (při limitu oteplení Země o 1,5 °C), respektive 47 let (při limitu oteplení Země o 2 °C). </w:t>
      </w:r>
    </w:p>
    <w:p w14:paraId="296A99C4" w14:textId="5A140128" w:rsidR="006F0BCD" w:rsidRPr="006F0BCD" w:rsidRDefault="006F0BCD" w:rsidP="00861318">
      <w:pPr>
        <w:spacing w:after="0" w:line="360" w:lineRule="auto"/>
        <w:jc w:val="both"/>
      </w:pPr>
      <w:r w:rsidRPr="006F0BCD">
        <w:t>To je pro dopravu v ČR velmi zásadní zpráva, neboť 97</w:t>
      </w:r>
      <w:r w:rsidR="008B2D2A">
        <w:t> </w:t>
      </w:r>
      <w:r w:rsidRPr="006F0BCD">
        <w:t>% energie pro dopravu zajišťují ropné produkty a jejich náhražky a jen 3</w:t>
      </w:r>
      <w:r w:rsidR="008B2D2A">
        <w:t> </w:t>
      </w:r>
      <w:r w:rsidRPr="006F0BCD">
        <w:t>% elektrická energie. Ve své dosavadní struktuře je doprava v ČR již ve velmi blízké budoucnosti neudržitelná</w:t>
      </w:r>
      <w:r w:rsidRPr="006F0BCD">
        <w:rPr>
          <w:rStyle w:val="Znakapoznpodarou"/>
        </w:rPr>
        <w:footnoteReference w:id="112"/>
      </w:r>
      <w:r w:rsidRPr="006F0BCD">
        <w:t>.</w:t>
      </w:r>
    </w:p>
    <w:p w14:paraId="7999BBC2" w14:textId="7C413A7D" w:rsidR="006F0BCD" w:rsidRPr="006F0BCD" w:rsidRDefault="006F0BCD" w:rsidP="00861318">
      <w:pPr>
        <w:spacing w:after="0" w:line="360" w:lineRule="auto"/>
        <w:jc w:val="both"/>
      </w:pPr>
      <w:r w:rsidRPr="006F0BCD">
        <w:t>Proto je nutno s plnou odpovědností respektovat usnesení vlády ČR č. 362/2015, které pro dopravu předepisuje do roku 2030 snížit spotřebu ropných paliv o 9 000 miliard kWh/rok</w:t>
      </w:r>
      <w:r w:rsidR="008B2D2A">
        <w:t> </w:t>
      </w:r>
      <w:r w:rsidRPr="006F0BCD">
        <w:t xml:space="preserve">a zvýšit využití elektrické energie o 1 900 miliard kWh/rok. </w:t>
      </w:r>
    </w:p>
    <w:p w14:paraId="19C4ED3A" w14:textId="27509EFA" w:rsidR="006F0BCD" w:rsidRPr="006F0BCD" w:rsidRDefault="006F0BCD" w:rsidP="00861318">
      <w:pPr>
        <w:spacing w:after="0" w:line="360" w:lineRule="auto"/>
        <w:ind w:firstLine="708"/>
        <w:jc w:val="both"/>
        <w:rPr>
          <w:b/>
          <w:bCs/>
        </w:rPr>
      </w:pPr>
      <w:r w:rsidRPr="006F0BCD">
        <w:t>Jak z důvodu násobně nižší energetické náročnosti kolejové dopravy, tak i z důvodu mnohanásobně vyšší rentability využití investic (průměrný automobil je v ČR využíván 2</w:t>
      </w:r>
      <w:r w:rsidR="008B2D2A">
        <w:t> </w:t>
      </w:r>
      <w:r w:rsidRPr="006F0BCD">
        <w:t>% denního času, zatímco prostředky veřejné dopravy kolem 60</w:t>
      </w:r>
      <w:r w:rsidRPr="008B2D2A">
        <w:t xml:space="preserve"> </w:t>
      </w:r>
      <w:r w:rsidRPr="006F0BCD">
        <w:t xml:space="preserve">%) je mnohem reálnější uskutečnit usnesením </w:t>
      </w:r>
      <w:r w:rsidRPr="006F0BCD">
        <w:lastRenderedPageBreak/>
        <w:t>vlády ČR č. 362/2015 stanovenou energetickou substituci ve veřejné dopravě, zejména železniční než v dopravě individuální.</w:t>
      </w:r>
    </w:p>
    <w:p w14:paraId="1CD8E938" w14:textId="1DE71A78" w:rsidR="006F0BCD" w:rsidRDefault="006F0BCD" w:rsidP="00861318">
      <w:pPr>
        <w:spacing w:after="0" w:line="360" w:lineRule="auto"/>
        <w:ind w:firstLine="708"/>
        <w:rPr>
          <w:bCs/>
        </w:rPr>
      </w:pPr>
      <w:r w:rsidRPr="006F0BCD">
        <w:rPr>
          <w:bCs/>
        </w:rPr>
        <w:t>K dosažení tohoto závazku napomůže podpora výzkumu a vývoje s cílem dosažení maximálně bezemisní veřejné dopravy a</w:t>
      </w:r>
      <w:r w:rsidR="008B2D2A">
        <w:rPr>
          <w:bCs/>
        </w:rPr>
        <w:t> </w:t>
      </w:r>
      <w:r w:rsidRPr="006F0BCD">
        <w:rPr>
          <w:bCs/>
        </w:rPr>
        <w:t>snížení spotřeby fosilních paliv (železniční i</w:t>
      </w:r>
      <w:r w:rsidR="008B2D2A">
        <w:rPr>
          <w:bCs/>
        </w:rPr>
        <w:t> </w:t>
      </w:r>
      <w:r w:rsidRPr="006F0BCD">
        <w:rPr>
          <w:bCs/>
        </w:rPr>
        <w:t>městské).</w:t>
      </w:r>
    </w:p>
    <w:p w14:paraId="55DDCAF8" w14:textId="77777777" w:rsidR="00FD3FA5" w:rsidRDefault="00FD3FA5" w:rsidP="004A6928">
      <w:pPr>
        <w:spacing w:before="240" w:line="360" w:lineRule="auto"/>
        <w:rPr>
          <w:b/>
          <w:bCs/>
          <w:u w:val="single"/>
        </w:rPr>
      </w:pPr>
    </w:p>
    <w:p w14:paraId="66D3E307" w14:textId="69B960E7" w:rsidR="004A6928" w:rsidRPr="00861318" w:rsidRDefault="004A6928" w:rsidP="004A6928">
      <w:pPr>
        <w:spacing w:before="240" w:line="360" w:lineRule="auto"/>
        <w:rPr>
          <w:b/>
          <w:bCs/>
          <w:u w:val="single"/>
        </w:rPr>
      </w:pPr>
      <w:r w:rsidRPr="00861318">
        <w:rPr>
          <w:b/>
          <w:bCs/>
          <w:u w:val="single"/>
        </w:rPr>
        <w:t>Popis potřeb a jejich řešení</w:t>
      </w:r>
    </w:p>
    <w:p w14:paraId="38EFF48A" w14:textId="77777777" w:rsidR="004A6928" w:rsidRPr="004A6928" w:rsidRDefault="004A6928" w:rsidP="00861318">
      <w:pPr>
        <w:spacing w:after="0" w:line="360" w:lineRule="auto"/>
        <w:ind w:firstLine="708"/>
        <w:jc w:val="both"/>
      </w:pPr>
      <w:r w:rsidRPr="004A6928">
        <w:t xml:space="preserve">Základní směry výzkumu a vývoje v oblasti kolejových vozidel se týkají harmonizace s životním prostředím (redukce spotřeby energie, vývoj komponent a systémů pro snižování hluku, nové ekologické systémy pohonů). </w:t>
      </w:r>
    </w:p>
    <w:p w14:paraId="68851FFB" w14:textId="77777777" w:rsidR="004A6928" w:rsidRPr="004A6928" w:rsidRDefault="004A6928" w:rsidP="00861318">
      <w:pPr>
        <w:spacing w:after="0" w:line="360" w:lineRule="auto"/>
        <w:ind w:firstLine="708"/>
        <w:jc w:val="both"/>
      </w:pPr>
      <w:r w:rsidRPr="004A6928">
        <w:t xml:space="preserve">Další okruh se vztahuje ke zvýšení interoperability, bezpečnosti a spolehlivosti, kde je výzvou zejména vývoj nových kolejových vozidel a komponent splňujících požadavky nejnovější evropské legislativy, trendy v osobní a nákladní dopravě, včetně využití inteligentních systémů. </w:t>
      </w:r>
    </w:p>
    <w:p w14:paraId="5628D5D2" w14:textId="75201B46" w:rsidR="004A6928" w:rsidRPr="004A6928" w:rsidRDefault="004A6928" w:rsidP="00861318">
      <w:pPr>
        <w:spacing w:after="0" w:line="360" w:lineRule="auto"/>
        <w:ind w:firstLine="708"/>
        <w:jc w:val="both"/>
      </w:pPr>
      <w:r w:rsidRPr="004A6928">
        <w:t xml:space="preserve">V oblasti </w:t>
      </w:r>
      <w:r w:rsidRPr="004A6928">
        <w:rPr>
          <w:b/>
        </w:rPr>
        <w:t>pokročilých materiálů</w:t>
      </w:r>
      <w:r w:rsidRPr="004A6928">
        <w:t xml:space="preserve"> je potřeba obecně vyvíjet materiály nových vlastností s vyšší životností, bezpečností v železničním provozu, potažmo ekologicky příznivější. Jedná se zejména o</w:t>
      </w:r>
      <w:r>
        <w:t> </w:t>
      </w:r>
      <w:r w:rsidRPr="004A6928">
        <w:t xml:space="preserve">nové kovové materiály (oceli s vyšší pevností, oceli s vyšší odolností proti korozi) i nekovové materiály (např. sendvičové konstrukce, kompozitní materiály a použití pryže). Aplikace těchto nových materiálů najde využití např. při stavbě skříní a podvozků, interiérech kolejových vozidel. Tyto materiály by měly poskytovat technologický posun v oblasti redukce emisí a šíření hluku a vibrací v železničním provozu. Vývoj v oblasti materiálů nových vlastností se dá aplikovat např. u materiálů železničních kol a náprav s vyšší životností a bezpečností v provozu, včetně jejich technologie tepelného zpracování či v oblasti výzkumu a ověřování nových kovových i nekovových materiálů a vývoj nových konstrukcí pryží odpružených kol pro městskou a příměstskou kolejovou dopravu. </w:t>
      </w:r>
    </w:p>
    <w:p w14:paraId="779FB9DE" w14:textId="77777777" w:rsidR="004A6928" w:rsidRPr="004A6928" w:rsidRDefault="004A6928" w:rsidP="00ED3876">
      <w:pPr>
        <w:spacing w:after="0" w:line="360" w:lineRule="auto"/>
        <w:ind w:firstLine="708"/>
        <w:jc w:val="both"/>
      </w:pPr>
      <w:r w:rsidRPr="004A6928">
        <w:t xml:space="preserve">U </w:t>
      </w:r>
      <w:r w:rsidRPr="004A6928">
        <w:rPr>
          <w:b/>
        </w:rPr>
        <w:t>pokročilých výrobních technologií</w:t>
      </w:r>
      <w:r w:rsidRPr="004A6928">
        <w:t xml:space="preserve"> je potřeba zkoumat následující oblasti (</w:t>
      </w:r>
      <w:r w:rsidRPr="004A6928">
        <w:rPr>
          <w:b/>
        </w:rPr>
        <w:t>produkty</w:t>
      </w:r>
      <w:r w:rsidRPr="004A6928">
        <w:t>;</w:t>
      </w:r>
      <w:r w:rsidRPr="004A6928">
        <w:rPr>
          <w:b/>
        </w:rPr>
        <w:t xml:space="preserve"> emise/hluk/energie</w:t>
      </w:r>
      <w:r w:rsidRPr="004A6928">
        <w:t xml:space="preserve">; </w:t>
      </w:r>
      <w:r w:rsidRPr="004A6928">
        <w:rPr>
          <w:b/>
        </w:rPr>
        <w:t>řídicí systémy/elektronika</w:t>
      </w:r>
      <w:r w:rsidRPr="004A6928">
        <w:t xml:space="preserve">; </w:t>
      </w:r>
      <w:r w:rsidRPr="004A6928">
        <w:rPr>
          <w:b/>
        </w:rPr>
        <w:t>zkušebnictví</w:t>
      </w:r>
      <w:r w:rsidRPr="004A6928">
        <w:t>) uvedené níže.</w:t>
      </w:r>
    </w:p>
    <w:p w14:paraId="45AA7F05" w14:textId="3CE165E0" w:rsidR="004A6928" w:rsidRPr="004A6928" w:rsidRDefault="004A6928" w:rsidP="00ED3876">
      <w:pPr>
        <w:spacing w:after="0" w:line="360" w:lineRule="auto"/>
        <w:ind w:firstLine="708"/>
        <w:jc w:val="both"/>
      </w:pPr>
      <w:r w:rsidRPr="004A6928">
        <w:t xml:space="preserve">V oblasti </w:t>
      </w:r>
      <w:r w:rsidRPr="004A6928">
        <w:rPr>
          <w:b/>
        </w:rPr>
        <w:t xml:space="preserve">produktů </w:t>
      </w:r>
      <w:r w:rsidRPr="004A6928">
        <w:t>je potřeba se zaměřit na interoperabilitu a posílení bezpečnosti, kdy z důvodu nutnosti implementace nových evropských legislativních požadavků kladených na kolejová vozidla, zejména pak zaměřených na interoperabilitu, maximální bezpečnost a provozní efektivnost s</w:t>
      </w:r>
      <w:r>
        <w:t> </w:t>
      </w:r>
      <w:r w:rsidRPr="004A6928">
        <w:t xml:space="preserve">důrazem na prokazování shody s těmito požadavky (tj. dosažení jejich požadované úrovně), je ve zvýšené míře potřeba realizovat prototypy produktů jako součást výzkumu a vývoje. Bez realizace těchto produktových prototypů, za účelem ověření výsledků zkoumání a vývoje, nelze spolehlivě prokázat dosažení stanovených cílů vývoje. Jelikož náklady na realizaci prototypu tvoří nemalou složku nákladů vývoje, a dále pak fakt, kdy jen samotné ověřování, zkoušení, certifikace a homologace dnes tvoří až 50% celkových nákladů produktu, odrazuje tato skutečnost sektor od dopředného vývoje </w:t>
      </w:r>
      <w:r w:rsidRPr="004A6928">
        <w:lastRenderedPageBreak/>
        <w:t>produktů ve vazbě na požadavky trhu a legislativy, což negativně ovlivňuje konkurenceschopnost sektoru.</w:t>
      </w:r>
    </w:p>
    <w:p w14:paraId="38D7C8F2" w14:textId="77777777" w:rsidR="004A6928" w:rsidRPr="004A6928" w:rsidRDefault="004A6928" w:rsidP="00ED3876">
      <w:pPr>
        <w:spacing w:after="0" w:line="360" w:lineRule="auto"/>
        <w:ind w:firstLine="708"/>
        <w:jc w:val="both"/>
      </w:pPr>
      <w:r w:rsidRPr="004A6928">
        <w:t>Dalším okruhem je řešení interiérů drážních vozidel, pro dosažení maximálních energetických úspor při provozu (vytápění apod.), společně s minimalizací emisí hluku, zvyšování funkční a požární bezpečnosti interiéru kolejových vozidel jako celku.</w:t>
      </w:r>
    </w:p>
    <w:p w14:paraId="4944B57E" w14:textId="6C4C5372" w:rsidR="004A6928" w:rsidRPr="004A6928" w:rsidRDefault="004A6928" w:rsidP="00ED3876">
      <w:pPr>
        <w:spacing w:after="0" w:line="360" w:lineRule="auto"/>
        <w:ind w:firstLine="708"/>
        <w:jc w:val="both"/>
      </w:pPr>
      <w:r w:rsidRPr="004A6928">
        <w:t>Další z potřebných oblastí výzkumu a vývoje je návrh a optimalizace nových konstrukcí kol a</w:t>
      </w:r>
      <w:r>
        <w:t> </w:t>
      </w:r>
      <w:r w:rsidRPr="004A6928">
        <w:t xml:space="preserve">náprav pro vysoké rychlosti nad 300km/h, kdy postupné zvyšování rychlostí tohoto druhu dopravy povede ke zvýšení její konkurenceschopnosti. V návaznosti na toto je pak potřeba zvyšovat technické parametry návazných komponent a celků (např. valivých ložisek apod.). </w:t>
      </w:r>
    </w:p>
    <w:p w14:paraId="6BF38AD9" w14:textId="77777777" w:rsidR="004A6928" w:rsidRPr="004A6928" w:rsidRDefault="004A6928" w:rsidP="00ED3876">
      <w:pPr>
        <w:spacing w:after="0" w:line="360" w:lineRule="auto"/>
        <w:ind w:firstLine="708"/>
        <w:jc w:val="both"/>
      </w:pPr>
      <w:r w:rsidRPr="004A6928">
        <w:t>Jako navazující oblast jak interoperability, tak rozvoje vysokorychlostní kolejové dopravy je oblast aerodynamiky. Aerodynamika kolejových vozidel, včetně účinku bočního větru, vypracování větrné mapy ČR v územích sítě TEN-T a tras uvažovaných pro výstavbu VRT jsou nezbytné pro konstrukci vozidel a infrastruktury.</w:t>
      </w:r>
    </w:p>
    <w:p w14:paraId="79228C22" w14:textId="77777777" w:rsidR="004A6928" w:rsidRPr="004A6928" w:rsidRDefault="004A6928" w:rsidP="00ED3876">
      <w:pPr>
        <w:spacing w:after="0" w:line="360" w:lineRule="auto"/>
        <w:ind w:firstLine="708"/>
        <w:jc w:val="both"/>
      </w:pPr>
      <w:r w:rsidRPr="004A6928">
        <w:t>Z hlediska návazné infrastruktury je potřeba se zaměřit na vývoj v oblasti zvyšování životnosti infrastruktury a jejich komponent, stejně tak na vývoj diagnostických metod železniční infrastruktury a kolejových vozidel.</w:t>
      </w:r>
    </w:p>
    <w:p w14:paraId="3D66E45F" w14:textId="79ACE44E" w:rsidR="004A6928" w:rsidRPr="004A6928" w:rsidRDefault="004A6928" w:rsidP="00ED3876">
      <w:pPr>
        <w:spacing w:after="0" w:line="360" w:lineRule="auto"/>
        <w:ind w:firstLine="708"/>
        <w:jc w:val="both"/>
      </w:pPr>
      <w:r w:rsidRPr="004A6928">
        <w:t xml:space="preserve">V environmentální oblasti </w:t>
      </w:r>
      <w:r w:rsidRPr="004A6928">
        <w:rPr>
          <w:b/>
        </w:rPr>
        <w:t>emise/hluk/energie,</w:t>
      </w:r>
      <w:r w:rsidRPr="004A6928">
        <w:t xml:space="preserve"> tj. podpora bezemisní kolejové dopravy a</w:t>
      </w:r>
      <w:r>
        <w:t> </w:t>
      </w:r>
      <w:r w:rsidRPr="004A6928">
        <w:t>snížení spotřeby fosilních paliv pro tento druh dopravy, je potřeba se zaměřit na ekologické pohony budoucnosti aplikované v železniční dopravě se zaměřením na posun k maximálně bezemisní a</w:t>
      </w:r>
      <w:r>
        <w:t> </w:t>
      </w:r>
      <w:r w:rsidRPr="004A6928">
        <w:t>energeticky hospodárné železnici. Tento vývoj by se měl zaměřit na technologii akumulátorového napájení, kombinované napájení trolej-akumulátor, palivové články (vodík), sluneční energii a hybridní pohony, včetně odpovídající návazné technologie na železniční infrastruktuře. V návaznosti na výše uvedené by se také mělo zaměřit na výzkum a vývoj pokročilých rekuperačních systémů pro kolejovou dopravu, součinnost struktury pohonného řetězce, pomocných spotřeb a systémů automatického řízení drážních vozidel a dopravy s ohledem na optimalizaci využití energie. S touto oblastí je spojeno i</w:t>
      </w:r>
      <w:r>
        <w:t> </w:t>
      </w:r>
      <w:r w:rsidRPr="004A6928">
        <w:t xml:space="preserve">zlepšování energetických a trakčních parametrů komponent, trakčních výzbrojí železničních vozidel společně se zvyšováním účinnosti a efektivity využití komponent a v neposlední řadě i metody řízení pohonného řetězce s cílem snižovaní energetické spotřeby a optimálního využití adhezních podmínek. </w:t>
      </w:r>
    </w:p>
    <w:p w14:paraId="2F53D945" w14:textId="62C5DC7C" w:rsidR="004A6928" w:rsidRPr="004A6928" w:rsidRDefault="004A6928" w:rsidP="00ED3876">
      <w:pPr>
        <w:pStyle w:val="Default"/>
        <w:spacing w:line="360" w:lineRule="auto"/>
        <w:ind w:firstLine="708"/>
        <w:jc w:val="both"/>
        <w:rPr>
          <w:rFonts w:asciiTheme="minorHAnsi" w:hAnsiTheme="minorHAnsi"/>
          <w:color w:val="auto"/>
          <w:sz w:val="22"/>
          <w:szCs w:val="22"/>
        </w:rPr>
      </w:pPr>
      <w:r w:rsidRPr="004A6928">
        <w:rPr>
          <w:rFonts w:asciiTheme="minorHAnsi" w:hAnsiTheme="minorHAnsi"/>
          <w:color w:val="auto"/>
          <w:sz w:val="22"/>
          <w:szCs w:val="22"/>
        </w:rPr>
        <w:t xml:space="preserve">V oblasti </w:t>
      </w:r>
      <w:r w:rsidRPr="004A6928">
        <w:rPr>
          <w:rFonts w:asciiTheme="minorHAnsi" w:hAnsiTheme="minorHAnsi"/>
          <w:b/>
          <w:color w:val="auto"/>
          <w:sz w:val="22"/>
          <w:szCs w:val="22"/>
        </w:rPr>
        <w:t xml:space="preserve">řídicích systémů/elektroniky </w:t>
      </w:r>
      <w:r w:rsidRPr="004A6928">
        <w:rPr>
          <w:rFonts w:asciiTheme="minorHAnsi" w:hAnsiTheme="minorHAnsi"/>
          <w:color w:val="auto"/>
          <w:sz w:val="22"/>
          <w:szCs w:val="22"/>
        </w:rPr>
        <w:t>je potřeba se zaměřit na vývoj plné automatizace řízení dopravy, včetně provázání na drážní vozidla (SW, HW). Integrace s dalšími technologickými celky na kolejových vozidlech. Optimalizace automatického řízení drážní dopravy z hlediska efektivního hospodaření s energetickými zdroji. Rozvoj stacionární infrastruktury pro automatizaci řízení jízdy vozidel, včetně on-line přenosu dat. Tyto aktivity by měly spočívat např. v aplikaci satelitní lokalizace v</w:t>
      </w:r>
      <w:r>
        <w:rPr>
          <w:rFonts w:asciiTheme="minorHAnsi" w:hAnsiTheme="minorHAnsi"/>
          <w:color w:val="auto"/>
          <w:sz w:val="22"/>
          <w:szCs w:val="22"/>
        </w:rPr>
        <w:t> </w:t>
      </w:r>
      <w:r w:rsidRPr="004A6928">
        <w:rPr>
          <w:rFonts w:asciiTheme="minorHAnsi" w:hAnsiTheme="minorHAnsi"/>
          <w:color w:val="auto"/>
          <w:sz w:val="22"/>
          <w:szCs w:val="22"/>
        </w:rPr>
        <w:t>zabezpečovací technice se zaměřením především na ETCS, zvýšení bezpečnosti na regionálních tratích, telematických aplikacích, včetně diagnostiky.</w:t>
      </w:r>
    </w:p>
    <w:p w14:paraId="3EC2EDDB" w14:textId="77777777" w:rsidR="004A6928" w:rsidRPr="004A6928" w:rsidRDefault="004A6928" w:rsidP="00ED3876">
      <w:pPr>
        <w:pStyle w:val="Default"/>
        <w:spacing w:line="360" w:lineRule="auto"/>
        <w:ind w:firstLine="708"/>
        <w:jc w:val="both"/>
        <w:rPr>
          <w:rFonts w:asciiTheme="minorHAnsi" w:hAnsiTheme="minorHAnsi"/>
          <w:color w:val="auto"/>
          <w:sz w:val="22"/>
          <w:szCs w:val="22"/>
        </w:rPr>
      </w:pPr>
      <w:r w:rsidRPr="004A6928">
        <w:rPr>
          <w:rFonts w:asciiTheme="minorHAnsi" w:hAnsiTheme="minorHAnsi"/>
          <w:color w:val="auto"/>
          <w:sz w:val="22"/>
          <w:szCs w:val="22"/>
        </w:rPr>
        <w:lastRenderedPageBreak/>
        <w:t xml:space="preserve">Pro podporu v oblasti interoperability by se jednalo o rozvoj evropského zabezpečovacího systému (ERTMS – ERTMS/ETCS a ERTMS/GSM-R) především v adaptaci a ustálení vlastností obou systémů se zaměřením na zavedení funkčního klíčového online managementu, implementaci ETCS na drážní vozidla, včetně integrace sofistikovaných řešení automatického řízení vlaku navázaného na systémy řízení dopravy včetně využití systémů družicové navigace (GNSS) a potenciálně i družicové telekomunikace, rozvoj mobilních částí ETCS dle nových specifikací a nalezení optimálního technického a finančního kompromisu pro aplikaci na regionálních tratích. </w:t>
      </w:r>
    </w:p>
    <w:p w14:paraId="572BB077" w14:textId="284A17B7" w:rsidR="004A6928" w:rsidRPr="004A6928" w:rsidRDefault="004A6928" w:rsidP="00ED3876">
      <w:pPr>
        <w:pStyle w:val="Default"/>
        <w:spacing w:line="360" w:lineRule="auto"/>
        <w:ind w:firstLine="708"/>
        <w:jc w:val="both"/>
        <w:rPr>
          <w:rFonts w:asciiTheme="minorHAnsi" w:hAnsiTheme="minorHAnsi"/>
          <w:color w:val="auto"/>
          <w:sz w:val="22"/>
          <w:szCs w:val="22"/>
        </w:rPr>
      </w:pPr>
      <w:r w:rsidRPr="004A6928">
        <w:rPr>
          <w:rFonts w:asciiTheme="minorHAnsi" w:hAnsiTheme="minorHAnsi"/>
          <w:color w:val="auto"/>
          <w:sz w:val="22"/>
          <w:szCs w:val="22"/>
        </w:rPr>
        <w:t>Dále pak v rozvoji detekčních prostředků pro zjišťování volnosti/obsazení kolejových úseků v</w:t>
      </w:r>
      <w:r>
        <w:rPr>
          <w:rFonts w:asciiTheme="minorHAnsi" w:hAnsiTheme="minorHAnsi"/>
          <w:color w:val="auto"/>
          <w:sz w:val="22"/>
          <w:szCs w:val="22"/>
        </w:rPr>
        <w:t> </w:t>
      </w:r>
      <w:r w:rsidRPr="004A6928">
        <w:rPr>
          <w:rFonts w:asciiTheme="minorHAnsi" w:hAnsiTheme="minorHAnsi"/>
          <w:color w:val="auto"/>
          <w:sz w:val="22"/>
          <w:szCs w:val="22"/>
        </w:rPr>
        <w:t>souladu s</w:t>
      </w:r>
      <w:r>
        <w:rPr>
          <w:rFonts w:asciiTheme="minorHAnsi" w:hAnsiTheme="minorHAnsi"/>
          <w:color w:val="auto"/>
          <w:sz w:val="22"/>
          <w:szCs w:val="22"/>
        </w:rPr>
        <w:t> </w:t>
      </w:r>
      <w:r w:rsidRPr="004A6928">
        <w:rPr>
          <w:rFonts w:asciiTheme="minorHAnsi" w:hAnsiTheme="minorHAnsi"/>
          <w:color w:val="auto"/>
          <w:sz w:val="22"/>
          <w:szCs w:val="22"/>
        </w:rPr>
        <w:t>rozvojem trakčních pohonů lokomotiv, vývoj neohraničených kolejových obvodů umožňující rozšíření aplikace bezstykové koleje a rozvoj bezpečných, dnes již v ČR zastaralých, radiových přenosových systémů.</w:t>
      </w:r>
    </w:p>
    <w:p w14:paraId="421DB121" w14:textId="67D9065D" w:rsidR="004A6928" w:rsidRPr="004A6928" w:rsidRDefault="004A6928" w:rsidP="00ED3876">
      <w:pPr>
        <w:pStyle w:val="Default"/>
        <w:spacing w:line="360" w:lineRule="auto"/>
        <w:ind w:firstLine="708"/>
        <w:jc w:val="both"/>
        <w:rPr>
          <w:rFonts w:asciiTheme="minorHAnsi" w:hAnsiTheme="minorHAnsi"/>
          <w:color w:val="auto"/>
          <w:sz w:val="22"/>
          <w:szCs w:val="22"/>
        </w:rPr>
      </w:pPr>
      <w:r w:rsidRPr="004A6928">
        <w:rPr>
          <w:rFonts w:asciiTheme="minorHAnsi" w:hAnsiTheme="minorHAnsi"/>
          <w:color w:val="auto"/>
          <w:sz w:val="22"/>
          <w:szCs w:val="22"/>
        </w:rPr>
        <w:t>V neposlední řadě také rozvoj informačních systémů pro cestující – poskytnutí vizuální i</w:t>
      </w:r>
      <w:r>
        <w:rPr>
          <w:rFonts w:asciiTheme="minorHAnsi" w:hAnsiTheme="minorHAnsi"/>
          <w:color w:val="auto"/>
          <w:sz w:val="22"/>
          <w:szCs w:val="22"/>
        </w:rPr>
        <w:t> </w:t>
      </w:r>
      <w:r w:rsidRPr="004A6928">
        <w:rPr>
          <w:rFonts w:asciiTheme="minorHAnsi" w:hAnsiTheme="minorHAnsi"/>
          <w:color w:val="auto"/>
          <w:sz w:val="22"/>
          <w:szCs w:val="22"/>
        </w:rPr>
        <w:t>zvukové informace, včetně multimédií jak pro cestující, tak pro personál vl</w:t>
      </w:r>
      <w:r w:rsidR="004A2903">
        <w:rPr>
          <w:rFonts w:asciiTheme="minorHAnsi" w:hAnsiTheme="minorHAnsi"/>
          <w:color w:val="auto"/>
          <w:sz w:val="22"/>
          <w:szCs w:val="22"/>
        </w:rPr>
        <w:t>aku či rozvoj centrální s</w:t>
      </w:r>
      <w:r w:rsidRPr="004A6928">
        <w:rPr>
          <w:rFonts w:asciiTheme="minorHAnsi" w:hAnsiTheme="minorHAnsi"/>
          <w:color w:val="auto"/>
          <w:sz w:val="22"/>
          <w:szCs w:val="22"/>
        </w:rPr>
        <w:t>právy dat a</w:t>
      </w:r>
      <w:r>
        <w:rPr>
          <w:rFonts w:asciiTheme="minorHAnsi" w:hAnsiTheme="minorHAnsi"/>
          <w:color w:val="auto"/>
          <w:sz w:val="22"/>
          <w:szCs w:val="22"/>
        </w:rPr>
        <w:t> </w:t>
      </w:r>
      <w:r w:rsidRPr="004A6928">
        <w:rPr>
          <w:rFonts w:asciiTheme="minorHAnsi" w:hAnsiTheme="minorHAnsi"/>
          <w:color w:val="auto"/>
          <w:sz w:val="22"/>
          <w:szCs w:val="22"/>
        </w:rPr>
        <w:t>jejich distribuce na jednotlivá vozidla dopravců či řešení zvýšení bezpečnosti na železničních přejezdech.</w:t>
      </w:r>
    </w:p>
    <w:p w14:paraId="0821080C" w14:textId="77777777" w:rsidR="004A6928" w:rsidRPr="004A6928" w:rsidRDefault="004A6928" w:rsidP="00A44A0C">
      <w:pPr>
        <w:pStyle w:val="Textkomente"/>
        <w:spacing w:after="0" w:line="360" w:lineRule="auto"/>
        <w:ind w:firstLine="708"/>
        <w:jc w:val="both"/>
        <w:rPr>
          <w:sz w:val="22"/>
          <w:szCs w:val="22"/>
        </w:rPr>
      </w:pPr>
      <w:r w:rsidRPr="004A6928">
        <w:rPr>
          <w:sz w:val="22"/>
          <w:szCs w:val="22"/>
        </w:rPr>
        <w:t xml:space="preserve">Oblast </w:t>
      </w:r>
      <w:r w:rsidRPr="004A6928">
        <w:rPr>
          <w:b/>
          <w:sz w:val="22"/>
          <w:szCs w:val="22"/>
        </w:rPr>
        <w:t xml:space="preserve">zkušebnictví </w:t>
      </w:r>
      <w:r w:rsidRPr="004A6928">
        <w:rPr>
          <w:sz w:val="22"/>
          <w:szCs w:val="22"/>
        </w:rPr>
        <w:t>je nedílnou a velmi důležitou součástí výzkumu a vývoje produktů. Vytváření metodik a realizace potřebných technických zkoušek, analýz, simulací, hodnocení, ověřování nezávislými subjekty, certifikace (prokázání shody s legislativními požadavky) či alespoň přezkoumání schopnosti produktu dosáhnout certifikace potřebné pro uvedení produktu na trh a s tím spojené technické poradenství vysoce specializovaných subjektů (laboratoře, VŠ, akreditované zkušebny, uznané subjekty apod.), jsou nezbytně nutné pro ověření výsledků předmětu vývoje a jejich aplikovatelnosti, tj. schopnosti produktu být uveden na trh.</w:t>
      </w:r>
    </w:p>
    <w:p w14:paraId="1806CC80" w14:textId="77777777" w:rsidR="00ED3876" w:rsidRDefault="004A6928" w:rsidP="00A44A0C">
      <w:pPr>
        <w:spacing w:after="0" w:line="360" w:lineRule="auto"/>
        <w:ind w:firstLine="708"/>
        <w:jc w:val="both"/>
      </w:pPr>
      <w:r w:rsidRPr="004A6928">
        <w:t xml:space="preserve">Dalším okruhem je </w:t>
      </w:r>
      <w:r w:rsidRPr="004A6928">
        <w:rPr>
          <w:b/>
        </w:rPr>
        <w:t>normalizace a novotvorba</w:t>
      </w:r>
      <w:r w:rsidRPr="004A6928">
        <w:t>, kde se výzkum a vývoj zaměří na rozvoj a</w:t>
      </w:r>
      <w:r>
        <w:t> </w:t>
      </w:r>
      <w:r w:rsidRPr="004A6928">
        <w:t>podporu normotvorné činnosti a doprovodných aktivit ve vazbě na aktuální stav techniky a</w:t>
      </w:r>
      <w:r w:rsidR="00D343D7">
        <w:t> </w:t>
      </w:r>
      <w:r w:rsidRPr="004A6928">
        <w:t>výsledků výzkumu.</w:t>
      </w:r>
    </w:p>
    <w:p w14:paraId="075BA9AF" w14:textId="57DFF6C8" w:rsidR="004A6928" w:rsidRDefault="004A6928" w:rsidP="00A44A0C">
      <w:pPr>
        <w:spacing w:after="0" w:line="360" w:lineRule="auto"/>
        <w:ind w:firstLine="708"/>
        <w:jc w:val="both"/>
      </w:pPr>
      <w:r w:rsidRPr="004A6928">
        <w:t xml:space="preserve">V tématu </w:t>
      </w:r>
      <w:r w:rsidRPr="004A6928">
        <w:rPr>
          <w:b/>
        </w:rPr>
        <w:t xml:space="preserve">bezpečnost a ekologie </w:t>
      </w:r>
      <w:r w:rsidRPr="004A6928">
        <w:t>se výzkum a vývoj zaměří na rozvoj a podporu systému údržby a modernizace kolejových vozidel s cílem zvýšit bezpečnost a ekologičnost provozu.</w:t>
      </w:r>
    </w:p>
    <w:p w14:paraId="1E179903" w14:textId="77777777" w:rsidR="00087EC7" w:rsidRDefault="00087EC7" w:rsidP="00A44A0C">
      <w:pPr>
        <w:spacing w:after="0" w:line="360" w:lineRule="auto"/>
        <w:ind w:firstLine="708"/>
        <w:jc w:val="both"/>
      </w:pPr>
    </w:p>
    <w:p w14:paraId="05C296A4" w14:textId="0AA22F5C" w:rsidR="000C5CAD" w:rsidRDefault="000C5CAD" w:rsidP="009D70F7">
      <w:pPr>
        <w:pStyle w:val="Nadpis3"/>
      </w:pPr>
      <w:bookmarkStart w:id="138" w:name="_Toc525716226"/>
      <w:r w:rsidRPr="00EF4A38">
        <w:t>Péče o zdraví, pokročilá medicína</w:t>
      </w:r>
      <w:bookmarkEnd w:id="138"/>
    </w:p>
    <w:p w14:paraId="342B2E2E" w14:textId="56885F96" w:rsidR="00D343D7" w:rsidRDefault="006E151C" w:rsidP="009D70F7">
      <w:pPr>
        <w:pStyle w:val="Nadpis4"/>
      </w:pPr>
      <w:bookmarkStart w:id="139" w:name="_Toc525716227"/>
      <w:r>
        <w:t>Léčiva, biotechnologie, prostředky zdravotnické techniky a Life Sciences</w:t>
      </w:r>
      <w:bookmarkEnd w:id="139"/>
    </w:p>
    <w:p w14:paraId="488172D6" w14:textId="343C8E9E" w:rsidR="006E151C" w:rsidRPr="00ED3876" w:rsidRDefault="006E151C" w:rsidP="006E151C">
      <w:pPr>
        <w:spacing w:before="240" w:line="360" w:lineRule="auto"/>
        <w:rPr>
          <w:b/>
          <w:u w:val="single"/>
        </w:rPr>
      </w:pPr>
      <w:r w:rsidRPr="00ED3876">
        <w:rPr>
          <w:b/>
          <w:u w:val="single"/>
        </w:rPr>
        <w:t>Východiska</w:t>
      </w:r>
    </w:p>
    <w:p w14:paraId="1424FBA7" w14:textId="012C990B" w:rsidR="001967AF" w:rsidRPr="001967AF" w:rsidRDefault="001967AF" w:rsidP="001967AF">
      <w:pPr>
        <w:spacing w:before="40" w:after="40" w:line="360" w:lineRule="auto"/>
        <w:ind w:firstLine="708"/>
        <w:jc w:val="both"/>
      </w:pPr>
      <w:r w:rsidRPr="001967AF">
        <w:t>Farmaceutický průmysl se řadí k high-tech zpracovatelským oddílům náročným na výzkumné a</w:t>
      </w:r>
      <w:r>
        <w:t> </w:t>
      </w:r>
      <w:r w:rsidRPr="001967AF">
        <w:t>vývojové aktivity. Proto z hlediska tvorby přidané hodnoty a jejích relací k dalším ukazatelům patří k odvětvím s největším podílem v rámci celého zpracovatelského průmyslu.</w:t>
      </w:r>
    </w:p>
    <w:p w14:paraId="69D6F534" w14:textId="77777777" w:rsidR="001967AF" w:rsidRPr="001967AF" w:rsidRDefault="001967AF" w:rsidP="00ED3876">
      <w:pPr>
        <w:spacing w:after="0" w:line="360" w:lineRule="auto"/>
        <w:ind w:firstLine="708"/>
        <w:jc w:val="both"/>
      </w:pPr>
      <w:r w:rsidRPr="001967AF">
        <w:lastRenderedPageBreak/>
        <w:t xml:space="preserve">Produkční portfolio farmaceutického průmyslu je velmi široké a tvoří jej originální léky (jsou patentově chráněné) i generické léky (patentová ochrana skončila). U nás se rozhodující výrobci soustřeďují, hlavně z důvodů vysokých nákladů, převážně na generika, kde patříme k absolutní světové špičce. </w:t>
      </w:r>
      <w:r w:rsidRPr="001967AF">
        <w:rPr>
          <w:rFonts w:ascii="Calibri" w:hAnsi="Calibri" w:cs="Calibri"/>
        </w:rPr>
        <w:t xml:space="preserve">Farmaceutický sektor je v České republice zastoupen převážně společnostmi se zahraniční účastí podílejících se na celkových tržbách zhruba ze čtyř pětin. </w:t>
      </w:r>
      <w:r w:rsidRPr="001967AF">
        <w:t xml:space="preserve">Investiční aktivita ve farmaceutickém průmyslu i nadále trvá. Byl indikován zájem zahraničních firem o budoucí projekty a lze tedy očekávat růst tohoto odvětví.  Obdobně se dynamicky rozvíjí i oblast diagnostiky, která patří vůbec k nejrychleji rostoucímu segmentu v oblasti zdravotnictví. S rozvojem personalizované medicíny stoupá význam in vitro diagnostiky a s rozšířením přístupu pacientů k moderním zobrazovacím metodám pak také rozvoj molekulárního zobrazování. V oblasti diagnostiky proto existuje reálná poptávka i nutná výzkumná, vývojová a industriální základna, která se může rozvinout do prosperujícího průmyslového sektoru. </w:t>
      </w:r>
    </w:p>
    <w:p w14:paraId="55705FE9" w14:textId="77777777" w:rsidR="00144E47" w:rsidRDefault="001967AF" w:rsidP="00144E47">
      <w:pPr>
        <w:pStyle w:val="Normlnweb"/>
        <w:spacing w:line="360" w:lineRule="auto"/>
        <w:ind w:firstLine="708"/>
        <w:jc w:val="both"/>
        <w:rPr>
          <w:rFonts w:asciiTheme="minorHAnsi" w:hAnsiTheme="minorHAnsi"/>
          <w:sz w:val="22"/>
          <w:szCs w:val="22"/>
        </w:rPr>
      </w:pPr>
      <w:r w:rsidRPr="001967AF">
        <w:rPr>
          <w:rFonts w:asciiTheme="minorHAnsi" w:hAnsiTheme="minorHAnsi"/>
          <w:sz w:val="22"/>
          <w:szCs w:val="22"/>
        </w:rPr>
        <w:t xml:space="preserve">Výzkum, vývoj a výroba zdravotnických prostředků má v ČR dlouholetou tradici. V tomto oboru působí desítky firem všech velikostí (od velkých podniků po začínající start-upy), z nichž celá řada patří k celosvětovým hráčům na poli dodávek zdravotnické techniky. Charakteristické rysy tohoto segmentu jsou mimořádně vysoký inovační potenciál, nadprůměrný počet inovací úspěšně aplikovaných na trh, vysoká přidaná hodnota produktů a vysoký proexportní potenciál. Výrobci zdravotnické techniky disponují výzkumnými a vývojovými kapacitami na vysoké odborné a znalostní úrovni, které umožňují kontinuální vývoj inovativních prostředků a akceleraci tempa tohoto vývoje. Výstupem vývojových činností realizovaných v ČR jsou tak často produkty s unikátními vlastnostmi, které jsou považovány za inovativní v celosvětovém měřítku. </w:t>
      </w:r>
    </w:p>
    <w:p w14:paraId="4602221E" w14:textId="531C6155" w:rsidR="001967AF" w:rsidRPr="001967AF" w:rsidRDefault="001967AF" w:rsidP="00144E47">
      <w:pPr>
        <w:pStyle w:val="Normlnweb"/>
        <w:spacing w:line="360" w:lineRule="auto"/>
        <w:ind w:firstLine="708"/>
        <w:jc w:val="both"/>
        <w:rPr>
          <w:rFonts w:asciiTheme="minorHAnsi" w:hAnsiTheme="minorHAnsi"/>
          <w:sz w:val="22"/>
          <w:szCs w:val="22"/>
        </w:rPr>
      </w:pPr>
      <w:r w:rsidRPr="001967AF">
        <w:rPr>
          <w:rFonts w:asciiTheme="minorHAnsi" w:hAnsiTheme="minorHAnsi"/>
          <w:sz w:val="22"/>
          <w:szCs w:val="22"/>
        </w:rPr>
        <w:t>Kromě pozitivního vlivu na hospodářský rozvoj ČR má segment vývoje a výroby zdravotnických prostředků také přímý pozitivní dopad na další sektory, zejména pak na sektor zdravotnických služeb. Výrobci zdravotnických prostředků spolupracují s klinickými pracovišti jak na výzkumu/vývoji nových prostředků, tak i posléze v aplikační fázi. Toto propojení je zásadní pro úroveň poskytované lékařské a</w:t>
      </w:r>
      <w:r>
        <w:rPr>
          <w:rFonts w:asciiTheme="minorHAnsi" w:hAnsiTheme="minorHAnsi"/>
          <w:sz w:val="22"/>
          <w:szCs w:val="22"/>
        </w:rPr>
        <w:t> </w:t>
      </w:r>
      <w:r w:rsidRPr="001967AF">
        <w:rPr>
          <w:rFonts w:asciiTheme="minorHAnsi" w:hAnsiTheme="minorHAnsi"/>
          <w:sz w:val="22"/>
          <w:szCs w:val="22"/>
        </w:rPr>
        <w:t>ošetřovatelské péče. Bez inovací v oblasti zdravotnické techniky a</w:t>
      </w:r>
      <w:r w:rsidRPr="001967AF">
        <w:t> </w:t>
      </w:r>
      <w:r w:rsidRPr="001967AF">
        <w:rPr>
          <w:rFonts w:asciiTheme="minorHAnsi" w:hAnsiTheme="minorHAnsi"/>
          <w:sz w:val="22"/>
          <w:szCs w:val="22"/>
        </w:rPr>
        <w:t>zdravotnických materiálů, tkáňových a orgánových náhrad by nebylo možné zvyšovat kvalitu a efektivitu poskytované péče, což by se projevilo negativně nejen na kvalitě života obyvatelstva, ale také na růstu nákladovosti péče. Moderní zdravotnické prostředky tak představují pro soudobou medicínu zcela zásadní a</w:t>
      </w:r>
      <w:r>
        <w:rPr>
          <w:rFonts w:asciiTheme="minorHAnsi" w:hAnsiTheme="minorHAnsi"/>
          <w:sz w:val="22"/>
          <w:szCs w:val="22"/>
        </w:rPr>
        <w:t> </w:t>
      </w:r>
      <w:r w:rsidRPr="001967AF">
        <w:rPr>
          <w:rFonts w:asciiTheme="minorHAnsi" w:hAnsiTheme="minorHAnsi"/>
          <w:sz w:val="22"/>
          <w:szCs w:val="22"/>
        </w:rPr>
        <w:t>nenahraditelný faktor, který je potřeba neustále dále rozvíjet a inovovat.</w:t>
      </w:r>
    </w:p>
    <w:p w14:paraId="5AE3BB0E" w14:textId="6A7825CB" w:rsidR="001967AF" w:rsidRPr="001967AF" w:rsidRDefault="001967AF" w:rsidP="001967AF">
      <w:pPr>
        <w:spacing w:before="40" w:after="40" w:line="360" w:lineRule="auto"/>
        <w:ind w:firstLine="708"/>
        <w:jc w:val="both"/>
      </w:pPr>
      <w:r w:rsidRPr="001967AF">
        <w:t>Zdravotnické prostředky jsou na rozdíl od mnoha jiných oborů oborem s mimořádně vysokou vytvořenou přidanou hodnotou. Technická úroveň a kvalita zdravotnických prostředků vyráběných v</w:t>
      </w:r>
      <w:r>
        <w:t> </w:t>
      </w:r>
      <w:r w:rsidRPr="001967AF">
        <w:t>ČR umožňuje značnou část produkce cíleně exportovat do celého světa.</w:t>
      </w:r>
    </w:p>
    <w:p w14:paraId="6D8BDFF9" w14:textId="77777777" w:rsidR="001967AF" w:rsidRPr="001967AF" w:rsidRDefault="001967AF" w:rsidP="001967AF">
      <w:pPr>
        <w:spacing w:before="40" w:after="40" w:line="360" w:lineRule="auto"/>
        <w:ind w:firstLine="708"/>
        <w:jc w:val="both"/>
      </w:pPr>
      <w:r w:rsidRPr="001967AF">
        <w:lastRenderedPageBreak/>
        <w:t>Kromě podstatného přínosu ekonomického, jsou léčiva, diagnostika a zdravotnické prostředky významným nástrojem prodlužování a zkvalitňování života obyvatel a přispívají tak k udržitelnosti lidských zdrojů napříč průmyslovými obory i veřejnou správou.</w:t>
      </w:r>
    </w:p>
    <w:p w14:paraId="2A1C5622" w14:textId="77777777" w:rsidR="001967AF" w:rsidRPr="001967AF" w:rsidRDefault="001967AF" w:rsidP="001967AF">
      <w:pPr>
        <w:spacing w:before="40" w:after="40" w:line="360" w:lineRule="auto"/>
        <w:ind w:firstLine="708"/>
        <w:jc w:val="both"/>
      </w:pPr>
      <w:r w:rsidRPr="001967AF">
        <w:t xml:space="preserve">Zásadním předpokladem pro využívání inovativních zdravotnických prostředků jako prostředku pro zvyšování úrovně poskytované zdravotní péče je vytvářet optimální zejména legislativní podmínky pro jejich uvádění na trh. </w:t>
      </w:r>
    </w:p>
    <w:p w14:paraId="38C06EED" w14:textId="77777777" w:rsidR="00FD3FA5" w:rsidRDefault="00FD3FA5" w:rsidP="006E151C">
      <w:pPr>
        <w:spacing w:before="240" w:line="360" w:lineRule="auto"/>
        <w:rPr>
          <w:b/>
          <w:u w:val="single"/>
        </w:rPr>
      </w:pPr>
    </w:p>
    <w:p w14:paraId="1E4EDE26" w14:textId="57930CEB" w:rsidR="001967AF" w:rsidRPr="00215B88" w:rsidRDefault="001967AF" w:rsidP="006E151C">
      <w:pPr>
        <w:spacing w:before="240" w:line="360" w:lineRule="auto"/>
        <w:rPr>
          <w:b/>
          <w:u w:val="single"/>
        </w:rPr>
      </w:pPr>
      <w:r w:rsidRPr="00215B88">
        <w:rPr>
          <w:b/>
          <w:u w:val="single"/>
        </w:rPr>
        <w:t>Popis potřeb a jejich řešení</w:t>
      </w:r>
    </w:p>
    <w:p w14:paraId="5B3E46EF" w14:textId="77777777" w:rsidR="001967AF" w:rsidRPr="001967AF" w:rsidRDefault="001967AF" w:rsidP="00215B88">
      <w:pPr>
        <w:spacing w:after="0" w:line="360" w:lineRule="auto"/>
        <w:ind w:firstLine="708"/>
        <w:jc w:val="both"/>
      </w:pPr>
      <w:r w:rsidRPr="001967AF">
        <w:t xml:space="preserve">V oblasti </w:t>
      </w:r>
      <w:r w:rsidRPr="001967AF">
        <w:rPr>
          <w:b/>
        </w:rPr>
        <w:t>inovativních</w:t>
      </w:r>
      <w:r w:rsidRPr="001967AF">
        <w:t xml:space="preserve"> </w:t>
      </w:r>
      <w:r w:rsidRPr="001967AF">
        <w:rPr>
          <w:b/>
        </w:rPr>
        <w:t>léčiv</w:t>
      </w:r>
      <w:r w:rsidRPr="001967AF">
        <w:t xml:space="preserve"> – a to jak humánních, tak veterinárních – se nezbytně bude vývoj zaměřovat na nové formulační postupy ve vývoji originálních, ale i generických preparátů a desinfekční prostředky. Slibnou oblastí je vývoj nízkomolekulárních léčiv, produktů pro cílenou terapeutii (drug delivery systémy) využívajících nanotechnologických, biomolekulárních a makromolekulárních nosičů a dále vývoj a terapeutické využití produktů pokročilé buněčné léčby (ATMPs). Další významnou potřebou je vývoj terapeutických a preventivních vakcín. Nelze opomenout ani rostoucí potřebu zdravotní péče a navazujícího výzkumu (např. v oblasti civilizačních chorob postihujících kardiovaskulární a gastrointestinální systém), onkologie, onkochirurgie, neurologie a psychiatrie, pediatrie, hematoonkologie a problematiky stárnutí. </w:t>
      </w:r>
    </w:p>
    <w:p w14:paraId="7F342399" w14:textId="202E05AE" w:rsidR="001967AF" w:rsidRPr="001967AF" w:rsidRDefault="001967AF" w:rsidP="00215B88">
      <w:pPr>
        <w:spacing w:after="0" w:line="360" w:lineRule="auto"/>
        <w:ind w:firstLine="708"/>
        <w:jc w:val="both"/>
      </w:pPr>
      <w:r w:rsidRPr="001967AF">
        <w:t xml:space="preserve">Vedle léčiv je potřeba rozvíjet </w:t>
      </w:r>
      <w:r w:rsidRPr="001967AF">
        <w:rPr>
          <w:b/>
        </w:rPr>
        <w:t>nové</w:t>
      </w:r>
      <w:r w:rsidRPr="001967AF">
        <w:t xml:space="preserve"> </w:t>
      </w:r>
      <w:r w:rsidRPr="001967AF">
        <w:rPr>
          <w:b/>
        </w:rPr>
        <w:t>diagnostické postupy</w:t>
      </w:r>
      <w:r w:rsidRPr="001967AF">
        <w:t xml:space="preserve"> a techniku (humánní, tak i</w:t>
      </w:r>
      <w:r>
        <w:t> </w:t>
      </w:r>
      <w:r w:rsidRPr="001967AF">
        <w:t xml:space="preserve">veterinární), včetně tzv. personalizované medicíny. V této oblasti půjde zejména o vývoj nových technologií pro in vitro diagnostiku a vývoj diagnostických, prognostických a prediktivních biomarkerů onemocnění. S diagnostikou úzce souvisí vývoj technologií a postupů využívajících in vivo zobrazování či screeningové technologie pro populační diagnostiku významných onemocnění. </w:t>
      </w:r>
    </w:p>
    <w:p w14:paraId="0E46B08D" w14:textId="55FD4227" w:rsidR="001967AF" w:rsidRPr="001967AF" w:rsidRDefault="001967AF" w:rsidP="00215B88">
      <w:pPr>
        <w:spacing w:after="0" w:line="360" w:lineRule="auto"/>
        <w:ind w:firstLine="708"/>
        <w:jc w:val="both"/>
      </w:pPr>
      <w:r w:rsidRPr="001967AF">
        <w:t xml:space="preserve">Rozvoj kvalitního zdravotnictví je závislý i na produkci a vývoji </w:t>
      </w:r>
      <w:r w:rsidRPr="001967AF">
        <w:rPr>
          <w:b/>
        </w:rPr>
        <w:t>prostředků zdravotnické techniky</w:t>
      </w:r>
      <w:r w:rsidRPr="001967AF">
        <w:t>, včetně výzkumu materiálů (např. biopolymery a nové slitiny mající uplatnění jako tkáňové a</w:t>
      </w:r>
      <w:r>
        <w:t> </w:t>
      </w:r>
      <w:r w:rsidRPr="001967AF">
        <w:t>orgánové náhrady). Dále sem řadíme produkty přístrojové techniky pro využití ve zdravotnictví, biotechnologické výrobě, veterinárním lékařství a také materiálový výzkum v biotechnologiích. Typickými produkty z této oblasti jsou progresivní robotické systémy pro medicínské aplikace, progresivní zobrazovací a jiné systémy pro neinvazivní aplikace v medicíně, inteligentní a</w:t>
      </w:r>
      <w:r>
        <w:t> </w:t>
      </w:r>
      <w:r w:rsidRPr="001967AF">
        <w:t>zpětnovazebné systémy, přístroje a zařízení pro diagnostiku a terapii, inovativní lékařské nástroje a</w:t>
      </w:r>
      <w:r>
        <w:t> </w:t>
      </w:r>
      <w:r w:rsidRPr="001967AF">
        <w:t xml:space="preserve">implantáty z nových materiálů, včetně využití nanotechnologií, progresivní prostředky pro zkvalitňování následné lékařské péče a jejich medicínské aplikace, nové mobilní prostředky pro medicínu katastrof a v neposlední řadě nové systémy a přístroje pro účinnou fyzikální terapii, prostředky osobní ochrany, stejně jako inovativní prostředky pro prevenci a včasnou indikaci </w:t>
      </w:r>
      <w:r w:rsidRPr="001967AF">
        <w:lastRenderedPageBreak/>
        <w:t>onemocnění a nové prostředky pro zvyšování kvality a efektivity poskytované lékařské péče. Další zdravotnické prostředky, které mohou těžit z aplikací pokročilých materiálů, léčiv a výrobních technologií jsou například funkční vstřebatelná krytí ran využívající kompozitních nanotextilií, koloidů, hydrogelů apod. s možností postupného uvolňování antiseptik nebo jiných látek podporujících hojení.</w:t>
      </w:r>
    </w:p>
    <w:p w14:paraId="48EFD063" w14:textId="77777777" w:rsidR="001967AF" w:rsidRPr="001967AF" w:rsidRDefault="001967AF" w:rsidP="00215B88">
      <w:pPr>
        <w:spacing w:after="0" w:line="360" w:lineRule="auto"/>
        <w:ind w:firstLine="708"/>
        <w:jc w:val="both"/>
      </w:pPr>
      <w:r w:rsidRPr="001967AF">
        <w:t xml:space="preserve">Výzkum, vývoj a inovace je třeba zaměřit také na </w:t>
      </w:r>
      <w:r w:rsidRPr="001967AF">
        <w:rPr>
          <w:b/>
        </w:rPr>
        <w:t>speciální výživu</w:t>
      </w:r>
      <w:r w:rsidRPr="001967AF">
        <w:t xml:space="preserve"> a potraviny určené pro zvláštní účely, které hrají v dnešní době nezastupitelnou úlohu v moderní lékařské a farmaceutické péči a mohou mít zásadní vliv na prevenci a podpůrný přístup při terapii řady onemocnění. </w:t>
      </w:r>
    </w:p>
    <w:p w14:paraId="52AD25E1" w14:textId="648E4999" w:rsidR="001967AF" w:rsidRDefault="001967AF" w:rsidP="00215B88">
      <w:pPr>
        <w:spacing w:after="0" w:line="360" w:lineRule="auto"/>
        <w:ind w:firstLine="708"/>
        <w:jc w:val="both"/>
      </w:pPr>
      <w:r w:rsidRPr="001967AF">
        <w:t xml:space="preserve">Podobně jako i v ostatních oblastech je pro zdravotnictví a veterinární péči potřeba vyvíjet </w:t>
      </w:r>
      <w:r w:rsidRPr="001967AF">
        <w:rPr>
          <w:b/>
        </w:rPr>
        <w:t>informační a komunikační systémy</w:t>
      </w:r>
      <w:r w:rsidRPr="001967AF">
        <w:t>, např. pro účely telemedicíny a vzdáleného monitorování pacientů prostřednictvím elektronických systémů, elektronizaci zdravotních záznamů a efektivní systémy pro jejich správu a vyhodnocování.</w:t>
      </w:r>
    </w:p>
    <w:p w14:paraId="3B619E67" w14:textId="77777777" w:rsidR="00831533" w:rsidRDefault="00831533" w:rsidP="00215B88">
      <w:pPr>
        <w:spacing w:after="0" w:line="360" w:lineRule="auto"/>
        <w:ind w:firstLine="708"/>
        <w:jc w:val="both"/>
      </w:pPr>
    </w:p>
    <w:p w14:paraId="1519B41F" w14:textId="73FB0612" w:rsidR="000C5CAD" w:rsidRDefault="00AC7862" w:rsidP="00E55878">
      <w:pPr>
        <w:pStyle w:val="Nadpis3"/>
      </w:pPr>
      <w:bookmarkStart w:id="140" w:name="_Toc525716228"/>
      <w:r>
        <w:t>Kulturní a kreativní odvětví</w:t>
      </w:r>
      <w:bookmarkEnd w:id="140"/>
    </w:p>
    <w:p w14:paraId="11CC3B59" w14:textId="6891D72D" w:rsidR="00AC7862" w:rsidRDefault="00537F19" w:rsidP="00537F19">
      <w:pPr>
        <w:pStyle w:val="Nadpis4"/>
      </w:pPr>
      <w:bookmarkStart w:id="141" w:name="_Toc525716229"/>
      <w:r>
        <w:t>Tradiční kulturní a kreativní odvětví</w:t>
      </w:r>
      <w:bookmarkEnd w:id="141"/>
    </w:p>
    <w:p w14:paraId="1300DA0E" w14:textId="22BA041C" w:rsidR="00537F19" w:rsidRPr="001D6562" w:rsidRDefault="00537F19" w:rsidP="00537F19">
      <w:pPr>
        <w:spacing w:before="240" w:line="360" w:lineRule="auto"/>
        <w:rPr>
          <w:b/>
          <w:u w:val="single"/>
        </w:rPr>
      </w:pPr>
      <w:r w:rsidRPr="001D6562">
        <w:rPr>
          <w:b/>
          <w:u w:val="single"/>
        </w:rPr>
        <w:t>Východiska</w:t>
      </w:r>
    </w:p>
    <w:p w14:paraId="454A308E" w14:textId="02A5C71E" w:rsidR="00363CC4" w:rsidRPr="00363CC4" w:rsidRDefault="00363CC4" w:rsidP="009F176F">
      <w:pPr>
        <w:spacing w:after="0" w:line="360" w:lineRule="auto"/>
        <w:ind w:firstLine="708"/>
        <w:jc w:val="both"/>
      </w:pPr>
      <w:r w:rsidRPr="00363CC4">
        <w:t xml:space="preserve">Potenciál kulturních a kreativních </w:t>
      </w:r>
      <w:r w:rsidR="006536D0">
        <w:t>odvětví</w:t>
      </w:r>
      <w:r w:rsidRPr="00363CC4">
        <w:t xml:space="preserve"> (KK</w:t>
      </w:r>
      <w:r w:rsidR="006536D0">
        <w:t>O</w:t>
      </w:r>
      <w:r w:rsidRPr="00363CC4">
        <w:t>) se v ČR opírá o historické zakotvení kultury dané bohatou infrastrukturou, ať už se jedná o fyzické zázemí či kulturní tradice, profesionální aktivity i vysokou míru zapojení a účasti občanů na kulturním dění, o čemž mimo jiné svědčí i relativně vysoká oblíbenost domácí produkce. Tradiční odvětví, jako jsou umělecká řemesla, design výrobků především z materiálů jako jsou sklo, keramika, dřevo a kov, zažívají rapidní nárůst zákazníků i samotných aktérů. Zásadní vliv mají činnosti v KK</w:t>
      </w:r>
      <w:r w:rsidR="006536D0">
        <w:t>O</w:t>
      </w:r>
      <w:r w:rsidRPr="00363CC4">
        <w:t xml:space="preserve"> na vývoj v oborech zpracovatelského průmyslu</w:t>
      </w:r>
      <w:r w:rsidR="00985FF8">
        <w:t>,</w:t>
      </w:r>
      <w:r w:rsidRPr="00363CC4">
        <w:t xml:space="preserve"> jako jsou sklářství, design a výroba široké palety produktů z porcelánu, kovu a dřeva. Tento sektor, který má na území ČR 300-letou tradici, zahrnuje firmy vzniklé již na konci 19. století, jež přetrvávají právě díky technologickým a kreativním inovacím. Zaměstnávají desítky tisíc lidí a uchovávají v sobě nenahraditelné kompetence v lidských zdrojích předávané z generace na generaci. Unikátní jsou svým propojením výroby, řemesla, designu, kreativity, kulturního dědictví, ale také udržováním zaměstnanosti v problematických regionech (např. severní Čechy) a jsou významné i pro rozvoj cestovního ruchu. Potenciál propojování podnikatelského sektoru a designu se však zatím v ČR nerozvíjí dostatečně. Firem, které design efektivně uplatňují ve výrobě, je v ČR relativně málo a úspěchy českých designérů a firem doma i ve svě</w:t>
      </w:r>
      <w:r w:rsidRPr="00363CC4">
        <w:softHyphen/>
        <w:t>tě jsou spíše ojedinělé. Po zru</w:t>
      </w:r>
      <w:r w:rsidRPr="00363CC4">
        <w:softHyphen/>
        <w:t>šení Design centra je ČR navíc jedinou zemí EU, kde design není rozvíjen státem pod</w:t>
      </w:r>
      <w:r w:rsidRPr="00363CC4">
        <w:softHyphen/>
        <w:t xml:space="preserve">porovanou zastřešující organizací, která by vytvářela příznivé podmínky pro jeho rozvoj. </w:t>
      </w:r>
    </w:p>
    <w:p w14:paraId="4A359924" w14:textId="3FD3BCFD" w:rsidR="00363CC4" w:rsidRPr="00363CC4" w:rsidRDefault="00363CC4" w:rsidP="009F176F">
      <w:pPr>
        <w:spacing w:after="0" w:line="360" w:lineRule="auto"/>
        <w:ind w:firstLine="708"/>
        <w:jc w:val="both"/>
      </w:pPr>
      <w:r w:rsidRPr="00363CC4">
        <w:t xml:space="preserve">Oblast designu je mnohdy rozšiřována i o odvětví tradičních uměleckých řemesel, tedy postupů využívajících manuální zručnost, dovednost a znalost tradičních materiálů, vnějších úprav a technik pro vytvoření, opravu, obnovení nebo konzervaci předmětů nebo konstrukcí. </w:t>
      </w:r>
      <w:r w:rsidRPr="00363CC4">
        <w:rPr>
          <w:bCs/>
        </w:rPr>
        <w:t>Umělecká řemesla</w:t>
      </w:r>
      <w:r w:rsidRPr="00363CC4">
        <w:rPr>
          <w:b/>
          <w:bCs/>
        </w:rPr>
        <w:t xml:space="preserve"> </w:t>
      </w:r>
      <w:r w:rsidRPr="00363CC4">
        <w:t>mají v ČR dlouhou tradici a stále si v zahraniční konkurenci zachovávají dobrou pověst, jejich ucelená podpora ze strany státu však de facto přestala fungovat s ukončením činnosti Ústředí uměleckých řemesel a</w:t>
      </w:r>
      <w:r>
        <w:t> </w:t>
      </w:r>
      <w:r w:rsidRPr="00363CC4">
        <w:t xml:space="preserve">Ústředí lidové umělecké výroby v roce 1992. V mezinárodním kontextu jsou výrobky současných uměleckých řemesel prezentovány pod označením „design“. Patrně nejdůležitějším trendem vývoje je spolupráce mezi oblastmi tradičních a současných řemesel. </w:t>
      </w:r>
    </w:p>
    <w:p w14:paraId="0540E6F4" w14:textId="19FFB3A6" w:rsidR="00363CC4" w:rsidRPr="00363CC4" w:rsidRDefault="00363CC4" w:rsidP="001D6562">
      <w:pPr>
        <w:spacing w:after="0" w:line="360" w:lineRule="auto"/>
        <w:ind w:firstLine="708"/>
        <w:jc w:val="both"/>
      </w:pPr>
      <w:r w:rsidRPr="00363CC4">
        <w:t>Lidské zdroje mají v tomto sektoru jeden společný jmenovatel: závislost na kvalitě procesu vzdělání směřujícího k rozvoji specifických kompetencí a dovedností v kontaktu s praxí, jejichž výsledkem je produkce výrobků a služeb s vyšší přidanou hodnotou. Podle výsledků dosavadních šetření chybí systémové nastavení optimalizace a rozvoje vzdělávání, např. se neakreditují některé pro odvětví specifické obory žádané na trhu práce. Pro budoucnost sektoru je stěžejní sféra lidských zdrojů, především pak spolupráce podniků s odbornými školami, učilišti, středními a vysokými školami v přípravě nových tvůrců činných v oblasti KK</w:t>
      </w:r>
      <w:r w:rsidR="006536D0">
        <w:t>O</w:t>
      </w:r>
      <w:r w:rsidRPr="00363CC4">
        <w:t>. V této souvislosti je třeba modernizovat systém vzdělávání a optimalizovat jej podle potřeb výrobní sféry a společenské poptávky.</w:t>
      </w:r>
    </w:p>
    <w:p w14:paraId="25E8CF32" w14:textId="77777777" w:rsidR="00363CC4" w:rsidRDefault="00363CC4" w:rsidP="00363CC4">
      <w:pPr>
        <w:spacing w:line="360" w:lineRule="auto"/>
        <w:ind w:firstLine="708"/>
        <w:jc w:val="both"/>
      </w:pPr>
      <w:r w:rsidRPr="00363CC4">
        <w:t>V ČR doposud chybí vládní politika pro oblast kulturních a kreativních průmyslů. Tu by měla vykrýt nová koncepce Ministerstva kultury Strategie rozvoje kulturních a kreativních průmyslů.</w:t>
      </w:r>
    </w:p>
    <w:p w14:paraId="472F26A9" w14:textId="77777777" w:rsidR="006B6E0F" w:rsidRPr="00363CC4" w:rsidRDefault="006B6E0F" w:rsidP="00363CC4">
      <w:pPr>
        <w:spacing w:line="360" w:lineRule="auto"/>
        <w:ind w:firstLine="708"/>
        <w:jc w:val="both"/>
      </w:pPr>
    </w:p>
    <w:p w14:paraId="47B3B38F" w14:textId="002FDC9D" w:rsidR="00537F19" w:rsidRPr="001D6562" w:rsidRDefault="006B6E0F" w:rsidP="00537F19">
      <w:pPr>
        <w:spacing w:before="240" w:line="360" w:lineRule="auto"/>
        <w:rPr>
          <w:b/>
          <w:u w:val="single"/>
        </w:rPr>
      </w:pPr>
      <w:r w:rsidRPr="001D6562">
        <w:rPr>
          <w:b/>
          <w:u w:val="single"/>
        </w:rPr>
        <w:t>Popis potřeb a jejich řešení</w:t>
      </w:r>
    </w:p>
    <w:p w14:paraId="433FAD80" w14:textId="77777777" w:rsidR="006B6E0F" w:rsidRPr="006B6E0F" w:rsidRDefault="006B6E0F" w:rsidP="001D6562">
      <w:pPr>
        <w:pStyle w:val="PreformattedText"/>
        <w:spacing w:line="360" w:lineRule="auto"/>
        <w:ind w:firstLine="708"/>
        <w:jc w:val="both"/>
        <w:rPr>
          <w:rFonts w:asciiTheme="minorHAnsi" w:hAnsiTheme="minorHAnsi"/>
          <w:color w:val="auto"/>
          <w:sz w:val="22"/>
          <w:szCs w:val="22"/>
        </w:rPr>
      </w:pPr>
      <w:r w:rsidRPr="006B6E0F">
        <w:rPr>
          <w:rFonts w:asciiTheme="minorHAnsi" w:hAnsiTheme="minorHAnsi"/>
          <w:color w:val="auto"/>
          <w:sz w:val="22"/>
          <w:szCs w:val="22"/>
        </w:rPr>
        <w:t xml:space="preserve">Tvorba výrobků ze své podstaty představuje spojení tradičních řemesel s umělecko-kreativními obory a průmyslovou výrobou. Jejich výstupy zasahují do široké škály lidských činností, včetně tradičních průmyslových odvětví. </w:t>
      </w:r>
    </w:p>
    <w:p w14:paraId="7CEFD14D" w14:textId="0FA77254" w:rsidR="006B6E0F" w:rsidRPr="006B6E0F" w:rsidRDefault="006B6E0F" w:rsidP="001D6562">
      <w:pPr>
        <w:pStyle w:val="PreformattedText"/>
        <w:spacing w:line="360" w:lineRule="auto"/>
        <w:ind w:firstLine="708"/>
        <w:jc w:val="both"/>
        <w:rPr>
          <w:rFonts w:asciiTheme="minorHAnsi" w:hAnsiTheme="minorHAnsi"/>
          <w:color w:val="auto"/>
          <w:sz w:val="22"/>
          <w:szCs w:val="22"/>
        </w:rPr>
      </w:pPr>
      <w:r w:rsidRPr="006B6E0F">
        <w:rPr>
          <w:rFonts w:asciiTheme="minorHAnsi" w:hAnsiTheme="minorHAnsi"/>
          <w:color w:val="auto"/>
          <w:sz w:val="22"/>
          <w:szCs w:val="22"/>
        </w:rPr>
        <w:t xml:space="preserve">Ve vazbě na vědu, výzkum a inovace považuje sektor napříč odvětvími za prioritní </w:t>
      </w:r>
      <w:r w:rsidRPr="006B6E0F">
        <w:rPr>
          <w:rFonts w:asciiTheme="minorHAnsi" w:hAnsiTheme="minorHAnsi"/>
          <w:b/>
          <w:color w:val="auto"/>
          <w:sz w:val="22"/>
          <w:szCs w:val="22"/>
        </w:rPr>
        <w:t>designové inovace, technologické inovace – především zapojení pokročilých technologií v procesu návrhu i</w:t>
      </w:r>
      <w:r>
        <w:rPr>
          <w:rFonts w:asciiTheme="minorHAnsi" w:hAnsiTheme="minorHAnsi"/>
          <w:b/>
          <w:color w:val="auto"/>
          <w:sz w:val="22"/>
          <w:szCs w:val="22"/>
        </w:rPr>
        <w:t> </w:t>
      </w:r>
      <w:r w:rsidRPr="006B6E0F">
        <w:rPr>
          <w:rFonts w:asciiTheme="minorHAnsi" w:hAnsiTheme="minorHAnsi"/>
          <w:b/>
          <w:color w:val="auto"/>
          <w:sz w:val="22"/>
          <w:szCs w:val="22"/>
        </w:rPr>
        <w:t>výroby, materiálový výzkum a výzkum tradičních řemeslných technik, vzorů a postupů, včetně cíle jejich obnovy i jejich uchování jako národního dědictví</w:t>
      </w:r>
      <w:r w:rsidRPr="006B6E0F">
        <w:rPr>
          <w:rFonts w:asciiTheme="minorHAnsi" w:hAnsiTheme="minorHAnsi"/>
          <w:color w:val="auto"/>
          <w:sz w:val="22"/>
          <w:szCs w:val="22"/>
        </w:rPr>
        <w:t xml:space="preserve">. </w:t>
      </w:r>
    </w:p>
    <w:p w14:paraId="173D73F5" w14:textId="40A9F99E" w:rsidR="006B6E0F" w:rsidRPr="006B6E0F" w:rsidRDefault="006B6E0F" w:rsidP="001D6562">
      <w:pPr>
        <w:pStyle w:val="PreformattedText"/>
        <w:spacing w:line="360" w:lineRule="auto"/>
        <w:ind w:firstLine="708"/>
        <w:jc w:val="both"/>
        <w:rPr>
          <w:rFonts w:asciiTheme="minorHAnsi" w:hAnsiTheme="minorHAnsi"/>
          <w:color w:val="auto"/>
          <w:sz w:val="22"/>
          <w:szCs w:val="22"/>
        </w:rPr>
      </w:pPr>
      <w:r w:rsidRPr="006B6E0F">
        <w:rPr>
          <w:rFonts w:asciiTheme="minorHAnsi" w:hAnsiTheme="minorHAnsi"/>
          <w:color w:val="auto"/>
          <w:sz w:val="22"/>
          <w:szCs w:val="22"/>
        </w:rPr>
        <w:t xml:space="preserve">Klíčovým výzkumným tématem napříč odvětvími sektoru zůstává </w:t>
      </w:r>
      <w:r w:rsidRPr="006B6E0F">
        <w:rPr>
          <w:rFonts w:asciiTheme="minorHAnsi" w:hAnsiTheme="minorHAnsi"/>
          <w:b/>
          <w:bCs/>
          <w:color w:val="auto"/>
          <w:sz w:val="22"/>
          <w:szCs w:val="22"/>
        </w:rPr>
        <w:t>výzkum materiálů a</w:t>
      </w:r>
      <w:r>
        <w:rPr>
          <w:rFonts w:asciiTheme="minorHAnsi" w:hAnsiTheme="minorHAnsi"/>
          <w:b/>
          <w:bCs/>
          <w:color w:val="auto"/>
          <w:sz w:val="22"/>
          <w:szCs w:val="22"/>
        </w:rPr>
        <w:t> </w:t>
      </w:r>
      <w:r w:rsidRPr="006B6E0F">
        <w:rPr>
          <w:rFonts w:asciiTheme="minorHAnsi" w:hAnsiTheme="minorHAnsi"/>
          <w:b/>
          <w:bCs/>
          <w:color w:val="auto"/>
          <w:sz w:val="22"/>
          <w:szCs w:val="22"/>
        </w:rPr>
        <w:t>technologií</w:t>
      </w:r>
      <w:r w:rsidRPr="006B6E0F">
        <w:rPr>
          <w:rFonts w:asciiTheme="minorHAnsi" w:hAnsiTheme="minorHAnsi"/>
          <w:b/>
          <w:color w:val="auto"/>
          <w:sz w:val="22"/>
          <w:szCs w:val="22"/>
        </w:rPr>
        <w:t xml:space="preserve">, </w:t>
      </w:r>
      <w:r w:rsidRPr="006B6E0F">
        <w:rPr>
          <w:rFonts w:asciiTheme="minorHAnsi" w:hAnsiTheme="minorHAnsi"/>
          <w:color w:val="auto"/>
          <w:sz w:val="22"/>
          <w:szCs w:val="22"/>
        </w:rPr>
        <w:t>především v</w:t>
      </w:r>
      <w:r w:rsidRPr="006B6E0F">
        <w:rPr>
          <w:rFonts w:asciiTheme="minorHAnsi" w:hAnsiTheme="minorHAnsi"/>
          <w:bCs/>
          <w:color w:val="auto"/>
          <w:sz w:val="22"/>
          <w:szCs w:val="22"/>
        </w:rPr>
        <w:t>yužívání vlastností nových materiálů a nové postupy práce s těmito materiály</w:t>
      </w:r>
      <w:r w:rsidRPr="006B6E0F">
        <w:rPr>
          <w:rFonts w:asciiTheme="minorHAnsi" w:hAnsiTheme="minorHAnsi"/>
          <w:b/>
          <w:color w:val="auto"/>
          <w:sz w:val="22"/>
          <w:szCs w:val="22"/>
        </w:rPr>
        <w:t xml:space="preserve">, </w:t>
      </w:r>
      <w:r w:rsidRPr="006B6E0F">
        <w:rPr>
          <w:rFonts w:asciiTheme="minorHAnsi" w:hAnsiTheme="minorHAnsi"/>
          <w:color w:val="auto"/>
          <w:sz w:val="22"/>
          <w:szCs w:val="22"/>
        </w:rPr>
        <w:t>vyhledávání a využití nových materiálů z oblasti základního i aplikovaného výzkumu</w:t>
      </w:r>
      <w:r w:rsidRPr="006B6E0F">
        <w:rPr>
          <w:rFonts w:asciiTheme="minorHAnsi" w:hAnsiTheme="minorHAnsi"/>
          <w:bCs/>
          <w:color w:val="auto"/>
          <w:sz w:val="22"/>
          <w:szCs w:val="22"/>
        </w:rPr>
        <w:t xml:space="preserve"> a</w:t>
      </w:r>
      <w:r>
        <w:rPr>
          <w:rFonts w:asciiTheme="minorHAnsi" w:hAnsiTheme="minorHAnsi"/>
          <w:bCs/>
          <w:color w:val="auto"/>
          <w:sz w:val="22"/>
          <w:szCs w:val="22"/>
        </w:rPr>
        <w:t> </w:t>
      </w:r>
      <w:r w:rsidRPr="006B6E0F">
        <w:rPr>
          <w:rFonts w:asciiTheme="minorHAnsi" w:hAnsiTheme="minorHAnsi"/>
          <w:bCs/>
          <w:color w:val="auto"/>
          <w:sz w:val="22"/>
          <w:szCs w:val="22"/>
        </w:rPr>
        <w:t>modifikace a rozvoj technologií pro jejich zpracování</w:t>
      </w:r>
      <w:r w:rsidRPr="006B6E0F">
        <w:rPr>
          <w:rFonts w:asciiTheme="minorHAnsi" w:hAnsiTheme="minorHAnsi"/>
          <w:color w:val="auto"/>
          <w:sz w:val="22"/>
          <w:szCs w:val="22"/>
        </w:rPr>
        <w:t>, inovace a modifikace tradičních postupů zpracování a aplikace materiálů</w:t>
      </w:r>
      <w:r w:rsidRPr="006B6E0F">
        <w:rPr>
          <w:rFonts w:asciiTheme="minorHAnsi" w:hAnsiTheme="minorHAnsi"/>
          <w:color w:val="auto"/>
        </w:rPr>
        <w:t xml:space="preserve">, </w:t>
      </w:r>
      <w:r w:rsidRPr="006B6E0F">
        <w:rPr>
          <w:rFonts w:asciiTheme="minorHAnsi" w:hAnsiTheme="minorHAnsi"/>
          <w:color w:val="auto"/>
          <w:sz w:val="22"/>
          <w:szCs w:val="22"/>
        </w:rPr>
        <w:t>inovativní postupy zpracování a aplikace tradičních materiálů, včetně výzkumu a aplikace výsledků do vývoje nového produktu</w:t>
      </w:r>
      <w:r w:rsidRPr="006B6E0F">
        <w:rPr>
          <w:rFonts w:asciiTheme="minorHAnsi" w:hAnsiTheme="minorHAnsi"/>
          <w:color w:val="auto"/>
        </w:rPr>
        <w:t>. I</w:t>
      </w:r>
      <w:r w:rsidRPr="006B6E0F">
        <w:rPr>
          <w:rFonts w:asciiTheme="minorHAnsi" w:hAnsiTheme="minorHAnsi"/>
          <w:color w:val="auto"/>
          <w:sz w:val="22"/>
          <w:szCs w:val="22"/>
        </w:rPr>
        <w:t xml:space="preserve"> v oblasti tradičních KK</w:t>
      </w:r>
      <w:r w:rsidR="006536D0">
        <w:rPr>
          <w:rFonts w:asciiTheme="minorHAnsi" w:hAnsiTheme="minorHAnsi"/>
          <w:color w:val="auto"/>
          <w:sz w:val="22"/>
          <w:szCs w:val="22"/>
        </w:rPr>
        <w:t>O</w:t>
      </w:r>
      <w:r w:rsidRPr="006B6E0F">
        <w:rPr>
          <w:rFonts w:asciiTheme="minorHAnsi" w:hAnsiTheme="minorHAnsi"/>
          <w:color w:val="auto"/>
          <w:sz w:val="22"/>
          <w:szCs w:val="22"/>
        </w:rPr>
        <w:t xml:space="preserve"> se uplatňují efekty tzv. emerging industries, a proto je důležitým tématem k řešení inovativní využití pokročilých technologií v procesu návrhu i tvorby (včetně ICT). V oblasti uchovávání a konzervace kulturního dědictví je třeba věnovat speciální pozornost v</w:t>
      </w:r>
      <w:r w:rsidRPr="006B6E0F">
        <w:rPr>
          <w:rFonts w:asciiTheme="minorHAnsi" w:hAnsiTheme="minorHAnsi" w:cs="Arial"/>
          <w:color w:val="auto"/>
          <w:sz w:val="22"/>
          <w:szCs w:val="22"/>
        </w:rPr>
        <w:t>ýzkumu životního cyklu materiálů a produktů z nich</w:t>
      </w:r>
      <w:r w:rsidRPr="006B6E0F">
        <w:rPr>
          <w:rFonts w:asciiTheme="minorHAnsi" w:hAnsiTheme="minorHAnsi"/>
          <w:color w:val="auto"/>
          <w:sz w:val="22"/>
          <w:szCs w:val="22"/>
        </w:rPr>
        <w:t xml:space="preserve"> a</w:t>
      </w:r>
      <w:r>
        <w:rPr>
          <w:rFonts w:asciiTheme="minorHAnsi" w:hAnsiTheme="minorHAnsi"/>
          <w:color w:val="auto"/>
          <w:sz w:val="22"/>
          <w:szCs w:val="22"/>
        </w:rPr>
        <w:t> </w:t>
      </w:r>
      <w:r w:rsidRPr="006B6E0F">
        <w:rPr>
          <w:rFonts w:asciiTheme="minorHAnsi" w:hAnsiTheme="minorHAnsi"/>
          <w:color w:val="auto"/>
          <w:sz w:val="22"/>
          <w:szCs w:val="22"/>
        </w:rPr>
        <w:t>m</w:t>
      </w:r>
      <w:r w:rsidRPr="006B6E0F">
        <w:rPr>
          <w:rFonts w:asciiTheme="minorHAnsi" w:hAnsiTheme="minorHAnsi" w:cs="Arial"/>
          <w:color w:val="auto"/>
          <w:sz w:val="22"/>
          <w:szCs w:val="22"/>
        </w:rPr>
        <w:t>ateriálům určeným pro opravy památkově chráněných objektů.</w:t>
      </w:r>
    </w:p>
    <w:p w14:paraId="2B963095" w14:textId="37BDA434" w:rsidR="006B6E0F" w:rsidRPr="006B6E0F" w:rsidRDefault="006B6E0F" w:rsidP="001D6562">
      <w:pPr>
        <w:spacing w:after="0" w:line="360" w:lineRule="auto"/>
        <w:ind w:firstLine="708"/>
        <w:jc w:val="both"/>
        <w:rPr>
          <w:bCs/>
        </w:rPr>
      </w:pPr>
      <w:r w:rsidRPr="006B6E0F">
        <w:rPr>
          <w:rFonts w:cs="Arial"/>
        </w:rPr>
        <w:t>Klíčovou oblastí tradičních KK</w:t>
      </w:r>
      <w:r w:rsidR="006536D0">
        <w:rPr>
          <w:rFonts w:cs="Arial"/>
        </w:rPr>
        <w:t>O</w:t>
      </w:r>
      <w:r w:rsidRPr="006B6E0F">
        <w:rPr>
          <w:rFonts w:cs="Arial"/>
        </w:rPr>
        <w:t xml:space="preserve"> zůstává</w:t>
      </w:r>
      <w:r w:rsidRPr="006B6E0F">
        <w:t xml:space="preserve"> </w:t>
      </w:r>
      <w:r w:rsidRPr="006B6E0F">
        <w:rPr>
          <w:b/>
        </w:rPr>
        <w:t>v</w:t>
      </w:r>
      <w:r w:rsidRPr="006B6E0F">
        <w:rPr>
          <w:b/>
          <w:bCs/>
        </w:rPr>
        <w:t xml:space="preserve">ýroba skla, keramiky a porcelánu </w:t>
      </w:r>
      <w:r w:rsidRPr="006B6E0F">
        <w:rPr>
          <w:bCs/>
        </w:rPr>
        <w:t>a </w:t>
      </w:r>
      <w:r w:rsidRPr="006B6E0F">
        <w:t>v</w:t>
      </w:r>
      <w:r w:rsidRPr="006B6E0F">
        <w:rPr>
          <w:bCs/>
        </w:rPr>
        <w:t>ývoj skla z</w:t>
      </w:r>
      <w:r>
        <w:rPr>
          <w:bCs/>
        </w:rPr>
        <w:t> </w:t>
      </w:r>
      <w:r w:rsidRPr="006B6E0F">
        <w:rPr>
          <w:bCs/>
        </w:rPr>
        <w:t xml:space="preserve">hlediska bezpečnosti a odpovědnosti vůči životnímu prostředí, </w:t>
      </w:r>
      <w:r w:rsidRPr="006B6E0F">
        <w:rPr>
          <w:b/>
        </w:rPr>
        <w:t>pokročilé principy přípravy skel a</w:t>
      </w:r>
      <w:r>
        <w:rPr>
          <w:b/>
        </w:rPr>
        <w:t> </w:t>
      </w:r>
      <w:r w:rsidRPr="006B6E0F">
        <w:rPr>
          <w:b/>
        </w:rPr>
        <w:t>robotizace jejich výrob</w:t>
      </w:r>
      <w:r w:rsidRPr="006B6E0F">
        <w:t xml:space="preserve"> s příznivým energetickým, ekologickým a kvalitativním dopadem (regenerace současných technologií a aplikace nových výrobních struktur)</w:t>
      </w:r>
      <w:r w:rsidRPr="006B6E0F">
        <w:rPr>
          <w:bCs/>
        </w:rPr>
        <w:t xml:space="preserve"> a povrchová úprava skla v souladu s</w:t>
      </w:r>
      <w:r>
        <w:rPr>
          <w:bCs/>
        </w:rPr>
        <w:t> </w:t>
      </w:r>
      <w:r w:rsidRPr="006B6E0F">
        <w:rPr>
          <w:bCs/>
        </w:rPr>
        <w:t xml:space="preserve">požadavky obchodních trendů i legislativy (ochranné a antiadhesivní nátěry). Na tento proces navazuje </w:t>
      </w:r>
      <w:r w:rsidRPr="006B6E0F">
        <w:t>vývoj i</w:t>
      </w:r>
      <w:r w:rsidRPr="006B6E0F">
        <w:rPr>
          <w:bCs/>
        </w:rPr>
        <w:t>ntegrace skla do finálních produktů (fixační trubice, teleskopické závěsné systémy)</w:t>
      </w:r>
      <w:r w:rsidRPr="006B6E0F">
        <w:t xml:space="preserve"> a</w:t>
      </w:r>
      <w:r>
        <w:t> </w:t>
      </w:r>
      <w:r w:rsidRPr="006B6E0F">
        <w:t>hledání nových způsobů použití skel a sklářských výrobků s přesahem do stavebnictví a dalších výrob zpracovatelského průmyslu. Významnými tématy jsou i materiálový výzkum a hledání nových surovin a skla s významnými vlastnostmi pro hromadné i speciální použití a jejich originální objemové a povrchové zpracování. V oblasti výroby keramiky a porcelánu se zájem soustředí na vývoj b</w:t>
      </w:r>
      <w:r w:rsidRPr="006B6E0F">
        <w:rPr>
          <w:bCs/>
        </w:rPr>
        <w:t xml:space="preserve">arevných glazur a jejich vlastností </w:t>
      </w:r>
      <w:r w:rsidRPr="006B6E0F">
        <w:t>a v</w:t>
      </w:r>
      <w:r w:rsidRPr="006B6E0F">
        <w:rPr>
          <w:bCs/>
        </w:rPr>
        <w:t xml:space="preserve">ývoj keramického granulátu. </w:t>
      </w:r>
    </w:p>
    <w:p w14:paraId="3BD28EE8" w14:textId="698509CC" w:rsidR="006B6E0F" w:rsidRPr="006B6E0F" w:rsidRDefault="006B6E0F" w:rsidP="001D6562">
      <w:pPr>
        <w:spacing w:after="0" w:line="360" w:lineRule="auto"/>
        <w:ind w:firstLine="708"/>
        <w:jc w:val="both"/>
      </w:pPr>
      <w:r w:rsidRPr="006B6E0F">
        <w:rPr>
          <w:bCs/>
        </w:rPr>
        <w:t>V oblasti</w:t>
      </w:r>
      <w:r w:rsidRPr="006B6E0F">
        <w:rPr>
          <w:b/>
          <w:bCs/>
        </w:rPr>
        <w:t xml:space="preserve"> textilní výroby </w:t>
      </w:r>
      <w:r w:rsidRPr="006B6E0F">
        <w:rPr>
          <w:bCs/>
        </w:rPr>
        <w:t>jsou za stěžejní témata považována</w:t>
      </w:r>
      <w:r w:rsidRPr="006B6E0F">
        <w:rPr>
          <w:b/>
          <w:bCs/>
        </w:rPr>
        <w:t xml:space="preserve"> </w:t>
      </w:r>
      <w:r w:rsidRPr="006B6E0F">
        <w:rPr>
          <w:bCs/>
        </w:rPr>
        <w:t xml:space="preserve">výroba a použití </w:t>
      </w:r>
      <w:r w:rsidRPr="006B6E0F">
        <w:rPr>
          <w:b/>
          <w:bCs/>
        </w:rPr>
        <w:t>nanovláken a</w:t>
      </w:r>
      <w:r>
        <w:rPr>
          <w:b/>
          <w:bCs/>
        </w:rPr>
        <w:t> </w:t>
      </w:r>
      <w:r w:rsidRPr="006B6E0F">
        <w:rPr>
          <w:b/>
          <w:bCs/>
        </w:rPr>
        <w:t>nanovlákenných struktur</w:t>
      </w:r>
      <w:r w:rsidRPr="006B6E0F">
        <w:rPr>
          <w:bCs/>
        </w:rPr>
        <w:t xml:space="preserve"> v textilu a aplikace nanočástic pro speciální efekty. Velkou pozornost je třeba věnovat vývoji dalších nových materiálů s širokým spektrem užití a nových vlastností, jako jsou kompozitní struktury s obsahem anorganických vláken, textilní výztuže, obecně </w:t>
      </w:r>
      <w:r w:rsidRPr="006B6E0F">
        <w:rPr>
          <w:b/>
          <w:bCs/>
        </w:rPr>
        <w:t>inteligentní textilie</w:t>
      </w:r>
      <w:r w:rsidRPr="006B6E0F">
        <w:rPr>
          <w:bCs/>
        </w:rPr>
        <w:t>. V této souvislosti je třeba věnovat pozornost vývoji</w:t>
      </w:r>
      <w:r w:rsidRPr="006B6E0F">
        <w:rPr>
          <w:b/>
          <w:bCs/>
        </w:rPr>
        <w:t xml:space="preserve"> </w:t>
      </w:r>
      <w:r w:rsidRPr="006B6E0F">
        <w:rPr>
          <w:bCs/>
        </w:rPr>
        <w:t xml:space="preserve">použití optických vláken a materiálů s tvarovou pamětí pro technické výrobky, </w:t>
      </w:r>
      <w:r w:rsidRPr="006B6E0F">
        <w:rPr>
          <w:b/>
          <w:bCs/>
        </w:rPr>
        <w:t>včetně textilních čidel</w:t>
      </w:r>
      <w:r w:rsidRPr="006B6E0F">
        <w:rPr>
          <w:bCs/>
        </w:rPr>
        <w:t xml:space="preserve"> a čidel vhodných pro použití v textiliích. I v tomto případě je pro rozvoj odvětví důležitá modifikace a rozvoj technologií pro zpracování nových materiálů, včetně ekologických aspektů při jejich uplatňování.</w:t>
      </w:r>
    </w:p>
    <w:p w14:paraId="17C13EC3" w14:textId="77777777" w:rsidR="006B6E0F" w:rsidRPr="006B6E0F" w:rsidRDefault="006B6E0F" w:rsidP="001D6562">
      <w:pPr>
        <w:pStyle w:val="PreformattedText"/>
        <w:spacing w:line="360" w:lineRule="auto"/>
        <w:ind w:firstLine="708"/>
        <w:jc w:val="both"/>
        <w:rPr>
          <w:rFonts w:asciiTheme="minorHAnsi" w:hAnsiTheme="minorHAnsi"/>
          <w:bCs/>
          <w:color w:val="auto"/>
          <w:sz w:val="22"/>
          <w:szCs w:val="22"/>
        </w:rPr>
      </w:pPr>
      <w:r w:rsidRPr="006B6E0F">
        <w:rPr>
          <w:rFonts w:asciiTheme="minorHAnsi" w:hAnsiTheme="minorHAnsi"/>
          <w:bCs/>
          <w:color w:val="auto"/>
          <w:sz w:val="22"/>
          <w:szCs w:val="22"/>
        </w:rPr>
        <w:t xml:space="preserve">V oblasti </w:t>
      </w:r>
      <w:r w:rsidRPr="006B6E0F">
        <w:rPr>
          <w:rFonts w:asciiTheme="minorHAnsi" w:hAnsiTheme="minorHAnsi"/>
          <w:b/>
          <w:bCs/>
          <w:color w:val="auto"/>
          <w:sz w:val="22"/>
          <w:szCs w:val="22"/>
        </w:rPr>
        <w:t>zpracování dřeva a výroby hudebních nástrojů</w:t>
      </w:r>
      <w:r w:rsidRPr="006B6E0F">
        <w:rPr>
          <w:rFonts w:asciiTheme="minorHAnsi" w:hAnsiTheme="minorHAnsi"/>
          <w:bCs/>
          <w:color w:val="auto"/>
          <w:sz w:val="22"/>
          <w:szCs w:val="22"/>
        </w:rPr>
        <w:t xml:space="preserve"> by měla být rozvíjena a řešena technologie spojů materiálů na bázi dřeva, </w:t>
      </w:r>
      <w:r w:rsidRPr="006B6E0F">
        <w:rPr>
          <w:rFonts w:asciiTheme="minorHAnsi" w:hAnsiTheme="minorHAnsi"/>
          <w:b/>
          <w:bCs/>
          <w:color w:val="auto"/>
          <w:sz w:val="22"/>
          <w:szCs w:val="22"/>
        </w:rPr>
        <w:t>matematické simulace tuhosti konstrukcí ze dřeva</w:t>
      </w:r>
      <w:r w:rsidRPr="006B6E0F">
        <w:rPr>
          <w:rFonts w:asciiTheme="minorHAnsi" w:hAnsiTheme="minorHAnsi"/>
          <w:bCs/>
          <w:color w:val="auto"/>
          <w:sz w:val="22"/>
          <w:szCs w:val="22"/>
        </w:rPr>
        <w:t xml:space="preserve">, </w:t>
      </w:r>
      <w:r w:rsidRPr="006B6E0F">
        <w:rPr>
          <w:rFonts w:asciiTheme="minorHAnsi" w:hAnsiTheme="minorHAnsi"/>
          <w:b/>
          <w:bCs/>
          <w:color w:val="auto"/>
          <w:sz w:val="22"/>
          <w:szCs w:val="22"/>
        </w:rPr>
        <w:t>vývoj nových materiálů na bázi dřeva</w:t>
      </w:r>
      <w:r w:rsidRPr="006B6E0F">
        <w:rPr>
          <w:rFonts w:asciiTheme="minorHAnsi" w:hAnsiTheme="minorHAnsi"/>
          <w:bCs/>
          <w:color w:val="auto"/>
          <w:sz w:val="22"/>
          <w:szCs w:val="22"/>
        </w:rPr>
        <w:t xml:space="preserve"> </w:t>
      </w:r>
      <w:r w:rsidRPr="006B6E0F">
        <w:rPr>
          <w:rFonts w:asciiTheme="minorHAnsi" w:hAnsiTheme="minorHAnsi"/>
          <w:b/>
          <w:bCs/>
          <w:color w:val="auto"/>
          <w:sz w:val="22"/>
          <w:szCs w:val="22"/>
        </w:rPr>
        <w:t>s vysokou odolností vůči biotickým činitelům a ohni</w:t>
      </w:r>
      <w:r w:rsidRPr="006B6E0F">
        <w:rPr>
          <w:rFonts w:asciiTheme="minorHAnsi" w:hAnsiTheme="minorHAnsi"/>
          <w:bCs/>
          <w:color w:val="auto"/>
          <w:sz w:val="22"/>
          <w:szCs w:val="22"/>
        </w:rPr>
        <w:t>. Nosným tématem je také problematika lepeného lamelového dřeva a jeho užití v architektuře dřevostaveb.</w:t>
      </w:r>
    </w:p>
    <w:p w14:paraId="6B918891" w14:textId="77777777" w:rsidR="006B6E0F" w:rsidRPr="006B6E0F" w:rsidRDefault="006B6E0F" w:rsidP="001D6562">
      <w:pPr>
        <w:spacing w:after="0" w:line="360" w:lineRule="auto"/>
        <w:ind w:firstLine="708"/>
        <w:jc w:val="both"/>
        <w:rPr>
          <w:bCs/>
        </w:rPr>
      </w:pPr>
      <w:r w:rsidRPr="006B6E0F">
        <w:rPr>
          <w:bCs/>
        </w:rPr>
        <w:t>V odvětví výroby hudebních nástrojů ze dřeva pak akustika a technická fyzika (výzkum zvukové kvality hudebních nástrojů a jejich vyrovnanosti). Pro všechny obory činnosti se dřevem je společné řešení ekologických aspektů zpracování dřeva a materiálů na bázi dřeva.</w:t>
      </w:r>
    </w:p>
    <w:p w14:paraId="3FB2A3B8" w14:textId="34CCA21F" w:rsidR="006B6E0F" w:rsidRDefault="006B6E0F" w:rsidP="001D6562">
      <w:pPr>
        <w:spacing w:after="0" w:line="360" w:lineRule="auto"/>
        <w:ind w:firstLine="708"/>
        <w:jc w:val="both"/>
      </w:pPr>
      <w:r w:rsidRPr="006B6E0F">
        <w:t xml:space="preserve">Popis potřeb a jejich řešení se odvíjí také od oblasti nanotechnologií, které podniky v ČR úspěšně uplatňují a jsou konkurenceschopné na světové úrovni. V první řadě se jedná o využití technologií </w:t>
      </w:r>
      <w:r w:rsidRPr="006B6E0F">
        <w:rPr>
          <w:b/>
        </w:rPr>
        <w:t>nanovlákna</w:t>
      </w:r>
      <w:r w:rsidRPr="006B6E0F">
        <w:t xml:space="preserve">. Know-how spojené s tradicí </w:t>
      </w:r>
      <w:r w:rsidRPr="006B6E0F">
        <w:rPr>
          <w:b/>
        </w:rPr>
        <w:t>textilní výroby</w:t>
      </w:r>
      <w:r w:rsidRPr="006B6E0F">
        <w:t xml:space="preserve"> dnes nalézá své uplatnění ve slibně se rozvíjející oblastí produkce nanovlákenných membrán a</w:t>
      </w:r>
      <w:r>
        <w:t> </w:t>
      </w:r>
      <w:r w:rsidRPr="006B6E0F">
        <w:t>speciálních textilií pro funkční oblečení. Textilní výroba zaměřená na nanovlákna poskytuje také produkty pro širokou oblast průmyslových aplikací, např. filtrace.</w:t>
      </w:r>
    </w:p>
    <w:p w14:paraId="3E41EDB7" w14:textId="77777777" w:rsidR="00087EC7" w:rsidRPr="006B6E0F" w:rsidRDefault="00087EC7" w:rsidP="001D6562">
      <w:pPr>
        <w:spacing w:after="0" w:line="360" w:lineRule="auto"/>
        <w:ind w:firstLine="708"/>
        <w:jc w:val="both"/>
      </w:pPr>
    </w:p>
    <w:p w14:paraId="31E79511" w14:textId="0F11481B" w:rsidR="009A0AA9" w:rsidRDefault="00FA5A15" w:rsidP="009A0AA9">
      <w:pPr>
        <w:pStyle w:val="Nadpis4"/>
      </w:pPr>
      <w:bookmarkStart w:id="142" w:name="_Toc525716230"/>
      <w:r>
        <w:t>Nová</w:t>
      </w:r>
      <w:r w:rsidR="009A0AA9">
        <w:t xml:space="preserve"> kulturní a kreativní odvětví</w:t>
      </w:r>
      <w:bookmarkEnd w:id="142"/>
      <w:r w:rsidR="009A0AA9">
        <w:t xml:space="preserve"> </w:t>
      </w:r>
    </w:p>
    <w:p w14:paraId="1EACA217" w14:textId="4F6EC9D0" w:rsidR="009A0AA9" w:rsidRPr="00E10158" w:rsidRDefault="00BA59B2" w:rsidP="00BA59B2">
      <w:pPr>
        <w:spacing w:before="240" w:line="360" w:lineRule="auto"/>
        <w:rPr>
          <w:b/>
          <w:u w:val="single"/>
        </w:rPr>
      </w:pPr>
      <w:r w:rsidRPr="00E10158">
        <w:rPr>
          <w:b/>
          <w:u w:val="single"/>
        </w:rPr>
        <w:t>Východiska</w:t>
      </w:r>
    </w:p>
    <w:p w14:paraId="454BD975" w14:textId="218A6BAC" w:rsidR="00BA59B2" w:rsidRPr="00BA59B2" w:rsidRDefault="00BA59B2" w:rsidP="00E10158">
      <w:pPr>
        <w:spacing w:after="0" w:line="360" w:lineRule="auto"/>
        <w:ind w:firstLine="708"/>
        <w:jc w:val="both"/>
      </w:pPr>
      <w:r w:rsidRPr="00BA59B2">
        <w:t>Spojení pokročilých technologií s technologiemi tradičními vytváří podněty ke vzniku nových kulturních a kreativní odvětví. Rozvoj tzv. emerging industries, technologických inovací a jejich dostupnost široké veřejnosti dal vzniknout novému typu kultury, v níž splývají tvůrci s uživateli. Navíc podle nejnovějších studií EU je prokázána přímá korelace mezi aktivní kulturní činností a schopností inovovat. A právě u</w:t>
      </w:r>
      <w:r>
        <w:t> </w:t>
      </w:r>
      <w:r w:rsidR="006536D0">
        <w:t>KKO</w:t>
      </w:r>
      <w:r w:rsidRPr="00BA59B2">
        <w:t xml:space="preserve"> dochází ke zřetelnému propojování tvorby, digitálních technologií a inovací a</w:t>
      </w:r>
      <w:r w:rsidR="00DA0061">
        <w:t> </w:t>
      </w:r>
      <w:r w:rsidRPr="00BA59B2">
        <w:t>dochází tak k</w:t>
      </w:r>
      <w:r>
        <w:t> </w:t>
      </w:r>
      <w:r w:rsidRPr="00BA59B2">
        <w:t xml:space="preserve">etablování nového typu ekonomiky založené na strategickém využívání nemateriálních, kulturních zdrojů a práv duševního vlastnictví. </w:t>
      </w:r>
    </w:p>
    <w:p w14:paraId="09E23D6A" w14:textId="77777777" w:rsidR="00BA59B2" w:rsidRPr="00BA59B2" w:rsidRDefault="00BA59B2" w:rsidP="00E10158">
      <w:pPr>
        <w:spacing w:after="0" w:line="360" w:lineRule="auto"/>
        <w:ind w:firstLine="708"/>
        <w:jc w:val="both"/>
      </w:pPr>
      <w:r w:rsidRPr="00BA59B2">
        <w:t xml:space="preserve">Dochází k propojení umění s obchodem a vytváří se tak nová dynamická odvětví, která mají velký potenciál přispět ke zvýšení konkurenceschopnosti ČR, k získání hospodářských výhod na nově vznikajících trzích, k růstu HDP a ke tvorbě produktů a služeb s vysokou přidanou hodnotou a nových pracovních míst. </w:t>
      </w:r>
    </w:p>
    <w:p w14:paraId="475AD22A" w14:textId="0B867EC2" w:rsidR="00BA59B2" w:rsidRPr="00BA59B2" w:rsidRDefault="00BA59B2" w:rsidP="00E10158">
      <w:pPr>
        <w:pStyle w:val="PreformattedText"/>
        <w:spacing w:line="360" w:lineRule="auto"/>
        <w:ind w:firstLine="708"/>
        <w:jc w:val="both"/>
        <w:rPr>
          <w:color w:val="auto"/>
        </w:rPr>
      </w:pPr>
      <w:r w:rsidRPr="00BA59B2">
        <w:rPr>
          <w:rFonts w:asciiTheme="minorHAnsi" w:hAnsiTheme="minorHAnsi"/>
          <w:color w:val="auto"/>
          <w:sz w:val="22"/>
          <w:szCs w:val="22"/>
        </w:rPr>
        <w:t>Pro budoucnost sektoru je stěžejní sféra lidských zdrojů, především pak spolupráce podniků s odbornými školami, učilišti, středními a vysokými školami a dalšími vzdělávacími zařízeními v přípravě nových tvůrců činných v oblasti KK</w:t>
      </w:r>
      <w:r w:rsidR="006536D0">
        <w:rPr>
          <w:rFonts w:asciiTheme="minorHAnsi" w:hAnsiTheme="minorHAnsi"/>
          <w:color w:val="auto"/>
          <w:sz w:val="22"/>
          <w:szCs w:val="22"/>
        </w:rPr>
        <w:t>O</w:t>
      </w:r>
      <w:r w:rsidRPr="00BA59B2">
        <w:rPr>
          <w:rFonts w:asciiTheme="minorHAnsi" w:hAnsiTheme="minorHAnsi"/>
          <w:color w:val="auto"/>
          <w:sz w:val="22"/>
          <w:szCs w:val="22"/>
        </w:rPr>
        <w:t>. V této souvislosti je třeba modernizovat systém vzdělávání a</w:t>
      </w:r>
      <w:r>
        <w:rPr>
          <w:rFonts w:asciiTheme="minorHAnsi" w:hAnsiTheme="minorHAnsi"/>
          <w:color w:val="auto"/>
          <w:sz w:val="22"/>
          <w:szCs w:val="22"/>
        </w:rPr>
        <w:t> </w:t>
      </w:r>
      <w:r w:rsidRPr="00BA59B2">
        <w:rPr>
          <w:rFonts w:asciiTheme="minorHAnsi" w:hAnsiTheme="minorHAnsi"/>
          <w:color w:val="auto"/>
          <w:sz w:val="22"/>
          <w:szCs w:val="22"/>
        </w:rPr>
        <w:t>optimalizovat jej podle potřeb výrobní sféry a společenské poptávky s důrazem na větší míru interdisciplinarity.</w:t>
      </w:r>
    </w:p>
    <w:p w14:paraId="023D7A1E" w14:textId="05DC0596" w:rsidR="00BA59B2" w:rsidRPr="00BA59B2" w:rsidRDefault="00BA59B2" w:rsidP="00E10158">
      <w:pPr>
        <w:spacing w:after="0" w:line="360" w:lineRule="auto"/>
        <w:ind w:firstLine="708"/>
        <w:jc w:val="both"/>
      </w:pPr>
      <w:r w:rsidRPr="00BA59B2">
        <w:t>Ze závěrů dosavadních šetření vazeb KK</w:t>
      </w:r>
      <w:r w:rsidR="006536D0">
        <w:t>O</w:t>
      </w:r>
      <w:r w:rsidRPr="00BA59B2">
        <w:t xml:space="preserve"> na vědu, výzkum a inovace vyplývá, že dominantní postavení v sektoru v oblasti aplikovaného výzkumu a vývoje zaujímají odvětví informačních a</w:t>
      </w:r>
      <w:r>
        <w:t> </w:t>
      </w:r>
      <w:r w:rsidRPr="00BA59B2">
        <w:t xml:space="preserve">komunikačních technologií, zejména na oblast služeb v oblasti informačních technologií (především tvorba software a specializovaných aplikací, programování a činností související s webovými portály). </w:t>
      </w:r>
    </w:p>
    <w:p w14:paraId="0B8270BF" w14:textId="716940AC" w:rsidR="00BA59B2" w:rsidRPr="00BA59B2" w:rsidRDefault="00BA59B2" w:rsidP="00E10158">
      <w:pPr>
        <w:spacing w:after="0" w:line="360" w:lineRule="auto"/>
        <w:ind w:firstLine="708"/>
        <w:jc w:val="both"/>
      </w:pPr>
      <w:r w:rsidRPr="00BA59B2">
        <w:t>Domácí firmy podnikající v oblasti Nových KK</w:t>
      </w:r>
      <w:r w:rsidR="006536D0">
        <w:t>O</w:t>
      </w:r>
      <w:r w:rsidRPr="00BA59B2">
        <w:t xml:space="preserve">, které využívají digitální technologie a jejich produkty, vstupují do globální konkurence znevýhodněné velikostí trhu, na němž se pohybují, a jehož potenciální zisky neumožňují investice do základního i aplikovaného výzkum v dostatečné míře. </w:t>
      </w:r>
    </w:p>
    <w:p w14:paraId="262C0A6F" w14:textId="37931622" w:rsidR="00BA59B2" w:rsidRPr="00BA59B2" w:rsidRDefault="00BA59B2" w:rsidP="00E10158">
      <w:pPr>
        <w:spacing w:after="0" w:line="360" w:lineRule="auto"/>
        <w:jc w:val="both"/>
      </w:pPr>
      <w:r w:rsidRPr="00BA59B2">
        <w:t>Pro potřeby NIP řadíme mezi KK</w:t>
      </w:r>
      <w:r w:rsidR="006536D0">
        <w:t>O</w:t>
      </w:r>
      <w:r w:rsidRPr="00BA59B2">
        <w:t xml:space="preserve">: </w:t>
      </w:r>
    </w:p>
    <w:p w14:paraId="029913E5" w14:textId="77777777" w:rsidR="00BA59B2" w:rsidRPr="00BA59B2" w:rsidRDefault="00BA59B2" w:rsidP="00543C1B">
      <w:pPr>
        <w:pStyle w:val="Odstavecseseznamem"/>
        <w:numPr>
          <w:ilvl w:val="0"/>
          <w:numId w:val="95"/>
        </w:numPr>
        <w:spacing w:after="0" w:line="360" w:lineRule="auto"/>
        <w:jc w:val="both"/>
      </w:pPr>
      <w:r w:rsidRPr="00BA59B2">
        <w:t>Kreativní média (film, video, televize, rádio, animace, hry, intermédia, vizuální umění, světelný design, fotografie, reklama, publikování (tištěné a digitální), digitální platformy (www, mobilní aplikace)</w:t>
      </w:r>
    </w:p>
    <w:p w14:paraId="459CD8AC" w14:textId="77777777" w:rsidR="00BA59B2" w:rsidRPr="00BA59B2" w:rsidRDefault="00BA59B2" w:rsidP="00543C1B">
      <w:pPr>
        <w:pStyle w:val="Odstavecseseznamem"/>
        <w:numPr>
          <w:ilvl w:val="0"/>
          <w:numId w:val="95"/>
        </w:numPr>
        <w:spacing w:before="40" w:after="40" w:line="360" w:lineRule="auto"/>
        <w:jc w:val="both"/>
      </w:pPr>
      <w:r w:rsidRPr="00BA59B2">
        <w:t>Kreativní řemesla (architektura, design /módní, produktový, průmyslový/ umělecká řemesla, gastronomie)</w:t>
      </w:r>
    </w:p>
    <w:p w14:paraId="2D312195" w14:textId="77777777" w:rsidR="00BA59B2" w:rsidRPr="00BA59B2" w:rsidRDefault="00BA59B2" w:rsidP="00543C1B">
      <w:pPr>
        <w:pStyle w:val="Odstavecseseznamem"/>
        <w:numPr>
          <w:ilvl w:val="0"/>
          <w:numId w:val="95"/>
        </w:numPr>
        <w:spacing w:before="40" w:after="40" w:line="360" w:lineRule="auto"/>
        <w:jc w:val="both"/>
      </w:pPr>
      <w:r w:rsidRPr="00BA59B2">
        <w:t xml:space="preserve">Scénická umění (hudba, divadlo, tanec, intermediální performance) </w:t>
      </w:r>
    </w:p>
    <w:p w14:paraId="50E210D1" w14:textId="77777777" w:rsidR="00BA59B2" w:rsidRPr="00BA59B2" w:rsidRDefault="00BA59B2" w:rsidP="00543C1B">
      <w:pPr>
        <w:pStyle w:val="Odstavecseseznamem"/>
        <w:numPr>
          <w:ilvl w:val="0"/>
          <w:numId w:val="95"/>
        </w:numPr>
        <w:spacing w:before="40" w:after="40" w:line="360" w:lineRule="auto"/>
        <w:jc w:val="both"/>
      </w:pPr>
      <w:r w:rsidRPr="00BA59B2">
        <w:t>Kreativní paměť (Muzea, galerie, knihovny, archivy, digitální archivy)</w:t>
      </w:r>
    </w:p>
    <w:p w14:paraId="0BAC0AE7" w14:textId="5FC17158" w:rsidR="00BA59B2" w:rsidRPr="00BA59B2" w:rsidRDefault="00BA59B2" w:rsidP="00BA59B2">
      <w:pPr>
        <w:spacing w:before="40" w:after="40" w:line="360" w:lineRule="auto"/>
        <w:ind w:firstLine="709"/>
        <w:jc w:val="both"/>
      </w:pPr>
      <w:r w:rsidRPr="00BA59B2">
        <w:t>Vzhledem k silné průmyslové a řemeslné tradici České republiky byly NIP KK</w:t>
      </w:r>
      <w:r w:rsidR="006536D0">
        <w:t>O</w:t>
      </w:r>
      <w:r w:rsidRPr="00BA59B2">
        <w:t xml:space="preserve"> rozděleny na nové a tradiční. NIP „Nové KK</w:t>
      </w:r>
      <w:r w:rsidR="006536D0">
        <w:t>O</w:t>
      </w:r>
      <w:r w:rsidRPr="00BA59B2">
        <w:t>“ akcentuje KK</w:t>
      </w:r>
      <w:r w:rsidR="006536D0">
        <w:t>O</w:t>
      </w:r>
      <w:r w:rsidRPr="00BA59B2">
        <w:t xml:space="preserve"> spojené s novými technologiemi a digitální ekonomikou a řadí se mezi tzv. emerging industries, zatímco NIP „Tradiční KK</w:t>
      </w:r>
      <w:r w:rsidR="006536D0">
        <w:t>O</w:t>
      </w:r>
      <w:r w:rsidRPr="00BA59B2">
        <w:t>“ akcentuje vazbu na řemeslo a</w:t>
      </w:r>
      <w:r>
        <w:t> </w:t>
      </w:r>
      <w:r w:rsidRPr="00BA59B2">
        <w:t xml:space="preserve">výrobu, a je tak blíže tradičním průmyslovým sektorům. </w:t>
      </w:r>
    </w:p>
    <w:p w14:paraId="622B05C0" w14:textId="77777777" w:rsidR="00BA59B2" w:rsidRPr="00BA59B2" w:rsidRDefault="00BA59B2" w:rsidP="00BA59B2">
      <w:pPr>
        <w:spacing w:before="40" w:after="40" w:line="360" w:lineRule="auto"/>
        <w:ind w:firstLine="708"/>
        <w:jc w:val="both"/>
      </w:pPr>
      <w:r w:rsidRPr="00BA59B2">
        <w:t>V řemeslné a průmyslové tradici České republiky se vždy prolínaly inovace spojené s technologiemi a designem. Pro zachování této tradice je třeba podporovat transformaci řemeslných postupů do současnosti. Pro rozvoj těchto tradice je, ale třeba podpořit vznik zcela nových postupů, spojených s oblastí tzv. emerging industries a digitální ekonomie. Obě linie se přirozeně prolínají, byť řemeslná má blíže k oblastem tradičního průmyslu, zatím co ostatní k novým formám ekonomiky.</w:t>
      </w:r>
    </w:p>
    <w:p w14:paraId="39FD8F63" w14:textId="6D3C2A9E" w:rsidR="00BA59B2" w:rsidRPr="00BA59B2" w:rsidRDefault="00BA59B2" w:rsidP="00E10158">
      <w:pPr>
        <w:pStyle w:val="PreformattedText"/>
        <w:spacing w:line="360" w:lineRule="auto"/>
        <w:ind w:firstLine="708"/>
        <w:jc w:val="both"/>
        <w:rPr>
          <w:rFonts w:asciiTheme="minorHAnsi" w:hAnsiTheme="minorHAnsi"/>
          <w:color w:val="auto"/>
          <w:sz w:val="22"/>
          <w:szCs w:val="22"/>
        </w:rPr>
      </w:pPr>
      <w:r w:rsidRPr="00BA59B2">
        <w:rPr>
          <w:rFonts w:asciiTheme="minorHAnsi" w:hAnsiTheme="minorHAnsi"/>
          <w:color w:val="auto"/>
          <w:sz w:val="22"/>
          <w:szCs w:val="22"/>
        </w:rPr>
        <w:t>Média obecně, na nejnižší úrovni, jsou prostředky (elementy) pro přenos informace a mohou využívat všechny smysly člověka. Kreativní média představují mnohem vyšší abstraktní úroveň a tím i</w:t>
      </w:r>
      <w:r>
        <w:rPr>
          <w:rFonts w:asciiTheme="minorHAnsi" w:hAnsiTheme="minorHAnsi"/>
          <w:color w:val="auto"/>
          <w:sz w:val="22"/>
          <w:szCs w:val="22"/>
        </w:rPr>
        <w:t> </w:t>
      </w:r>
      <w:r w:rsidRPr="00BA59B2">
        <w:rPr>
          <w:rFonts w:asciiTheme="minorHAnsi" w:hAnsiTheme="minorHAnsi"/>
          <w:color w:val="auto"/>
          <w:sz w:val="22"/>
          <w:szCs w:val="22"/>
        </w:rPr>
        <w:t>vyšší přidanou hodnotu na společenské i technologické úrovni. Aplikací kreativních postupů a</w:t>
      </w:r>
      <w:r>
        <w:rPr>
          <w:rFonts w:asciiTheme="minorHAnsi" w:hAnsiTheme="minorHAnsi"/>
          <w:color w:val="auto"/>
          <w:sz w:val="22"/>
          <w:szCs w:val="22"/>
        </w:rPr>
        <w:t> </w:t>
      </w:r>
      <w:r w:rsidRPr="00BA59B2">
        <w:rPr>
          <w:rFonts w:asciiTheme="minorHAnsi" w:hAnsiTheme="minorHAnsi"/>
          <w:color w:val="auto"/>
          <w:sz w:val="22"/>
          <w:szCs w:val="22"/>
        </w:rPr>
        <w:t>technologií vznikají prostředky komunikace s významným vlivem na rozvoj kultury společnosti. Jsou reprezentovaná institucemi nebo samostatnými obory. Patří mezi ně televize, divadlo, rozhlas, hudba, zvukový design, světelný design, vizuální umění, audiovizuální umění (včetně filmu), intermédia, počítačové hry, reklama atd.</w:t>
      </w:r>
    </w:p>
    <w:p w14:paraId="6FC93A2B" w14:textId="245BFA4A" w:rsidR="00BA59B2" w:rsidRDefault="00BA59B2" w:rsidP="00E10158">
      <w:pPr>
        <w:spacing w:after="0" w:line="360" w:lineRule="auto"/>
        <w:ind w:firstLine="708"/>
        <w:jc w:val="both"/>
      </w:pPr>
      <w:r w:rsidRPr="00BA59B2">
        <w:t>Kultura obecně tvoří nezanedbatelnou součást ekonomiky České republiky. Výsledky satelitního účtu kultury ukazují, že váha či podíl sektoru kultury na ekonomice jako celku v několika významných ukazatelích osciluje v poměrně širokém rozmezí kolem 3,7 %. Podíl kulturních kreativních průmyslů se však odhaduje na 5-7 % HDP, přičemž např. v ekonomice hl. města Prahy začíná hrát významnou úlohu.  Sektor KK</w:t>
      </w:r>
      <w:r w:rsidR="006536D0">
        <w:t>O</w:t>
      </w:r>
      <w:r w:rsidRPr="00BA59B2">
        <w:t xml:space="preserve"> je v České republice velmi fragmentovaný, z větší části je tvořen dynamicky se rozvíjejícími malými podniky a mikropodniky.</w:t>
      </w:r>
    </w:p>
    <w:p w14:paraId="32D45C15" w14:textId="77777777" w:rsidR="00BA59B2" w:rsidRDefault="00BA59B2" w:rsidP="00BA59B2">
      <w:pPr>
        <w:spacing w:before="240" w:line="360" w:lineRule="auto"/>
        <w:ind w:firstLine="708"/>
        <w:jc w:val="both"/>
      </w:pPr>
    </w:p>
    <w:p w14:paraId="6C896E1A" w14:textId="6F51DE91" w:rsidR="00BA59B2" w:rsidRPr="00E10158" w:rsidRDefault="00BA59B2" w:rsidP="00BA59B2">
      <w:pPr>
        <w:spacing w:before="240" w:line="360" w:lineRule="auto"/>
        <w:jc w:val="both"/>
        <w:rPr>
          <w:b/>
          <w:u w:val="single"/>
        </w:rPr>
      </w:pPr>
      <w:r w:rsidRPr="00E10158">
        <w:rPr>
          <w:b/>
          <w:u w:val="single"/>
        </w:rPr>
        <w:t>Popis potřeb a jejich řešení</w:t>
      </w:r>
    </w:p>
    <w:p w14:paraId="01522635" w14:textId="77777777" w:rsidR="00BA59B2" w:rsidRPr="00BA59B2" w:rsidRDefault="00BA59B2" w:rsidP="00E10158">
      <w:pPr>
        <w:spacing w:after="0" w:line="360" w:lineRule="auto"/>
        <w:ind w:firstLine="708"/>
        <w:jc w:val="both"/>
      </w:pPr>
      <w:r w:rsidRPr="00BA59B2">
        <w:t xml:space="preserve">S ohledem na význam služeb v oblasti informačních technologií se novými oblastmi výzkumu stávají tzv. </w:t>
      </w:r>
      <w:r w:rsidRPr="00BA59B2">
        <w:rPr>
          <w:b/>
        </w:rPr>
        <w:t>digital humanities</w:t>
      </w:r>
      <w:r w:rsidRPr="00BA59B2">
        <w:t xml:space="preserve">, například oblast extrakce informací z textových zdrojů a kombinovaných strukturovaných a nestrukturovaných dat („text and data mining“ zahrnující i stále více se rozvíjející jazykové technologie). Nepřehlédnutelnou oblastí v tomto směru je pak výzkum autorského práva a duševního vlastnictví ve vazbě na nové technologie. V oblasti společenských věd je předmětem silného zájmu dopad digitálních technologií na člověka a společnost (sociologie, psychologie, právo, mediální studia, politologie, arealová studia, etnologie, antropologie apod.), včetně formování požadavků na vzdělávání, výzkum, vývoj a inovace. </w:t>
      </w:r>
    </w:p>
    <w:p w14:paraId="47907B92" w14:textId="77777777" w:rsidR="00BA59B2" w:rsidRPr="00BA59B2" w:rsidRDefault="00BA59B2" w:rsidP="00E10158">
      <w:pPr>
        <w:spacing w:after="0" w:line="360" w:lineRule="auto"/>
        <w:ind w:firstLine="708"/>
        <w:jc w:val="both"/>
      </w:pPr>
      <w:r w:rsidRPr="00BA59B2">
        <w:t xml:space="preserve">Oblastí, v níž se digitální technologie masivně uplatňují, je </w:t>
      </w:r>
      <w:r w:rsidRPr="00BA59B2">
        <w:rPr>
          <w:b/>
        </w:rPr>
        <w:t xml:space="preserve">mediální tvorba </w:t>
      </w:r>
      <w:r w:rsidRPr="00BA59B2">
        <w:t>(film, video, televize, rádio, animace, hry, intermédia, vizuální umění, světelný design, fotografie, reklama, publikování (tištěné a digitální), digitální platformy (www, mobilní aplikace).</w:t>
      </w:r>
    </w:p>
    <w:p w14:paraId="0CE17259" w14:textId="66D07723" w:rsidR="00BA59B2" w:rsidRPr="00BA59B2" w:rsidRDefault="00BA59B2" w:rsidP="00E10158">
      <w:pPr>
        <w:spacing w:after="0" w:line="360" w:lineRule="auto"/>
        <w:jc w:val="both"/>
      </w:pPr>
      <w:r w:rsidRPr="00BA59B2">
        <w:t xml:space="preserve">Rozvoj segmentu je podmíněn růstem tvůrčí (umělecké) i technologické části procesu tvorby. Výzkumná témata tedy pokrývají oblasti, jejichž rozvoj otevírá prostor pro nové formy komunikace uvnitř společnosti nebo jednotlivce s technologiemi. Zároveň tím dochází k využití potenciálu všech kreativních oborů (včetně netechnických) a jejich zapojení do řady inovativních procesů ve smyslu rozvoje technických i uměleckých disciplín. V oblasti médií se vývoj zaměřuje na </w:t>
      </w:r>
      <w:r w:rsidRPr="00BA59B2">
        <w:rPr>
          <w:bCs/>
        </w:rPr>
        <w:t>nové techniky vytváření mediálního obsahu</w:t>
      </w:r>
      <w:r w:rsidRPr="00BA59B2">
        <w:t>, r</w:t>
      </w:r>
      <w:r w:rsidRPr="00BA59B2">
        <w:rPr>
          <w:bCs/>
        </w:rPr>
        <w:t>ozvoj prezentačních technik a dovedností</w:t>
      </w:r>
      <w:r w:rsidRPr="00BA59B2">
        <w:t xml:space="preserve">, </w:t>
      </w:r>
      <w:r w:rsidRPr="00BA59B2">
        <w:rPr>
          <w:bCs/>
        </w:rPr>
        <w:t>inovace v oblasti archivace a</w:t>
      </w:r>
      <w:r>
        <w:rPr>
          <w:bCs/>
        </w:rPr>
        <w:t> </w:t>
      </w:r>
      <w:r w:rsidRPr="00BA59B2">
        <w:rPr>
          <w:bCs/>
        </w:rPr>
        <w:t>rozvoj aplikací mediálního obsahu.</w:t>
      </w:r>
    </w:p>
    <w:p w14:paraId="70A75564" w14:textId="10EE9D57" w:rsidR="00BA59B2" w:rsidRPr="00BA59B2" w:rsidRDefault="00BA59B2" w:rsidP="00E10158">
      <w:pPr>
        <w:pStyle w:val="PreformattedText"/>
        <w:spacing w:line="360" w:lineRule="auto"/>
        <w:ind w:firstLine="708"/>
        <w:jc w:val="both"/>
        <w:rPr>
          <w:rFonts w:asciiTheme="minorHAnsi" w:hAnsiTheme="minorHAnsi"/>
          <w:color w:val="auto"/>
          <w:sz w:val="22"/>
          <w:szCs w:val="22"/>
        </w:rPr>
      </w:pPr>
      <w:r w:rsidRPr="00BA59B2">
        <w:rPr>
          <w:rFonts w:asciiTheme="minorHAnsi" w:hAnsiTheme="minorHAnsi"/>
          <w:color w:val="auto"/>
          <w:sz w:val="22"/>
          <w:szCs w:val="22"/>
        </w:rPr>
        <w:t xml:space="preserve">Vývoj oblasti </w:t>
      </w:r>
      <w:r w:rsidRPr="00BA59B2">
        <w:rPr>
          <w:rFonts w:asciiTheme="minorHAnsi" w:hAnsiTheme="minorHAnsi"/>
          <w:b/>
          <w:bCs/>
          <w:color w:val="auto"/>
          <w:sz w:val="22"/>
          <w:szCs w:val="22"/>
        </w:rPr>
        <w:t>architektura a scénická umění</w:t>
      </w:r>
      <w:r w:rsidRPr="00BA59B2">
        <w:rPr>
          <w:rFonts w:asciiTheme="minorHAnsi" w:hAnsiTheme="minorHAnsi"/>
          <w:color w:val="auto"/>
          <w:sz w:val="22"/>
          <w:szCs w:val="22"/>
        </w:rPr>
        <w:t xml:space="preserve"> je založen na propojení s dalšími obory a</w:t>
      </w:r>
      <w:r w:rsidR="002D3E06">
        <w:rPr>
          <w:rFonts w:asciiTheme="minorHAnsi" w:hAnsiTheme="minorHAnsi"/>
          <w:color w:val="auto"/>
          <w:sz w:val="22"/>
          <w:szCs w:val="22"/>
        </w:rPr>
        <w:t> </w:t>
      </w:r>
      <w:r w:rsidRPr="00BA59B2">
        <w:rPr>
          <w:rFonts w:asciiTheme="minorHAnsi" w:hAnsiTheme="minorHAnsi"/>
          <w:color w:val="auto"/>
          <w:sz w:val="22"/>
          <w:szCs w:val="22"/>
        </w:rPr>
        <w:t>na schopnosti využívat výsledky z těchto oborů. Jde především o aplikaci digitálních technologií, médií a</w:t>
      </w:r>
      <w:r w:rsidR="002D3E06">
        <w:rPr>
          <w:rFonts w:asciiTheme="minorHAnsi" w:hAnsiTheme="minorHAnsi"/>
          <w:color w:val="auto"/>
          <w:sz w:val="22"/>
          <w:szCs w:val="22"/>
        </w:rPr>
        <w:t> </w:t>
      </w:r>
      <w:r w:rsidRPr="00BA59B2">
        <w:rPr>
          <w:rFonts w:asciiTheme="minorHAnsi" w:hAnsiTheme="minorHAnsi"/>
          <w:color w:val="auto"/>
          <w:sz w:val="22"/>
          <w:szCs w:val="22"/>
        </w:rPr>
        <w:t xml:space="preserve">pokročilých materiálů při práci s prostorem - </w:t>
      </w:r>
      <w:r w:rsidRPr="00BA59B2">
        <w:rPr>
          <w:rFonts w:asciiTheme="minorHAnsi" w:hAnsiTheme="minorHAnsi"/>
          <w:bCs/>
          <w:color w:val="auto"/>
          <w:sz w:val="22"/>
          <w:szCs w:val="22"/>
        </w:rPr>
        <w:t>virtuální a mixovaná realita.</w:t>
      </w:r>
    </w:p>
    <w:p w14:paraId="17DD71C4" w14:textId="00304643" w:rsidR="00BA59B2" w:rsidRDefault="00BA59B2" w:rsidP="00E10158">
      <w:pPr>
        <w:spacing w:after="0" w:line="360" w:lineRule="auto"/>
        <w:ind w:firstLine="708"/>
        <w:jc w:val="both"/>
      </w:pPr>
      <w:r w:rsidRPr="00BA59B2">
        <w:t xml:space="preserve">V oblasti </w:t>
      </w:r>
      <w:r w:rsidRPr="00BA59B2">
        <w:rPr>
          <w:b/>
          <w:bCs/>
        </w:rPr>
        <w:t xml:space="preserve">paměťových institucí </w:t>
      </w:r>
      <w:r w:rsidRPr="00BA59B2">
        <w:t>jde o uchovávání informací, kulturního dědictví a  jejich zpřístupňování soudobými technologiemi formou srozumitelné současné společnosti. To klade nároky na technologické vybavení, potřebné pro přenos výsledků činnosti rozmanitých oborů do procesu archivace a prezentace uloženého obsahu. Klíčovými tématy výzkumu a vývoje je hledání nových způsobů restaurování a archivace paměťového fondu, archivace a vyhledávání mediálního obsahu a inovativní využití paměťového fondu mj. i pro potřeby rozvoje kulturních a kreativních průmyslů.</w:t>
      </w:r>
    </w:p>
    <w:p w14:paraId="1E34C9B1" w14:textId="77777777" w:rsidR="00087EC7" w:rsidRDefault="00087EC7" w:rsidP="00E10158">
      <w:pPr>
        <w:spacing w:after="0" w:line="360" w:lineRule="auto"/>
        <w:ind w:firstLine="708"/>
        <w:jc w:val="both"/>
      </w:pPr>
    </w:p>
    <w:p w14:paraId="161FD8FD" w14:textId="7013F065" w:rsidR="000C5CAD" w:rsidRDefault="00832CA3" w:rsidP="00887951">
      <w:pPr>
        <w:pStyle w:val="Nadpis3"/>
      </w:pPr>
      <w:bookmarkStart w:id="143" w:name="_Toc525716231"/>
      <w:r>
        <w:t>Udržitelné zemědělství a environmentální aplikační odvětví</w:t>
      </w:r>
      <w:r w:rsidR="009C6CA0">
        <w:rPr>
          <w:rStyle w:val="Znakapoznpodarou"/>
        </w:rPr>
        <w:footnoteReference w:id="113"/>
      </w:r>
      <w:bookmarkEnd w:id="143"/>
    </w:p>
    <w:p w14:paraId="31F7CDD9" w14:textId="251A946A" w:rsidR="00832CA3" w:rsidRDefault="00832CA3" w:rsidP="00832CA3">
      <w:pPr>
        <w:pStyle w:val="Nadpis4"/>
      </w:pPr>
      <w:bookmarkStart w:id="144" w:name="_Toc525716232"/>
      <w:r>
        <w:t>Udržitelné hospodaření s přírodními zdroji</w:t>
      </w:r>
      <w:bookmarkEnd w:id="144"/>
    </w:p>
    <w:p w14:paraId="75C46072" w14:textId="6633C0D9" w:rsidR="00832CA3" w:rsidRPr="00474DBA" w:rsidRDefault="00995949" w:rsidP="00995949">
      <w:pPr>
        <w:spacing w:before="240" w:line="360" w:lineRule="auto"/>
        <w:rPr>
          <w:b/>
          <w:u w:val="single"/>
        </w:rPr>
      </w:pPr>
      <w:r w:rsidRPr="00474DBA">
        <w:rPr>
          <w:b/>
          <w:u w:val="single"/>
        </w:rPr>
        <w:t>Východiska</w:t>
      </w:r>
    </w:p>
    <w:p w14:paraId="610AD2DF" w14:textId="77777777" w:rsidR="00995949" w:rsidRPr="00995949" w:rsidRDefault="00995949" w:rsidP="00FF389C">
      <w:pPr>
        <w:spacing w:after="0" w:line="360" w:lineRule="auto"/>
        <w:ind w:firstLine="708"/>
        <w:jc w:val="both"/>
        <w:rPr>
          <w:rFonts w:cs="Arial"/>
        </w:rPr>
      </w:pPr>
      <w:r w:rsidRPr="00995949">
        <w:rPr>
          <w:rFonts w:cs="Arial"/>
        </w:rPr>
        <w:t>Udržitelné hospodaření s přírodními zdroji spočívá ve využívání přírodních zdrojů (půda, voda a krajina) prostřednictvím metod a postupů hospodaření, které zajistí jejich dlouhodobou ekologickou a biologickou integritu a stabilitu. Nedílnou součástí hospodaření s přírodními zdroji jsou jeho vzájemné vztahy s klimatem, klimatickými změnami a přizpůsobení se dopadům změn klimatu.</w:t>
      </w:r>
    </w:p>
    <w:p w14:paraId="77489AC3" w14:textId="04BD8F8B" w:rsidR="00995949" w:rsidRPr="00995949" w:rsidRDefault="00995949" w:rsidP="00FF389C">
      <w:pPr>
        <w:spacing w:after="0" w:line="360" w:lineRule="auto"/>
        <w:ind w:firstLine="708"/>
        <w:jc w:val="both"/>
        <w:rPr>
          <w:rFonts w:cs="Arial"/>
        </w:rPr>
      </w:pPr>
      <w:r w:rsidRPr="00995949">
        <w:rPr>
          <w:rFonts w:cs="Arial"/>
        </w:rPr>
        <w:t>Cílem je podpora, zachování a zlepšení ekosystémů závislých na zemědělství a lesnictví a</w:t>
      </w:r>
      <w:r>
        <w:rPr>
          <w:rFonts w:cs="Arial"/>
        </w:rPr>
        <w:t> </w:t>
      </w:r>
      <w:r w:rsidRPr="00995949">
        <w:rPr>
          <w:rFonts w:cs="Arial"/>
        </w:rPr>
        <w:t>zlepšení ekosystémových služeb. Hlavním posláním a obsahem této specializace je tedy trvale udržitelné hospodaření se základními přírodními zdroji, které slouží pro zajištění kvalitní zemědělské produkce (produkční funkce) a současně zachovává základní funkce pro ochranu a tvorbu krajiny a</w:t>
      </w:r>
      <w:r>
        <w:rPr>
          <w:rFonts w:cs="Arial"/>
        </w:rPr>
        <w:t> </w:t>
      </w:r>
      <w:r w:rsidRPr="00995949">
        <w:rPr>
          <w:rFonts w:cs="Arial"/>
        </w:rPr>
        <w:t xml:space="preserve">rozvoj venkova (mimoprodukční funkce). </w:t>
      </w:r>
    </w:p>
    <w:p w14:paraId="37661E4E" w14:textId="4E9E5F70" w:rsidR="00995949" w:rsidRPr="00995949" w:rsidRDefault="00995949" w:rsidP="00FF389C">
      <w:pPr>
        <w:spacing w:after="0" w:line="360" w:lineRule="auto"/>
        <w:ind w:firstLine="708"/>
        <w:jc w:val="both"/>
        <w:rPr>
          <w:rFonts w:cs="Arial"/>
        </w:rPr>
      </w:pPr>
      <w:r w:rsidRPr="00995949">
        <w:rPr>
          <w:rFonts w:cs="Arial"/>
        </w:rPr>
        <w:t>Neustále vzrůstá význam zemědělské a lesní půdy jako součást národního bohatství. Produkční potenciál českého zemědělství představuje (podle LPIS) v současnosti výměru zhruba 3,5 mil.</w:t>
      </w:r>
      <w:r>
        <w:rPr>
          <w:rFonts w:cs="Arial"/>
        </w:rPr>
        <w:t> </w:t>
      </w:r>
      <w:r w:rsidRPr="00995949">
        <w:rPr>
          <w:rFonts w:cs="Arial"/>
        </w:rPr>
        <w:t xml:space="preserve">ha zemědělské půdy při více než 70 % zornění. Stupeň zornění je v porovnání se zeměmi EU s obdobnými půdně klimatickými podmínkami vyšší. Zhruba 50 % z. p. se nachází v  LFA, tj. v oblastech s nižší kvalitou půdy a  s horšími klimatickými podmínkami. V oblasti obnovitelných zdrojů energie zaujímá objem energie vyrobené z biomasy stále významnější postavení v souboru energetických zdrojů ČR. </w:t>
      </w:r>
    </w:p>
    <w:p w14:paraId="63A56CBA" w14:textId="614D0AA5" w:rsidR="00995949" w:rsidRPr="00995949" w:rsidRDefault="00995949" w:rsidP="00FF389C">
      <w:pPr>
        <w:spacing w:after="0" w:line="360" w:lineRule="auto"/>
        <w:ind w:firstLine="708"/>
        <w:jc w:val="both"/>
        <w:rPr>
          <w:rFonts w:cs="Arial"/>
        </w:rPr>
      </w:pPr>
      <w:r w:rsidRPr="00995949">
        <w:rPr>
          <w:rFonts w:cs="Arial"/>
        </w:rPr>
        <w:t>Jakost povrchových vod se v posledních 25 letech velmi podstatně zlepšila především v důsledku omezení bodových zdrojů znečištění vod, zejména uzavřením celé řady výrobních podniků, rekonstrukcí a modernizací technologických postupů v průmyslu a výstavbou, rekonstrukcí a</w:t>
      </w:r>
      <w:r>
        <w:rPr>
          <w:rFonts w:cs="Arial"/>
        </w:rPr>
        <w:t> </w:t>
      </w:r>
      <w:r w:rsidRPr="00995949">
        <w:rPr>
          <w:rFonts w:cs="Arial"/>
        </w:rPr>
        <w:t xml:space="preserve">modernizací kanalizací a ČOV. Připojení obyvatel na kanalizaci vzrostlo v uvedeném období o více než 10 % a délka kanalizační sítě se zdvojnásobila. </w:t>
      </w:r>
    </w:p>
    <w:p w14:paraId="5C4905F8" w14:textId="77777777" w:rsidR="00995949" w:rsidRPr="00995949" w:rsidRDefault="00995949" w:rsidP="00871101">
      <w:pPr>
        <w:spacing w:after="0" w:line="360" w:lineRule="auto"/>
        <w:ind w:firstLine="708"/>
        <w:jc w:val="both"/>
        <w:rPr>
          <w:rFonts w:cs="Arial"/>
        </w:rPr>
      </w:pPr>
      <w:r w:rsidRPr="00995949">
        <w:rPr>
          <w:rFonts w:cs="Arial"/>
        </w:rPr>
        <w:t xml:space="preserve">Daří se výrazně kontrolovat omezení bodových zdrojů znečištění, avšak nesrovnatelně obtížnější je snížit zátěž z plošného znečištění – ze zemědělského hospodaření, atmosférické depozice a erozních splachů z terénu. </w:t>
      </w:r>
    </w:p>
    <w:p w14:paraId="7876D23B" w14:textId="77777777" w:rsidR="00995949" w:rsidRPr="00995949" w:rsidRDefault="00995949" w:rsidP="00871101">
      <w:pPr>
        <w:spacing w:after="0" w:line="360" w:lineRule="auto"/>
        <w:ind w:firstLine="708"/>
        <w:jc w:val="both"/>
        <w:rPr>
          <w:rFonts w:cs="Arial"/>
        </w:rPr>
      </w:pPr>
      <w:r w:rsidRPr="00995949">
        <w:rPr>
          <w:rFonts w:cs="Arial"/>
        </w:rPr>
        <w:t>Situaci zhoršuje zejména eroze zemědělské půdy. Podmínky pro výskyt vodní eroze jsou v ČR specifické – s ohledem na největší velikost půdních bloků v rámci států EU. Navíc intenzifikace zemědělské výroby v minulosti vedla k velkému rušení hydrografických a krajinných prvků (rozorání mezí, zatravněných údolnic, polních cest, likvidace rozptýlené zeleně, apod.), které by zrychlené erozi účinně bránily.</w:t>
      </w:r>
    </w:p>
    <w:p w14:paraId="7C12542A" w14:textId="74029075" w:rsidR="00995949" w:rsidRDefault="00995949" w:rsidP="00871101">
      <w:pPr>
        <w:spacing w:after="0" w:line="360" w:lineRule="auto"/>
        <w:ind w:firstLine="576"/>
        <w:jc w:val="both"/>
        <w:rPr>
          <w:rFonts w:cs="Arial"/>
        </w:rPr>
      </w:pPr>
      <w:r w:rsidRPr="00995949">
        <w:rPr>
          <w:rFonts w:cs="Arial"/>
        </w:rPr>
        <w:t>Ztrátou, resp. pomalou obnovou krajinných prvků neplní zemědělská krajina svou úlohu v ochraně biodiverzity. Lesní ekosystémy mají obecně vyšší biodiverzitu, stejnověké monokultury hospodářských dřevin však zdaleka nenaplňují potenciál jednotlivých stanovišť. Je nutné nalézt a</w:t>
      </w:r>
      <w:r w:rsidR="001C61AD">
        <w:rPr>
          <w:rFonts w:cs="Arial"/>
        </w:rPr>
        <w:t> </w:t>
      </w:r>
      <w:r w:rsidRPr="00995949">
        <w:rPr>
          <w:rFonts w:cs="Arial"/>
        </w:rPr>
        <w:t>podporovat hospodářské postupy, které umožní zvýšení diverzity i při dostatečném naplnění dřevoprodukční funkce hospodářských lesů. Příznivě působí také zvětšující se plochy lesů a trvalý růst výměry půdy s</w:t>
      </w:r>
      <w:r>
        <w:rPr>
          <w:rFonts w:cs="Arial"/>
        </w:rPr>
        <w:t> </w:t>
      </w:r>
      <w:r w:rsidRPr="00995949">
        <w:rPr>
          <w:rFonts w:cs="Arial"/>
        </w:rPr>
        <w:t>ekologickým zemědělstvím.</w:t>
      </w:r>
    </w:p>
    <w:p w14:paraId="04A63BCA" w14:textId="77777777" w:rsidR="00840521" w:rsidRDefault="00840521" w:rsidP="00995949">
      <w:pPr>
        <w:spacing w:line="360" w:lineRule="auto"/>
        <w:ind w:firstLine="576"/>
        <w:jc w:val="both"/>
        <w:rPr>
          <w:rFonts w:cs="Arial"/>
        </w:rPr>
      </w:pPr>
    </w:p>
    <w:p w14:paraId="785058DF" w14:textId="3D6E4E76" w:rsidR="00840521" w:rsidRPr="00474DBA" w:rsidRDefault="00840521" w:rsidP="00840521">
      <w:pPr>
        <w:spacing w:line="360" w:lineRule="auto"/>
        <w:jc w:val="both"/>
        <w:rPr>
          <w:rFonts w:cs="Arial"/>
          <w:b/>
          <w:u w:val="single"/>
        </w:rPr>
      </w:pPr>
      <w:r w:rsidRPr="00474DBA">
        <w:rPr>
          <w:rFonts w:cs="Arial"/>
          <w:b/>
          <w:u w:val="single"/>
        </w:rPr>
        <w:t>Popis potřeb a jejich řešení</w:t>
      </w:r>
    </w:p>
    <w:p w14:paraId="51BFC045" w14:textId="04A33606" w:rsidR="00840521" w:rsidRDefault="00840521" w:rsidP="00840521">
      <w:pPr>
        <w:spacing w:after="0" w:line="360" w:lineRule="auto"/>
        <w:ind w:firstLine="708"/>
        <w:jc w:val="both"/>
        <w:rPr>
          <w:rFonts w:cs="Arial"/>
        </w:rPr>
      </w:pPr>
      <w:r w:rsidRPr="00840521">
        <w:rPr>
          <w:rFonts w:cs="Arial"/>
        </w:rPr>
        <w:t xml:space="preserve">Udržitelné hospodaření s přírodními zdroji představuje podporu, zachování a zlepšení ekosystémů závislých na zemědělství, lesnictví a rybářství, obnovu, zachování a zvýšení biologické rozmanitosti a zemědělství vysoké přírodní hodnoty odpovídající stavu evropské krajiny. </w:t>
      </w:r>
      <w:r w:rsidRPr="00840521">
        <w:rPr>
          <w:rFonts w:cs="Arial"/>
          <w:b/>
        </w:rPr>
        <w:t xml:space="preserve">Biodiverzita a její funkce v agro-ekosystému pro udržitelné využívaní přírodních zdrojů </w:t>
      </w:r>
      <w:r w:rsidRPr="00840521">
        <w:rPr>
          <w:rFonts w:cs="Arial"/>
        </w:rPr>
        <w:t xml:space="preserve">tvoří základ rozvoje krajiny a zemědělské produkce. </w:t>
      </w:r>
    </w:p>
    <w:p w14:paraId="723729C3" w14:textId="443FF327" w:rsidR="00840521" w:rsidRPr="00840521" w:rsidRDefault="00840521" w:rsidP="00840521">
      <w:pPr>
        <w:spacing w:after="0" w:line="360" w:lineRule="auto"/>
        <w:ind w:firstLine="708"/>
        <w:jc w:val="both"/>
      </w:pPr>
      <w:r w:rsidRPr="00840521">
        <w:t xml:space="preserve">Primárně by se mělo jednat o obnovu funkční, úrodné a estetické krajiny, která bude zároveň schopná plnit základní hospodářské (produkční) a výživové potřeby společnosti a přispěje ke zlepšení hospodaření s vodou a půdou. </w:t>
      </w:r>
    </w:p>
    <w:p w14:paraId="494A0BAF" w14:textId="77777777" w:rsidR="00840521" w:rsidRPr="00840521" w:rsidRDefault="00840521" w:rsidP="00B36AE6">
      <w:pPr>
        <w:spacing w:after="0" w:line="360" w:lineRule="auto"/>
        <w:ind w:firstLine="708"/>
        <w:jc w:val="both"/>
        <w:rPr>
          <w:rFonts w:cs="Arial"/>
          <w:b/>
        </w:rPr>
      </w:pPr>
      <w:r w:rsidRPr="00840521">
        <w:rPr>
          <w:rFonts w:cs="Arial"/>
        </w:rPr>
        <w:t xml:space="preserve">Udržitelné hospodaření s přírodními zdroji zahrnuje </w:t>
      </w:r>
      <w:r w:rsidRPr="00840521">
        <w:rPr>
          <w:rFonts w:cs="Arial"/>
          <w:b/>
        </w:rPr>
        <w:t>systémy hospodaření na půdě (konvenční, ekologické, integrované systémy zemědělské produkce), ochranu půdního fondu a jeho funkcí v krajině (hodnocení vlivu erozních procesů a protierozní ochranu půdy, udržování a zvyšování organické hmoty v půdě a zvyšování sekvestrace uhlíku, invazivní postupy, technologie a technika zavlažování půdy, acidifikace a eutrofizace lesních půd).</w:t>
      </w:r>
    </w:p>
    <w:p w14:paraId="310BAB0A" w14:textId="66B2EBF8" w:rsidR="00840521" w:rsidRPr="00840521" w:rsidRDefault="00840521" w:rsidP="00B36AE6">
      <w:pPr>
        <w:spacing w:after="0" w:line="360" w:lineRule="auto"/>
        <w:ind w:firstLine="708"/>
        <w:jc w:val="both"/>
      </w:pPr>
      <w:r w:rsidRPr="00840521">
        <w:rPr>
          <w:rFonts w:cs="Arial"/>
        </w:rPr>
        <w:t>Změna klimatu má významný negativní vliv na vodní hospodářství a kvalitu vody a působí velké výkyvy (sucho, povodně). Zmírnění účinků obou  extrémů je možné dosáhnout optimálním návrhem a realizací adaptačních opatření, která sníží negativní účinky extrémních jevů. Tyto jevy predikuje a</w:t>
      </w:r>
      <w:r w:rsidR="00B36AE6">
        <w:rPr>
          <w:rFonts w:cs="Arial"/>
        </w:rPr>
        <w:t> </w:t>
      </w:r>
      <w:r w:rsidRPr="00840521">
        <w:rPr>
          <w:rFonts w:cs="Arial"/>
        </w:rPr>
        <w:t xml:space="preserve">dopady řeší </w:t>
      </w:r>
      <w:r w:rsidRPr="00840521">
        <w:rPr>
          <w:rFonts w:cs="Arial"/>
          <w:b/>
        </w:rPr>
        <w:t>v</w:t>
      </w:r>
      <w:r w:rsidRPr="00840521">
        <w:rPr>
          <w:rFonts w:eastAsia="Times New Roman" w:cs="Arial"/>
          <w:b/>
          <w:lang w:eastAsia="cs-CZ"/>
        </w:rPr>
        <w:t xml:space="preserve">ýzkum využití krajiny a půdy a návrhy managementu vedoucí k obnově a zvyšování retenčních vlastností půd </w:t>
      </w:r>
      <w:r w:rsidRPr="00840521">
        <w:rPr>
          <w:rFonts w:eastAsia="Times New Roman" w:cs="Arial"/>
          <w:lang w:eastAsia="cs-CZ"/>
        </w:rPr>
        <w:t xml:space="preserve">i opatření pro </w:t>
      </w:r>
      <w:r w:rsidRPr="00840521">
        <w:rPr>
          <w:rFonts w:eastAsia="Times New Roman" w:cs="Arial"/>
          <w:b/>
          <w:lang w:eastAsia="cs-CZ"/>
        </w:rPr>
        <w:t>r</w:t>
      </w:r>
      <w:r w:rsidRPr="00840521">
        <w:rPr>
          <w:rFonts w:cs="Arial"/>
          <w:b/>
        </w:rPr>
        <w:t>acionální využívání vodních zdrojů v systému udržitelného hospodaření v krajině.</w:t>
      </w:r>
      <w:r w:rsidRPr="00840521">
        <w:t xml:space="preserve"> </w:t>
      </w:r>
      <w:r w:rsidRPr="00840521">
        <w:rPr>
          <w:rFonts w:cs="Arial"/>
        </w:rPr>
        <w:t xml:space="preserve">Stejně tak důležité jsou </w:t>
      </w:r>
      <w:r w:rsidRPr="00840521">
        <w:rPr>
          <w:rFonts w:eastAsia="Times New Roman" w:cs="Arial"/>
          <w:b/>
          <w:lang w:eastAsia="cs-CZ"/>
        </w:rPr>
        <w:t>systémy ochrany jakosti vod (povrchových i</w:t>
      </w:r>
      <w:r w:rsidR="00B36AE6">
        <w:rPr>
          <w:rFonts w:eastAsia="Times New Roman" w:cs="Arial"/>
          <w:b/>
          <w:lang w:eastAsia="cs-CZ"/>
        </w:rPr>
        <w:t> </w:t>
      </w:r>
      <w:r w:rsidRPr="00840521">
        <w:rPr>
          <w:rFonts w:eastAsia="Times New Roman" w:cs="Arial"/>
          <w:b/>
          <w:lang w:eastAsia="cs-CZ"/>
        </w:rPr>
        <w:t>podzemních) před jejich znečišťováním.</w:t>
      </w:r>
    </w:p>
    <w:p w14:paraId="27AD7BEC" w14:textId="77777777" w:rsidR="00840521" w:rsidRPr="00840521" w:rsidRDefault="00840521" w:rsidP="00BB63B3">
      <w:pPr>
        <w:spacing w:after="0" w:line="360" w:lineRule="auto"/>
        <w:ind w:firstLine="708"/>
        <w:contextualSpacing/>
        <w:jc w:val="both"/>
        <w:rPr>
          <w:rFonts w:eastAsia="Times New Roman" w:cs="Arial"/>
          <w:lang w:eastAsia="cs-CZ"/>
        </w:rPr>
      </w:pPr>
      <w:r w:rsidRPr="00840521">
        <w:rPr>
          <w:rFonts w:cs="Arial"/>
        </w:rPr>
        <w:t xml:space="preserve">Stálým, obecně platným  cílem je dosažení dobrého ekologického a chemického stavu povrchových vod a dobrého chemického a kvantitativního stavu podzemních vod, který vytváří stabilní podmínky pro vodní a na vodu vázané ekosystémy a zároveň umožní využití zdrojů vody pro ekonomicky a environmentálně udržitelný rozvoj společnosti. V souvislosti s klimatickými změnami je nezbytné sledovat a budovat </w:t>
      </w:r>
      <w:r w:rsidRPr="00840521">
        <w:rPr>
          <w:rFonts w:cs="Arial"/>
          <w:b/>
        </w:rPr>
        <w:t>s</w:t>
      </w:r>
      <w:r w:rsidRPr="00840521">
        <w:rPr>
          <w:rFonts w:eastAsia="Times New Roman" w:cs="Arial"/>
          <w:b/>
        </w:rPr>
        <w:t xml:space="preserve">ystémy hospodaření a využívání přírodních zdrojů v podmínkách měnícího se klimatu </w:t>
      </w:r>
      <w:r w:rsidRPr="00840521">
        <w:rPr>
          <w:rFonts w:eastAsia="Times New Roman" w:cs="Arial"/>
        </w:rPr>
        <w:t>v jednotě se</w:t>
      </w:r>
      <w:r w:rsidRPr="00840521">
        <w:rPr>
          <w:rFonts w:eastAsia="Times New Roman" w:cs="Arial"/>
          <w:b/>
        </w:rPr>
        <w:t xml:space="preserve"> systémy </w:t>
      </w:r>
      <w:r w:rsidRPr="00840521">
        <w:rPr>
          <w:rFonts w:eastAsia="Times New Roman" w:cs="Arial"/>
          <w:b/>
          <w:lang w:eastAsia="cs-CZ"/>
        </w:rPr>
        <w:t>adaptačních opatření  ke snížení nepříznivých důsledků  změny klimatu.</w:t>
      </w:r>
    </w:p>
    <w:p w14:paraId="4577C5AE" w14:textId="48904B6F" w:rsidR="00840521" w:rsidRPr="00840521" w:rsidRDefault="00840521" w:rsidP="00397585">
      <w:pPr>
        <w:pStyle w:val="Obsah3"/>
      </w:pPr>
      <w:r w:rsidRPr="00840521">
        <w:t xml:space="preserve">Neoddělitelnou součást zemědělské produkce tvoří technika </w:t>
      </w:r>
      <w:r w:rsidR="002A2A12">
        <w:t xml:space="preserve">a technologie v zemědělství pro </w:t>
      </w:r>
      <w:r w:rsidRPr="00840521">
        <w:t>efektivní využití přírodních zdrojů.  Důležitý je vývoj pro inovativní postupy a</w:t>
      </w:r>
      <w:r w:rsidR="0061597B">
        <w:t> </w:t>
      </w:r>
      <w:r w:rsidRPr="00840521">
        <w:t>technologie využití biomasy pro energetické využití (výroba pohonných hmot, tepelné aj. energie) a jako suroviny pro zpracovatelský průmysl, pěstební technologie rostlin pro nepotravinářské využití).</w:t>
      </w:r>
    </w:p>
    <w:p w14:paraId="1EE77FDA" w14:textId="23CE8D2F" w:rsidR="00840521" w:rsidRPr="00840521" w:rsidRDefault="00840521" w:rsidP="009F176F">
      <w:pPr>
        <w:spacing w:after="0" w:line="360" w:lineRule="auto"/>
        <w:ind w:firstLine="708"/>
        <w:jc w:val="both"/>
        <w:rPr>
          <w:rFonts w:cs="Arial"/>
          <w:lang w:eastAsia="cs-CZ"/>
        </w:rPr>
      </w:pPr>
      <w:r w:rsidRPr="00840521">
        <w:rPr>
          <w:rFonts w:cs="Arial"/>
          <w:lang w:eastAsia="cs-CZ"/>
        </w:rPr>
        <w:t xml:space="preserve">Výzkum a vývoj je třeba rovněž zaměřit na oblast </w:t>
      </w:r>
      <w:r w:rsidRPr="00840521">
        <w:rPr>
          <w:rFonts w:cs="Arial"/>
          <w:b/>
          <w:lang w:eastAsia="cs-CZ"/>
        </w:rPr>
        <w:t>Zemědělství 4.0 (smart farming)</w:t>
      </w:r>
      <w:r w:rsidRPr="00840521">
        <w:rPr>
          <w:rFonts w:cs="Arial"/>
          <w:lang w:eastAsia="cs-CZ"/>
        </w:rPr>
        <w:t xml:space="preserve">, </w:t>
      </w:r>
      <w:r w:rsidRPr="00840521">
        <w:rPr>
          <w:rFonts w:cs="Arial"/>
          <w:b/>
          <w:shd w:val="clear" w:color="auto" w:fill="FFFFFF"/>
        </w:rPr>
        <w:t>potravinářství a</w:t>
      </w:r>
      <w:r w:rsidR="00BB63B3">
        <w:rPr>
          <w:rFonts w:cs="Arial"/>
          <w:b/>
          <w:shd w:val="clear" w:color="auto" w:fill="FFFFFF"/>
        </w:rPr>
        <w:t> </w:t>
      </w:r>
      <w:r w:rsidRPr="00840521">
        <w:rPr>
          <w:rFonts w:cs="Arial"/>
          <w:b/>
          <w:shd w:val="clear" w:color="auto" w:fill="FFFFFF"/>
        </w:rPr>
        <w:t>lesnictví, zahrnující udržitelné hospodaření s přírodními zdroji formou precizních postupů</w:t>
      </w:r>
      <w:r w:rsidRPr="00840521">
        <w:rPr>
          <w:rFonts w:cs="Arial"/>
          <w:shd w:val="clear" w:color="auto" w:fill="FFFFFF"/>
        </w:rPr>
        <w:t>, udržitelnou zemědělskou produkci při snižujících se dopadech na životní prostředí a klima a</w:t>
      </w:r>
      <w:r w:rsidR="009F78BB">
        <w:rPr>
          <w:rFonts w:cs="Arial"/>
          <w:shd w:val="clear" w:color="auto" w:fill="FFFFFF"/>
        </w:rPr>
        <w:t> </w:t>
      </w:r>
      <w:r w:rsidRPr="00840521">
        <w:rPr>
          <w:rFonts w:cs="Arial"/>
          <w:shd w:val="clear" w:color="auto" w:fill="FFFFFF"/>
        </w:rPr>
        <w:t>produkci kvalitních a</w:t>
      </w:r>
      <w:r w:rsidR="009F78BB">
        <w:rPr>
          <w:rFonts w:cs="Arial"/>
          <w:shd w:val="clear" w:color="auto" w:fill="FFFFFF"/>
        </w:rPr>
        <w:t> </w:t>
      </w:r>
      <w:r w:rsidRPr="00840521">
        <w:rPr>
          <w:rFonts w:cs="Arial"/>
          <w:shd w:val="clear" w:color="auto" w:fill="FFFFFF"/>
        </w:rPr>
        <w:t>bezpečných potravin.</w:t>
      </w:r>
      <w:r w:rsidRPr="00840521">
        <w:rPr>
          <w:rFonts w:cs="Arial"/>
          <w:lang w:eastAsia="cs-CZ"/>
        </w:rPr>
        <w:t xml:space="preserve"> </w:t>
      </w:r>
    </w:p>
    <w:p w14:paraId="24F30B75" w14:textId="3353AE02" w:rsidR="00840521" w:rsidRPr="00840521" w:rsidRDefault="00840521" w:rsidP="009F176F">
      <w:pPr>
        <w:tabs>
          <w:tab w:val="left" w:pos="5298"/>
        </w:tabs>
        <w:spacing w:after="0" w:line="360" w:lineRule="auto"/>
        <w:ind w:firstLine="709"/>
        <w:jc w:val="both"/>
        <w:rPr>
          <w:rFonts w:eastAsia="Times New Roman" w:cs="Arial"/>
          <w:b/>
          <w:lang w:eastAsia="cs-CZ"/>
        </w:rPr>
      </w:pPr>
      <w:r w:rsidRPr="00840521">
        <w:rPr>
          <w:rFonts w:eastAsia="Times New Roman" w:cs="Arial"/>
          <w:lang w:eastAsia="cs-CZ"/>
        </w:rPr>
        <w:t xml:space="preserve">Důležitý je </w:t>
      </w:r>
      <w:r w:rsidRPr="00840521">
        <w:rPr>
          <w:rFonts w:eastAsia="Times New Roman" w:cs="Arial"/>
          <w:b/>
          <w:lang w:eastAsia="cs-CZ"/>
        </w:rPr>
        <w:t>výzkum a vývoj</w:t>
      </w:r>
      <w:r w:rsidRPr="00840521">
        <w:rPr>
          <w:rFonts w:eastAsia="Times New Roman" w:cs="Arial"/>
          <w:lang w:eastAsia="cs-CZ"/>
        </w:rPr>
        <w:t xml:space="preserve"> </w:t>
      </w:r>
      <w:r w:rsidRPr="00840521">
        <w:rPr>
          <w:rFonts w:eastAsia="Times New Roman" w:cs="Arial"/>
          <w:b/>
          <w:lang w:eastAsia="cs-CZ"/>
        </w:rPr>
        <w:t>bezpilotních systémů řízení mobilní zemědělské techniky, dálkového průzkumu a monitoringu půdy a rostlin.</w:t>
      </w:r>
    </w:p>
    <w:p w14:paraId="4BC4CAA0" w14:textId="1B0B5EB9" w:rsidR="00840521" w:rsidRDefault="00840521" w:rsidP="009F176F">
      <w:pPr>
        <w:spacing w:after="0" w:line="360" w:lineRule="auto"/>
        <w:ind w:firstLine="576"/>
        <w:jc w:val="both"/>
      </w:pPr>
      <w:r w:rsidRPr="00840521">
        <w:rPr>
          <w:b/>
        </w:rPr>
        <w:t>Rozvoj biometriky a bioekonomie s využitím přírodních zdrojů v zemědělství</w:t>
      </w:r>
      <w:r w:rsidRPr="00840521">
        <w:t xml:space="preserve"> a </w:t>
      </w:r>
      <w:r w:rsidRPr="00840521">
        <w:rPr>
          <w:b/>
        </w:rPr>
        <w:t>využití moderních biotechnologií v ochraně životního prostředí</w:t>
      </w:r>
      <w:r w:rsidRPr="00840521">
        <w:t xml:space="preserve"> se spolu s dalšími zaslouží o zachování a přenechání zemědělsky užívaných (případně potenciálně zemědělsky využitelných) přírodních zdrojů budoucím generacím v lepším stavu než dosud, jako zásadní podmínky k zajištění potravinové soběstačnosti a kvality života v ČR.</w:t>
      </w:r>
    </w:p>
    <w:p w14:paraId="17190C6A" w14:textId="77777777" w:rsidR="004A7180" w:rsidRDefault="004A7180" w:rsidP="009F176F">
      <w:pPr>
        <w:spacing w:after="0" w:line="360" w:lineRule="auto"/>
        <w:ind w:firstLine="576"/>
        <w:jc w:val="both"/>
      </w:pPr>
    </w:p>
    <w:p w14:paraId="6BEB6BB3" w14:textId="4540CDEE" w:rsidR="00174867" w:rsidRDefault="00174867" w:rsidP="00174867">
      <w:pPr>
        <w:pStyle w:val="Nadpis4"/>
      </w:pPr>
      <w:bookmarkStart w:id="145" w:name="_Toc525716233"/>
      <w:r>
        <w:t>Udržitelné zemědělství a lesnictví</w:t>
      </w:r>
      <w:bookmarkEnd w:id="145"/>
    </w:p>
    <w:p w14:paraId="7BE0D891" w14:textId="1C42CAFB" w:rsidR="00174867" w:rsidRPr="00474DBA" w:rsidRDefault="00174867" w:rsidP="00174867">
      <w:pPr>
        <w:spacing w:before="240" w:line="360" w:lineRule="auto"/>
        <w:rPr>
          <w:b/>
          <w:u w:val="single"/>
        </w:rPr>
      </w:pPr>
      <w:r w:rsidRPr="00474DBA">
        <w:rPr>
          <w:b/>
          <w:u w:val="single"/>
        </w:rPr>
        <w:t>Východiska</w:t>
      </w:r>
    </w:p>
    <w:p w14:paraId="6352D423" w14:textId="25227B69" w:rsidR="00174867" w:rsidRPr="00174867" w:rsidRDefault="00174867" w:rsidP="00174867">
      <w:pPr>
        <w:pStyle w:val="Zkladntext"/>
        <w:spacing w:after="60" w:line="360" w:lineRule="auto"/>
        <w:ind w:firstLine="708"/>
        <w:jc w:val="both"/>
        <w:rPr>
          <w:rFonts w:cs="Arial"/>
        </w:rPr>
      </w:pPr>
      <w:r w:rsidRPr="00174867">
        <w:rPr>
          <w:rFonts w:cs="Arial"/>
        </w:rPr>
        <w:t>Zemědělství je nutno vnímat jako hlavního „hospodáře“ v krajině, jeho ekonomický i</w:t>
      </w:r>
      <w:r>
        <w:rPr>
          <w:rFonts w:cs="Arial"/>
        </w:rPr>
        <w:t> </w:t>
      </w:r>
      <w:r w:rsidRPr="00174867">
        <w:rPr>
          <w:rFonts w:cs="Arial"/>
        </w:rPr>
        <w:t>společenský význam spočívá nejen ve vlastní výrobě, ale i v mimoprodukčních a krajinotvorných funkcích. Zemědělský a lesní půdní fond, zabírající cca 85 % výměry České republiky, představuje prostor pro životní prostředí, tvorbu krajiny i rekreační potenciál. V souhrnu všech svých funkcí patří zemědělství a lesnictví ke strategickým neopominutelným odvětvím národního hospodářství.</w:t>
      </w:r>
    </w:p>
    <w:p w14:paraId="7BA13D12" w14:textId="77777777" w:rsidR="00174867" w:rsidRPr="00174867" w:rsidRDefault="00174867" w:rsidP="00174867">
      <w:pPr>
        <w:pStyle w:val="Zkladntext"/>
        <w:spacing w:after="60" w:line="360" w:lineRule="auto"/>
        <w:ind w:firstLine="708"/>
        <w:jc w:val="both"/>
        <w:rPr>
          <w:rFonts w:cs="Arial"/>
        </w:rPr>
      </w:pPr>
      <w:r w:rsidRPr="00174867">
        <w:rPr>
          <w:rFonts w:cs="Arial"/>
        </w:rPr>
        <w:t>Základním východiskem udržitelného zemědělství a lesnictví je rozvoj, zvýšení efektivnosti, produktivity a tím konkurenceschopnosti zemědělských a lesnických podniků. Zajištění udržitelné (environmentálně šetrné) intenzivní zemědělské a lesnické produkce závisí  na stabilizaci a zlepšování kvality základního výrobního prostředku – půdy a zabezpečení strategické úrovně produkce hlavních zemědělských komodit mírného pásu, zejména těch, pro které v podmínkách ČR existuje potenciál konkurenceschopné produkce.</w:t>
      </w:r>
    </w:p>
    <w:p w14:paraId="73B0CD21" w14:textId="77777777" w:rsidR="00174867" w:rsidRPr="00174867" w:rsidRDefault="00174867" w:rsidP="00174867">
      <w:pPr>
        <w:pStyle w:val="Zkladntext"/>
        <w:spacing w:after="60" w:line="360" w:lineRule="auto"/>
        <w:ind w:firstLine="708"/>
        <w:jc w:val="both"/>
        <w:rPr>
          <w:rFonts w:cs="Arial"/>
        </w:rPr>
      </w:pPr>
      <w:r w:rsidRPr="00174867">
        <w:rPr>
          <w:rFonts w:cs="Arial"/>
        </w:rPr>
        <w:t xml:space="preserve">V oblasti rostlinné výroby se prosazují především zájmy společnosti na trvalou udržitelnost využívání půdy a vodních zdrojů, v oblasti živočišné výroby je kladen důraz na pohodu, aktivní tvorbu zdraví zvířat a jejich vysokou míru adaptability k rostoucí produkci. V obou případech to znamená tlaky na zvyšování nákladů výroby. </w:t>
      </w:r>
    </w:p>
    <w:p w14:paraId="1CE4EDB3" w14:textId="77777777" w:rsidR="005565C2" w:rsidRDefault="00174867" w:rsidP="005565C2">
      <w:pPr>
        <w:spacing w:after="0" w:line="360" w:lineRule="auto"/>
        <w:ind w:firstLine="708"/>
        <w:jc w:val="both"/>
        <w:rPr>
          <w:rFonts w:cs="Arial"/>
        </w:rPr>
      </w:pPr>
      <w:r w:rsidRPr="00174867">
        <w:rPr>
          <w:rFonts w:cs="Arial"/>
        </w:rPr>
        <w:t>V oblasti lesního hospodářství je aktuálním směrem správa a</w:t>
      </w:r>
      <w:r>
        <w:rPr>
          <w:rFonts w:cs="Arial"/>
        </w:rPr>
        <w:t> </w:t>
      </w:r>
      <w:r w:rsidRPr="00174867">
        <w:rPr>
          <w:rFonts w:cs="Arial"/>
        </w:rPr>
        <w:t>využívání lesů a lesní půdy způsobem a</w:t>
      </w:r>
      <w:r>
        <w:rPr>
          <w:rFonts w:cs="Arial"/>
        </w:rPr>
        <w:t> </w:t>
      </w:r>
      <w:r w:rsidRPr="00174867">
        <w:rPr>
          <w:rFonts w:cs="Arial"/>
        </w:rPr>
        <w:t>v  rozsahu zachovávajícím jejich biodiverzitu, produkční schopnost a regenerační kapacitu a vitalitu. Předpokládaná změna klimatu zvýší nároky na hospodaření v lesích ve střednědobém horizontu vzhledem k odhadovaným lokálním výkyvům dostupnosti dřevní suroviny, především jehličnaté. Česká myslivost, přičemž její sokolnictví je na mezinárodním seznamu UNESCO, se zapojuje do ochrany přírody, ochrany zvěře před vyhubením, ale i</w:t>
      </w:r>
      <w:r>
        <w:rPr>
          <w:rFonts w:cs="Arial"/>
        </w:rPr>
        <w:t> </w:t>
      </w:r>
      <w:r w:rsidRPr="00174867">
        <w:rPr>
          <w:rFonts w:cs="Arial"/>
        </w:rPr>
        <w:t xml:space="preserve">do regulace nekontrolovaného nárůstu početních stavů zvěře, vzhledem k jeho negativním důsledkům na rostlinnou výrobu, lesní hospodářství apod. </w:t>
      </w:r>
    </w:p>
    <w:p w14:paraId="1847BCB4" w14:textId="4F0659C8" w:rsidR="009F3C05" w:rsidRDefault="00174867" w:rsidP="00B72453">
      <w:pPr>
        <w:spacing w:after="0" w:line="360" w:lineRule="auto"/>
        <w:ind w:firstLine="708"/>
        <w:jc w:val="both"/>
        <w:rPr>
          <w:rFonts w:cs="Arial"/>
        </w:rPr>
      </w:pPr>
      <w:r w:rsidRPr="00174867">
        <w:rPr>
          <w:rFonts w:cs="Arial"/>
        </w:rPr>
        <w:t xml:space="preserve">Na území ČR se nachází zhruba 52 tis. ha vodní plochy tvořené rybníky a vodními nádržemi, přičemž významnou roli hraje produkční rybářství. </w:t>
      </w:r>
      <w:bookmarkStart w:id="146" w:name="_Toc429128898"/>
      <w:r w:rsidRPr="00174867">
        <w:rPr>
          <w:rFonts w:cs="Arial"/>
        </w:rPr>
        <w:t>Mimořádně důležité budou kromě produkční funkce i jeho funkce mimoprodukční a celospolečenské, zejména funkce vodohospodářská, krajinotvorná, kulturní, protipovodňová a ochranná funkce retenční.</w:t>
      </w:r>
      <w:bookmarkEnd w:id="146"/>
    </w:p>
    <w:p w14:paraId="41AF3F79" w14:textId="77777777" w:rsidR="00B72453" w:rsidRPr="00B72453" w:rsidRDefault="00B72453" w:rsidP="00B72453">
      <w:pPr>
        <w:spacing w:after="0" w:line="360" w:lineRule="auto"/>
        <w:ind w:firstLine="708"/>
        <w:jc w:val="both"/>
        <w:rPr>
          <w:rFonts w:cs="Arial"/>
        </w:rPr>
      </w:pPr>
    </w:p>
    <w:p w14:paraId="45FCD022" w14:textId="3B347F34" w:rsidR="00011F30" w:rsidRPr="00474DBA" w:rsidRDefault="00011F30" w:rsidP="00011F30">
      <w:pPr>
        <w:spacing w:before="240" w:after="0" w:line="360" w:lineRule="auto"/>
        <w:jc w:val="both"/>
        <w:rPr>
          <w:b/>
          <w:u w:val="single"/>
        </w:rPr>
      </w:pPr>
      <w:r w:rsidRPr="00474DBA">
        <w:rPr>
          <w:b/>
          <w:u w:val="single"/>
        </w:rPr>
        <w:t>Popis potřeb a jejich řešení</w:t>
      </w:r>
    </w:p>
    <w:p w14:paraId="73D769B3" w14:textId="7D7DF18E" w:rsidR="00011F30" w:rsidRPr="00011F30" w:rsidRDefault="00011F30" w:rsidP="006F3F7B">
      <w:pPr>
        <w:spacing w:after="60" w:line="360" w:lineRule="auto"/>
        <w:ind w:firstLine="708"/>
        <w:jc w:val="both"/>
        <w:rPr>
          <w:rFonts w:cs="Arial"/>
        </w:rPr>
      </w:pPr>
      <w:r w:rsidRPr="00011F30">
        <w:rPr>
          <w:rFonts w:cs="Arial"/>
        </w:rPr>
        <w:t>Nestabilní světová situace na trhu potravinářských i nepotravinářských rostlinných produktů vede k</w:t>
      </w:r>
      <w:r w:rsidR="006F3F7B">
        <w:rPr>
          <w:rFonts w:cs="Arial"/>
        </w:rPr>
        <w:t> </w:t>
      </w:r>
      <w:r w:rsidRPr="00011F30">
        <w:rPr>
          <w:rFonts w:cs="Arial"/>
        </w:rPr>
        <w:t>potřebě udržovat značnou míru soběstačnosti u základních plodin a na druhé straně schopnost reagovat adekvátně na otevírající se exportní možnosti. Rostlinná výroba musí zabezpečit produkci dostatečného množství bezrizikových produktů a přitom maximálně respektovat požadavky společné zemědělské politiky.</w:t>
      </w:r>
    </w:p>
    <w:p w14:paraId="29FEEBDE" w14:textId="77777777" w:rsidR="00011F30" w:rsidRPr="00011F30" w:rsidRDefault="00011F30" w:rsidP="006F3F7B">
      <w:pPr>
        <w:spacing w:after="60" w:line="360" w:lineRule="auto"/>
        <w:ind w:firstLine="708"/>
        <w:jc w:val="both"/>
        <w:rPr>
          <w:rFonts w:cs="Arial"/>
        </w:rPr>
      </w:pPr>
      <w:r w:rsidRPr="00011F30">
        <w:rPr>
          <w:rFonts w:cs="Arial"/>
          <w:b/>
        </w:rPr>
        <w:t xml:space="preserve">Genetická diverzita, </w:t>
      </w:r>
      <w:r w:rsidRPr="00011F30">
        <w:rPr>
          <w:rFonts w:cs="Arial"/>
        </w:rPr>
        <w:t>její zkoumání</w:t>
      </w:r>
      <w:r w:rsidRPr="00011F30">
        <w:rPr>
          <w:rFonts w:cs="Arial"/>
          <w:b/>
        </w:rPr>
        <w:t xml:space="preserve"> </w:t>
      </w:r>
      <w:r w:rsidRPr="00011F30">
        <w:rPr>
          <w:rFonts w:cs="Arial"/>
        </w:rPr>
        <w:t> je základním nástrojem pro zdokonalování genetického potenciálu pro širší uplatnění ve </w:t>
      </w:r>
      <w:r w:rsidRPr="00011F30">
        <w:rPr>
          <w:rFonts w:cs="Arial"/>
          <w:b/>
        </w:rPr>
        <w:t xml:space="preserve">šlechtění rostlin. </w:t>
      </w:r>
      <w:r w:rsidRPr="00011F30">
        <w:rPr>
          <w:rFonts w:cs="Arial"/>
        </w:rPr>
        <w:t xml:space="preserve">Dalším směrem je </w:t>
      </w:r>
      <w:r w:rsidRPr="00011F30">
        <w:rPr>
          <w:rFonts w:cs="Arial"/>
          <w:b/>
        </w:rPr>
        <w:t>tvorba odrůd</w:t>
      </w:r>
      <w:r w:rsidRPr="00011F30">
        <w:rPr>
          <w:rFonts w:cs="Arial"/>
        </w:rPr>
        <w:t xml:space="preserve"> se zvýšenou technologickou kvalitou, dietetickou hodnotou a výtěžností.</w:t>
      </w:r>
    </w:p>
    <w:p w14:paraId="33AB7698" w14:textId="77777777" w:rsidR="00011F30" w:rsidRPr="00011F30" w:rsidRDefault="00011F30" w:rsidP="00474DBA">
      <w:pPr>
        <w:spacing w:after="0" w:line="360" w:lineRule="auto"/>
        <w:ind w:firstLine="708"/>
        <w:jc w:val="both"/>
        <w:rPr>
          <w:rFonts w:cs="Arial"/>
        </w:rPr>
      </w:pPr>
      <w:r w:rsidRPr="00011F30">
        <w:rPr>
          <w:rFonts w:cs="Arial"/>
          <w:b/>
        </w:rPr>
        <w:t>Rostlinolékařská opatření</w:t>
      </w:r>
      <w:r w:rsidRPr="00011F30">
        <w:rPr>
          <w:rFonts w:cs="Arial"/>
        </w:rPr>
        <w:t xml:space="preserve"> jsou základním vstupem do rostlinné produkce eliminující negativní vliv škodlivých organismů, ve spojení s inovacemi v oblasti integrované </w:t>
      </w:r>
      <w:r w:rsidRPr="00011F30">
        <w:rPr>
          <w:rFonts w:cs="Arial"/>
          <w:b/>
        </w:rPr>
        <w:t>ochrany rostlin</w:t>
      </w:r>
      <w:r w:rsidRPr="00011F30">
        <w:rPr>
          <w:rFonts w:cs="Arial"/>
        </w:rPr>
        <w:t xml:space="preserve">, </w:t>
      </w:r>
      <w:r w:rsidRPr="00011F30">
        <w:rPr>
          <w:rFonts w:cs="Arial"/>
          <w:b/>
        </w:rPr>
        <w:t>včetně</w:t>
      </w:r>
      <w:r w:rsidRPr="00011F30">
        <w:rPr>
          <w:rFonts w:cs="Arial"/>
        </w:rPr>
        <w:t xml:space="preserve"> </w:t>
      </w:r>
      <w:r w:rsidRPr="00011F30">
        <w:rPr>
          <w:rFonts w:cs="Arial"/>
          <w:b/>
        </w:rPr>
        <w:t>ochrany skladovaných produktů</w:t>
      </w:r>
      <w:r w:rsidRPr="00011F30">
        <w:rPr>
          <w:rFonts w:cs="Arial"/>
        </w:rPr>
        <w:t xml:space="preserve"> za účelem omezení škod.</w:t>
      </w:r>
    </w:p>
    <w:p w14:paraId="53F181FB" w14:textId="77777777" w:rsidR="00011F30" w:rsidRPr="00011F30" w:rsidRDefault="00011F30" w:rsidP="00474DBA">
      <w:pPr>
        <w:spacing w:after="0" w:line="360" w:lineRule="auto"/>
        <w:ind w:firstLine="708"/>
        <w:jc w:val="both"/>
        <w:rPr>
          <w:rFonts w:cs="Arial"/>
        </w:rPr>
      </w:pPr>
      <w:r w:rsidRPr="00011F30">
        <w:rPr>
          <w:rFonts w:cs="Arial"/>
          <w:b/>
        </w:rPr>
        <w:t>Dostatečná, kvalitní a bezpečná rostlinná produkce</w:t>
      </w:r>
      <w:r w:rsidRPr="00011F30">
        <w:rPr>
          <w:rFonts w:cs="Arial"/>
        </w:rPr>
        <w:t xml:space="preserve"> (včetně rostlinných krmiv) jako výsledek růstu efektivnosti a konkurenceschopnosti zemědělské výroby i potravinářského průmyslu na českém, i světovém trhu, i s aspektem cenové dostupnosti. </w:t>
      </w:r>
    </w:p>
    <w:p w14:paraId="73144F13" w14:textId="77777777" w:rsidR="00011F30" w:rsidRPr="00011F30" w:rsidRDefault="00011F30" w:rsidP="00474DBA">
      <w:pPr>
        <w:spacing w:after="0" w:line="360" w:lineRule="auto"/>
        <w:ind w:firstLine="708"/>
        <w:jc w:val="both"/>
        <w:rPr>
          <w:rFonts w:cs="Arial"/>
        </w:rPr>
      </w:pPr>
      <w:r w:rsidRPr="00011F30">
        <w:rPr>
          <w:rFonts w:cs="Arial"/>
        </w:rPr>
        <w:t xml:space="preserve">Rozšíření </w:t>
      </w:r>
      <w:r w:rsidRPr="00011F30">
        <w:rPr>
          <w:rFonts w:cs="Arial"/>
          <w:b/>
        </w:rPr>
        <w:t>nepotravinářské produkce</w:t>
      </w:r>
      <w:r w:rsidRPr="00011F30">
        <w:rPr>
          <w:rFonts w:cs="Arial"/>
        </w:rPr>
        <w:t xml:space="preserve"> v zemědělské výrobě (např. konverze biomasy na biopaliva, energii, obnovitelné, recyklovatelné a odbouratelné materiály) nabízí zemědělcům především alternativy využití půdního fondu i příjmů a diverzifikaci zemědělského hospodaření. Rozšíření pěstování nepotravinářských plodin přispěje k udržitelné ekonomické, environmentální a sociální stabilizaci venkovských oblastí.</w:t>
      </w:r>
    </w:p>
    <w:p w14:paraId="6D2A8462" w14:textId="77777777" w:rsidR="00011F30" w:rsidRPr="00011F30" w:rsidRDefault="00011F30" w:rsidP="00474DBA">
      <w:pPr>
        <w:spacing w:after="0" w:line="360" w:lineRule="auto"/>
        <w:ind w:firstLine="708"/>
        <w:jc w:val="both"/>
        <w:rPr>
          <w:rFonts w:cs="Arial"/>
          <w:b/>
        </w:rPr>
      </w:pPr>
      <w:r w:rsidRPr="00011F30">
        <w:rPr>
          <w:rFonts w:eastAsia="Times New Roman" w:cs="Arial"/>
          <w:b/>
        </w:rPr>
        <w:t>Udržitelná produkce zdravotně nezávadných a kvalitních potravin a krmiv rostlinného původu.</w:t>
      </w:r>
    </w:p>
    <w:p w14:paraId="1325A6CE" w14:textId="77777777" w:rsidR="00011F30" w:rsidRPr="00011F30" w:rsidRDefault="00011F30" w:rsidP="00474DBA">
      <w:pPr>
        <w:spacing w:after="0" w:line="360" w:lineRule="auto"/>
        <w:ind w:firstLine="708"/>
        <w:jc w:val="both"/>
        <w:rPr>
          <w:rFonts w:cs="Arial"/>
        </w:rPr>
      </w:pPr>
      <w:r w:rsidRPr="00011F30">
        <w:rPr>
          <w:rFonts w:cs="Arial"/>
          <w:b/>
        </w:rPr>
        <w:t>Adaptace rostlinné produkce na dopady změny</w:t>
      </w:r>
      <w:r w:rsidRPr="00011F30">
        <w:rPr>
          <w:rFonts w:cs="Arial"/>
        </w:rPr>
        <w:t xml:space="preserve"> </w:t>
      </w:r>
      <w:r w:rsidRPr="00011F30">
        <w:rPr>
          <w:rFonts w:cs="Arial"/>
          <w:b/>
        </w:rPr>
        <w:t xml:space="preserve">klimatu </w:t>
      </w:r>
      <w:r w:rsidRPr="00011F30">
        <w:rPr>
          <w:rFonts w:cs="Arial"/>
        </w:rPr>
        <w:t xml:space="preserve">a zjednodušené systémy hospodaření, které se významně podílí na degradaci půdního fondu. Udržení půdní úrodnosti je prioritou pro zajišťování potravinové bezpečnosti i ve vztahu k nepotravinářské produkci, tato dvě odvětví si však konkurují v zájmu o produkční plochy. Uplatnění </w:t>
      </w:r>
      <w:r w:rsidRPr="00011F30">
        <w:rPr>
          <w:rFonts w:cs="Arial"/>
          <w:b/>
        </w:rPr>
        <w:t>relevantních adaptačních opatření</w:t>
      </w:r>
      <w:r w:rsidRPr="00011F30">
        <w:rPr>
          <w:rFonts w:cs="Arial"/>
        </w:rPr>
        <w:t xml:space="preserve"> má podobný přínos jako snižování emisí skleníkových plynů.</w:t>
      </w:r>
    </w:p>
    <w:p w14:paraId="267CE269" w14:textId="60D545A9" w:rsidR="00011F30" w:rsidRPr="00011F30" w:rsidRDefault="00011F30" w:rsidP="00474DBA">
      <w:pPr>
        <w:spacing w:after="0" w:line="360" w:lineRule="auto"/>
        <w:ind w:firstLine="708"/>
        <w:jc w:val="both"/>
        <w:rPr>
          <w:rFonts w:eastAsia="Times New Roman" w:cs="Arial"/>
          <w:b/>
        </w:rPr>
      </w:pPr>
      <w:r w:rsidRPr="00011F30">
        <w:rPr>
          <w:rFonts w:eastAsia="Times New Roman" w:cs="Arial"/>
        </w:rPr>
        <w:t>Optimalizované a správně řízené produkční systémy chovu hospodářských zvířat (HZ), přispívající k bezpečné a zdravé výživě lidí, jsou nedílnou součástí ekosystémových služeb a</w:t>
      </w:r>
      <w:r w:rsidR="006F3F7B">
        <w:rPr>
          <w:rFonts w:eastAsia="Times New Roman" w:cs="Arial"/>
        </w:rPr>
        <w:t> </w:t>
      </w:r>
      <w:r w:rsidRPr="00011F30">
        <w:rPr>
          <w:rFonts w:eastAsia="Times New Roman" w:cs="Arial"/>
        </w:rPr>
        <w:t>napomáhají ke zlepšení kvality jejich života a k rozvoji jak venkovských komunit, tak celé společnosti.</w:t>
      </w:r>
    </w:p>
    <w:p w14:paraId="2006AB1E" w14:textId="77777777" w:rsidR="00011F30" w:rsidRPr="00011F30" w:rsidRDefault="00011F30" w:rsidP="00474DBA">
      <w:pPr>
        <w:spacing w:after="0" w:line="360" w:lineRule="auto"/>
        <w:ind w:firstLine="708"/>
        <w:jc w:val="both"/>
        <w:rPr>
          <w:rFonts w:eastAsia="Times New Roman" w:cs="Arial"/>
        </w:rPr>
      </w:pPr>
      <w:r w:rsidRPr="00011F30">
        <w:rPr>
          <w:rFonts w:eastAsia="Times New Roman" w:cs="Arial"/>
          <w:b/>
        </w:rPr>
        <w:t>Genetika a genomika</w:t>
      </w:r>
      <w:r w:rsidRPr="00011F30">
        <w:rPr>
          <w:rFonts w:eastAsia="Times New Roman" w:cs="Arial"/>
        </w:rPr>
        <w:t xml:space="preserve"> hraje zásadní roli ve </w:t>
      </w:r>
      <w:r w:rsidRPr="00011F30">
        <w:rPr>
          <w:rFonts w:eastAsia="Times New Roman" w:cs="Arial"/>
          <w:b/>
        </w:rPr>
        <w:t>šlechtění výkonných typů hospodářských zvířat</w:t>
      </w:r>
      <w:r w:rsidRPr="00011F30">
        <w:rPr>
          <w:rFonts w:eastAsia="Times New Roman" w:cs="Arial"/>
        </w:rPr>
        <w:t xml:space="preserve">, zaměřuje se v současnosti na určení činitelů, které podmiňují genetickou proměnlivost, a na rozvoj šlechtitelských postupů, které tuto proměnlivost optimálně využívají v  plemenitbě s cílem zlepšit ekonomiku chovu. V současném období se ukazuje nutnost zlepšení </w:t>
      </w:r>
      <w:r w:rsidRPr="00011F30">
        <w:rPr>
          <w:rFonts w:eastAsia="Times New Roman" w:cs="Arial"/>
          <w:b/>
        </w:rPr>
        <w:t>reprodukce</w:t>
      </w:r>
      <w:r w:rsidRPr="00011F30">
        <w:rPr>
          <w:rFonts w:eastAsia="Times New Roman" w:cs="Arial"/>
        </w:rPr>
        <w:t>, reprodukčních technik</w:t>
      </w:r>
      <w:r w:rsidRPr="00011F30">
        <w:rPr>
          <w:rFonts w:eastAsia="Times New Roman" w:cs="Arial"/>
          <w:b/>
        </w:rPr>
        <w:t xml:space="preserve"> </w:t>
      </w:r>
      <w:r w:rsidRPr="00011F30">
        <w:rPr>
          <w:rFonts w:eastAsia="Times New Roman" w:cs="Arial"/>
        </w:rPr>
        <w:t>a</w:t>
      </w:r>
      <w:r w:rsidRPr="00011F30">
        <w:rPr>
          <w:rFonts w:eastAsia="Times New Roman" w:cs="Arial"/>
          <w:b/>
        </w:rPr>
        <w:t xml:space="preserve"> reprodukčních biotechnologií</w:t>
      </w:r>
      <w:r w:rsidRPr="00011F30">
        <w:rPr>
          <w:rFonts w:eastAsia="Times New Roman" w:cs="Arial"/>
        </w:rPr>
        <w:t>. Řízení reprodukce je nedílnou součástí ekonomicky efektivního managementu chovu HZ.</w:t>
      </w:r>
    </w:p>
    <w:p w14:paraId="3ADF50A0" w14:textId="1AF79F19" w:rsidR="00011F30" w:rsidRPr="00011F30" w:rsidRDefault="00011F30" w:rsidP="006F3F7B">
      <w:pPr>
        <w:spacing w:after="60" w:line="360" w:lineRule="auto"/>
        <w:ind w:firstLine="708"/>
        <w:jc w:val="both"/>
        <w:rPr>
          <w:rFonts w:eastAsia="Times New Roman" w:cs="Arial"/>
        </w:rPr>
      </w:pPr>
      <w:r w:rsidRPr="00011F30">
        <w:rPr>
          <w:rFonts w:eastAsia="Times New Roman" w:cs="Arial"/>
        </w:rPr>
        <w:t xml:space="preserve">V oblasti chovu HZ se bude nutné zaměřit na </w:t>
      </w:r>
      <w:r w:rsidRPr="00011F30">
        <w:rPr>
          <w:rFonts w:eastAsia="Times New Roman" w:cs="Arial"/>
          <w:b/>
        </w:rPr>
        <w:t>technologie pro živočišnou výrobu,</w:t>
      </w:r>
      <w:r w:rsidRPr="00011F30">
        <w:rPr>
          <w:rFonts w:eastAsia="Times New Roman" w:cs="Arial"/>
        </w:rPr>
        <w:t xml:space="preserve"> rozšířit výzkum v oblasti </w:t>
      </w:r>
      <w:r w:rsidRPr="00011F30">
        <w:rPr>
          <w:rFonts w:eastAsia="Times New Roman" w:cs="Arial"/>
          <w:b/>
        </w:rPr>
        <w:t xml:space="preserve">welfare </w:t>
      </w:r>
      <w:r w:rsidRPr="00011F30">
        <w:rPr>
          <w:rFonts w:eastAsia="Times New Roman" w:cs="Arial"/>
        </w:rPr>
        <w:t xml:space="preserve">zvířat a doplnit ho o socioekonomické studie, které objasní postoje spotřebitelů živočišných potravin. Díky poznatkům z etologie a sociobiologie zvířat lze zajistit inovační procesy tvorby chovného prostředí tak, aby aplikované </w:t>
      </w:r>
      <w:r w:rsidRPr="00011F30">
        <w:rPr>
          <w:rFonts w:eastAsia="Times New Roman" w:cs="Arial"/>
          <w:b/>
        </w:rPr>
        <w:t xml:space="preserve">chovné systémy </w:t>
      </w:r>
      <w:r w:rsidRPr="00011F30">
        <w:rPr>
          <w:rFonts w:eastAsia="Times New Roman" w:cs="Arial"/>
        </w:rPr>
        <w:t>byly i při rostoucí intenzitě a</w:t>
      </w:r>
      <w:r w:rsidR="006F3F7B">
        <w:rPr>
          <w:rFonts w:eastAsia="Times New Roman" w:cs="Arial"/>
        </w:rPr>
        <w:t> </w:t>
      </w:r>
      <w:r w:rsidRPr="00011F30">
        <w:rPr>
          <w:rFonts w:eastAsia="Times New Roman" w:cs="Arial"/>
        </w:rPr>
        <w:t xml:space="preserve">efektivitě chovu společensky akceptovatelné. Chovy HZ svými vedlejšími produkty, tj. organickými zbytky a zejména plynnými emisemi negativně působí na životní prostředí. Výzkum je nutno zaměřit na </w:t>
      </w:r>
      <w:r w:rsidRPr="00011F30">
        <w:rPr>
          <w:rFonts w:eastAsia="Times New Roman" w:cs="Arial"/>
          <w:b/>
        </w:rPr>
        <w:t xml:space="preserve">vývoj a zavádění nízkoemisních technologií </w:t>
      </w:r>
      <w:r w:rsidRPr="00011F30">
        <w:rPr>
          <w:rFonts w:eastAsia="Times New Roman" w:cs="Arial"/>
        </w:rPr>
        <w:t>chovů HZ</w:t>
      </w:r>
      <w:r w:rsidRPr="00011F30">
        <w:rPr>
          <w:rFonts w:eastAsia="Times New Roman" w:cs="Arial"/>
          <w:b/>
        </w:rPr>
        <w:t xml:space="preserve"> </w:t>
      </w:r>
      <w:r w:rsidRPr="00011F30">
        <w:rPr>
          <w:rFonts w:eastAsia="Times New Roman" w:cs="Arial"/>
        </w:rPr>
        <w:t xml:space="preserve">a skladovaní a aplikace statkových hnojiv, vhodných rekonstrukcí stávajících stájových prostor s cílem </w:t>
      </w:r>
      <w:r w:rsidRPr="00011F30">
        <w:rPr>
          <w:rFonts w:eastAsia="Times New Roman" w:cs="Arial"/>
          <w:b/>
        </w:rPr>
        <w:t xml:space="preserve">omezení celkové produkce emisí </w:t>
      </w:r>
      <w:r w:rsidRPr="00011F30">
        <w:rPr>
          <w:rFonts w:eastAsia="Times New Roman" w:cs="Arial"/>
        </w:rPr>
        <w:t xml:space="preserve">amoniaku a skleníkových plynů do životního prostředí. </w:t>
      </w:r>
    </w:p>
    <w:p w14:paraId="2424E2D8" w14:textId="77777777" w:rsidR="00011F30" w:rsidRPr="00011F30" w:rsidRDefault="00011F30" w:rsidP="004609FF">
      <w:pPr>
        <w:spacing w:after="60" w:line="360" w:lineRule="auto"/>
        <w:ind w:firstLine="708"/>
        <w:jc w:val="both"/>
        <w:rPr>
          <w:rFonts w:eastAsia="Times New Roman" w:cs="Arial"/>
          <w:b/>
        </w:rPr>
      </w:pPr>
      <w:r w:rsidRPr="00011F30">
        <w:rPr>
          <w:rFonts w:eastAsia="Times New Roman" w:cs="Arial"/>
        </w:rPr>
        <w:t>Nutný je výzkum v oblasti  </w:t>
      </w:r>
      <w:r w:rsidRPr="00011F30">
        <w:rPr>
          <w:rFonts w:eastAsia="Times New Roman" w:cs="Arial"/>
          <w:b/>
        </w:rPr>
        <w:t>optimalizace výživy a krmení hospodářských zvířat</w:t>
      </w:r>
      <w:r w:rsidRPr="00011F30">
        <w:rPr>
          <w:rFonts w:eastAsia="Times New Roman" w:cs="Arial"/>
        </w:rPr>
        <w:t xml:space="preserve"> s ohledem na jejich vývoj, zdravotní stav a ekonomiku chovu, v návaznosti na měnící se genotypy chovaných zvířat a </w:t>
      </w:r>
      <w:r w:rsidRPr="00011F30">
        <w:rPr>
          <w:rFonts w:eastAsia="Times New Roman" w:cs="Arial"/>
          <w:b/>
        </w:rPr>
        <w:t>vývoj složení krmných zdrojů a alternativních komponent.</w:t>
      </w:r>
    </w:p>
    <w:p w14:paraId="361F2E58" w14:textId="77777777" w:rsidR="00011F30" w:rsidRPr="00011F30" w:rsidRDefault="00011F30" w:rsidP="00474DBA">
      <w:pPr>
        <w:spacing w:after="0" w:line="360" w:lineRule="auto"/>
        <w:ind w:firstLine="708"/>
        <w:jc w:val="both"/>
        <w:rPr>
          <w:rFonts w:eastAsia="Times New Roman" w:cs="Arial"/>
        </w:rPr>
      </w:pPr>
      <w:r w:rsidRPr="00011F30">
        <w:rPr>
          <w:rFonts w:eastAsia="Times New Roman" w:cs="Arial"/>
        </w:rPr>
        <w:t xml:space="preserve">Rostoucí tlak na ekonomiku a kvalitu produkce potravin živočišného původu znamená potřebu </w:t>
      </w:r>
      <w:r w:rsidRPr="00011F30">
        <w:rPr>
          <w:rFonts w:eastAsia="Times New Roman" w:cs="Arial"/>
          <w:b/>
        </w:rPr>
        <w:t>zdravých, vůči nemocem odolných zvířat</w:t>
      </w:r>
      <w:r w:rsidRPr="00011F30">
        <w:rPr>
          <w:rFonts w:eastAsia="Times New Roman" w:cs="Arial"/>
        </w:rPr>
        <w:t xml:space="preserve"> s plně funkční </w:t>
      </w:r>
      <w:r w:rsidRPr="00011F30">
        <w:rPr>
          <w:rFonts w:eastAsia="Times New Roman" w:cs="Arial"/>
          <w:b/>
        </w:rPr>
        <w:t>imunitou</w:t>
      </w:r>
      <w:r w:rsidRPr="00011F30">
        <w:rPr>
          <w:rFonts w:eastAsia="Times New Roman" w:cs="Arial"/>
        </w:rPr>
        <w:t xml:space="preserve"> a</w:t>
      </w:r>
      <w:r w:rsidRPr="00011F30">
        <w:rPr>
          <w:rFonts w:eastAsia="Times New Roman" w:cs="Arial"/>
          <w:b/>
        </w:rPr>
        <w:t xml:space="preserve"> vysokou mírou adaptability k rostoucí produkci, </w:t>
      </w:r>
      <w:r w:rsidRPr="00011F30">
        <w:rPr>
          <w:rFonts w:eastAsia="Times New Roman" w:cs="Arial"/>
        </w:rPr>
        <w:t xml:space="preserve">s tím souvisí studium vlivů </w:t>
      </w:r>
      <w:r w:rsidRPr="00011F30">
        <w:rPr>
          <w:rFonts w:eastAsia="Times New Roman" w:cs="Arial"/>
          <w:b/>
        </w:rPr>
        <w:t>imunoterapie, farmakologie, chemie a toxikologie</w:t>
      </w:r>
      <w:r w:rsidRPr="00011F30">
        <w:rPr>
          <w:rFonts w:eastAsia="Times New Roman" w:cs="Arial"/>
        </w:rPr>
        <w:t>.  Pevné zdraví zvířat znamená kvalitní produkci bez užívání léčiv (zejména antibiotik) a přispívá tak ke zdraví lidské populace. Perspektivně bude ještě umocněn požadavky spotřebitelů, zejména pokud se týká bezpečnosti potravin.</w:t>
      </w:r>
    </w:p>
    <w:p w14:paraId="6541B072" w14:textId="77777777" w:rsidR="00011F30" w:rsidRPr="00011F30" w:rsidRDefault="00011F30" w:rsidP="00474DBA">
      <w:pPr>
        <w:spacing w:after="0" w:line="360" w:lineRule="auto"/>
        <w:ind w:firstLine="708"/>
        <w:jc w:val="both"/>
        <w:rPr>
          <w:rFonts w:eastAsia="Times New Roman" w:cs="Arial"/>
        </w:rPr>
      </w:pPr>
      <w:r w:rsidRPr="00011F30">
        <w:rPr>
          <w:rFonts w:eastAsia="Times New Roman" w:cs="Arial"/>
        </w:rPr>
        <w:t xml:space="preserve">Úroveň zdravotního stavu HZ se v současnosti stala limitem jejich produkce a ekonomiky chovu. Z tohoto důvodu je třeba výzkum zaměřit rovněž na oblast </w:t>
      </w:r>
      <w:r w:rsidRPr="00011F30">
        <w:rPr>
          <w:rFonts w:eastAsia="Times New Roman" w:cs="Arial"/>
          <w:b/>
        </w:rPr>
        <w:t xml:space="preserve">produkční a preventivní medicíny, </w:t>
      </w:r>
      <w:r w:rsidRPr="00011F30">
        <w:rPr>
          <w:rFonts w:eastAsia="Times New Roman" w:cs="Arial"/>
        </w:rPr>
        <w:t>resp.</w:t>
      </w:r>
      <w:r w:rsidRPr="00011F30">
        <w:rPr>
          <w:rFonts w:eastAsia="Times New Roman" w:cs="Arial"/>
          <w:b/>
        </w:rPr>
        <w:t xml:space="preserve"> </w:t>
      </w:r>
      <w:r w:rsidRPr="00011F30">
        <w:rPr>
          <w:rFonts w:eastAsia="Times New Roman" w:cs="Arial"/>
        </w:rPr>
        <w:t>řízení</w:t>
      </w:r>
      <w:r w:rsidRPr="00011F30">
        <w:rPr>
          <w:rFonts w:eastAsia="Times New Roman" w:cs="Arial"/>
          <w:b/>
        </w:rPr>
        <w:t xml:space="preserve"> aktivní tvorby zdraví a produkce, kontrolu antimikrobní rezistence, biosekuritu</w:t>
      </w:r>
      <w:r w:rsidRPr="00011F30">
        <w:rPr>
          <w:rFonts w:eastAsia="Times New Roman" w:cs="Arial"/>
        </w:rPr>
        <w:t xml:space="preserve"> a další oblasti.</w:t>
      </w:r>
    </w:p>
    <w:p w14:paraId="241AF463" w14:textId="77777777" w:rsidR="00011F30" w:rsidRPr="00011F30" w:rsidRDefault="00011F30" w:rsidP="00474DBA">
      <w:pPr>
        <w:spacing w:after="0" w:line="360" w:lineRule="auto"/>
        <w:ind w:firstLine="708"/>
        <w:jc w:val="both"/>
        <w:rPr>
          <w:rFonts w:cs="Arial"/>
        </w:rPr>
      </w:pPr>
      <w:r w:rsidRPr="00011F30">
        <w:rPr>
          <w:rFonts w:cs="Arial"/>
          <w:b/>
        </w:rPr>
        <w:t>Lesní ekosystémy</w:t>
      </w:r>
      <w:r w:rsidRPr="00011F30">
        <w:rPr>
          <w:rFonts w:cs="Arial"/>
        </w:rPr>
        <w:t xml:space="preserve"> jsou významně ovlivňovány měnícími se přírodními podmínkami a to jak v oblasti produkční, tak ve funkcích mimoprodukčních. Výzkumné aktivity směřují na zachování stavu, odolnosti a rezilience lesů a na tvorbu a realizaci </w:t>
      </w:r>
      <w:r w:rsidRPr="00011F30">
        <w:rPr>
          <w:rFonts w:cs="Arial"/>
          <w:b/>
        </w:rPr>
        <w:t>adaptačních opatření</w:t>
      </w:r>
      <w:r w:rsidRPr="00011F30">
        <w:rPr>
          <w:rFonts w:cs="Arial"/>
        </w:rPr>
        <w:t xml:space="preserve">, kterými bude trvalost plnění funkcí lesa udržena </w:t>
      </w:r>
      <w:r w:rsidRPr="00011F30">
        <w:rPr>
          <w:rFonts w:cs="Arial"/>
          <w:b/>
        </w:rPr>
        <w:t>v souvislosti se změnou klimatu</w:t>
      </w:r>
      <w:r w:rsidRPr="00011F30">
        <w:rPr>
          <w:rFonts w:cs="Arial"/>
        </w:rPr>
        <w:t xml:space="preserve">. </w:t>
      </w:r>
    </w:p>
    <w:p w14:paraId="391E2DD1" w14:textId="77777777" w:rsidR="00011F30" w:rsidRPr="00011F30" w:rsidRDefault="00011F30" w:rsidP="00474DBA">
      <w:pPr>
        <w:spacing w:after="0" w:line="360" w:lineRule="auto"/>
        <w:ind w:firstLine="708"/>
        <w:jc w:val="both"/>
        <w:rPr>
          <w:rFonts w:cs="Arial"/>
        </w:rPr>
      </w:pPr>
      <w:r w:rsidRPr="00011F30">
        <w:rPr>
          <w:rFonts w:cs="Arial"/>
        </w:rPr>
        <w:t xml:space="preserve">Důležitou roli mají </w:t>
      </w:r>
      <w:r w:rsidRPr="00011F30">
        <w:rPr>
          <w:rFonts w:cs="Arial"/>
          <w:b/>
        </w:rPr>
        <w:t>ekosystémové služby v rámci lesního hospodářství</w:t>
      </w:r>
      <w:r w:rsidRPr="00011F30">
        <w:rPr>
          <w:rFonts w:cs="Arial"/>
        </w:rPr>
        <w:t>, jejich základní podmínkou je existence zdravého a funkčního lesa. Je potřeba se na </w:t>
      </w:r>
      <w:r w:rsidRPr="00011F30">
        <w:rPr>
          <w:rFonts w:cs="Arial"/>
          <w:b/>
        </w:rPr>
        <w:t>zdravotní stav lesa</w:t>
      </w:r>
      <w:r w:rsidRPr="00011F30">
        <w:rPr>
          <w:rFonts w:cs="Arial"/>
        </w:rPr>
        <w:t xml:space="preserve"> zaměřit v  rámci </w:t>
      </w:r>
      <w:r w:rsidRPr="00011F30">
        <w:rPr>
          <w:rFonts w:cs="Arial"/>
          <w:b/>
        </w:rPr>
        <w:t xml:space="preserve">monitoringu a inventarizace lesních ekosystémů, </w:t>
      </w:r>
      <w:r w:rsidRPr="00011F30">
        <w:rPr>
          <w:rFonts w:cs="Arial"/>
        </w:rPr>
        <w:t xml:space="preserve">který probíhá jak metodami pozemního (přesnějšího, ale finančně náročnějšího) šetření, tak metodami a technologiemi dálkového průzkumu Země, jejichž ekonomický potenciál v oblasti lesnictví je také významný. V neposlední řadě je třeba zaměřit pozornost na oblast </w:t>
      </w:r>
      <w:r w:rsidRPr="00011F30">
        <w:rPr>
          <w:rFonts w:cs="Arial"/>
          <w:b/>
        </w:rPr>
        <w:t>zvěře</w:t>
      </w:r>
      <w:r w:rsidRPr="00011F30">
        <w:rPr>
          <w:rFonts w:cs="Arial"/>
        </w:rPr>
        <w:t xml:space="preserve">, která významně ovlivňuje jak lesní prostředí, tak zemědělskou i urbanizovanou krajinu a s ní spojenou oblast </w:t>
      </w:r>
      <w:r w:rsidRPr="00011F30">
        <w:rPr>
          <w:rFonts w:cs="Arial"/>
          <w:b/>
        </w:rPr>
        <w:t>myslivosti</w:t>
      </w:r>
      <w:r w:rsidRPr="00011F30">
        <w:rPr>
          <w:rFonts w:cs="Arial"/>
        </w:rPr>
        <w:t>.</w:t>
      </w:r>
    </w:p>
    <w:p w14:paraId="29018ABF" w14:textId="55D07913" w:rsidR="00011F30" w:rsidRDefault="00011F30" w:rsidP="00474DBA">
      <w:pPr>
        <w:spacing w:after="0" w:line="360" w:lineRule="auto"/>
        <w:ind w:firstLine="576"/>
        <w:jc w:val="both"/>
        <w:rPr>
          <w:rFonts w:cs="Arial"/>
        </w:rPr>
      </w:pPr>
      <w:r w:rsidRPr="00011F30">
        <w:rPr>
          <w:rFonts w:cs="Arial"/>
        </w:rPr>
        <w:t xml:space="preserve">Neodmyslitelnou součástí výzkumných potřeb je rovněž </w:t>
      </w:r>
      <w:r w:rsidRPr="00011F30">
        <w:rPr>
          <w:rFonts w:cs="Arial"/>
          <w:b/>
        </w:rPr>
        <w:t>využití moderních biotechnologických metod v zemědělství (rostlinná i živočišná výroba) a lesnictví</w:t>
      </w:r>
      <w:r w:rsidRPr="00011F30">
        <w:rPr>
          <w:rFonts w:cs="Arial"/>
        </w:rPr>
        <w:t>.</w:t>
      </w:r>
    </w:p>
    <w:p w14:paraId="609D28D0" w14:textId="77777777" w:rsidR="00C466D4" w:rsidRDefault="00C466D4" w:rsidP="00474DBA">
      <w:pPr>
        <w:spacing w:after="0" w:line="360" w:lineRule="auto"/>
        <w:ind w:firstLine="576"/>
        <w:jc w:val="both"/>
        <w:rPr>
          <w:rFonts w:cs="Arial"/>
        </w:rPr>
      </w:pPr>
    </w:p>
    <w:p w14:paraId="7B617EF7" w14:textId="702D6D92" w:rsidR="00423604" w:rsidRDefault="007043D8" w:rsidP="007043D8">
      <w:pPr>
        <w:pStyle w:val="Nadpis4"/>
      </w:pPr>
      <w:bookmarkStart w:id="147" w:name="_Toc525716234"/>
      <w:r>
        <w:t>Udržitelná produkce potravin</w:t>
      </w:r>
      <w:bookmarkEnd w:id="147"/>
    </w:p>
    <w:p w14:paraId="193EF87E" w14:textId="1F9352DA" w:rsidR="007043D8" w:rsidRPr="000C6A06" w:rsidRDefault="00D8311F" w:rsidP="00D8311F">
      <w:pPr>
        <w:spacing w:before="240" w:line="360" w:lineRule="auto"/>
        <w:rPr>
          <w:b/>
          <w:u w:val="single"/>
        </w:rPr>
      </w:pPr>
      <w:r w:rsidRPr="000C6A06">
        <w:rPr>
          <w:b/>
          <w:u w:val="single"/>
        </w:rPr>
        <w:t>Východiska</w:t>
      </w:r>
    </w:p>
    <w:p w14:paraId="5CF1D756" w14:textId="77777777" w:rsidR="00F1651D" w:rsidRPr="00F1651D" w:rsidRDefault="00F1651D" w:rsidP="00F1651D">
      <w:pPr>
        <w:pStyle w:val="perex"/>
        <w:spacing w:before="0" w:beforeAutospacing="0" w:after="60" w:afterAutospacing="0" w:line="360" w:lineRule="auto"/>
        <w:ind w:firstLine="709"/>
        <w:jc w:val="both"/>
        <w:rPr>
          <w:rFonts w:asciiTheme="minorHAnsi" w:hAnsiTheme="minorHAnsi" w:cs="Arial"/>
          <w:sz w:val="22"/>
          <w:szCs w:val="22"/>
        </w:rPr>
      </w:pPr>
      <w:r w:rsidRPr="00F1651D">
        <w:rPr>
          <w:rFonts w:asciiTheme="minorHAnsi" w:hAnsiTheme="minorHAnsi" w:cs="Arial"/>
          <w:sz w:val="22"/>
          <w:szCs w:val="22"/>
        </w:rPr>
        <w:t>Zajištění strategické úrovně produkce v hlavních zemědělských komoditách, zejména těch, pro které v podmínkách ČR existuje potenciál konkurenceschopné produkce, je hlavním cílem. Jde především o zajištění potravinové soběstačnosti ČR v základních potravinách na dostatečné úrovni objemové i nutriční</w:t>
      </w:r>
      <w:r w:rsidRPr="00F1651D">
        <w:rPr>
          <w:rFonts w:asciiTheme="minorHAnsi" w:hAnsiTheme="minorHAnsi"/>
          <w:noProof/>
        </w:rPr>
        <w:t xml:space="preserve"> </w:t>
      </w:r>
      <w:r w:rsidRPr="00F1651D">
        <w:rPr>
          <w:rFonts w:asciiTheme="minorHAnsi" w:hAnsiTheme="minorHAnsi" w:cs="Arial"/>
          <w:sz w:val="22"/>
          <w:szCs w:val="22"/>
        </w:rPr>
        <w:t xml:space="preserve">s důrazem na růst efektivnosti a produktivity, zvyšování zájmu o domácí trh a růst českého exportu. </w:t>
      </w:r>
      <w:r w:rsidRPr="00F1651D">
        <w:rPr>
          <w:rStyle w:val="Siln"/>
          <w:rFonts w:asciiTheme="minorHAnsi" w:hAnsiTheme="minorHAnsi" w:cs="Arial"/>
          <w:sz w:val="22"/>
          <w:szCs w:val="22"/>
        </w:rPr>
        <w:t xml:space="preserve">V ČR, obdobně jako v celé Evropské unii, patří výroba potravin k nosným odvětvím zpracovatelského průmyslu. Význam potravinářské výroby je dán zabezpečováním výživy obyvatelstva, výrobou zdravotně nezávadných, kvalitních a cenově dostupných potravin. Některé potravinářské podniky mají přímou vazbu na zemědělskou prvovýrobu, jiné se zabývají až vyšší finalizací výsledných produktů. </w:t>
      </w:r>
    </w:p>
    <w:p w14:paraId="6DB92FC1" w14:textId="61E4D270" w:rsidR="00A05E66" w:rsidRPr="00F1651D" w:rsidRDefault="00F1651D" w:rsidP="00F1651D">
      <w:pPr>
        <w:spacing w:line="360" w:lineRule="auto"/>
        <w:ind w:firstLine="708"/>
        <w:jc w:val="both"/>
        <w:rPr>
          <w:rFonts w:cs="Arial"/>
        </w:rPr>
      </w:pPr>
      <w:r w:rsidRPr="00F1651D">
        <w:rPr>
          <w:rFonts w:cs="Arial"/>
        </w:rPr>
        <w:t>Význam výroby potravin a nápojů je umocněn přímou návazností na zemědělství, jehož produkci odebírá, dále zpracovává a uvádí na trh. Zajišťování výživy obyvatel činí z výroby potravin a nápojů strategický sektor, za jehož prioritu je nutno považovat soběstačnost a zdravotní nezávadnost potravin. Požadavky na zajištění vysoké úrovně ochrany zdraví a posílení důvěry spotřebitelů, získávají stále více na naléhavosti v souvislosti se změnou chápání správné stravy a zdravého životního stylu.</w:t>
      </w:r>
    </w:p>
    <w:p w14:paraId="40AE2024" w14:textId="77777777" w:rsidR="0048223A" w:rsidRDefault="0048223A" w:rsidP="000C6A06">
      <w:pPr>
        <w:spacing w:before="240" w:after="0" w:line="360" w:lineRule="auto"/>
        <w:jc w:val="both"/>
        <w:rPr>
          <w:b/>
          <w:u w:val="single"/>
        </w:rPr>
      </w:pPr>
    </w:p>
    <w:p w14:paraId="65790147" w14:textId="77777777" w:rsidR="000C6A06" w:rsidRDefault="000C6A06" w:rsidP="000C6A06">
      <w:pPr>
        <w:spacing w:before="240" w:after="0" w:line="360" w:lineRule="auto"/>
        <w:jc w:val="both"/>
        <w:rPr>
          <w:b/>
          <w:u w:val="single"/>
        </w:rPr>
      </w:pPr>
      <w:r w:rsidRPr="00474DBA">
        <w:rPr>
          <w:b/>
          <w:u w:val="single"/>
        </w:rPr>
        <w:t>Popis potřeb a jejich řešení</w:t>
      </w:r>
    </w:p>
    <w:p w14:paraId="4F07F738" w14:textId="149F813B" w:rsidR="00270775" w:rsidRPr="00270775" w:rsidRDefault="00270775" w:rsidP="00270775">
      <w:pPr>
        <w:spacing w:after="60" w:line="360" w:lineRule="auto"/>
        <w:ind w:firstLine="708"/>
        <w:jc w:val="both"/>
        <w:rPr>
          <w:rFonts w:cs="Arial"/>
        </w:rPr>
      </w:pPr>
      <w:r w:rsidRPr="00270775">
        <w:rPr>
          <w:rFonts w:cs="Arial"/>
        </w:rPr>
        <w:t>Potenciál existence a růstu českého potravinářství je nezbytně spojen s </w:t>
      </w:r>
      <w:r w:rsidR="00372E45">
        <w:rPr>
          <w:rFonts w:cs="Arial"/>
        </w:rPr>
        <w:t>intenzivním výzkumem a vývojem</w:t>
      </w:r>
      <w:r w:rsidRPr="00270775">
        <w:rPr>
          <w:rFonts w:cs="Arial"/>
        </w:rPr>
        <w:t xml:space="preserve"> potravin s vysokým podílem přidané hodnoty. Tato přidaná hodnota je pro spotřebitele spojena s přínosy v oblasti zdravotní, s pohodlím při konzumaci, s rychlostí přípravy jídla apod. Vzhledem k tomu, že všechny obory potravinářské výroby se zabývají především zpracováním příslušných zemědělských komodit, je potravinářský výzkum neoddělitelný od zemědělského výzkumu těchto komodit. Pozornost je věnována výzkumu </w:t>
      </w:r>
      <w:r w:rsidR="00FC41B2">
        <w:rPr>
          <w:rFonts w:cs="Arial"/>
          <w:b/>
        </w:rPr>
        <w:t>složení</w:t>
      </w:r>
      <w:r w:rsidRPr="00270775">
        <w:rPr>
          <w:rFonts w:cs="Arial"/>
          <w:b/>
        </w:rPr>
        <w:t xml:space="preserve"> potravinových surovin, potravin, včetně jejich složek (bioaktivních i ostatních technologicky významných) a jejich vlivu na lidské zdraví.</w:t>
      </w:r>
    </w:p>
    <w:p w14:paraId="7FA40FBC" w14:textId="3D8547C3" w:rsidR="00270775" w:rsidRPr="00270775" w:rsidRDefault="00270775" w:rsidP="00270775">
      <w:pPr>
        <w:spacing w:after="60" w:line="360" w:lineRule="auto"/>
        <w:ind w:firstLine="708"/>
        <w:jc w:val="both"/>
        <w:rPr>
          <w:rFonts w:eastAsia="Times New Roman" w:cs="Arial"/>
          <w:lang w:eastAsia="cs-CZ"/>
        </w:rPr>
      </w:pPr>
      <w:r w:rsidRPr="00270775">
        <w:rPr>
          <w:rFonts w:cs="Arial"/>
        </w:rPr>
        <w:t>Vliv výživy na zdravotní stav lidské populace je již dostatečně prokázán. Měnící se styl života a</w:t>
      </w:r>
      <w:r>
        <w:rPr>
          <w:rFonts w:cs="Arial"/>
        </w:rPr>
        <w:t> </w:t>
      </w:r>
      <w:r w:rsidRPr="00270775">
        <w:rPr>
          <w:rFonts w:cs="Arial"/>
        </w:rPr>
        <w:t>civilizační j</w:t>
      </w:r>
      <w:r>
        <w:rPr>
          <w:rFonts w:cs="Arial"/>
        </w:rPr>
        <w:t>evy vyžadují a budou vyžadovat </w:t>
      </w:r>
      <w:r w:rsidRPr="00270775">
        <w:rPr>
          <w:rFonts w:cs="Arial"/>
        </w:rPr>
        <w:t>i do budoucna změny ve stravovacích zvyklos</w:t>
      </w:r>
      <w:r w:rsidR="00FC41B2">
        <w:rPr>
          <w:rFonts w:cs="Arial"/>
        </w:rPr>
        <w:t xml:space="preserve">tech, zajištění odpovídajících </w:t>
      </w:r>
      <w:r w:rsidRPr="00270775">
        <w:rPr>
          <w:rFonts w:cs="Arial"/>
        </w:rPr>
        <w:t xml:space="preserve">vstupů do potravinového řetězce a s tím související </w:t>
      </w:r>
      <w:r w:rsidR="00FC41B2">
        <w:rPr>
          <w:rFonts w:cs="Arial"/>
          <w:b/>
        </w:rPr>
        <w:t xml:space="preserve">rozvoj technologií pro výrobu </w:t>
      </w:r>
      <w:r w:rsidRPr="00270775">
        <w:rPr>
          <w:rFonts w:cs="Arial"/>
          <w:b/>
        </w:rPr>
        <w:t>potravin</w:t>
      </w:r>
      <w:r w:rsidRPr="00270775">
        <w:rPr>
          <w:rFonts w:cs="Arial"/>
        </w:rPr>
        <w:t xml:space="preserve">. Skladbou stravy lze působit významně rovněž v prevenci tzv. civilizačních chorob, jejichž výskyt má vzrůstající tendenci a lze předpokládat, že tento problém bude mít důsledkem technického rozvoje delší časový horizont. Je žádoucí zabezpečit </w:t>
      </w:r>
      <w:r w:rsidR="00FC41B2">
        <w:rPr>
          <w:rFonts w:cs="Arial"/>
          <w:b/>
        </w:rPr>
        <w:t>výzkum v oblasti</w:t>
      </w:r>
      <w:r w:rsidRPr="00270775">
        <w:rPr>
          <w:rFonts w:cs="Arial"/>
          <w:b/>
        </w:rPr>
        <w:t xml:space="preserve"> </w:t>
      </w:r>
      <w:r w:rsidRPr="00270775">
        <w:rPr>
          <w:rFonts w:eastAsia="Times New Roman" w:cs="Arial"/>
          <w:b/>
          <w:lang w:eastAsia="cs-CZ"/>
        </w:rPr>
        <w:t xml:space="preserve">potravin a výrobních postupů a speciálních potravin pro definované skupiny obyvatel, pro zajištění </w:t>
      </w:r>
      <w:r w:rsidRPr="00270775">
        <w:rPr>
          <w:rFonts w:cs="Arial"/>
        </w:rPr>
        <w:t xml:space="preserve">kvalitní </w:t>
      </w:r>
      <w:r w:rsidRPr="00270775">
        <w:rPr>
          <w:rFonts w:cs="Arial"/>
          <w:b/>
        </w:rPr>
        <w:t>výživy skupin populace se specifickými nároky</w:t>
      </w:r>
      <w:r w:rsidR="00FC41B2">
        <w:rPr>
          <w:rFonts w:cs="Arial"/>
        </w:rPr>
        <w:t xml:space="preserve">, </w:t>
      </w:r>
      <w:r w:rsidRPr="00270775">
        <w:rPr>
          <w:rFonts w:cs="Arial"/>
        </w:rPr>
        <w:t xml:space="preserve">tj. pro onemocnění všeho druhu, různé věkové kategorie, zejména vzhledem k prodlužujícímu se věku, pro seniory. Je také potřeba zaměřit se na reformulace potravin z pohledu snížení obsahu soli, cukrů a tuků a zvýšení obsahu některých významných nutričních složek, které jsou u populace deficitní (např. vláknina, antioxidanty). Reformulace potravin by měla být stálou součástí inovace potravin v závislosti na aktuálním doporučení odborníků ve výživě. Téma správná výživa pro kvalitu života je komplexním tématem zahrnujícím množství aspektů souvisejících s uplatněním nejnovějších poznatků řady výzkumných oblastí od medicíny a potravinářských věd, přes využití moderních biotechnologií v produkci potravin, včetně uplatnění GMO, až po integraci pokročilých technologií. A budou-li akceptovány, do tradiční výroby potravin nanomateriály, </w:t>
      </w:r>
      <w:r w:rsidRPr="00270775">
        <w:rPr>
          <w:rFonts w:cs="Arial"/>
          <w:b/>
        </w:rPr>
        <w:t>rozvoj nanotechnologií a výrobků na jejich bázi</w:t>
      </w:r>
      <w:r w:rsidRPr="00270775">
        <w:rPr>
          <w:rFonts w:cs="Arial"/>
        </w:rPr>
        <w:t xml:space="preserve">. </w:t>
      </w:r>
    </w:p>
    <w:p w14:paraId="53FC8AD1" w14:textId="2473802F" w:rsidR="00270775" w:rsidRPr="00270775" w:rsidRDefault="00270775" w:rsidP="00372E45">
      <w:pPr>
        <w:spacing w:after="60" w:line="360" w:lineRule="auto"/>
        <w:ind w:firstLine="708"/>
        <w:jc w:val="both"/>
        <w:rPr>
          <w:rFonts w:cs="Arial"/>
        </w:rPr>
      </w:pPr>
      <w:r w:rsidRPr="00270775">
        <w:rPr>
          <w:rFonts w:cs="Arial"/>
        </w:rPr>
        <w:t xml:space="preserve">Problematika </w:t>
      </w:r>
      <w:r w:rsidRPr="00270775">
        <w:rPr>
          <w:rFonts w:cs="Arial"/>
          <w:b/>
        </w:rPr>
        <w:t>hygieny a sanitace v potravinovém řetězci</w:t>
      </w:r>
      <w:r w:rsidRPr="00270775">
        <w:rPr>
          <w:rFonts w:cs="Arial"/>
        </w:rPr>
        <w:t xml:space="preserve"> nabývá stále většího významu pro výživu a</w:t>
      </w:r>
      <w:r w:rsidR="00FC41B2">
        <w:rPr>
          <w:rFonts w:cs="Arial"/>
        </w:rPr>
        <w:t> </w:t>
      </w:r>
      <w:r w:rsidRPr="00270775">
        <w:rPr>
          <w:rFonts w:cs="Arial"/>
        </w:rPr>
        <w:t xml:space="preserve">zdravotní stav lidské populace. Důležitou oblastí je rovněž zdravotní nezávadnost potravin. Z tohoto důvodu je třeba zaměřovat výzkum rovněž na zdokonalení a </w:t>
      </w:r>
      <w:r w:rsidRPr="00270775">
        <w:rPr>
          <w:rFonts w:cs="Arial"/>
          <w:b/>
        </w:rPr>
        <w:t xml:space="preserve">vytváření nových metod analýzy složení potravinových surovin, potravinových složek a potravin a jejich vlastností </w:t>
      </w:r>
      <w:r w:rsidRPr="00270775">
        <w:rPr>
          <w:rFonts w:cs="Arial"/>
        </w:rPr>
        <w:t>z jejich hlediska vzájemných interakcí.</w:t>
      </w:r>
    </w:p>
    <w:p w14:paraId="1A6666F1" w14:textId="1585F9DA" w:rsidR="00270775" w:rsidRPr="00270775" w:rsidRDefault="00270775" w:rsidP="00372E45">
      <w:pPr>
        <w:spacing w:after="60" w:line="360" w:lineRule="auto"/>
        <w:ind w:firstLine="708"/>
        <w:jc w:val="both"/>
        <w:rPr>
          <w:rFonts w:cs="Arial"/>
        </w:rPr>
      </w:pPr>
      <w:r w:rsidRPr="00270775">
        <w:rPr>
          <w:rFonts w:cs="Arial"/>
        </w:rPr>
        <w:t>Pozornost je potřeba věnovat i metodám pro průkaz falšování a autenticitu potravinových složek a</w:t>
      </w:r>
      <w:r w:rsidR="00FC41B2">
        <w:rPr>
          <w:rFonts w:cs="Arial"/>
        </w:rPr>
        <w:t> </w:t>
      </w:r>
      <w:r w:rsidRPr="00270775">
        <w:rPr>
          <w:rFonts w:cs="Arial"/>
        </w:rPr>
        <w:t>potravin.</w:t>
      </w:r>
    </w:p>
    <w:p w14:paraId="2CE85F2B" w14:textId="6587FE6B" w:rsidR="00270775" w:rsidRPr="00270775" w:rsidRDefault="00270775" w:rsidP="00270775">
      <w:pPr>
        <w:spacing w:after="0" w:line="360" w:lineRule="auto"/>
        <w:ind w:firstLine="708"/>
        <w:jc w:val="both"/>
        <w:rPr>
          <w:rFonts w:cs="Arial"/>
        </w:rPr>
      </w:pPr>
      <w:r w:rsidRPr="00270775">
        <w:rPr>
          <w:rFonts w:cs="Arial"/>
        </w:rPr>
        <w:t>Z hlediska vlivu výroby potravin je nutné zaměřit výzkumné aktivity rovněž na monitoring produkovaných odpadů, emisí do ovzduší a odpadních vod s cílem jejich minimalizace nebo využití jako surovin pro další zpracování.</w:t>
      </w:r>
    </w:p>
    <w:p w14:paraId="57A03077" w14:textId="6EA268A4" w:rsidR="003C1B59" w:rsidRDefault="003C1B59">
      <w:pPr>
        <w:spacing w:after="200" w:line="276" w:lineRule="auto"/>
        <w:rPr>
          <w:rFonts w:cs="Arial"/>
        </w:rPr>
      </w:pPr>
      <w:r>
        <w:rPr>
          <w:rFonts w:cs="Arial"/>
        </w:rPr>
        <w:br w:type="page"/>
      </w:r>
    </w:p>
    <w:p w14:paraId="44E02037" w14:textId="4F1ECE38" w:rsidR="00A05E66" w:rsidRDefault="00A05E66" w:rsidP="005A2820">
      <w:pPr>
        <w:pStyle w:val="Nadpis4"/>
      </w:pPr>
      <w:bookmarkStart w:id="148" w:name="_Toc525716235"/>
      <w:r>
        <w:t>Zajištění zdravého a kvalitního životního prostředí, biodiverzity a ekologie přírodních zdrojů</w:t>
      </w:r>
      <w:bookmarkEnd w:id="148"/>
    </w:p>
    <w:p w14:paraId="537A5036" w14:textId="011EBED8" w:rsidR="00A05E66" w:rsidRPr="000C6A06" w:rsidRDefault="003754BC" w:rsidP="003754BC">
      <w:pPr>
        <w:spacing w:before="240" w:line="360" w:lineRule="auto"/>
        <w:rPr>
          <w:b/>
          <w:u w:val="single"/>
        </w:rPr>
      </w:pPr>
      <w:r w:rsidRPr="000C6A06">
        <w:rPr>
          <w:b/>
          <w:u w:val="single"/>
        </w:rPr>
        <w:t>Východiska</w:t>
      </w:r>
    </w:p>
    <w:p w14:paraId="3AD9146D" w14:textId="4C928CAF" w:rsidR="003754BC" w:rsidRPr="003754BC" w:rsidRDefault="003754BC" w:rsidP="00543C1B">
      <w:pPr>
        <w:pStyle w:val="Odstavecseseznamem"/>
        <w:numPr>
          <w:ilvl w:val="0"/>
          <w:numId w:val="97"/>
        </w:numPr>
        <w:autoSpaceDE w:val="0"/>
        <w:autoSpaceDN w:val="0"/>
        <w:adjustRightInd w:val="0"/>
        <w:spacing w:after="0" w:line="360" w:lineRule="auto"/>
        <w:jc w:val="both"/>
        <w:rPr>
          <w:rFonts w:cs="Calibri"/>
        </w:rPr>
      </w:pPr>
      <w:r w:rsidRPr="003754BC">
        <w:rPr>
          <w:rFonts w:cs="Calibri"/>
        </w:rPr>
        <w:t>Zajištění strategického rámce udržitelného rozvoje společnosti a ochrany přírody a krajiny v kontextu zlepšování a zkvalitňování životního prostředí a jeho jednotlivých složek. Jedná se zejména o podporu vytváření a zlepšování životních</w:t>
      </w:r>
      <w:r w:rsidR="009D225E">
        <w:rPr>
          <w:rFonts w:cs="Calibri"/>
        </w:rPr>
        <w:t xml:space="preserve"> podmínek ve vazbě informační a </w:t>
      </w:r>
      <w:r w:rsidRPr="003754BC">
        <w:rPr>
          <w:rFonts w:cs="Calibri"/>
        </w:rPr>
        <w:t>znalostní společnost a industriální rozvoj a nové technologie.</w:t>
      </w:r>
    </w:p>
    <w:p w14:paraId="736EDD5C" w14:textId="77777777" w:rsidR="003754BC" w:rsidRPr="003754BC" w:rsidRDefault="003754BC" w:rsidP="003754BC">
      <w:pPr>
        <w:pStyle w:val="Odstavecseseznamem"/>
        <w:autoSpaceDE w:val="0"/>
        <w:autoSpaceDN w:val="0"/>
        <w:adjustRightInd w:val="0"/>
        <w:spacing w:after="0" w:line="360" w:lineRule="auto"/>
        <w:ind w:left="1068"/>
        <w:jc w:val="both"/>
        <w:rPr>
          <w:rFonts w:cs="Calibri"/>
        </w:rPr>
      </w:pPr>
    </w:p>
    <w:p w14:paraId="2B2900EB" w14:textId="29445668" w:rsidR="003754BC" w:rsidRPr="003754BC" w:rsidRDefault="003754BC" w:rsidP="00544D41">
      <w:pPr>
        <w:pStyle w:val="Bezmezer"/>
        <w:spacing w:line="360" w:lineRule="auto"/>
        <w:ind w:left="993" w:hanging="285"/>
        <w:jc w:val="both"/>
        <w:rPr>
          <w:rFonts w:asciiTheme="minorHAnsi" w:hAnsiTheme="minorHAnsi"/>
          <w:shd w:val="clear" w:color="auto" w:fill="FFFFFF"/>
          <w:lang w:eastAsia="cs-CZ"/>
        </w:rPr>
      </w:pPr>
      <w:r w:rsidRPr="003754BC">
        <w:rPr>
          <w:rFonts w:asciiTheme="minorHAnsi" w:hAnsiTheme="minorHAnsi"/>
          <w:lang w:eastAsia="cs-CZ"/>
        </w:rPr>
        <w:t xml:space="preserve">2) Problematiku výzkumu životního prostředí a ochrany přírody a krajiny řeší </w:t>
      </w:r>
      <w:r w:rsidR="00544D41">
        <w:rPr>
          <w:rFonts w:asciiTheme="minorHAnsi" w:hAnsiTheme="minorHAnsi"/>
          <w:shd w:val="clear" w:color="auto" w:fill="FFFFFF"/>
          <w:lang w:eastAsia="cs-CZ"/>
        </w:rPr>
        <w:t xml:space="preserve">Koncepce </w:t>
      </w:r>
      <w:r w:rsidRPr="003754BC">
        <w:rPr>
          <w:rFonts w:asciiTheme="minorHAnsi" w:hAnsiTheme="minorHAnsi"/>
          <w:shd w:val="clear" w:color="auto" w:fill="FFFFFF"/>
          <w:lang w:eastAsia="cs-CZ"/>
        </w:rPr>
        <w:t xml:space="preserve">výzkumu a vývoje Ministerstva životního prostředí na léta 2016 až 2025. </w:t>
      </w:r>
    </w:p>
    <w:p w14:paraId="5F14F27D" w14:textId="432166BB" w:rsidR="003754BC" w:rsidRPr="003754BC" w:rsidRDefault="003754BC" w:rsidP="003754BC">
      <w:pPr>
        <w:spacing w:before="100" w:beforeAutospacing="1" w:after="100" w:afterAutospacing="1" w:line="360" w:lineRule="auto"/>
        <w:ind w:firstLine="709"/>
        <w:jc w:val="both"/>
        <w:rPr>
          <w:rFonts w:eastAsia="Times New Roman"/>
          <w:lang w:eastAsia="cs-CZ"/>
        </w:rPr>
      </w:pPr>
      <w:r w:rsidRPr="003754BC">
        <w:rPr>
          <w:rFonts w:eastAsia="Times New Roman"/>
          <w:lang w:eastAsia="cs-CZ"/>
        </w:rPr>
        <w:t>Mezinárodní kontext pozice ČR v ochraně životního prostředí je primárně součástí rámce EU a</w:t>
      </w:r>
      <w:r>
        <w:rPr>
          <w:rFonts w:eastAsia="Times New Roman"/>
          <w:lang w:eastAsia="cs-CZ"/>
        </w:rPr>
        <w:t> </w:t>
      </w:r>
      <w:r w:rsidRPr="003754BC">
        <w:rPr>
          <w:rFonts w:eastAsia="Times New Roman"/>
          <w:lang w:eastAsia="cs-CZ"/>
        </w:rPr>
        <w:t>v souladu s ním se soustřeďují hlavně na řešení přetrvávajících a nově vzniklých environmentálních problémů v oblastech:</w:t>
      </w:r>
    </w:p>
    <w:p w14:paraId="7B2370F5" w14:textId="77777777" w:rsidR="003754BC" w:rsidRDefault="003754BC" w:rsidP="00543C1B">
      <w:pPr>
        <w:pStyle w:val="Odstavecseseznamem"/>
        <w:numPr>
          <w:ilvl w:val="0"/>
          <w:numId w:val="98"/>
        </w:numPr>
        <w:spacing w:before="100" w:beforeAutospacing="1" w:after="100" w:afterAutospacing="1" w:line="360" w:lineRule="auto"/>
        <w:jc w:val="both"/>
        <w:rPr>
          <w:rFonts w:eastAsia="Times New Roman"/>
          <w:lang w:eastAsia="cs-CZ"/>
        </w:rPr>
      </w:pPr>
      <w:r w:rsidRPr="003754BC">
        <w:rPr>
          <w:rFonts w:eastAsia="Times New Roman"/>
          <w:lang w:eastAsia="cs-CZ"/>
        </w:rPr>
        <w:t>ochrany přírody, krajiny a biologické rozmanitosti,</w:t>
      </w:r>
    </w:p>
    <w:p w14:paraId="331CDDC2" w14:textId="77777777" w:rsidR="003754BC" w:rsidRDefault="003754BC" w:rsidP="00543C1B">
      <w:pPr>
        <w:pStyle w:val="Odstavecseseznamem"/>
        <w:numPr>
          <w:ilvl w:val="0"/>
          <w:numId w:val="98"/>
        </w:numPr>
        <w:spacing w:before="100" w:beforeAutospacing="1" w:after="100" w:afterAutospacing="1" w:line="360" w:lineRule="auto"/>
        <w:jc w:val="both"/>
        <w:rPr>
          <w:rFonts w:eastAsia="Times New Roman"/>
          <w:lang w:eastAsia="cs-CZ"/>
        </w:rPr>
      </w:pPr>
      <w:r w:rsidRPr="003754BC">
        <w:rPr>
          <w:rFonts w:eastAsia="Times New Roman"/>
          <w:lang w:eastAsia="cs-CZ"/>
        </w:rPr>
        <w:t>udržitelného využívání přírodních zdrojů, ochrany vod a ochrany před povodněmi a suchem, optimalizace materiálových toků a nakládání s odpady,</w:t>
      </w:r>
    </w:p>
    <w:p w14:paraId="0F18F180" w14:textId="77777777" w:rsidR="003754BC" w:rsidRDefault="003754BC" w:rsidP="00543C1B">
      <w:pPr>
        <w:pStyle w:val="Odstavecseseznamem"/>
        <w:numPr>
          <w:ilvl w:val="0"/>
          <w:numId w:val="98"/>
        </w:numPr>
        <w:spacing w:before="100" w:beforeAutospacing="1" w:after="100" w:afterAutospacing="1" w:line="360" w:lineRule="auto"/>
        <w:jc w:val="both"/>
        <w:rPr>
          <w:rFonts w:eastAsia="Times New Roman"/>
          <w:lang w:eastAsia="cs-CZ"/>
        </w:rPr>
      </w:pPr>
      <w:r w:rsidRPr="003754BC">
        <w:rPr>
          <w:rFonts w:eastAsia="Times New Roman"/>
          <w:lang w:eastAsia="cs-CZ"/>
        </w:rPr>
        <w:t>snižování zátěže životního prostředí pocházející z lidské činnosti, zlepšování environmentálních standardů pro kvalitu lidského života,</w:t>
      </w:r>
    </w:p>
    <w:p w14:paraId="6E9B287E" w14:textId="4AF567DB" w:rsidR="003754BC" w:rsidRPr="003754BC" w:rsidRDefault="003754BC" w:rsidP="00543C1B">
      <w:pPr>
        <w:pStyle w:val="Odstavecseseznamem"/>
        <w:numPr>
          <w:ilvl w:val="0"/>
          <w:numId w:val="98"/>
        </w:numPr>
        <w:spacing w:before="100" w:beforeAutospacing="1" w:after="100" w:afterAutospacing="1" w:line="360" w:lineRule="auto"/>
        <w:jc w:val="both"/>
        <w:rPr>
          <w:rFonts w:eastAsia="Times New Roman"/>
          <w:lang w:eastAsia="cs-CZ"/>
        </w:rPr>
      </w:pPr>
      <w:r w:rsidRPr="003754BC">
        <w:rPr>
          <w:rFonts w:eastAsia="Times New Roman"/>
          <w:lang w:eastAsia="cs-CZ"/>
        </w:rPr>
        <w:t>ochrany klimatického systému Země a omezení dálkového přenosu znečištění ovzduší.</w:t>
      </w:r>
    </w:p>
    <w:p w14:paraId="516D645B" w14:textId="1B24C6FE" w:rsidR="003754BC" w:rsidRPr="003754BC" w:rsidRDefault="003754BC" w:rsidP="003754BC">
      <w:pPr>
        <w:autoSpaceDE w:val="0"/>
        <w:autoSpaceDN w:val="0"/>
        <w:adjustRightInd w:val="0"/>
        <w:spacing w:after="0" w:line="360" w:lineRule="auto"/>
        <w:ind w:firstLine="709"/>
        <w:jc w:val="both"/>
        <w:rPr>
          <w:rFonts w:cs="Calibri"/>
        </w:rPr>
      </w:pPr>
      <w:r w:rsidRPr="003754BC">
        <w:rPr>
          <w:rFonts w:cs="Calibri"/>
        </w:rPr>
        <w:t xml:space="preserve">3) Výzkum v oblasti životního prostředí je výrazně interdisciplinární a mírou poznání zasahuje a ovlivňuje velké množství dalších oblastí jako je zemědělství, zdravotnictví a další. Aplikovaný výzkumu v oblasti životního prostředí je nedílnou a strategickou součástí VaVaI v České republice. Člověk svou činností významně zasahuje do fungování ekosystémů na globální a místní úrovni, často s minimální znalostí všech vazeb a možných dopadů. V České republice jsou to zejména zásahy do krajiny, zábory půdy (zejména výstavba plošně rozsáhlých komplexů), nevhodné agrotechnické postupy, uvolňování a ukládání nových chemických látek do prostředí a znečištění atmosféry zdravotně rizikovými látkami, jako jsou polycyklické aromatické uhlovodíky (PAH) a aerosolové mikročástice (PM 2.5) apod. Přitom řada přírodních procesů a vzájemných vazeb není dostatečně prozkoumána. Významným ohrožením pro stabilní fungování přírodních služeb jsou probíhající změny klimatu a její </w:t>
      </w:r>
      <w:r w:rsidRPr="003754BC">
        <w:t xml:space="preserve">následky. </w:t>
      </w:r>
      <w:r w:rsidRPr="003754BC">
        <w:rPr>
          <w:rFonts w:cs="Calibri"/>
        </w:rPr>
        <w:t xml:space="preserve">I když se podaří postupně omezit emise skleníkových plynů do ovzduší, nastartované změny budou probíhat ještě několik dalších staletí a bude třeba se na ně adaptovat. V podmínkách České republiky to znamená připravit se nejen na celkové změny ekosystémů a invaze cizorodých organismů, spektra škůdců a chorob a korekcí zemědělské produkce, ale i na vlny veder a </w:t>
      </w:r>
      <w:r w:rsidRPr="003754BC">
        <w:rPr>
          <w:rFonts w:cs="Calibri,Bold"/>
          <w:bCs/>
        </w:rPr>
        <w:t>sucha</w:t>
      </w:r>
      <w:r w:rsidRPr="003754BC">
        <w:rPr>
          <w:rFonts w:cs="Calibri"/>
        </w:rPr>
        <w:t>, přívalové deště a záplavy a</w:t>
      </w:r>
      <w:r>
        <w:rPr>
          <w:rFonts w:cs="Calibri"/>
        </w:rPr>
        <w:t> </w:t>
      </w:r>
      <w:r w:rsidRPr="003754BC">
        <w:rPr>
          <w:rFonts w:cs="Calibri"/>
        </w:rPr>
        <w:t xml:space="preserve">extrémní výkyvy teplot. Zejména změnám vodního režimu bude nutno věnovat zvýšenou pozornost. </w:t>
      </w:r>
    </w:p>
    <w:p w14:paraId="30DF4E5D" w14:textId="77777777" w:rsidR="003754BC" w:rsidRPr="003754BC" w:rsidRDefault="003754BC" w:rsidP="003754BC">
      <w:pPr>
        <w:autoSpaceDE w:val="0"/>
        <w:autoSpaceDN w:val="0"/>
        <w:adjustRightInd w:val="0"/>
        <w:spacing w:after="0" w:line="360" w:lineRule="auto"/>
        <w:ind w:firstLine="708"/>
        <w:jc w:val="both"/>
        <w:rPr>
          <w:rFonts w:cs="Calibri"/>
        </w:rPr>
      </w:pPr>
      <w:r w:rsidRPr="003754BC">
        <w:rPr>
          <w:rFonts w:cs="Calibri"/>
        </w:rPr>
        <w:t>Součástí řešení je důsledné naplňování koncepční ochrany životního prostředí, jako je např. „</w:t>
      </w:r>
      <w:r w:rsidRPr="003754BC">
        <w:t>Koncepce ochrany před následky sucha pro území České republiky“, která indikuje signifikantní dopady na zemědělskou politiku, indikuje stavby nádrží, obnovu přirozených vodních prvků v krajině, využívání odpadních vod, potenciálně nových poplatků, změnu strategie cílů dotací apod.</w:t>
      </w:r>
    </w:p>
    <w:p w14:paraId="5B7210DD" w14:textId="77777777" w:rsidR="003754BC" w:rsidRPr="003754BC" w:rsidRDefault="003754BC" w:rsidP="003754BC">
      <w:pPr>
        <w:autoSpaceDE w:val="0"/>
        <w:autoSpaceDN w:val="0"/>
        <w:adjustRightInd w:val="0"/>
        <w:spacing w:after="0" w:line="360" w:lineRule="auto"/>
        <w:ind w:firstLine="708"/>
        <w:jc w:val="both"/>
        <w:rPr>
          <w:rFonts w:cs="Calibri"/>
        </w:rPr>
      </w:pPr>
      <w:r w:rsidRPr="003754BC">
        <w:rPr>
          <w:rFonts w:cs="Calibri"/>
        </w:rPr>
        <w:t>Další oblastí je potřebná podpora inovací pro dosažení udržitelného hospodaření s přírodními zdroji, zejména ve smyslu snižování energetické a materiálové náročnosti výroby a snižování emisí znečišťujících látek a odpadů. Významnou oblastí inovací je v kontextu oběhového hospodářství podpora účinnějšího využívání přírodních zdrojů, maximálního využívání druhotných surovin, předcházení vzniku odpadu prostřednictvím lepšího designu výrobků a technologických změn a využití odpadů jako zdroje, který je udržován v ekonomickém cyklu.</w:t>
      </w:r>
    </w:p>
    <w:p w14:paraId="41FDE340" w14:textId="77777777" w:rsidR="003754BC" w:rsidRPr="003754BC" w:rsidRDefault="003754BC" w:rsidP="003754BC">
      <w:pPr>
        <w:pStyle w:val="Bezmezer"/>
        <w:spacing w:line="360" w:lineRule="auto"/>
        <w:jc w:val="both"/>
        <w:rPr>
          <w:rFonts w:asciiTheme="minorHAnsi" w:hAnsiTheme="minorHAnsi"/>
          <w:i/>
          <w:lang w:eastAsia="cs-CZ"/>
        </w:rPr>
      </w:pPr>
    </w:p>
    <w:p w14:paraId="4403ED7C" w14:textId="36EA354B" w:rsidR="003754BC" w:rsidRPr="003754BC" w:rsidRDefault="003754BC" w:rsidP="003754BC">
      <w:pPr>
        <w:pStyle w:val="Bezmezer"/>
        <w:spacing w:line="360" w:lineRule="auto"/>
        <w:ind w:firstLine="708"/>
        <w:jc w:val="both"/>
        <w:rPr>
          <w:rFonts w:asciiTheme="minorHAnsi" w:hAnsiTheme="minorHAnsi" w:cs="Calibri"/>
        </w:rPr>
      </w:pPr>
      <w:r w:rsidRPr="003754BC">
        <w:rPr>
          <w:rFonts w:asciiTheme="minorHAnsi" w:hAnsiTheme="minorHAnsi"/>
          <w:lang w:eastAsia="cs-CZ"/>
        </w:rPr>
        <w:t>4)</w:t>
      </w:r>
      <w:r w:rsidRPr="003754BC">
        <w:rPr>
          <w:rFonts w:asciiTheme="minorHAnsi" w:hAnsiTheme="minorHAnsi"/>
          <w:i/>
          <w:lang w:eastAsia="cs-CZ"/>
        </w:rPr>
        <w:t xml:space="preserve"> </w:t>
      </w:r>
      <w:r w:rsidRPr="003754BC">
        <w:rPr>
          <w:rFonts w:asciiTheme="minorHAnsi" w:hAnsiTheme="minorHAnsi" w:cs="Calibri"/>
        </w:rPr>
        <w:t>Význam kvalitního a zdravého životního prostředí, přírody a krajiny má přímou návaznost na všechny typy lidských aktivit, zejména na zemědělství, průmysl, dopravu, vzdělávání a</w:t>
      </w:r>
      <w:r>
        <w:rPr>
          <w:rFonts w:asciiTheme="minorHAnsi" w:hAnsiTheme="minorHAnsi" w:cs="Calibri"/>
        </w:rPr>
        <w:t> </w:t>
      </w:r>
      <w:r w:rsidRPr="003754BC">
        <w:rPr>
          <w:rFonts w:asciiTheme="minorHAnsi" w:hAnsiTheme="minorHAnsi" w:cs="Calibri"/>
        </w:rPr>
        <w:t>socioekonomický a demografický vývoj společnosti a globální změny klimatu. Požadavky na zajištění vysoké úrovně kvalitního, zdravého a bezpečného životního prostředí získávají na významu s rostoucí vzdělaností a poznáváním a znalostmi společnosti.</w:t>
      </w:r>
    </w:p>
    <w:p w14:paraId="65BA82B7" w14:textId="77777777" w:rsidR="003754BC" w:rsidRPr="003754BC" w:rsidRDefault="003754BC" w:rsidP="00C31F1C">
      <w:pPr>
        <w:pStyle w:val="Normlnweb"/>
        <w:spacing w:line="360" w:lineRule="auto"/>
        <w:ind w:firstLine="708"/>
        <w:jc w:val="both"/>
        <w:rPr>
          <w:rFonts w:asciiTheme="minorHAnsi" w:hAnsiTheme="minorHAnsi"/>
          <w:sz w:val="22"/>
          <w:szCs w:val="22"/>
        </w:rPr>
      </w:pPr>
      <w:r w:rsidRPr="003754BC">
        <w:rPr>
          <w:rFonts w:asciiTheme="minorHAnsi" w:hAnsiTheme="minorHAnsi"/>
          <w:sz w:val="22"/>
          <w:szCs w:val="22"/>
        </w:rPr>
        <w:t>Ochrana životního prostředí a podpora z</w:t>
      </w:r>
      <w:r w:rsidRPr="003754BC">
        <w:rPr>
          <w:rFonts w:asciiTheme="minorHAnsi" w:hAnsiTheme="minorHAnsi" w:cs="Calibri"/>
          <w:sz w:val="22"/>
          <w:szCs w:val="22"/>
        </w:rPr>
        <w:t>ajištění zdravého a kvalitního životního prostředí</w:t>
      </w:r>
      <w:r w:rsidRPr="003754BC">
        <w:rPr>
          <w:rFonts w:asciiTheme="minorHAnsi" w:hAnsiTheme="minorHAnsi"/>
          <w:sz w:val="22"/>
          <w:szCs w:val="22"/>
        </w:rPr>
        <w:t xml:space="preserve"> s sebou nese dopady na ekonomiku a její subjekty.</w:t>
      </w:r>
    </w:p>
    <w:p w14:paraId="3F358A0F" w14:textId="77777777" w:rsidR="003754BC" w:rsidRPr="003754BC" w:rsidRDefault="003754BC" w:rsidP="00C31F1C">
      <w:pPr>
        <w:pStyle w:val="Normlnweb"/>
        <w:spacing w:line="360" w:lineRule="auto"/>
        <w:ind w:firstLine="708"/>
        <w:jc w:val="both"/>
        <w:rPr>
          <w:rFonts w:asciiTheme="minorHAnsi" w:hAnsiTheme="minorHAnsi"/>
          <w:sz w:val="22"/>
          <w:szCs w:val="22"/>
        </w:rPr>
      </w:pPr>
      <w:r w:rsidRPr="003754BC">
        <w:rPr>
          <w:rFonts w:asciiTheme="minorHAnsi" w:hAnsiTheme="minorHAnsi"/>
          <w:sz w:val="22"/>
          <w:szCs w:val="22"/>
        </w:rPr>
        <w:t>Zpřísnění podmínek ochrany životního prostředí může způsobit zvýšení nákladů podniků, což v krátkém období může vést k omezení produkce a investičních aktivit, a to v národním i mezinárodním měřítku. Působí také na konkurenceschopnost, pokud statní státy nepřijaly podobná environmentální opatření. V dlouhodobém pohledu však dochází k podpoře rozvoje environmentálně šetrnějšího podnikání, což vede ke zvyšování produkce, investic i k opětovnému zrychlení ekonomického růstu. Nové zaměření podniků na ekologicky šetrnější výrobky, služby a technologie může vést k objevení nových trhů a k získání konkurenceschopnosti i na zahraničních trzích.</w:t>
      </w:r>
    </w:p>
    <w:p w14:paraId="03FE4AA7" w14:textId="1FCF0D70" w:rsidR="003754BC" w:rsidRDefault="003754BC" w:rsidP="003754BC">
      <w:pPr>
        <w:pStyle w:val="Normlnweb"/>
        <w:spacing w:line="360" w:lineRule="auto"/>
        <w:jc w:val="both"/>
        <w:rPr>
          <w:rFonts w:asciiTheme="minorHAnsi" w:hAnsiTheme="minorHAnsi"/>
          <w:sz w:val="22"/>
          <w:szCs w:val="22"/>
        </w:rPr>
      </w:pPr>
      <w:r w:rsidRPr="003754BC">
        <w:rPr>
          <w:rFonts w:asciiTheme="minorHAnsi" w:hAnsiTheme="minorHAnsi"/>
          <w:sz w:val="22"/>
          <w:szCs w:val="22"/>
        </w:rPr>
        <w:t xml:space="preserve"> </w:t>
      </w:r>
      <w:r w:rsidR="00C31F1C">
        <w:rPr>
          <w:rFonts w:asciiTheme="minorHAnsi" w:hAnsiTheme="minorHAnsi"/>
          <w:sz w:val="22"/>
          <w:szCs w:val="22"/>
        </w:rPr>
        <w:tab/>
      </w:r>
      <w:r w:rsidRPr="003754BC">
        <w:rPr>
          <w:rFonts w:asciiTheme="minorHAnsi" w:hAnsiTheme="minorHAnsi"/>
          <w:sz w:val="22"/>
          <w:szCs w:val="22"/>
        </w:rPr>
        <w:t>Omezování produkce v zájmu ochrany životního prostředí s sebou (zejména v krátkém období) nese také změny socioekonomické a demografické zejména v regulovaných odvětvích a nižší výnos veřejných rozpočtů z daní (prvotně zejména daní z příjmu fyzických a právnických osob). Při zavádění ekologických poplatků může být nižší výnos z daní kompenzován příjmem z poplatků. S rozvojem výroby environmentálně šetrných produktů (v dlouhém období) pak vznikají nové pracovní příležitosti. Politika životního prostředí má také významné efekty v sociální oblasti - jednotlivé nástroje mají různý dopad na různé skupiny obyvatel. Před zavedením nového nástroje nebo změnou stávajícího je vždy nutné předem zhodnotit vyvolané efekty a zajistit, aby nedošlo k neúměrnému zvýšení životních nákladů či nákladů na existenci firem.</w:t>
      </w:r>
    </w:p>
    <w:p w14:paraId="7DA6F4F9" w14:textId="77777777" w:rsidR="00C72920" w:rsidRDefault="00C72920" w:rsidP="003754BC">
      <w:pPr>
        <w:pStyle w:val="Normlnweb"/>
        <w:spacing w:line="360" w:lineRule="auto"/>
        <w:jc w:val="both"/>
        <w:rPr>
          <w:rFonts w:asciiTheme="minorHAnsi" w:hAnsiTheme="minorHAnsi"/>
          <w:sz w:val="22"/>
          <w:szCs w:val="22"/>
        </w:rPr>
      </w:pPr>
    </w:p>
    <w:p w14:paraId="131F10D9" w14:textId="77777777" w:rsidR="009F3C05" w:rsidRPr="003754BC" w:rsidRDefault="009F3C05" w:rsidP="003754BC">
      <w:pPr>
        <w:pStyle w:val="Normlnweb"/>
        <w:spacing w:line="360" w:lineRule="auto"/>
        <w:jc w:val="both"/>
        <w:rPr>
          <w:rFonts w:asciiTheme="minorHAnsi" w:hAnsiTheme="minorHAnsi"/>
          <w:sz w:val="22"/>
          <w:szCs w:val="22"/>
        </w:rPr>
      </w:pPr>
    </w:p>
    <w:p w14:paraId="22AE4B98" w14:textId="7B98640A" w:rsidR="003754BC" w:rsidRPr="007912A3" w:rsidRDefault="00EC37BB" w:rsidP="003754BC">
      <w:pPr>
        <w:spacing w:before="240" w:line="360" w:lineRule="auto"/>
        <w:rPr>
          <w:b/>
          <w:u w:val="single"/>
        </w:rPr>
      </w:pPr>
      <w:r w:rsidRPr="007912A3">
        <w:rPr>
          <w:b/>
          <w:u w:val="single"/>
        </w:rPr>
        <w:t>Popis potřeb a jejich řešení</w:t>
      </w:r>
    </w:p>
    <w:p w14:paraId="7091742B" w14:textId="77777777" w:rsidR="00EC37BB" w:rsidRPr="00BB3594" w:rsidRDefault="00EC37BB" w:rsidP="00EC37BB">
      <w:pPr>
        <w:pStyle w:val="Default"/>
        <w:jc w:val="both"/>
        <w:rPr>
          <w:rFonts w:asciiTheme="minorHAnsi" w:hAnsiTheme="minorHAnsi"/>
          <w:color w:val="auto"/>
          <w:sz w:val="22"/>
          <w:szCs w:val="22"/>
          <w:lang w:eastAsia="cs-CZ"/>
        </w:rPr>
      </w:pPr>
      <w:r w:rsidRPr="00BB3594">
        <w:rPr>
          <w:rFonts w:asciiTheme="minorHAnsi" w:hAnsiTheme="minorHAnsi"/>
          <w:b/>
          <w:color w:val="auto"/>
          <w:sz w:val="22"/>
          <w:szCs w:val="22"/>
          <w:lang w:eastAsia="cs-CZ"/>
        </w:rPr>
        <w:t xml:space="preserve">Příroda, krajina, biodiverzita a </w:t>
      </w:r>
      <w:r>
        <w:rPr>
          <w:rFonts w:asciiTheme="minorHAnsi" w:hAnsiTheme="minorHAnsi"/>
          <w:b/>
          <w:color w:val="auto"/>
          <w:sz w:val="22"/>
          <w:szCs w:val="22"/>
          <w:lang w:eastAsia="cs-CZ"/>
        </w:rPr>
        <w:t>ekologie</w:t>
      </w:r>
      <w:r w:rsidRPr="00BB3594">
        <w:rPr>
          <w:rFonts w:asciiTheme="minorHAnsi" w:hAnsiTheme="minorHAnsi"/>
          <w:b/>
          <w:color w:val="auto"/>
          <w:sz w:val="22"/>
          <w:szCs w:val="22"/>
          <w:lang w:eastAsia="cs-CZ"/>
        </w:rPr>
        <w:t xml:space="preserve"> přírodních zdrojů </w:t>
      </w:r>
    </w:p>
    <w:p w14:paraId="470B29A9" w14:textId="77777777" w:rsid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rFonts w:eastAsia="Times New Roman"/>
        </w:rPr>
        <w:t>Zvýšení dlouhodobé efektivity ochrany a využívání horninového prostředí, surovinových zdrojů a půdy a snížení jejich zátěže vlivem působení antropogenních činitelů v krajině (např. zábory, kontaminace, ztížení podmínek pro vyhledávání, inventarizaci, využívání a vyhodnocování geologických podmínek, přírodních zdrojů a geofaktorů).</w:t>
      </w:r>
    </w:p>
    <w:p w14:paraId="5044B021" w14:textId="77777777" w:rsid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rFonts w:eastAsia="Times New Roman"/>
        </w:rPr>
        <w:t>Zlepšení ochrany, šetrné a efektivní využívání surovinových zdrojů  v návaznosti na poznatky ze studia vývoje a stavby zemské kůry a</w:t>
      </w:r>
      <w:r w:rsidRPr="00EC37BB">
        <w:t xml:space="preserve"> </w:t>
      </w:r>
      <w:r w:rsidRPr="00EC37BB">
        <w:rPr>
          <w:rFonts w:eastAsia="Times New Roman"/>
        </w:rPr>
        <w:t>využívání druhotných surovin.</w:t>
      </w:r>
    </w:p>
    <w:p w14:paraId="0C198F1E" w14:textId="77777777" w:rsid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rFonts w:eastAsia="Times New Roman"/>
        </w:rPr>
        <w:t>Zvýšení účinnosti ochrany půdy a udržitelnost jejího obhospodařování a jiného využití.</w:t>
      </w:r>
    </w:p>
    <w:p w14:paraId="155C2BD3" w14:textId="77777777" w:rsid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rFonts w:eastAsia="Times New Roman"/>
        </w:rPr>
        <w:t>Zvýšení podpory pro optimalizaci vodního režimu a přírodních procesů v krajině.</w:t>
      </w:r>
    </w:p>
    <w:p w14:paraId="695B2690"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t xml:space="preserve">Zvýšení dlouhodobé efektivity zvláštní územní ochrany přírody a krajiny směřující k podpoře meta populací ubývajících ohrožených druhů a druhů s těžištěm výskytu v biotopech člověkem vytvořených nebo silně ovlivněných. </w:t>
      </w:r>
    </w:p>
    <w:p w14:paraId="477112C9"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t>Vytvoření efektivních typů opatření k udržení přirozených společenstev a přirozených biotopů druhů.</w:t>
      </w:r>
    </w:p>
    <w:p w14:paraId="5A264438"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bCs/>
        </w:rPr>
        <w:t>Zjištění trendů změn biodiverzity v závislosti na změnách přírodního prostředí včetně vlivu invazních druhů.</w:t>
      </w:r>
    </w:p>
    <w:p w14:paraId="31BE7F8D"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t>Hodnocení, mapování a kategorizace ekosystémových služeb včetně vytvoření nástrojů hodnocení jejich věcné správnosti a praktické využitelnosti.</w:t>
      </w:r>
    </w:p>
    <w:p w14:paraId="677F76B0"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t>Návrh adaptačních opatření v jednotlivých sektorech hospodářství ČR a návrh nástrojů pro snižování emisí GHG.</w:t>
      </w:r>
    </w:p>
    <w:p w14:paraId="496B3354"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t>Vytvoření koncepčních nástrojů plánování krajiny.</w:t>
      </w:r>
    </w:p>
    <w:p w14:paraId="55AB8D44"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rFonts w:cs="Calibri"/>
        </w:rPr>
        <w:t>Dlouhodobá perspektiva zajištění surovin pro ekonomiku ČR.</w:t>
      </w:r>
    </w:p>
    <w:p w14:paraId="16C071AF"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rFonts w:cs="Calibri"/>
        </w:rPr>
        <w:t>Pokročilé materiály pro konkurenceschopnost.</w:t>
      </w:r>
    </w:p>
    <w:p w14:paraId="47883EA3" w14:textId="3EAE21E9"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lang w:eastAsia="cs-CZ"/>
        </w:rPr>
        <w:t>Přepokládaný charakter podpory při řešení jednotlivých potřeb v oblasti výzkumu, vývoje a</w:t>
      </w:r>
      <w:r w:rsidR="00146E26">
        <w:rPr>
          <w:lang w:eastAsia="cs-CZ"/>
        </w:rPr>
        <w:t> </w:t>
      </w:r>
      <w:r w:rsidRPr="00EC37BB">
        <w:rPr>
          <w:lang w:eastAsia="cs-CZ"/>
        </w:rPr>
        <w:t>inovací.</w:t>
      </w:r>
    </w:p>
    <w:p w14:paraId="2E9E9230"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lang w:eastAsia="cs-CZ"/>
        </w:rPr>
        <w:t xml:space="preserve">Podpora podnikových investic do aplikovaného výzkumu vlivů oboustranných vazeb na životní prostředí a lidské aktivity, uplatnění informačních technologií a metod DPZ pro stanovení indikátorů životního prostředí, jejich sledování a identifikaci anomálií, jevů, procesů nebo objektů. </w:t>
      </w:r>
    </w:p>
    <w:p w14:paraId="1C69F5D8"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lang w:eastAsia="cs-CZ"/>
        </w:rPr>
        <w:t>Podpora transferu znalostí a dovedností mezi soukromou sférou – výzkumnými organizacemi a státní správou/samosprávou.</w:t>
      </w:r>
    </w:p>
    <w:p w14:paraId="39592C7F" w14:textId="56D59194"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lang w:eastAsia="cs-CZ"/>
        </w:rPr>
        <w:t>Implementace výsledků výzkumů do legislativního procesu pro podporu ochrany přírody a</w:t>
      </w:r>
      <w:r w:rsidR="003E2E6D">
        <w:rPr>
          <w:lang w:eastAsia="cs-CZ"/>
        </w:rPr>
        <w:t> </w:t>
      </w:r>
      <w:r w:rsidRPr="00EC37BB">
        <w:rPr>
          <w:lang w:eastAsia="cs-CZ"/>
        </w:rPr>
        <w:t>krajiny.</w:t>
      </w:r>
    </w:p>
    <w:p w14:paraId="6B34F499"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lang w:eastAsia="cs-CZ"/>
        </w:rPr>
        <w:t>Spolupráce výzkumných center, výzkumných organizací při vytváření scénářů budoucího vývoje, modelování a predikci negativních přírodních změny a jejich vlivů na rozvoj společnosti.</w:t>
      </w:r>
    </w:p>
    <w:p w14:paraId="33FC559B" w14:textId="77777777" w:rsidR="00EC37BB" w:rsidRPr="00EC37BB" w:rsidRDefault="00EC37BB" w:rsidP="00543C1B">
      <w:pPr>
        <w:pStyle w:val="Odstavecseseznamem"/>
        <w:numPr>
          <w:ilvl w:val="0"/>
          <w:numId w:val="99"/>
        </w:numPr>
        <w:suppressAutoHyphens/>
        <w:spacing w:before="120" w:after="120" w:line="360" w:lineRule="auto"/>
        <w:jc w:val="both"/>
        <w:rPr>
          <w:rFonts w:eastAsia="Times New Roman"/>
        </w:rPr>
      </w:pPr>
      <w:r w:rsidRPr="00EC37BB">
        <w:rPr>
          <w:lang w:eastAsia="cs-CZ"/>
        </w:rPr>
        <w:t>Stimulace poptávky ekosystémových služeb.</w:t>
      </w:r>
    </w:p>
    <w:p w14:paraId="4342FAB2" w14:textId="726CF9F1" w:rsidR="00EC37BB" w:rsidRPr="00087EC7" w:rsidRDefault="00EC37BB" w:rsidP="00543C1B">
      <w:pPr>
        <w:pStyle w:val="Odstavecseseznamem"/>
        <w:numPr>
          <w:ilvl w:val="0"/>
          <w:numId w:val="99"/>
        </w:numPr>
        <w:suppressAutoHyphens/>
        <w:spacing w:before="120" w:after="120" w:line="360" w:lineRule="auto"/>
        <w:jc w:val="both"/>
        <w:rPr>
          <w:rFonts w:eastAsia="Times New Roman"/>
        </w:rPr>
      </w:pPr>
      <w:r w:rsidRPr="00EC37BB">
        <w:rPr>
          <w:lang w:eastAsia="cs-CZ"/>
        </w:rPr>
        <w:t>Podpora široké mezinárodní spolupráce v oblasti výzkumu životního prostředí a jeho složek, analýzy, modelování a vývojové scénáře, syntézy a jejich aplikace.</w:t>
      </w:r>
    </w:p>
    <w:p w14:paraId="3120FD88" w14:textId="77777777" w:rsidR="00087EC7" w:rsidRPr="00DE2FCC" w:rsidRDefault="00087EC7" w:rsidP="00087EC7">
      <w:pPr>
        <w:pStyle w:val="Odstavecseseznamem"/>
        <w:suppressAutoHyphens/>
        <w:spacing w:before="120" w:after="120" w:line="360" w:lineRule="auto"/>
        <w:jc w:val="both"/>
        <w:rPr>
          <w:rFonts w:eastAsia="Times New Roman"/>
        </w:rPr>
      </w:pPr>
    </w:p>
    <w:p w14:paraId="520468B6" w14:textId="2B19E339" w:rsidR="00C72920" w:rsidRDefault="00C72920" w:rsidP="00C72920">
      <w:pPr>
        <w:pStyle w:val="Nadpis4"/>
        <w:rPr>
          <w:rFonts w:eastAsia="Times New Roman"/>
        </w:rPr>
      </w:pPr>
      <w:bookmarkStart w:id="149" w:name="_Toc525716236"/>
      <w:r>
        <w:rPr>
          <w:rFonts w:eastAsia="Times New Roman"/>
        </w:rPr>
        <w:t>Udržitelná výstavba, lidská sídla a technická ochrana životního prostředí</w:t>
      </w:r>
      <w:bookmarkEnd w:id="149"/>
    </w:p>
    <w:p w14:paraId="7DDDED5F" w14:textId="7DDF5735" w:rsidR="00C72920" w:rsidRPr="007912A3" w:rsidRDefault="00C72920" w:rsidP="00C72920">
      <w:pPr>
        <w:spacing w:before="240" w:line="360" w:lineRule="auto"/>
        <w:rPr>
          <w:b/>
          <w:u w:val="single"/>
        </w:rPr>
      </w:pPr>
      <w:r w:rsidRPr="007912A3">
        <w:rPr>
          <w:b/>
          <w:u w:val="single"/>
        </w:rPr>
        <w:t>Východiska</w:t>
      </w:r>
    </w:p>
    <w:p w14:paraId="6DB603E0" w14:textId="77777777" w:rsidR="00C72920" w:rsidRPr="00C72920" w:rsidRDefault="00C72920" w:rsidP="00C72920">
      <w:pPr>
        <w:spacing w:line="360" w:lineRule="auto"/>
        <w:jc w:val="both"/>
        <w:rPr>
          <w:rFonts w:cs="Arial"/>
          <w:b/>
        </w:rPr>
      </w:pPr>
      <w:r w:rsidRPr="00C72920">
        <w:rPr>
          <w:rFonts w:cs="Arial"/>
          <w:b/>
        </w:rPr>
        <w:t>Udržitelná výstavba</w:t>
      </w:r>
    </w:p>
    <w:p w14:paraId="7ABF8BCD" w14:textId="77777777" w:rsidR="00C72920" w:rsidRPr="00C72920" w:rsidRDefault="00C72920" w:rsidP="00742D5D">
      <w:pPr>
        <w:spacing w:line="360" w:lineRule="auto"/>
        <w:ind w:firstLine="708"/>
        <w:jc w:val="both"/>
        <w:rPr>
          <w:rFonts w:cs="Arial"/>
        </w:rPr>
      </w:pPr>
      <w:r w:rsidRPr="00C72920">
        <w:rPr>
          <w:rFonts w:cs="Arial"/>
        </w:rPr>
        <w:t>Udržitelná výstavba je součástí trvale udržitelného rozvoje v oblasti výstavby a provozování pozemních a inženýrských staveb. Stavebnictví patří mezi hlavní spotřebitele materiálových a energetických zdrojů i mezi významné znečišťovatele životního prostředí. Udržitelná výstavba představuje kvalitativně nový přístup k navrhování, realizaci a provozování staveb tak, aby splňovaly široké spektrum požadavků funkčních, ekonomických, environmentálních, sociálních a kulturních.</w:t>
      </w:r>
    </w:p>
    <w:p w14:paraId="2163392D" w14:textId="77777777" w:rsidR="00C72920" w:rsidRPr="00C72920" w:rsidRDefault="00C72920" w:rsidP="00C72920">
      <w:pPr>
        <w:spacing w:line="360" w:lineRule="auto"/>
        <w:jc w:val="both"/>
        <w:rPr>
          <w:rFonts w:cs="Arial"/>
          <w:b/>
        </w:rPr>
      </w:pPr>
      <w:r w:rsidRPr="00C72920">
        <w:rPr>
          <w:rFonts w:cs="Arial"/>
          <w:b/>
        </w:rPr>
        <w:t xml:space="preserve">Principy udržitelné výstavby </w:t>
      </w:r>
    </w:p>
    <w:p w14:paraId="76953701" w14:textId="15B5F6F5" w:rsidR="00C72920" w:rsidRPr="00C72920" w:rsidRDefault="00C72920" w:rsidP="007912A3">
      <w:pPr>
        <w:spacing w:after="0" w:line="360" w:lineRule="auto"/>
        <w:ind w:firstLine="708"/>
        <w:jc w:val="both"/>
        <w:rPr>
          <w:rFonts w:cs="Arial"/>
        </w:rPr>
      </w:pPr>
      <w:r w:rsidRPr="00C72920">
        <w:rPr>
          <w:rFonts w:cs="Arial"/>
        </w:rPr>
        <w:t>Stavebnictví hraje v rámci hospodářství Evropské unie významnou roli. Sektor stavebnictví vytváří přibližně 11 % HDP a zaměstnává cca 7,5 % ekonomicky aktivního obyvatelstva. Na výstavbu a</w:t>
      </w:r>
      <w:r w:rsidR="00742D5D">
        <w:rPr>
          <w:rFonts w:cs="Arial"/>
        </w:rPr>
        <w:t> </w:t>
      </w:r>
      <w:r w:rsidRPr="00C72920">
        <w:rPr>
          <w:rFonts w:cs="Arial"/>
        </w:rPr>
        <w:t>využívání staveb připadá zhruba polovina veškerého objemu vytěžených surovin a spotřeby energie a téměř třetina celkové spotřeby vody. Stavebnictví a jeho produkty jsou zodpovědné za 40 % produkce emisí skleníkových plynů (především CO</w:t>
      </w:r>
      <w:r w:rsidRPr="00C72920">
        <w:rPr>
          <w:rFonts w:cs="Arial"/>
          <w:vertAlign w:val="subscript"/>
        </w:rPr>
        <w:t>2</w:t>
      </w:r>
      <w:r w:rsidRPr="00C72920">
        <w:rPr>
          <w:rFonts w:cs="Arial"/>
        </w:rPr>
        <w:t xml:space="preserve">) a produkce pevných odpadů. Udržitelné stavebnictví tak hraje klíčovou roli při dosahování dlouhodobých cílů EU na snížení emisí skleníkových plynů. Stavebnictví rozhodujícím způsobem ovlivňuje socio-ekonomický vývoj v každé průmyslově rozvinuté zemi. </w:t>
      </w:r>
    </w:p>
    <w:p w14:paraId="556C2264" w14:textId="337D3715" w:rsidR="00C72920" w:rsidRPr="00C72920" w:rsidRDefault="00C72920" w:rsidP="007912A3">
      <w:pPr>
        <w:spacing w:after="0" w:line="360" w:lineRule="auto"/>
        <w:ind w:firstLine="708"/>
        <w:jc w:val="both"/>
        <w:rPr>
          <w:rFonts w:cs="Arial"/>
        </w:rPr>
      </w:pPr>
      <w:r w:rsidRPr="00C72920">
        <w:rPr>
          <w:rFonts w:cs="Arial"/>
        </w:rPr>
        <w:t>Z uvedeného vyplývá, že stavební průmysl v porovnání s jinými sektory průmyslu podstatně více ovlivňuje stav životního prostředí a vývoj celé společnosti. Současně tak má i větší potenciál k pozitivnímu ovlivnění udržitelného rozvoje společnosti při uplatnění optimalizačních přístupů v</w:t>
      </w:r>
      <w:r w:rsidR="00201175">
        <w:rPr>
          <w:rFonts w:cs="Arial"/>
        </w:rPr>
        <w:t> </w:t>
      </w:r>
      <w:r w:rsidRPr="00C72920">
        <w:rPr>
          <w:rFonts w:cs="Arial"/>
        </w:rPr>
        <w:t>technologii, návrhu a managementu v rámci životního cyklu staveb. Efektivní využívání nových progresivních materiálů (vysokohodnotných i recyklovaných), konstrukčních řešení, technologií a</w:t>
      </w:r>
      <w:r w:rsidR="00742D5D">
        <w:rPr>
          <w:rFonts w:cs="Arial"/>
        </w:rPr>
        <w:t> </w:t>
      </w:r>
      <w:r w:rsidRPr="00C72920">
        <w:rPr>
          <w:rFonts w:cs="Arial"/>
        </w:rPr>
        <w:t>procesů vedoucích ke zkvalitňování výstavby budov představuje značný potenciál z hlediska zajišťování požadavků udržitelného rozvoje společnosti. Požadovaného celkového pozitivního efektu lze dosáhnout pouze v případě synergie různých optimalizačních přístupů, týkajících se nejenom dnes zejména uvažovaného snižování energetické náročnosti budov a instalaci obnovitelných zdrojů energie, ale i spotřeby neobnovitelných materiálů a vody, kvality vnitřního prostředí a dalších souvisejících ekonomických, environmentálních a sociálních aspektů. U stavebních a demoličních odpadů je nutné se zaměřit na přípravu k jejich opětovnému využití při stavbách a větší míru recyklace, pokud to umožňuje charakter materiálu (tzv. selektivní demolice a postupy třídění vznikajících odpadů přímo na stavbách).</w:t>
      </w:r>
    </w:p>
    <w:p w14:paraId="30702813" w14:textId="6574E841" w:rsidR="00C72920" w:rsidRPr="00C72920" w:rsidRDefault="00C72920" w:rsidP="00742D5D">
      <w:pPr>
        <w:spacing w:line="360" w:lineRule="auto"/>
        <w:ind w:firstLine="708"/>
        <w:jc w:val="both"/>
        <w:rPr>
          <w:rFonts w:cs="Arial"/>
          <w:b/>
        </w:rPr>
      </w:pPr>
      <w:r w:rsidRPr="00C72920">
        <w:rPr>
          <w:rFonts w:cs="Arial"/>
        </w:rPr>
        <w:t>Cesta k udržitelné výstavbě spočívá zejména v uplatňování nových principů při navrhování, realizaci a užívání staveb, využívání nových materiálů a technologií jejich zpracování, nových technologií výstavby, včetně její organizace, nových metod posuzování a hodnocení staveb apod., při současném zachování architektonické a konstrukční pestrosti a variability v navrhování staveb a</w:t>
      </w:r>
      <w:r w:rsidR="00742D5D">
        <w:rPr>
          <w:rFonts w:cs="Arial"/>
        </w:rPr>
        <w:t> </w:t>
      </w:r>
      <w:r w:rsidRPr="00C72920">
        <w:rPr>
          <w:rFonts w:cs="Arial"/>
        </w:rPr>
        <w:t>uživatelsky příjemného prostředí. Takový přístup však vyžaduje akceptovat určité změny v pojetí architektury návrhu (např. zónování vnitřní dispozice s ohledem na energetické požadavky, uplatnění nových technických prvků v architektuře, jako jsou solární kolektory, fotovoltaické články mikrokogenerační výroba elektřiny a tepla aj.), ale i v pojetí konstrukčního řešení (např</w:t>
      </w:r>
      <w:r w:rsidR="00742D5D">
        <w:rPr>
          <w:rFonts w:cs="Arial"/>
        </w:rPr>
        <w:t>.</w:t>
      </w:r>
      <w:r w:rsidRPr="00C72920">
        <w:rPr>
          <w:rFonts w:cs="Arial"/>
        </w:rPr>
        <w:t xml:space="preserve"> demontovatelné konstrukce, vysoce účinné tepelné izolace, využívání recyklovaných materiálů, využití konstrukčních prvků s optimalizovaným tvarem, řízená ventilace vzduchu s rekuperací tepla, rekuperace vzduchu, vytápění na bázi obnovitelných zdrojů aj.).</w:t>
      </w:r>
    </w:p>
    <w:p w14:paraId="59BE4142" w14:textId="77777777" w:rsidR="00C72920" w:rsidRPr="00C72920" w:rsidRDefault="00C72920" w:rsidP="00C72920">
      <w:pPr>
        <w:spacing w:line="360" w:lineRule="auto"/>
        <w:jc w:val="both"/>
        <w:rPr>
          <w:rFonts w:cs="Arial"/>
          <w:b/>
        </w:rPr>
      </w:pPr>
      <w:r w:rsidRPr="00C72920">
        <w:rPr>
          <w:rFonts w:cs="Arial"/>
          <w:b/>
        </w:rPr>
        <w:t>Udržitelnost lidských sídel</w:t>
      </w:r>
    </w:p>
    <w:p w14:paraId="72DA7171" w14:textId="77777777" w:rsidR="00C72920" w:rsidRPr="00C72920" w:rsidRDefault="00C72920" w:rsidP="001C44EE">
      <w:pPr>
        <w:spacing w:line="360" w:lineRule="auto"/>
        <w:ind w:firstLine="708"/>
        <w:jc w:val="both"/>
        <w:rPr>
          <w:rFonts w:cs="Arial"/>
        </w:rPr>
      </w:pPr>
      <w:r w:rsidRPr="00C72920">
        <w:rPr>
          <w:rFonts w:cs="Arial"/>
        </w:rPr>
        <w:t xml:space="preserve">Výstavba a provozování budov patří mezi hlavní spotřebitele materiálových a energetických zdrojů a současně přispívají ke znečišťování životního prostředí. Udržitelná výstavba budov reaguje na obecné požadavky udržitelného rozvoje a představuje kvalitativně nový přístup k navrhování, realizaci a provozování budov tak, aby splňovaly široké spektrum požadavků funkčních, zdravotních, ekonomických, environmentálních, sociálních a kulturních. </w:t>
      </w:r>
    </w:p>
    <w:p w14:paraId="413EEE8B" w14:textId="77777777" w:rsidR="00C72920" w:rsidRPr="00C72920" w:rsidRDefault="00C72920" w:rsidP="00C72920">
      <w:pPr>
        <w:spacing w:line="360" w:lineRule="auto"/>
        <w:jc w:val="both"/>
        <w:rPr>
          <w:rFonts w:cs="Arial"/>
          <w:b/>
        </w:rPr>
      </w:pPr>
      <w:r w:rsidRPr="00C72920">
        <w:rPr>
          <w:rFonts w:cs="Arial"/>
          <w:b/>
        </w:rPr>
        <w:t>Technická ochrana životního prostředí</w:t>
      </w:r>
    </w:p>
    <w:p w14:paraId="10E168E4" w14:textId="2A4E3FC6" w:rsidR="00C72920" w:rsidRDefault="00C72920" w:rsidP="001C44EE">
      <w:pPr>
        <w:spacing w:before="240" w:line="360" w:lineRule="auto"/>
        <w:ind w:firstLine="709"/>
        <w:jc w:val="both"/>
        <w:rPr>
          <w:rFonts w:cs="Arial"/>
        </w:rPr>
      </w:pPr>
      <w:r w:rsidRPr="00C72920">
        <w:rPr>
          <w:rFonts w:cs="Arial"/>
        </w:rPr>
        <w:t>Člověk svou činností významně zasahuje do fungování environmentálních procesů na globální a</w:t>
      </w:r>
      <w:r w:rsidR="001C44EE">
        <w:rPr>
          <w:rFonts w:cs="Arial"/>
        </w:rPr>
        <w:t> </w:t>
      </w:r>
      <w:r w:rsidRPr="00C72920">
        <w:rPr>
          <w:rFonts w:cs="Arial"/>
        </w:rPr>
        <w:t>místní úrovni, často bez znalosti všech vazeb a možných dopadů. V ČR jsou to zejména nevhodné agrotechnické postupy, uvolňování nových chemických látek do prostředí, zdravotně rizikové emise z domácích topenišť na pevná paliva, z dieselových a benzinových motorů dopravy a z toho plynoucí negativní procesy. Přitom řada přírodních procesů a vzájemných vazeb není dostatečně prozkoumána. Významným ohrožením pro stabilní fungování přírodních služeb je probíhající změna klimatu. I když se podaří postupně snižovat emise skleníkových plynů, nastartované změny budou probíhat ještě několik dalších staletí a bude třeba se na ně realizací vhodných opatření adaptovat. S tím souvisí změny vodního režimu, kterým bude nutno věnovat pozornost, zásadní výzvou zůstává určení povodí s nedostatkem vody. Co se týká odpadní vody, je nutné podporovat výzkum zaměřený na monitorování obsahu reziduí léčiv, hormonálních disruptorů a přípravků osobní hygieny v odpadních vodách a jejich průniku do kalů z čistíren komunálních odpadních vod. Rovněž je nezbytné zkoumat inovativní postupy pro efektivní nakládání s kaly z čistíren odpadních vod, které zabezpečí zdravotní nezávadnost kalů a</w:t>
      </w:r>
      <w:r w:rsidR="001C44EE">
        <w:rPr>
          <w:rFonts w:cs="Arial"/>
        </w:rPr>
        <w:t> </w:t>
      </w:r>
      <w:r w:rsidRPr="00C72920">
        <w:rPr>
          <w:rFonts w:cs="Arial"/>
        </w:rPr>
        <w:t>snížení jejich množství. Co se týká hospodaření s odpady, je nutné podporovat projekty zaměřené především na prevenci vzniku odpadů na všech úrovních (technologické inovace, změny technologií, změny designu výrobků, změny výrobních postupů); zvýšení recyklace odpadů a jejich opětovné použití; zavádění inovativních technologií v oblasti účinnějšího využívání primárních surovin a vyššího využití druhotných surovin jako náhrady primárních zdrojů; podporovat zavádění ekodesignu výrobků a projekty zaměřené ověření dosud v České republice neprovozovaných technologií a zařízení k nakládání s odpady. V oblasti ovzduší je třeba omezení emisí znečisťujíc látek z antropogenních zdrojů, zpřesnění modelování znečištění ovzduší a metod stanovení emisí znečišťujících látek. Zlepšení současné situace lze dosáhnout implementací moderních metod a systémů budování inteligentních lidských sídel s minimální energetickou a surovinovou náročností a instalací obnovitelných zdrojů energie.</w:t>
      </w:r>
    </w:p>
    <w:p w14:paraId="0D031DC8" w14:textId="77777777" w:rsidR="007D4B1B" w:rsidRDefault="007D4B1B" w:rsidP="007D4B1B">
      <w:pPr>
        <w:spacing w:before="240" w:line="360" w:lineRule="auto"/>
        <w:jc w:val="both"/>
        <w:rPr>
          <w:rFonts w:cs="Arial"/>
        </w:rPr>
      </w:pPr>
    </w:p>
    <w:p w14:paraId="4B9A42D8" w14:textId="4F30A41F" w:rsidR="007D4B1B" w:rsidRPr="007912A3" w:rsidRDefault="007D4B1B" w:rsidP="007D4B1B">
      <w:pPr>
        <w:spacing w:before="240" w:line="360" w:lineRule="auto"/>
        <w:jc w:val="both"/>
        <w:rPr>
          <w:b/>
          <w:u w:val="single"/>
        </w:rPr>
      </w:pPr>
      <w:r w:rsidRPr="007912A3">
        <w:rPr>
          <w:b/>
          <w:u w:val="single"/>
        </w:rPr>
        <w:t>Popis potřeb a jejich řešení</w:t>
      </w:r>
    </w:p>
    <w:p w14:paraId="23E08F9A" w14:textId="77777777" w:rsidR="007D4B1B" w:rsidRPr="007D4B1B" w:rsidRDefault="007D4B1B" w:rsidP="007D4B1B">
      <w:pPr>
        <w:spacing w:line="360" w:lineRule="auto"/>
        <w:jc w:val="both"/>
        <w:rPr>
          <w:rFonts w:cs="Arial"/>
          <w:b/>
        </w:rPr>
      </w:pPr>
      <w:r w:rsidRPr="007D4B1B">
        <w:rPr>
          <w:rFonts w:cs="Arial"/>
          <w:b/>
        </w:rPr>
        <w:t>Udržitelná výstavba</w:t>
      </w:r>
    </w:p>
    <w:p w14:paraId="78F1BF70" w14:textId="3873A2ED" w:rsidR="007D4B1B" w:rsidRPr="007D4B1B" w:rsidRDefault="007D4B1B" w:rsidP="007D4B1B">
      <w:pPr>
        <w:autoSpaceDE w:val="0"/>
        <w:autoSpaceDN w:val="0"/>
        <w:adjustRightInd w:val="0"/>
        <w:spacing w:after="0" w:line="360" w:lineRule="auto"/>
        <w:jc w:val="both"/>
        <w:rPr>
          <w:rFonts w:cs="Calibri"/>
        </w:rPr>
      </w:pPr>
      <w:r w:rsidRPr="007D4B1B">
        <w:rPr>
          <w:rFonts w:cs="Calibri"/>
        </w:rPr>
        <w:t xml:space="preserve">Hlavním cílem </w:t>
      </w:r>
      <w:r w:rsidRPr="007D4B1B">
        <w:rPr>
          <w:rFonts w:cs="Calibri,Bold"/>
          <w:bCs/>
        </w:rPr>
        <w:t xml:space="preserve">udržitelné výstavby </w:t>
      </w:r>
      <w:r w:rsidRPr="007D4B1B">
        <w:rPr>
          <w:rFonts w:cs="Calibri"/>
        </w:rPr>
        <w:t>je zejména</w:t>
      </w:r>
      <w:r w:rsidR="000F57DE">
        <w:rPr>
          <w:rFonts w:cs="Calibri"/>
        </w:rPr>
        <w:t>:</w:t>
      </w:r>
    </w:p>
    <w:p w14:paraId="6D4A2A3D" w14:textId="77777777" w:rsidR="007D4B1B" w:rsidRPr="007D4B1B" w:rsidRDefault="007D4B1B" w:rsidP="00543C1B">
      <w:pPr>
        <w:pStyle w:val="Odstavecseseznamem"/>
        <w:numPr>
          <w:ilvl w:val="0"/>
          <w:numId w:val="100"/>
        </w:numPr>
        <w:autoSpaceDE w:val="0"/>
        <w:autoSpaceDN w:val="0"/>
        <w:adjustRightInd w:val="0"/>
        <w:spacing w:after="0" w:line="360" w:lineRule="auto"/>
        <w:jc w:val="both"/>
        <w:rPr>
          <w:rFonts w:cs="Calibri,Bold"/>
          <w:bCs/>
        </w:rPr>
      </w:pPr>
      <w:r w:rsidRPr="007D4B1B">
        <w:rPr>
          <w:rFonts w:cs="Calibri"/>
        </w:rPr>
        <w:t>výzkum a využití pokročilých stavebních materiálů a výrobků,</w:t>
      </w:r>
    </w:p>
    <w:p w14:paraId="51435E6B" w14:textId="77777777" w:rsidR="007D4B1B" w:rsidRPr="007D4B1B" w:rsidRDefault="007D4B1B" w:rsidP="00543C1B">
      <w:pPr>
        <w:pStyle w:val="Odstavecseseznamem"/>
        <w:numPr>
          <w:ilvl w:val="0"/>
          <w:numId w:val="100"/>
        </w:numPr>
        <w:autoSpaceDE w:val="0"/>
        <w:autoSpaceDN w:val="0"/>
        <w:adjustRightInd w:val="0"/>
        <w:spacing w:after="0" w:line="360" w:lineRule="auto"/>
        <w:jc w:val="both"/>
        <w:rPr>
          <w:rFonts w:cs="Calibri,Bold"/>
          <w:bCs/>
        </w:rPr>
      </w:pPr>
      <w:r w:rsidRPr="007D4B1B">
        <w:rPr>
          <w:rFonts w:cs="Calibri"/>
        </w:rPr>
        <w:t>výzkum a vývoj pokročilých technologií,</w:t>
      </w:r>
    </w:p>
    <w:p w14:paraId="208A1D3E" w14:textId="77777777" w:rsidR="007D4B1B" w:rsidRPr="007D4B1B" w:rsidRDefault="007D4B1B" w:rsidP="00543C1B">
      <w:pPr>
        <w:pStyle w:val="Odstavecseseznamem"/>
        <w:numPr>
          <w:ilvl w:val="0"/>
          <w:numId w:val="100"/>
        </w:numPr>
        <w:autoSpaceDE w:val="0"/>
        <w:autoSpaceDN w:val="0"/>
        <w:adjustRightInd w:val="0"/>
        <w:spacing w:after="0" w:line="360" w:lineRule="auto"/>
        <w:jc w:val="both"/>
        <w:rPr>
          <w:rFonts w:cs="Calibri,Bold"/>
          <w:bCs/>
        </w:rPr>
      </w:pPr>
      <w:r w:rsidRPr="007D4B1B">
        <w:rPr>
          <w:rFonts w:cs="Calibri"/>
        </w:rPr>
        <w:t xml:space="preserve">výzkum a implementace moderních metod a systémů výstavby </w:t>
      </w:r>
      <w:r w:rsidRPr="007D4B1B">
        <w:rPr>
          <w:rFonts w:cs="Calibri,Bold"/>
          <w:bCs/>
        </w:rPr>
        <w:t>inteligentních staveb pozemního a inženýrského stavitelství,</w:t>
      </w:r>
    </w:p>
    <w:p w14:paraId="6D909C5A" w14:textId="77777777" w:rsidR="007D4B1B" w:rsidRPr="007D4B1B" w:rsidRDefault="007D4B1B" w:rsidP="00543C1B">
      <w:pPr>
        <w:pStyle w:val="Odstavecseseznamem"/>
        <w:numPr>
          <w:ilvl w:val="0"/>
          <w:numId w:val="100"/>
        </w:numPr>
        <w:autoSpaceDE w:val="0"/>
        <w:autoSpaceDN w:val="0"/>
        <w:adjustRightInd w:val="0"/>
        <w:spacing w:after="0" w:line="360" w:lineRule="auto"/>
        <w:jc w:val="both"/>
        <w:rPr>
          <w:rFonts w:cs="Calibri,Bold"/>
          <w:bCs/>
        </w:rPr>
      </w:pPr>
      <w:r w:rsidRPr="007D4B1B">
        <w:rPr>
          <w:rFonts w:cs="Calibri,Bold"/>
          <w:bCs/>
        </w:rPr>
        <w:t>minimalizace negativních dopadů na životní prostředí zejména s ohledem na</w:t>
      </w:r>
      <w:r w:rsidRPr="007D4B1B">
        <w:rPr>
          <w:rFonts w:cs="Calibri"/>
        </w:rPr>
        <w:t xml:space="preserve"> energetickou náročnost </w:t>
      </w:r>
      <w:r w:rsidRPr="007D4B1B">
        <w:rPr>
          <w:rFonts w:cs="Calibri,Bold"/>
          <w:bCs/>
        </w:rPr>
        <w:t>výstavby, provozu, rekonstrukce případně dekonstrukce staveb</w:t>
      </w:r>
      <w:r w:rsidRPr="007D4B1B">
        <w:rPr>
          <w:rFonts w:cs="Calibri"/>
        </w:rPr>
        <w:t xml:space="preserve"> a surovinovou náročnost procesu výstavby,</w:t>
      </w:r>
    </w:p>
    <w:p w14:paraId="5FCB17D0" w14:textId="77777777" w:rsidR="007D4B1B" w:rsidRPr="007D4B1B" w:rsidRDefault="007D4B1B" w:rsidP="00543C1B">
      <w:pPr>
        <w:pStyle w:val="Odstavecseseznamem"/>
        <w:numPr>
          <w:ilvl w:val="0"/>
          <w:numId w:val="100"/>
        </w:numPr>
        <w:autoSpaceDE w:val="0"/>
        <w:autoSpaceDN w:val="0"/>
        <w:adjustRightInd w:val="0"/>
        <w:spacing w:after="0" w:line="360" w:lineRule="auto"/>
        <w:jc w:val="both"/>
        <w:rPr>
          <w:rFonts w:cs="Calibri,Bold"/>
          <w:bCs/>
        </w:rPr>
      </w:pPr>
      <w:r w:rsidRPr="007D4B1B">
        <w:rPr>
          <w:rFonts w:cs="Calibri,Bold"/>
          <w:bCs/>
        </w:rPr>
        <w:t>snižování energetické náročnosti výroby a dopravy stavebních materiálů a surovin,</w:t>
      </w:r>
    </w:p>
    <w:p w14:paraId="0D5D6ECB" w14:textId="77777777" w:rsidR="007D4B1B" w:rsidRPr="007D4B1B" w:rsidRDefault="007D4B1B" w:rsidP="00543C1B">
      <w:pPr>
        <w:pStyle w:val="Odstavecseseznamem"/>
        <w:numPr>
          <w:ilvl w:val="0"/>
          <w:numId w:val="100"/>
        </w:numPr>
        <w:autoSpaceDE w:val="0"/>
        <w:autoSpaceDN w:val="0"/>
        <w:adjustRightInd w:val="0"/>
        <w:spacing w:after="0" w:line="360" w:lineRule="auto"/>
        <w:jc w:val="both"/>
        <w:rPr>
          <w:rFonts w:cs="Calibri,Bold"/>
          <w:bCs/>
        </w:rPr>
      </w:pPr>
      <w:r w:rsidRPr="007D4B1B">
        <w:rPr>
          <w:rFonts w:cs="Calibri,Bold"/>
          <w:bCs/>
        </w:rPr>
        <w:t>využívání materiálů z obnovitelných zdrojů a druhotných surovin,</w:t>
      </w:r>
    </w:p>
    <w:p w14:paraId="54700842" w14:textId="28632916" w:rsidR="007D4B1B" w:rsidRPr="007D4B1B" w:rsidRDefault="007D4B1B" w:rsidP="00543C1B">
      <w:pPr>
        <w:pStyle w:val="Odstavecseseznamem"/>
        <w:numPr>
          <w:ilvl w:val="0"/>
          <w:numId w:val="100"/>
        </w:numPr>
        <w:autoSpaceDE w:val="0"/>
        <w:autoSpaceDN w:val="0"/>
        <w:adjustRightInd w:val="0"/>
        <w:spacing w:after="0" w:line="360" w:lineRule="auto"/>
        <w:jc w:val="both"/>
        <w:rPr>
          <w:rFonts w:cs="Calibri,Bold"/>
          <w:bCs/>
        </w:rPr>
      </w:pPr>
      <w:r w:rsidRPr="007D4B1B">
        <w:rPr>
          <w:rFonts w:cs="Calibri"/>
        </w:rPr>
        <w:t>dosažení kvalitního vnitřního prostředí budov</w:t>
      </w:r>
      <w:r w:rsidR="007C5FEF">
        <w:rPr>
          <w:rFonts w:cs="Calibri"/>
        </w:rPr>
        <w:t xml:space="preserve"> </w:t>
      </w:r>
      <w:r w:rsidR="007C5FEF">
        <w:rPr>
          <w:rFonts w:cstheme="minorHAnsi"/>
        </w:rPr>
        <w:t>včetně jejich obvodového pláště a přístupu k nim</w:t>
      </w:r>
      <w:r w:rsidRPr="007D4B1B">
        <w:rPr>
          <w:rFonts w:cs="Calibri,Bold"/>
          <w:bCs/>
        </w:rPr>
        <w:t>.</w:t>
      </w:r>
    </w:p>
    <w:p w14:paraId="68F9B3C0" w14:textId="396A9E8F" w:rsidR="007D4B1B" w:rsidRPr="007D4B1B" w:rsidRDefault="007D4B1B" w:rsidP="00B72453">
      <w:pPr>
        <w:autoSpaceDE w:val="0"/>
        <w:autoSpaceDN w:val="0"/>
        <w:adjustRightInd w:val="0"/>
        <w:spacing w:after="0" w:line="360" w:lineRule="auto"/>
        <w:ind w:firstLine="709"/>
        <w:jc w:val="both"/>
        <w:rPr>
          <w:rFonts w:cs="Calibri,Bold"/>
          <w:bCs/>
        </w:rPr>
      </w:pPr>
      <w:r w:rsidRPr="007D4B1B">
        <w:rPr>
          <w:rFonts w:cs="Calibri,Bold"/>
          <w:bCs/>
        </w:rPr>
        <w:t>Stavby pozemního a inženýrského stavitelství byly odedávna zakládány v blízkosti zdroje vody, surovin a energie. Při plánování staveb by měl být i nadále kladen důraz na snižování množství a</w:t>
      </w:r>
      <w:r w:rsidR="000F57DE">
        <w:rPr>
          <w:rFonts w:cs="Calibri,Bold"/>
          <w:bCs/>
        </w:rPr>
        <w:t> </w:t>
      </w:r>
      <w:r w:rsidRPr="007D4B1B">
        <w:rPr>
          <w:rFonts w:cs="Calibri,Bold"/>
          <w:bCs/>
        </w:rPr>
        <w:t>vzdálenosti importovaných surovin a energie a na získávání maxima energie z obnovitelných zdrojů či z využívání odpadů.</w:t>
      </w:r>
    </w:p>
    <w:p w14:paraId="4E71BC8B" w14:textId="77777777" w:rsidR="007D4B1B" w:rsidRDefault="007D4B1B" w:rsidP="007D4B1B">
      <w:pPr>
        <w:autoSpaceDE w:val="0"/>
        <w:autoSpaceDN w:val="0"/>
        <w:adjustRightInd w:val="0"/>
        <w:spacing w:after="0" w:line="360" w:lineRule="auto"/>
        <w:jc w:val="both"/>
        <w:rPr>
          <w:rFonts w:cs="Calibri,Bold"/>
          <w:bCs/>
        </w:rPr>
      </w:pPr>
    </w:p>
    <w:p w14:paraId="7C5AFAA2" w14:textId="77777777" w:rsidR="007D4B1B" w:rsidRPr="007D4B1B" w:rsidRDefault="007D4B1B" w:rsidP="007D4B1B">
      <w:pPr>
        <w:spacing w:line="360" w:lineRule="auto"/>
        <w:jc w:val="both"/>
        <w:rPr>
          <w:rFonts w:cs="Arial"/>
          <w:b/>
        </w:rPr>
      </w:pPr>
      <w:r w:rsidRPr="007D4B1B">
        <w:rPr>
          <w:rFonts w:cs="Arial"/>
          <w:b/>
        </w:rPr>
        <w:t>Udržitelnost lidských sídel</w:t>
      </w:r>
    </w:p>
    <w:p w14:paraId="494E0666" w14:textId="77777777" w:rsidR="007D4B1B" w:rsidRPr="007D4B1B" w:rsidRDefault="007D4B1B" w:rsidP="000F57DE">
      <w:pPr>
        <w:autoSpaceDE w:val="0"/>
        <w:autoSpaceDN w:val="0"/>
        <w:adjustRightInd w:val="0"/>
        <w:spacing w:after="0" w:line="360" w:lineRule="auto"/>
        <w:ind w:firstLine="708"/>
        <w:jc w:val="both"/>
        <w:rPr>
          <w:rFonts w:cs="Calibri,Bold"/>
          <w:bCs/>
        </w:rPr>
      </w:pPr>
      <w:r w:rsidRPr="007D4B1B">
        <w:rPr>
          <w:rFonts w:cs="Calibri"/>
        </w:rPr>
        <w:t xml:space="preserve">Hlavním cílem výzkumu realizovaného v oblasti </w:t>
      </w:r>
      <w:r w:rsidRPr="007D4B1B">
        <w:rPr>
          <w:rFonts w:cs="Calibri,Bold"/>
          <w:bCs/>
        </w:rPr>
        <w:t xml:space="preserve">„lidských sídel“ </w:t>
      </w:r>
      <w:r w:rsidRPr="007D4B1B">
        <w:rPr>
          <w:rFonts w:cs="Calibri"/>
        </w:rPr>
        <w:t xml:space="preserve">je výzkum a implementace moderních metod a systémů budování </w:t>
      </w:r>
      <w:r w:rsidRPr="007D4B1B">
        <w:rPr>
          <w:rFonts w:cs="Calibri,Bold"/>
          <w:bCs/>
        </w:rPr>
        <w:t xml:space="preserve">inteligentních lidských sídel </w:t>
      </w:r>
      <w:r w:rsidRPr="007D4B1B">
        <w:rPr>
          <w:rFonts w:cs="Calibri"/>
        </w:rPr>
        <w:t xml:space="preserve">s minimální energetickou a surovinovou náročností se zapojením energie z obnovitelných zdrojů a výzkumem způsobů dosažení </w:t>
      </w:r>
      <w:r w:rsidRPr="007D4B1B">
        <w:rPr>
          <w:rFonts w:cs="Calibri,Bold"/>
          <w:bCs/>
        </w:rPr>
        <w:t>dostatečné environmentální bezpečnosti.</w:t>
      </w:r>
    </w:p>
    <w:p w14:paraId="5158401C" w14:textId="77777777" w:rsidR="007D4B1B" w:rsidRPr="007D4B1B" w:rsidRDefault="007D4B1B" w:rsidP="000F57DE">
      <w:pPr>
        <w:autoSpaceDE w:val="0"/>
        <w:autoSpaceDN w:val="0"/>
        <w:adjustRightInd w:val="0"/>
        <w:spacing w:after="0" w:line="360" w:lineRule="auto"/>
        <w:ind w:firstLine="708"/>
        <w:jc w:val="both"/>
        <w:rPr>
          <w:rFonts w:cs="Calibri,Bold"/>
          <w:bCs/>
        </w:rPr>
      </w:pPr>
      <w:r w:rsidRPr="007D4B1B">
        <w:rPr>
          <w:rFonts w:cs="Calibri,Bold"/>
          <w:bCs/>
        </w:rPr>
        <w:t>Snahy udržitelného plánování jsou: především minimalizovat negativní následky na životní prostředí a spotřebu energie na výstavbu, provoz a rekonstrukci/recyklaci staveb, zapojení zelených struktur měst. Do energetické náročnosti výstavby patří i energetické nároky na výrobu a dopravu stavebních materiálů a surovin.</w:t>
      </w:r>
    </w:p>
    <w:p w14:paraId="41A04FD5" w14:textId="57EC9A86" w:rsidR="007D4B1B" w:rsidRPr="007D4B1B" w:rsidRDefault="007D4B1B" w:rsidP="000F57DE">
      <w:pPr>
        <w:autoSpaceDE w:val="0"/>
        <w:autoSpaceDN w:val="0"/>
        <w:adjustRightInd w:val="0"/>
        <w:spacing w:after="0" w:line="360" w:lineRule="auto"/>
        <w:ind w:firstLine="708"/>
        <w:jc w:val="both"/>
        <w:rPr>
          <w:rFonts w:cs="Calibri,Bold"/>
          <w:bCs/>
        </w:rPr>
      </w:pPr>
      <w:r w:rsidRPr="007D4B1B">
        <w:rPr>
          <w:rFonts w:cs="Calibri,Bold"/>
          <w:bCs/>
        </w:rPr>
        <w:t>Důraz klást na používání materiálů z obnovitelných zdrojů a orientaci vůči světovým stranám při umisťování a formování staveb. Rovněž je nutné se zaměřit na snižování produkce odpadů v rámci lidských sídel. Důraz je kladen na zohlednění dostatečných zdrojů vody při plánování výstavby a</w:t>
      </w:r>
      <w:r w:rsidR="00BB136A">
        <w:rPr>
          <w:rFonts w:cs="Calibri,Bold"/>
          <w:bCs/>
        </w:rPr>
        <w:t> </w:t>
      </w:r>
      <w:r w:rsidRPr="007D4B1B">
        <w:rPr>
          <w:rFonts w:cs="Calibri,Bold"/>
          <w:bCs/>
        </w:rPr>
        <w:t>resilienci</w:t>
      </w:r>
      <w:r w:rsidRPr="007D4B1B">
        <w:rPr>
          <w:lang w:eastAsia="cs-CZ"/>
        </w:rPr>
        <w:t xml:space="preserve"> staveb k meteorologickým extrémům. Součástí udržitelnosti sídel je i jejich schopnost odolávat přírodním jevům potenciálně vedoucím ke vzniku krizových situací (katastrof), a to jak minimalizací expozice přírodním nebezpečím, tak zvyšováním resilience v sídlech žijících komunit a zajištěním odolnosti staveb a struktur.</w:t>
      </w:r>
    </w:p>
    <w:p w14:paraId="3E237A2B" w14:textId="77777777" w:rsidR="007D4B1B" w:rsidRPr="007D4B1B" w:rsidRDefault="007D4B1B" w:rsidP="007D4B1B">
      <w:pPr>
        <w:spacing w:line="360" w:lineRule="auto"/>
        <w:rPr>
          <w:rFonts w:cs="Arial"/>
          <w:b/>
        </w:rPr>
      </w:pPr>
    </w:p>
    <w:p w14:paraId="72128AA6" w14:textId="77777777" w:rsidR="007D4B1B" w:rsidRPr="007D4B1B" w:rsidRDefault="007D4B1B" w:rsidP="007D4B1B">
      <w:pPr>
        <w:spacing w:line="360" w:lineRule="auto"/>
        <w:rPr>
          <w:rFonts w:cs="Arial"/>
          <w:b/>
        </w:rPr>
      </w:pPr>
      <w:r w:rsidRPr="007D4B1B">
        <w:rPr>
          <w:rFonts w:cs="Arial"/>
          <w:b/>
        </w:rPr>
        <w:t>Technická ochrana životního prostředí</w:t>
      </w:r>
    </w:p>
    <w:p w14:paraId="4C5E0A00" w14:textId="77777777" w:rsidR="007D4B1B" w:rsidRPr="007D4B1B" w:rsidRDefault="007D4B1B" w:rsidP="00397585">
      <w:pPr>
        <w:pStyle w:val="Obsah3"/>
      </w:pPr>
      <w:r w:rsidRPr="007D4B1B">
        <w:t xml:space="preserve">Stav přírodních zdrojů a změny ekosystémů ovlivňují veškeré složky lidského života, protože člověk je naprosto závislý na ekosystémech a službách, jež poskytují, jako je potrava, dýchatelné ovzduší, čistá voda, regulace chorob, regulace klimatu a úrodná půda. Přitom stále dostatečně neznáme přírodní procesy a jejich nositele, to znamená přírodní organizmy v jejich prostředí a jejich vzájemnou provázanost v rámci ekosystémů.  </w:t>
      </w:r>
    </w:p>
    <w:p w14:paraId="4EB27A0A" w14:textId="5BB7D66A" w:rsidR="007D4B1B" w:rsidRPr="007D4B1B" w:rsidRDefault="007D4B1B" w:rsidP="007912A3">
      <w:pPr>
        <w:spacing w:after="0" w:line="360" w:lineRule="auto"/>
        <w:ind w:firstLine="708"/>
        <w:jc w:val="both"/>
        <w:rPr>
          <w:rFonts w:cs="Arial"/>
          <w:lang w:eastAsia="cs-CZ"/>
        </w:rPr>
      </w:pPr>
      <w:r w:rsidRPr="007D4B1B">
        <w:rPr>
          <w:rFonts w:cs="Arial"/>
          <w:b/>
          <w:lang w:eastAsia="cs-CZ"/>
        </w:rPr>
        <w:t xml:space="preserve">Posuzování vlivů na životní prostředí a integrovaná prevence, </w:t>
      </w:r>
      <w:r w:rsidRPr="007D4B1B">
        <w:rPr>
          <w:rFonts w:cs="Arial"/>
          <w:lang w:eastAsia="cs-CZ"/>
        </w:rPr>
        <w:t>zde je potřeba zjistit dopad lidského působení na stav přírodního prostředí. Řešením je výzkum a zajištění prevence negativních jevů souvisejících se změnami životního prostředí a změnami chování společnosti ve vztahu k ochraně životního prostředí a užívání přírodních zdrojů, jako jsou dopady změny klimatu a přírodních katastrof, důsledky úbytku druhů pro ekosystémové služby a mnohé další.</w:t>
      </w:r>
      <w:r w:rsidRPr="007D4B1B">
        <w:rPr>
          <w:rFonts w:cs="Arial"/>
        </w:rPr>
        <w:t xml:space="preserve"> Aplikace technologií a materiálů s</w:t>
      </w:r>
      <w:r w:rsidR="0048223A">
        <w:rPr>
          <w:rFonts w:cs="Arial"/>
        </w:rPr>
        <w:t> </w:t>
      </w:r>
      <w:r w:rsidRPr="007D4B1B">
        <w:rPr>
          <w:rFonts w:cs="Arial"/>
        </w:rPr>
        <w:t xml:space="preserve">minimálním vlivem na životní prostředí, k zavádění biotechnologií do výroby a k využívání biotechnologií při produkci obnovitelných zdrojů surovin a energie. </w:t>
      </w:r>
    </w:p>
    <w:p w14:paraId="3000BBE2" w14:textId="2C3D25B8" w:rsidR="007D4B1B" w:rsidRPr="007D4B1B" w:rsidRDefault="007D4B1B" w:rsidP="005F6871">
      <w:pPr>
        <w:spacing w:after="60" w:line="360" w:lineRule="auto"/>
        <w:ind w:firstLine="708"/>
        <w:jc w:val="both"/>
        <w:rPr>
          <w:rFonts w:cs="Arial"/>
        </w:rPr>
      </w:pPr>
      <w:r w:rsidRPr="007D4B1B">
        <w:rPr>
          <w:rFonts w:cs="Arial"/>
        </w:rPr>
        <w:t>V oblasti hospodaření s odpady je nezbytné ve stále větší míře přecházet na principy a procesy oběhového hospodářství. V rámci předcházení vzniku odpadů a snižování měrné produkce odpadů je nutné podporovat ekodesign výrobků, využívání výrobků s delší životností, prosazování opravitelnosti a recyklovatelnosti výrobků, snižování produkce nerecyklovatelných výrobků. Provádět osvětové a</w:t>
      </w:r>
      <w:r w:rsidR="005F6871">
        <w:rPr>
          <w:rFonts w:cs="Arial"/>
        </w:rPr>
        <w:t> </w:t>
      </w:r>
      <w:r w:rsidRPr="007D4B1B">
        <w:rPr>
          <w:rFonts w:cs="Arial"/>
        </w:rPr>
        <w:t xml:space="preserve">vzdělávací akce informující o možnostech a způsobech předcházení vzniku odpadů. </w:t>
      </w:r>
    </w:p>
    <w:p w14:paraId="2734964F" w14:textId="77777777" w:rsidR="007D4B1B" w:rsidRPr="007D4B1B" w:rsidRDefault="007D4B1B" w:rsidP="007D4B1B">
      <w:pPr>
        <w:spacing w:after="60" w:line="360" w:lineRule="auto"/>
        <w:jc w:val="both"/>
        <w:rPr>
          <w:rFonts w:cs="Arial"/>
        </w:rPr>
      </w:pPr>
      <w:r w:rsidRPr="007D4B1B">
        <w:rPr>
          <w:rFonts w:cs="Arial"/>
        </w:rPr>
        <w:t xml:space="preserve">Je nezbytné maximálně využívat odpady a druhotné suroviny jako náhrady primárních zdrojů zaváděním inovativních a nízko-odpadových technologií ve výrobních procesech, šetřících vstupní primární suroviny a snižující dopady antropogenních vlivů na životní prostředí. </w:t>
      </w:r>
    </w:p>
    <w:p w14:paraId="277719EF" w14:textId="77777777" w:rsidR="007D4B1B" w:rsidRPr="007D4B1B" w:rsidRDefault="007D4B1B" w:rsidP="006D16F4">
      <w:pPr>
        <w:spacing w:after="0" w:line="360" w:lineRule="auto"/>
        <w:jc w:val="both"/>
        <w:rPr>
          <w:rFonts w:cs="Arial"/>
        </w:rPr>
      </w:pPr>
      <w:r w:rsidRPr="007D4B1B">
        <w:rPr>
          <w:rFonts w:cs="Arial"/>
        </w:rPr>
        <w:t>Při nakládání s odpady je nutné důsledně uplatňovat hierarchii nakládání s odpady v pořadí: předcházení vzniku, příprava k opětovnému použití, recyklace, jiné využití (například energetické využití) a bezpečné odstranění.</w:t>
      </w:r>
    </w:p>
    <w:p w14:paraId="1F2AB95F" w14:textId="77777777" w:rsidR="007D4B1B" w:rsidRPr="007D4B1B" w:rsidRDefault="007D4B1B" w:rsidP="006D16F4">
      <w:pPr>
        <w:spacing w:after="0" w:line="360" w:lineRule="auto"/>
        <w:ind w:firstLine="708"/>
        <w:jc w:val="both"/>
        <w:rPr>
          <w:rFonts w:cs="Arial"/>
        </w:rPr>
      </w:pPr>
      <w:r w:rsidRPr="007D4B1B">
        <w:rPr>
          <w:rFonts w:cs="Arial"/>
        </w:rPr>
        <w:t>Postupně omezovat skládkování všech druhů odpadů a udržovat odpady v ekonomickém cyklu.</w:t>
      </w:r>
    </w:p>
    <w:p w14:paraId="4516394B" w14:textId="362EDEB3" w:rsidR="007D4B1B" w:rsidRPr="007D4B1B" w:rsidRDefault="007D4B1B" w:rsidP="006D16F4">
      <w:pPr>
        <w:spacing w:after="0" w:line="360" w:lineRule="auto"/>
        <w:jc w:val="both"/>
        <w:rPr>
          <w:rFonts w:cs="Arial"/>
          <w:lang w:eastAsia="cs-CZ"/>
        </w:rPr>
      </w:pPr>
      <w:r w:rsidRPr="007D4B1B">
        <w:rPr>
          <w:rFonts w:cs="Arial"/>
          <w:lang w:eastAsia="cs-CZ"/>
        </w:rPr>
        <w:t xml:space="preserve">Významným úkolem </w:t>
      </w:r>
      <w:r w:rsidRPr="007D4B1B">
        <w:rPr>
          <w:rFonts w:cs="Arial"/>
          <w:b/>
          <w:lang w:eastAsia="cs-CZ"/>
        </w:rPr>
        <w:t xml:space="preserve">ochrany vody </w:t>
      </w:r>
      <w:r w:rsidRPr="007D4B1B">
        <w:rPr>
          <w:rFonts w:cs="Arial"/>
          <w:lang w:eastAsia="cs-CZ"/>
        </w:rPr>
        <w:t>je ochrana před kontaminacemi chemickými látkami, povodněmi a</w:t>
      </w:r>
      <w:r w:rsidR="00E874C6">
        <w:rPr>
          <w:rFonts w:cs="Arial"/>
          <w:lang w:eastAsia="cs-CZ"/>
        </w:rPr>
        <w:t> </w:t>
      </w:r>
      <w:r w:rsidRPr="007D4B1B">
        <w:rPr>
          <w:rFonts w:cs="Arial"/>
          <w:lang w:eastAsia="cs-CZ"/>
        </w:rPr>
        <w:t>příprava a realizace opatření pro zmírnění negativních dopadů sucha a nedostatku vody. Řešením je péče o krajinu, zvýšení organické složky v půdě, revitalizace říčních toků, protierozní opatření, monitoring a vyhodnocování hydrometeorologických, hydrologických a hydrogeologických prvků, hodnocení a predikce sucha (jeho závažnosti, frekvence a územního výskytu) a povodní včetně efektivity adaptačních opatření a souvislosti s předpokládanou změnou klimatu a optimalizace návrhu integrované ochrany území (např. pomocí pozemkových úprav) formou výzkumu stavu, užívání a změn vodních ekosystémů a jejich vazeb v krajině.</w:t>
      </w:r>
    </w:p>
    <w:p w14:paraId="00A0CC8A" w14:textId="21539186" w:rsidR="007D4B1B" w:rsidRPr="007D4B1B" w:rsidRDefault="007D4B1B" w:rsidP="007912A3">
      <w:pPr>
        <w:spacing w:after="0" w:line="360" w:lineRule="auto"/>
        <w:ind w:firstLine="708"/>
        <w:jc w:val="both"/>
        <w:rPr>
          <w:rFonts w:cs="Calibri,Bold"/>
          <w:bCs/>
        </w:rPr>
      </w:pPr>
      <w:r w:rsidRPr="007D4B1B">
        <w:rPr>
          <w:rFonts w:cs="Arial"/>
          <w:lang w:eastAsia="cs-CZ"/>
        </w:rPr>
        <w:t>V oblasti</w:t>
      </w:r>
      <w:r w:rsidRPr="007D4B1B">
        <w:rPr>
          <w:rFonts w:cs="Arial"/>
          <w:b/>
          <w:lang w:eastAsia="cs-CZ"/>
        </w:rPr>
        <w:t xml:space="preserve"> environmentálních rizik a ekologických škod </w:t>
      </w:r>
      <w:r w:rsidRPr="007D4B1B">
        <w:rPr>
          <w:rFonts w:cs="Arial"/>
          <w:lang w:eastAsia="cs-CZ"/>
        </w:rPr>
        <w:t>je potřeba se zaměřit na odstraňování nebezpečných látek – starých škod z životního prostředí i na prevenci možných rizik,</w:t>
      </w:r>
      <w:r w:rsidRPr="007D4B1B">
        <w:t xml:space="preserve"> na </w:t>
      </w:r>
      <w:r w:rsidRPr="007D4B1B">
        <w:rPr>
          <w:rFonts w:cs="Arial"/>
          <w:lang w:eastAsia="cs-CZ"/>
        </w:rPr>
        <w:t>ekologické škody spojené se znečištěním ovzduší, půdy a vod a přenosem znečišťujících látek mezi těmito složkami životního prostředí. Velké ekologické zátěže jsou spojeny zejména s chemickým průmyslem, dále s</w:t>
      </w:r>
      <w:r w:rsidR="00E874C6">
        <w:rPr>
          <w:rFonts w:cs="Arial"/>
          <w:lang w:eastAsia="cs-CZ"/>
        </w:rPr>
        <w:t> </w:t>
      </w:r>
      <w:r w:rsidRPr="007D4B1B">
        <w:rPr>
          <w:rFonts w:cs="Arial"/>
          <w:lang w:eastAsia="cs-CZ"/>
        </w:rPr>
        <w:t>chemickými úpravami, které doprovázejí prakticky každou větší průmyslovou nebo energetickou výrobu a se znečištěním ropnými látkami, zejména v místech jejich výroby, recyklace, úpravy či skladování. Zvýšení snahy o znovuvyužití bývalých průmyslových a zemědělských areálů, a dalších území, jejichž hodnota je snížena environmentální zátěží, významně přispívá k minimalizaci záborů zemědělské a lesní půdy, zabraňuje negativnímu ovlivnění vodního režimu krajiny a snižuje environmentální a zdravotní rizika pro obyvatele. Řešením je rozvoj environmentálně příznivé společnosti, pro niž je používán termín „zelená ekonomika“, dále na environmentální vzdělávání, výchovu a osvětu.</w:t>
      </w:r>
      <w:r w:rsidRPr="007D4B1B">
        <w:rPr>
          <w:rFonts w:cs="Arial"/>
          <w:b/>
        </w:rPr>
        <w:t xml:space="preserve"> </w:t>
      </w:r>
    </w:p>
    <w:p w14:paraId="33D378E4" w14:textId="77777777" w:rsidR="007D4B1B" w:rsidRPr="007D4B1B" w:rsidRDefault="007D4B1B" w:rsidP="006D16F4">
      <w:pPr>
        <w:spacing w:after="0" w:line="360" w:lineRule="auto"/>
        <w:ind w:firstLine="708"/>
        <w:jc w:val="both"/>
        <w:rPr>
          <w:rFonts w:cs="Arial"/>
          <w:lang w:eastAsia="cs-CZ"/>
        </w:rPr>
      </w:pPr>
      <w:r w:rsidRPr="007D4B1B">
        <w:rPr>
          <w:rFonts w:cs="Arial"/>
          <w:lang w:eastAsia="cs-CZ"/>
        </w:rPr>
        <w:t xml:space="preserve">Pro oblast </w:t>
      </w:r>
      <w:r w:rsidRPr="007D4B1B">
        <w:rPr>
          <w:rFonts w:cs="Arial"/>
          <w:b/>
          <w:lang w:eastAsia="cs-CZ"/>
        </w:rPr>
        <w:t xml:space="preserve">průmyslu a ochrany klimatu </w:t>
      </w:r>
      <w:r w:rsidRPr="007D4B1B">
        <w:rPr>
          <w:rFonts w:cs="Arial"/>
          <w:lang w:eastAsia="cs-CZ"/>
        </w:rPr>
        <w:t>je potřeba snížit energetickou a materiálovou náročnosti ekonomiky</w:t>
      </w:r>
      <w:r w:rsidRPr="007D4B1B" w:rsidDel="00D779B8">
        <w:rPr>
          <w:rFonts w:cs="Arial"/>
          <w:lang w:eastAsia="cs-CZ"/>
        </w:rPr>
        <w:t xml:space="preserve"> </w:t>
      </w:r>
      <w:r w:rsidRPr="007D4B1B">
        <w:rPr>
          <w:rFonts w:cs="Arial"/>
          <w:lang w:eastAsia="cs-CZ"/>
        </w:rPr>
        <w:t>a to přechodem k nízkouhlíkovému hospodářství odolnému vůči změnám klimatu a účinně využívajícímu zdroje. Je potřeba minimalizovat užívání primárních zdrojů a eliminovat dopady provozu na životní prostředí.</w:t>
      </w:r>
    </w:p>
    <w:p w14:paraId="078D34D6" w14:textId="52D1837E" w:rsidR="007D4B1B" w:rsidRDefault="007D4B1B" w:rsidP="006D16F4">
      <w:pPr>
        <w:spacing w:after="0" w:line="360" w:lineRule="auto"/>
        <w:ind w:firstLine="576"/>
        <w:jc w:val="both"/>
        <w:rPr>
          <w:rFonts w:cs="Arial"/>
          <w:lang w:eastAsia="cs-CZ"/>
        </w:rPr>
      </w:pPr>
      <w:r w:rsidRPr="007D4B1B">
        <w:rPr>
          <w:rFonts w:cs="Arial"/>
          <w:b/>
          <w:lang w:eastAsia="cs-CZ"/>
        </w:rPr>
        <w:t xml:space="preserve">Ochrana ovzduší </w:t>
      </w:r>
      <w:r w:rsidRPr="007D4B1B">
        <w:rPr>
          <w:rFonts w:cs="Arial"/>
          <w:lang w:eastAsia="cs-CZ"/>
        </w:rPr>
        <w:t>v této oblasti je zásadní snižování emisí polycyklických aromatických uhlovodíků, mikročástic PM 2,5, a oxidů dusíku do ovzduší jak z dieselových a benzinových motorů, tak z domácích topenišť na pevná paliva! Přehled o měření emisí zdravotně rizikových látek a skleníkových plynů, monitorování těchto emisí a sběru údajů o těchto emisích je v současné době v klíčových odvětvích neúplný. Řešením jsou integrované přístupy k řešení znečištění ovzduší i změny klimatu, aby v dlouhodobém měřítku bylo nalezeno pro EU udržitelná řešení.</w:t>
      </w:r>
      <w:r w:rsidRPr="007D4B1B">
        <w:rPr>
          <w:rFonts w:ascii="Helv" w:hAnsi="Helv" w:cs="Helv"/>
        </w:rPr>
        <w:t xml:space="preserve"> </w:t>
      </w:r>
      <w:r w:rsidRPr="007D4B1B">
        <w:rPr>
          <w:rFonts w:cs="Arial"/>
          <w:lang w:eastAsia="cs-CZ"/>
        </w:rPr>
        <w:t>Z pohledu regulace významných zdrojů emisí znečišťujících látek je důležitá rovněž identifikace zdrojů znečištění ovzduší, k čemuž přispívá zpřesnění modelování znečištění ovzduší a tvorba emisních databází. Hlavním přínosem ke zlepšení kvality je snižování emisí znečišťujících látek ze zdrojů znečišťování ovzduší pomocí moderních technologií.</w:t>
      </w:r>
    </w:p>
    <w:p w14:paraId="1A61B5B3" w14:textId="77777777" w:rsidR="007A7D9D" w:rsidRDefault="007A7D9D" w:rsidP="00D23119">
      <w:pPr>
        <w:spacing w:after="0" w:line="360" w:lineRule="auto"/>
        <w:jc w:val="both"/>
        <w:rPr>
          <w:rFonts w:cs="Arial"/>
          <w:lang w:eastAsia="cs-CZ"/>
        </w:rPr>
      </w:pPr>
    </w:p>
    <w:p w14:paraId="1E027FB9" w14:textId="5AD3F72C" w:rsidR="00E874C6" w:rsidRDefault="00E874C6" w:rsidP="00E874C6">
      <w:pPr>
        <w:pStyle w:val="Nadpis3"/>
      </w:pPr>
      <w:bookmarkStart w:id="150" w:name="_Toc525716237"/>
      <w:r>
        <w:t>Společenské výzvy</w:t>
      </w:r>
      <w:bookmarkEnd w:id="150"/>
    </w:p>
    <w:p w14:paraId="3FE2561C" w14:textId="2850A6CA" w:rsidR="00E874C6" w:rsidRDefault="00D770E2" w:rsidP="00E874C6">
      <w:pPr>
        <w:pStyle w:val="Nadpis4"/>
      </w:pPr>
      <w:bookmarkStart w:id="151" w:name="_Toc525716238"/>
      <w:r>
        <w:t>Práce, sociální služby</w:t>
      </w:r>
      <w:r w:rsidR="00105192">
        <w:t xml:space="preserve"> a důchodový systém</w:t>
      </w:r>
      <w:bookmarkEnd w:id="151"/>
    </w:p>
    <w:p w14:paraId="33AEDD06" w14:textId="7E6E7E00" w:rsidR="006D16F4" w:rsidRPr="007B1E7B" w:rsidRDefault="006D16F4" w:rsidP="007B1E7B">
      <w:pPr>
        <w:spacing w:before="240" w:line="360" w:lineRule="auto"/>
        <w:rPr>
          <w:b/>
          <w:u w:val="single"/>
        </w:rPr>
      </w:pPr>
      <w:r w:rsidRPr="007B1E7B">
        <w:rPr>
          <w:b/>
          <w:u w:val="single"/>
        </w:rPr>
        <w:t>Východiska</w:t>
      </w:r>
    </w:p>
    <w:p w14:paraId="564D1A9B" w14:textId="3CD42672" w:rsidR="00DC4202" w:rsidRPr="00DC4202" w:rsidRDefault="00DC4202" w:rsidP="00543C1B">
      <w:pPr>
        <w:pStyle w:val="Odstavecseseznamem"/>
        <w:numPr>
          <w:ilvl w:val="0"/>
          <w:numId w:val="190"/>
        </w:numPr>
        <w:autoSpaceDE w:val="0"/>
        <w:autoSpaceDN w:val="0"/>
        <w:adjustRightInd w:val="0"/>
        <w:spacing w:after="0" w:line="360" w:lineRule="auto"/>
        <w:jc w:val="both"/>
        <w:rPr>
          <w:rFonts w:cs="Arial"/>
          <w:b/>
        </w:rPr>
      </w:pPr>
      <w:r w:rsidRPr="00DC4202">
        <w:rPr>
          <w:rFonts w:cs="Arial"/>
          <w:b/>
        </w:rPr>
        <w:t>Práce a zaměstnanost</w:t>
      </w:r>
    </w:p>
    <w:p w14:paraId="0FCA52A4" w14:textId="7A5309F7" w:rsidR="007B1E7B" w:rsidRPr="007B1E7B" w:rsidRDefault="007B1E7B" w:rsidP="006D4620">
      <w:pPr>
        <w:autoSpaceDE w:val="0"/>
        <w:autoSpaceDN w:val="0"/>
        <w:adjustRightInd w:val="0"/>
        <w:spacing w:after="0" w:line="360" w:lineRule="auto"/>
        <w:ind w:firstLine="708"/>
        <w:jc w:val="both"/>
        <w:rPr>
          <w:rFonts w:cs="Arial"/>
        </w:rPr>
      </w:pPr>
      <w:r w:rsidRPr="007B1E7B">
        <w:rPr>
          <w:rFonts w:cs="Arial"/>
        </w:rPr>
        <w:t>Se zlepšující se ekonomickou situací v ČR a meziročním růstem HDP okolo 4,5 % souvisí obecně pozitivní vývoj v oblasti zaměstnanosti. Data o snižujícím se celkovém počtu uchazečů o zaměstnání a</w:t>
      </w:r>
      <w:r w:rsidR="006D4620">
        <w:rPr>
          <w:rFonts w:cs="Arial"/>
        </w:rPr>
        <w:t> </w:t>
      </w:r>
      <w:r w:rsidRPr="007B1E7B">
        <w:rPr>
          <w:rFonts w:cs="Arial"/>
        </w:rPr>
        <w:t>rostoucím počtu volných pracovních míst</w:t>
      </w:r>
      <w:r w:rsidRPr="007B1E7B">
        <w:rPr>
          <w:rFonts w:cs="Arial"/>
          <w:sz w:val="14"/>
          <w:szCs w:val="14"/>
        </w:rPr>
        <w:t xml:space="preserve"> </w:t>
      </w:r>
      <w:r w:rsidRPr="007B1E7B">
        <w:rPr>
          <w:rFonts w:cs="Arial"/>
        </w:rPr>
        <w:t>na jednu stranu vypovídají o oživování trhu práce, na druhou stranu však také signalizují, že se trh práce potýká se systémovými problémy. Současný ekonomický růst vyvolává zvýšenou poptávku po pracovní síle – silný tlak ze strany zaměstnavatelů na nové zdroje pracovních sil, zejména v technických oborech, naráží na vysoký nedostatek vhodné kvalifikované pracovní síly a vytváří dlouhodobě neobsazená pracovní místa. V tomto kontextu bude pro podporu pozitivních trendů třeba zmapovat možnosti pracovní síly, a to především pokud jde o</w:t>
      </w:r>
      <w:r w:rsidR="006D4620">
        <w:rPr>
          <w:rFonts w:cs="Arial"/>
        </w:rPr>
        <w:t> </w:t>
      </w:r>
      <w:r w:rsidRPr="007B1E7B">
        <w:rPr>
          <w:rFonts w:cs="Arial"/>
        </w:rPr>
        <w:t>změnu profese či kvalifikace.</w:t>
      </w:r>
    </w:p>
    <w:p w14:paraId="1CA81CCB" w14:textId="77777777" w:rsidR="004E57FB" w:rsidRDefault="007B1E7B" w:rsidP="006D4620">
      <w:pPr>
        <w:autoSpaceDE w:val="0"/>
        <w:autoSpaceDN w:val="0"/>
        <w:adjustRightInd w:val="0"/>
        <w:spacing w:after="0" w:line="360" w:lineRule="auto"/>
        <w:ind w:firstLine="708"/>
        <w:jc w:val="both"/>
        <w:rPr>
          <w:rFonts w:cs="Arial"/>
        </w:rPr>
      </w:pPr>
      <w:r w:rsidRPr="007B1E7B">
        <w:rPr>
          <w:rFonts w:cs="Arial"/>
        </w:rPr>
        <w:t xml:space="preserve">Oblast zaměstnanosti je dále ovlivňována strukturálními posuny české ekonomiky, tj. útlumem či expanzí určitého odvětví. </w:t>
      </w:r>
    </w:p>
    <w:p w14:paraId="2504D27F" w14:textId="7865558F" w:rsidR="007B1E7B" w:rsidRPr="007B1E7B" w:rsidRDefault="007B1E7B" w:rsidP="006D4620">
      <w:pPr>
        <w:autoSpaceDE w:val="0"/>
        <w:autoSpaceDN w:val="0"/>
        <w:adjustRightInd w:val="0"/>
        <w:spacing w:after="0" w:line="360" w:lineRule="auto"/>
        <w:ind w:firstLine="708"/>
        <w:jc w:val="both"/>
        <w:rPr>
          <w:rFonts w:cs="Arial"/>
        </w:rPr>
      </w:pPr>
      <w:r w:rsidRPr="007B1E7B">
        <w:rPr>
          <w:rFonts w:cs="Arial"/>
        </w:rPr>
        <w:t>V důsledku technologického pokroku dochází také ke změnám v organizaci práce, včetně pracovní doby s čímž souvisí i změny v oblasti praktických potřeb trhu práce a jeho aktérů, jedná se o</w:t>
      </w:r>
      <w:r w:rsidR="006D4620">
        <w:rPr>
          <w:rFonts w:cs="Arial"/>
        </w:rPr>
        <w:t> </w:t>
      </w:r>
      <w:r w:rsidRPr="007B1E7B">
        <w:rPr>
          <w:rFonts w:cs="Arial"/>
        </w:rPr>
        <w:t>flexibilní a často pak o tzv. prekérní formy zaměstnávání často spojené s nepříznivými pracovními podmínkami a v  řadě případů i se zaměstnáváním či prací na hraně zákona. V souvislosti s uvedenými změnami je v oblasti pracovního práva stále vytvářen tlak, kdy je hlavní důraz kladen na jeho liberalizaci a posílení autonomie vůle subjektů pracovněprávních vztahů,</w:t>
      </w:r>
      <w:r w:rsidRPr="007B1E7B">
        <w:rPr>
          <w:rFonts w:cs="Arial"/>
          <w:sz w:val="14"/>
          <w:szCs w:val="14"/>
        </w:rPr>
        <w:t xml:space="preserve"> </w:t>
      </w:r>
      <w:r w:rsidRPr="007B1E7B">
        <w:rPr>
          <w:rFonts w:cs="Arial"/>
        </w:rPr>
        <w:t>přičemž obdobný trend lze již velmi dlouho pozorovat i na evropské úrovni.</w:t>
      </w:r>
    </w:p>
    <w:p w14:paraId="7E33E51C" w14:textId="4556BF4E" w:rsidR="007B1E7B" w:rsidRPr="007B1E7B" w:rsidRDefault="007B1E7B" w:rsidP="006D4620">
      <w:pPr>
        <w:autoSpaceDE w:val="0"/>
        <w:autoSpaceDN w:val="0"/>
        <w:adjustRightInd w:val="0"/>
        <w:spacing w:after="0" w:line="360" w:lineRule="auto"/>
        <w:ind w:firstLine="708"/>
        <w:jc w:val="both"/>
        <w:rPr>
          <w:rFonts w:cs="Arial"/>
        </w:rPr>
      </w:pPr>
      <w:r w:rsidRPr="007B1E7B">
        <w:rPr>
          <w:rFonts w:cs="Arial"/>
        </w:rPr>
        <w:t>Stávající předpisy pracovního práva vycházejí z vysokého standardu ochrany zaměstnance projevujícího se taxativními výčty a příkazovými a zákazovými normami, jež jsou kogentního charakteru, což na straně jedné poskytuje zaměstnanci, coby slabší straně pracovního poměru, ochranu, nicméně v některých případech může mít za následek realizaci pracovního poměru v intencích nevyhovujících ani jedné ze stran pracovního poměru.</w:t>
      </w:r>
    </w:p>
    <w:p w14:paraId="27E96912" w14:textId="77777777" w:rsidR="007B1E7B" w:rsidRPr="007B1E7B" w:rsidRDefault="007B1E7B" w:rsidP="006D4620">
      <w:pPr>
        <w:autoSpaceDE w:val="0"/>
        <w:autoSpaceDN w:val="0"/>
        <w:adjustRightInd w:val="0"/>
        <w:spacing w:after="0" w:line="360" w:lineRule="auto"/>
        <w:ind w:firstLine="708"/>
        <w:jc w:val="both"/>
        <w:rPr>
          <w:rFonts w:cs="Arial,Italic"/>
          <w:i/>
          <w:iCs/>
        </w:rPr>
      </w:pPr>
      <w:r w:rsidRPr="007B1E7B">
        <w:rPr>
          <w:rFonts w:cs="Arial"/>
        </w:rPr>
        <w:t>Pracovněprávní legislativa na tento trend dlouhodobě reaguje postupnou liberalizací pracovního práva a zaváděním opatření, jejichž účelem je posílení smluvní autonomie stran pracovního poměru při zachování ochrany zaměstnance. Úkolem pracovněprávní legislativy je nadále na tento trend vhodně reagovat, tedy zohlednit patřičně tzv. princip flexijistoty (flexicurity).</w:t>
      </w:r>
    </w:p>
    <w:p w14:paraId="427D4065" w14:textId="77777777" w:rsidR="00333E83" w:rsidRDefault="007B1E7B" w:rsidP="00333E83">
      <w:pPr>
        <w:autoSpaceDE w:val="0"/>
        <w:autoSpaceDN w:val="0"/>
        <w:adjustRightInd w:val="0"/>
        <w:spacing w:after="0" w:line="360" w:lineRule="auto"/>
        <w:ind w:firstLine="360"/>
        <w:jc w:val="both"/>
        <w:rPr>
          <w:rFonts w:cs="Arial"/>
        </w:rPr>
      </w:pPr>
      <w:r w:rsidRPr="007B1E7B">
        <w:rPr>
          <w:rFonts w:cs="Arial"/>
        </w:rPr>
        <w:t>Uvedené změny postihují rovněž sociální dialog včetně sociálních partnerů, kteří jsou důležitou vlivovou silou při tvorbě sociální politiky. Postupně dochází k úbytku členské základny odborů a</w:t>
      </w:r>
      <w:r w:rsidR="006D4620">
        <w:rPr>
          <w:rFonts w:cs="Arial"/>
        </w:rPr>
        <w:t> </w:t>
      </w:r>
      <w:r w:rsidRPr="007B1E7B">
        <w:rPr>
          <w:rFonts w:cs="Arial"/>
        </w:rPr>
        <w:t>současně k diverzifikaci zájmů organizací sociálních partnerů a souvisejícímu oslabení a rozmělnění jejich vyjednávací síly.</w:t>
      </w:r>
    </w:p>
    <w:p w14:paraId="355078C9" w14:textId="77777777" w:rsidR="001A0B5A" w:rsidRDefault="001A0B5A" w:rsidP="00333E83">
      <w:pPr>
        <w:autoSpaceDE w:val="0"/>
        <w:autoSpaceDN w:val="0"/>
        <w:adjustRightInd w:val="0"/>
        <w:spacing w:after="0" w:line="360" w:lineRule="auto"/>
        <w:ind w:firstLine="360"/>
        <w:jc w:val="both"/>
        <w:rPr>
          <w:rFonts w:cs="Arial"/>
        </w:rPr>
      </w:pPr>
    </w:p>
    <w:p w14:paraId="25A42924" w14:textId="1A2FF799" w:rsidR="007B1E7B" w:rsidRPr="00333E83" w:rsidRDefault="007B1E7B" w:rsidP="00543C1B">
      <w:pPr>
        <w:pStyle w:val="Odstavecseseznamem"/>
        <w:numPr>
          <w:ilvl w:val="0"/>
          <w:numId w:val="190"/>
        </w:numPr>
        <w:autoSpaceDE w:val="0"/>
        <w:autoSpaceDN w:val="0"/>
        <w:adjustRightInd w:val="0"/>
        <w:spacing w:after="0" w:line="360" w:lineRule="auto"/>
        <w:jc w:val="both"/>
        <w:rPr>
          <w:rFonts w:eastAsia="Times New Roman" w:cs="Times New Roman"/>
          <w:b/>
          <w:lang w:eastAsia="cs-CZ"/>
        </w:rPr>
      </w:pPr>
      <w:r w:rsidRPr="00333E83">
        <w:rPr>
          <w:rFonts w:eastAsia="Times New Roman" w:cs="Times New Roman"/>
          <w:b/>
          <w:lang w:eastAsia="cs-CZ"/>
        </w:rPr>
        <w:t xml:space="preserve">Utváření ceny práce </w:t>
      </w:r>
    </w:p>
    <w:p w14:paraId="25CB0B45" w14:textId="18A734C6" w:rsidR="007B1E7B" w:rsidRDefault="007B1E7B" w:rsidP="002E0BB5">
      <w:pPr>
        <w:autoSpaceDE w:val="0"/>
        <w:autoSpaceDN w:val="0"/>
        <w:adjustRightInd w:val="0"/>
        <w:spacing w:after="0" w:line="360" w:lineRule="auto"/>
        <w:ind w:firstLine="709"/>
        <w:jc w:val="both"/>
        <w:rPr>
          <w:rFonts w:eastAsia="Times New Roman" w:cs="Times New Roman"/>
          <w:lang w:eastAsia="cs-CZ"/>
        </w:rPr>
      </w:pPr>
      <w:r w:rsidRPr="007B1E7B">
        <w:rPr>
          <w:rFonts w:eastAsia="Times New Roman" w:cs="Times New Roman"/>
          <w:lang w:eastAsia="cs-CZ"/>
        </w:rPr>
        <w:t>Procesy utváření mezd a nákladů práce spojují ekonomickou a sociální sféru, působí na vztahy mezi sociálními partnery a dalšími sociálními skupinami, ovlivňují konkurenceschopnost domácích podniků a kvalitu pracovní síly a odrážejí mechanismy rozdělovacích a přerozdělovacích procesů. Jejich nominální i reálná úroveň je ve vzájemné interakci s pohybem a úrovní HDP, produktivitou práce a</w:t>
      </w:r>
      <w:r w:rsidR="002E0BB5">
        <w:rPr>
          <w:rFonts w:eastAsia="Times New Roman" w:cs="Times New Roman"/>
          <w:lang w:eastAsia="cs-CZ"/>
        </w:rPr>
        <w:t> </w:t>
      </w:r>
      <w:r w:rsidRPr="007B1E7B">
        <w:rPr>
          <w:rFonts w:eastAsia="Times New Roman" w:cs="Times New Roman"/>
          <w:lang w:eastAsia="cs-CZ"/>
        </w:rPr>
        <w:t xml:space="preserve">cenovou hladinou, jejich struktura odráží souvislosti politického, ekonomického a sociálního pohybu. Cena práce a mechanismy jejího utváření ovlivňují sociální strukturu, chování obyvatelstva, politiku veřejných rozpočtů, chování podnikatelských subjektů. Pokračující proces cenové a mzdové konvergence bude doprovázet řada nerovnováh, zejména na trhu práce a tedy v příjmech jednotlivých skupin obyvatelstva. </w:t>
      </w:r>
    </w:p>
    <w:p w14:paraId="6B36829F" w14:textId="77777777" w:rsidR="001A0B5A" w:rsidRPr="007B1E7B" w:rsidRDefault="001A0B5A" w:rsidP="002E0BB5">
      <w:pPr>
        <w:autoSpaceDE w:val="0"/>
        <w:autoSpaceDN w:val="0"/>
        <w:adjustRightInd w:val="0"/>
        <w:spacing w:after="0" w:line="360" w:lineRule="auto"/>
        <w:ind w:firstLine="709"/>
        <w:jc w:val="both"/>
        <w:rPr>
          <w:rFonts w:eastAsia="Times New Roman" w:cs="Times New Roman"/>
          <w:lang w:eastAsia="cs-CZ"/>
        </w:rPr>
      </w:pPr>
    </w:p>
    <w:p w14:paraId="26AF295C" w14:textId="77777777" w:rsidR="007B1E7B" w:rsidRPr="00DC4202" w:rsidRDefault="007B1E7B" w:rsidP="00543C1B">
      <w:pPr>
        <w:pStyle w:val="Odstavecseseznamem"/>
        <w:numPr>
          <w:ilvl w:val="0"/>
          <w:numId w:val="190"/>
        </w:numPr>
        <w:autoSpaceDE w:val="0"/>
        <w:autoSpaceDN w:val="0"/>
        <w:adjustRightInd w:val="0"/>
        <w:spacing w:after="0" w:line="360" w:lineRule="auto"/>
        <w:jc w:val="both"/>
        <w:rPr>
          <w:rFonts w:cs="Arial"/>
          <w:b/>
        </w:rPr>
      </w:pPr>
      <w:r w:rsidRPr="00DC4202">
        <w:rPr>
          <w:rFonts w:cs="Arial"/>
          <w:b/>
        </w:rPr>
        <w:t>Migrace a integrace cizinců na trhu práce a ve společnosti</w:t>
      </w:r>
    </w:p>
    <w:p w14:paraId="28D2747B" w14:textId="77777777" w:rsidR="007B1E7B" w:rsidRPr="007B1E7B" w:rsidRDefault="007B1E7B" w:rsidP="002E0BB5">
      <w:pPr>
        <w:pStyle w:val="Odstavecseseznamem"/>
        <w:autoSpaceDE w:val="0"/>
        <w:autoSpaceDN w:val="0"/>
        <w:adjustRightInd w:val="0"/>
        <w:spacing w:after="0" w:line="360" w:lineRule="auto"/>
        <w:ind w:left="23" w:firstLine="709"/>
        <w:jc w:val="both"/>
        <w:rPr>
          <w:rFonts w:cs="Arial"/>
        </w:rPr>
      </w:pPr>
      <w:r w:rsidRPr="007B1E7B">
        <w:rPr>
          <w:rFonts w:eastAsia="Times New Roman" w:cs="Times New Roman"/>
          <w:lang w:eastAsia="cs-CZ"/>
        </w:rPr>
        <w:t>V poslední době se intenzita migrace neustále zvyšuje. Tento sociální jev výrazně ovlivňuje společenské i kulturní změny obyvatel na všech úrovních. Migrace přispívá k řešení nerovnováh na trhu práce, současně však prohlubuje sociální a kulturní diverzitu společnosti a přináší dezintegrační rizika i možné zdroje sociálního vyloučení a sociálních patologií vedoucích k celospolečenským bezpečnostním rizikům. Do budoucna se migrace zdá být jedním z nejvýznamnějších iniciátorů některých významných sociálních změn.</w:t>
      </w:r>
    </w:p>
    <w:p w14:paraId="3B316CBF" w14:textId="77777777" w:rsidR="009C3CB5" w:rsidRPr="007B1E7B" w:rsidRDefault="009C3CB5" w:rsidP="006D4620">
      <w:pPr>
        <w:pStyle w:val="Odstavecseseznamem"/>
        <w:autoSpaceDE w:val="0"/>
        <w:autoSpaceDN w:val="0"/>
        <w:adjustRightInd w:val="0"/>
        <w:spacing w:after="0" w:line="360" w:lineRule="auto"/>
        <w:jc w:val="both"/>
        <w:rPr>
          <w:rFonts w:cs="Arial"/>
        </w:rPr>
      </w:pPr>
    </w:p>
    <w:p w14:paraId="121ACD59" w14:textId="3172C124" w:rsidR="007B1E7B" w:rsidRPr="00DC4202" w:rsidRDefault="007B1E7B" w:rsidP="00543C1B">
      <w:pPr>
        <w:pStyle w:val="Odstavecseseznamem"/>
        <w:numPr>
          <w:ilvl w:val="0"/>
          <w:numId w:val="190"/>
        </w:numPr>
        <w:autoSpaceDE w:val="0"/>
        <w:autoSpaceDN w:val="0"/>
        <w:adjustRightInd w:val="0"/>
        <w:spacing w:after="0" w:line="360" w:lineRule="auto"/>
        <w:jc w:val="both"/>
        <w:rPr>
          <w:b/>
          <w:i/>
        </w:rPr>
      </w:pPr>
      <w:r w:rsidRPr="00DC4202">
        <w:rPr>
          <w:rFonts w:eastAsia="Times New Roman" w:cs="Times New Roman"/>
          <w:b/>
          <w:lang w:eastAsia="cs-CZ"/>
        </w:rPr>
        <w:t>Sociální a ekonomické dopady stárnutí populace na sociální systémy</w:t>
      </w:r>
    </w:p>
    <w:p w14:paraId="29448761" w14:textId="77777777" w:rsidR="007B1E7B" w:rsidRPr="007B1E7B" w:rsidRDefault="007B1E7B" w:rsidP="002E0BB5">
      <w:pPr>
        <w:spacing w:after="0" w:line="360" w:lineRule="auto"/>
        <w:ind w:firstLine="709"/>
        <w:jc w:val="both"/>
        <w:rPr>
          <w:i/>
        </w:rPr>
      </w:pPr>
      <w:r w:rsidRPr="007B1E7B">
        <w:rPr>
          <w:rFonts w:eastAsia="Times New Roman" w:cs="Times New Roman"/>
          <w:lang w:eastAsia="cs-CZ"/>
        </w:rPr>
        <w:t xml:space="preserve">Stárnutí populace se dotýká všech oblastí života společnosti, a proto je nutno věnovat soustavnou pozornost dopadům, které přináší pro jednotlivé sociální systémy. Např. důchodový systém čelí změnám ve věkové struktuře obyvatelstva, které přináší rostoucí střední délka života a nižší plodnost početně silných ročníků narozených v 70. letech. Provedením izolovaných úprav systému lze dosáhnout pouze limitovaných efektů, a proto je třeba hledat cesty, jak ovlivnit budoucí příjmy a výdaje důchodového systému prostřednictvím opatření v oblasti rodinné politiky, vzdělávání, zdravotní a dlouhodobé péče a řešením situace na trhu práce. V souvislosti s demografickými změnami lze očekávat i růst výdajů v oblasti nemocenského pojištění. Další oblastí jsou sociální služby, a to nejen z hlediska důsledků vyplývajících ze stárnutí populace, ale i z hlediska potřeb harmonizace rodiny a zaměstnání, sociálního začleňování atd. Základní podmínkou jejich rozvoje je nastavení optimálních principů systému organizace, financování a řízení služeb tak, aby na základě formování partnerství veřejné správy, neziskového a soukromého sektoru byly uspokojeny všechny oprávněné požadavky klientů a jejich rodin při naplnění standardů kvality jejich poskytování. </w:t>
      </w:r>
    </w:p>
    <w:p w14:paraId="450A68FB" w14:textId="77777777" w:rsidR="007B1E7B" w:rsidRPr="007B1E7B" w:rsidRDefault="007B1E7B" w:rsidP="006D4620">
      <w:pPr>
        <w:spacing w:after="0" w:line="360" w:lineRule="auto"/>
        <w:ind w:left="709" w:hanging="709"/>
        <w:outlineLvl w:val="1"/>
        <w:rPr>
          <w:rFonts w:ascii="Verdana" w:eastAsia="Times New Roman" w:hAnsi="Verdana" w:cs="Times New Roman"/>
          <w:b/>
          <w:sz w:val="20"/>
          <w:szCs w:val="20"/>
          <w:lang w:eastAsia="cs-CZ"/>
        </w:rPr>
      </w:pPr>
    </w:p>
    <w:p w14:paraId="3B6A4FBB" w14:textId="77777777" w:rsidR="007B1E7B" w:rsidRPr="00A84F2D" w:rsidRDefault="007B1E7B" w:rsidP="00543C1B">
      <w:pPr>
        <w:pStyle w:val="Odstavecseseznamem"/>
        <w:numPr>
          <w:ilvl w:val="0"/>
          <w:numId w:val="190"/>
        </w:numPr>
        <w:rPr>
          <w:b/>
          <w:lang w:eastAsia="cs-CZ"/>
        </w:rPr>
      </w:pPr>
      <w:r w:rsidRPr="00A84F2D">
        <w:rPr>
          <w:b/>
          <w:lang w:eastAsia="cs-CZ"/>
        </w:rPr>
        <w:t>Sociální diferenciace, sociální vyloučení a chudoba</w:t>
      </w:r>
    </w:p>
    <w:p w14:paraId="78819E02" w14:textId="050B1D29" w:rsidR="007B1E7B" w:rsidRPr="007B1E7B" w:rsidRDefault="007B1E7B" w:rsidP="002E0BB5">
      <w:pPr>
        <w:spacing w:after="0" w:line="360" w:lineRule="auto"/>
        <w:ind w:firstLine="709"/>
        <w:jc w:val="both"/>
        <w:rPr>
          <w:i/>
        </w:rPr>
      </w:pPr>
      <w:r w:rsidRPr="007B1E7B">
        <w:rPr>
          <w:rFonts w:eastAsia="Times New Roman" w:cs="Times New Roman"/>
          <w:lang w:eastAsia="cs-CZ"/>
        </w:rPr>
        <w:t>Přes dlouhodobě pozitivní trendy společenského a ekonomického vývoje se z řady objektivních i</w:t>
      </w:r>
      <w:r w:rsidR="002E0BB5">
        <w:rPr>
          <w:rFonts w:eastAsia="Times New Roman" w:cs="Times New Roman"/>
          <w:lang w:eastAsia="cs-CZ"/>
        </w:rPr>
        <w:t> </w:t>
      </w:r>
      <w:r w:rsidRPr="007B1E7B">
        <w:rPr>
          <w:rFonts w:eastAsia="Times New Roman" w:cs="Times New Roman"/>
          <w:lang w:eastAsia="cs-CZ"/>
        </w:rPr>
        <w:t xml:space="preserve">subjektivních důvodů zvyšuje sociální diferenciace, dochází k marginalizaci vybraných skupin společnosti a následně je značná skupina osob ohrožena sociálním vyloučením, jehož základním projevem je chudoba a materiální deprivace. Řešení těchto sociálních otázek je komplexním úkolem, v němž sehrává roli více oblastí sociální politiky. Česká republika zatím v této oblasti doposud především přebírá hodnocení EK prováděná na obecnější úrovni. </w:t>
      </w:r>
    </w:p>
    <w:p w14:paraId="1F97B434" w14:textId="77777777" w:rsidR="007B1E7B" w:rsidRPr="007B1E7B" w:rsidRDefault="007B1E7B" w:rsidP="006D4620">
      <w:pPr>
        <w:autoSpaceDE w:val="0"/>
        <w:autoSpaceDN w:val="0"/>
        <w:adjustRightInd w:val="0"/>
        <w:spacing w:after="0" w:line="360" w:lineRule="auto"/>
        <w:rPr>
          <w:i/>
        </w:rPr>
      </w:pPr>
    </w:p>
    <w:p w14:paraId="19E903F0" w14:textId="479C87DA" w:rsidR="007B1E7B" w:rsidRPr="00A84F2D" w:rsidRDefault="007B1E7B" w:rsidP="00543C1B">
      <w:pPr>
        <w:pStyle w:val="Odstavecseseznamem"/>
        <w:numPr>
          <w:ilvl w:val="0"/>
          <w:numId w:val="190"/>
        </w:numPr>
        <w:rPr>
          <w:b/>
          <w:lang w:eastAsia="cs-CZ"/>
        </w:rPr>
      </w:pPr>
      <w:r w:rsidRPr="00A84F2D">
        <w:rPr>
          <w:b/>
          <w:lang w:eastAsia="cs-CZ"/>
        </w:rPr>
        <w:t xml:space="preserve">Proměny české rodiny v kontextu demografického a sociálního vývoje </w:t>
      </w:r>
    </w:p>
    <w:p w14:paraId="1B48C7E3" w14:textId="615AB8C0" w:rsidR="007B1E7B" w:rsidRPr="007B1E7B" w:rsidRDefault="007B1E7B" w:rsidP="002E0BB5">
      <w:pPr>
        <w:spacing w:after="0" w:line="360" w:lineRule="auto"/>
        <w:ind w:firstLine="709"/>
        <w:jc w:val="both"/>
        <w:rPr>
          <w:rFonts w:eastAsia="Times New Roman" w:cs="TimesNewRoman"/>
          <w:lang w:eastAsia="cs-CZ"/>
        </w:rPr>
      </w:pPr>
      <w:r w:rsidRPr="007B1E7B">
        <w:rPr>
          <w:rFonts w:eastAsia="Times New Roman" w:cs="Times New Roman"/>
          <w:bCs/>
          <w:lang w:eastAsia="cs-CZ"/>
        </w:rPr>
        <w:t>Vývoj společnosti ve všech jejích oblastech (demografické, ekonomické, hodnotové apod.) se odráží v každodenním životě rodin a v proměnách forem rodinného soužití. Dlouhodobě klesá závaznost manželských/partnerských a mezigeneračních rodinných vztahů. Proměny společnosti nastolují otázku, nakolik mohou rodiny nadále plnit své funkce a nakolik a jak mají být delegovány na společnost a její instituce. Přitom by vždy měl být brán ohled zejména na potřeby a zájmy dětí vyrůstající v rodinách i mimo ně. Pozornost je třeba mimo jiné zaměřit na prevenci sociálně-patologických jevů v rodině a účinnou podporu při jejich řešení. Rodinná politika musí zohledňovat potřeby rodin ve všech fázích rodinného cyklu, což v kontextu populačního stárnutí mj. znamená věnovat více pozornosti i seniorům v rodinách. Rodinná politika musí být chápána jako komplexní a</w:t>
      </w:r>
      <w:r w:rsidR="002E0BB5">
        <w:rPr>
          <w:rFonts w:eastAsia="Times New Roman" w:cs="Times New Roman"/>
          <w:bCs/>
          <w:lang w:eastAsia="cs-CZ"/>
        </w:rPr>
        <w:t> </w:t>
      </w:r>
      <w:r w:rsidRPr="007B1E7B">
        <w:rPr>
          <w:rFonts w:eastAsia="Times New Roman" w:cs="Times New Roman"/>
          <w:bCs/>
          <w:lang w:eastAsia="cs-CZ"/>
        </w:rPr>
        <w:t>průřezová disciplína s širokou oblastí působení, která vyžaduje, aby do její realizace bylo možné zapojit široké spektrum relevantních aktérů – kromě ústředních orgánů také obce a neziskový sektor, ale i</w:t>
      </w:r>
      <w:r w:rsidR="002E0BB5">
        <w:rPr>
          <w:rFonts w:eastAsia="Times New Roman" w:cs="Times New Roman"/>
          <w:bCs/>
          <w:lang w:eastAsia="cs-CZ"/>
        </w:rPr>
        <w:t> </w:t>
      </w:r>
      <w:r w:rsidRPr="007B1E7B">
        <w:rPr>
          <w:rFonts w:eastAsia="Times New Roman" w:cs="Times New Roman"/>
          <w:bCs/>
          <w:lang w:eastAsia="cs-CZ"/>
        </w:rPr>
        <w:t xml:space="preserve">samotné rodiny a širší rodinné sítě. Vnější podporu ekonomicko-zabezpečovacích funkcí rodiny je třeba chápat nejen jako nástroj propopulačních opatření, ale jako podporu plnění funkce výchovné a socializační. </w:t>
      </w:r>
    </w:p>
    <w:p w14:paraId="5228FDB2" w14:textId="77777777" w:rsidR="007B1E7B" w:rsidRPr="007B1E7B" w:rsidRDefault="007B1E7B" w:rsidP="006D4620">
      <w:pPr>
        <w:autoSpaceDE w:val="0"/>
        <w:autoSpaceDN w:val="0"/>
        <w:adjustRightInd w:val="0"/>
        <w:spacing w:after="0" w:line="360" w:lineRule="auto"/>
        <w:rPr>
          <w:i/>
        </w:rPr>
      </w:pPr>
    </w:p>
    <w:p w14:paraId="09997247" w14:textId="77777777" w:rsidR="007B1E7B" w:rsidRPr="009B3DB3" w:rsidRDefault="007B1E7B" w:rsidP="00543C1B">
      <w:pPr>
        <w:pStyle w:val="Odstavecseseznamem"/>
        <w:numPr>
          <w:ilvl w:val="0"/>
          <w:numId w:val="190"/>
        </w:numPr>
        <w:rPr>
          <w:b/>
          <w:lang w:eastAsia="cs-CZ"/>
        </w:rPr>
      </w:pPr>
      <w:r w:rsidRPr="009B3DB3">
        <w:rPr>
          <w:b/>
          <w:lang w:eastAsia="cs-CZ"/>
        </w:rPr>
        <w:t xml:space="preserve">Rozvoj kapacit veřejné správy a vládnutí ve vztahu k sociální politice </w:t>
      </w:r>
    </w:p>
    <w:p w14:paraId="5A637AF6" w14:textId="5D021E95" w:rsidR="007B1E7B" w:rsidRPr="007B1E7B" w:rsidRDefault="007B1E7B" w:rsidP="002E0BB5">
      <w:pPr>
        <w:spacing w:before="240" w:line="360" w:lineRule="auto"/>
        <w:ind w:firstLine="709"/>
        <w:jc w:val="both"/>
        <w:rPr>
          <w:rFonts w:eastAsia="Times New Roman" w:cs="Times New Roman"/>
          <w:lang w:eastAsia="cs-CZ"/>
        </w:rPr>
      </w:pPr>
      <w:r w:rsidRPr="007B1E7B">
        <w:rPr>
          <w:rFonts w:eastAsia="Times New Roman" w:cs="Times New Roman"/>
          <w:lang w:eastAsia="cs-CZ"/>
        </w:rPr>
        <w:t>Modernizace sociální politiky a prosazování nových provázaných řešení na národní, regionální a lokální úrovni za účasti více aktérů předpokládá významné transformace v systému řízení a správy veřejné politiky. Např. v posledních letech došlo v řadě evropských zemí k zásadním změnám v systému veřejné správy a regulace v oblasti trhu práce, sociálních služeb, při poskytování sociální pomoci formou dávek a dalších integračních opatření. Jisté kroky v této oblasti se začínají prosazovat i</w:t>
      </w:r>
      <w:r w:rsidR="002E0BB5">
        <w:rPr>
          <w:rFonts w:eastAsia="Times New Roman" w:cs="Times New Roman"/>
          <w:lang w:eastAsia="cs-CZ"/>
        </w:rPr>
        <w:t> </w:t>
      </w:r>
      <w:r w:rsidRPr="007B1E7B">
        <w:rPr>
          <w:rFonts w:eastAsia="Times New Roman" w:cs="Times New Roman"/>
          <w:lang w:eastAsia="cs-CZ"/>
        </w:rPr>
        <w:t>v České republice, není však zatím dostatek poznatků o kapacitě institucí veřejné správy zvládat tyto procesy ani o významu těchto změn pro zefektivňování sociální politiky v dotčených oblastech.</w:t>
      </w:r>
    </w:p>
    <w:p w14:paraId="4D0BA41D" w14:textId="77777777" w:rsidR="007B1E7B" w:rsidRDefault="007B1E7B" w:rsidP="007B1E7B">
      <w:pPr>
        <w:spacing w:before="240" w:line="360" w:lineRule="auto"/>
        <w:rPr>
          <w:rFonts w:eastAsia="Times New Roman" w:cs="Times New Roman"/>
          <w:lang w:eastAsia="cs-CZ"/>
        </w:rPr>
      </w:pPr>
    </w:p>
    <w:p w14:paraId="52A3C89F" w14:textId="0804F664" w:rsidR="007B1E7B" w:rsidRDefault="002E0BB5" w:rsidP="007B1E7B">
      <w:pPr>
        <w:spacing w:before="240" w:line="360" w:lineRule="auto"/>
        <w:rPr>
          <w:b/>
          <w:u w:val="single"/>
        </w:rPr>
      </w:pPr>
      <w:r>
        <w:rPr>
          <w:b/>
          <w:u w:val="single"/>
        </w:rPr>
        <w:t>Popis potřeb a jejich řešení</w:t>
      </w:r>
    </w:p>
    <w:p w14:paraId="42BA7B8F" w14:textId="083BB117" w:rsidR="002E0BB5" w:rsidRPr="002E0BB5" w:rsidRDefault="002E0BB5" w:rsidP="002E0BB5">
      <w:pPr>
        <w:autoSpaceDE w:val="0"/>
        <w:autoSpaceDN w:val="0"/>
        <w:adjustRightInd w:val="0"/>
        <w:spacing w:after="0" w:line="360" w:lineRule="auto"/>
        <w:ind w:firstLine="708"/>
        <w:jc w:val="both"/>
        <w:rPr>
          <w:rFonts w:cs="Arial"/>
        </w:rPr>
      </w:pPr>
      <w:r w:rsidRPr="002E0BB5">
        <w:rPr>
          <w:rFonts w:cs="Arial,Bold"/>
          <w:b/>
          <w:bCs/>
        </w:rPr>
        <w:t xml:space="preserve">Priority MPSV v oblasti VaVaI </w:t>
      </w:r>
      <w:r w:rsidRPr="002E0BB5">
        <w:rPr>
          <w:rFonts w:cs="Arial"/>
        </w:rPr>
        <w:t>vyplývají z mezinárodních závazků ČR, evropských strategických dokumentů, vládní politiky, strategických materiálů MPSV a ostatních resortů a v neposlední řadě i</w:t>
      </w:r>
      <w:r>
        <w:rPr>
          <w:rFonts w:cs="Arial"/>
        </w:rPr>
        <w:t> </w:t>
      </w:r>
      <w:r w:rsidRPr="002E0BB5">
        <w:rPr>
          <w:rFonts w:cs="Arial"/>
        </w:rPr>
        <w:t>aktuálních potřeb společnosti. Stanovené priority a cíle jsou rovněž synergické s Koncepcí ministerstva práce a sociálních věcí pro období 2015-2017, s výhledem do roku 2020.</w:t>
      </w:r>
    </w:p>
    <w:p w14:paraId="072303AE" w14:textId="77777777" w:rsidR="002E0BB5" w:rsidRPr="002E0BB5" w:rsidRDefault="002E0BB5" w:rsidP="002E0BB5">
      <w:pPr>
        <w:spacing w:after="0" w:line="360" w:lineRule="auto"/>
        <w:ind w:firstLine="708"/>
        <w:jc w:val="both"/>
        <w:rPr>
          <w:rFonts w:eastAsia="Calibri" w:cs="Times New Roman"/>
        </w:rPr>
      </w:pPr>
      <w:r w:rsidRPr="002E0BB5">
        <w:rPr>
          <w:rFonts w:eastAsia="Calibri" w:cs="Times New Roman"/>
          <w:b/>
        </w:rPr>
        <w:t>Sledování a hodnocení vývojových trendů na trhu práce, včetně účinnosti přijímaných opatření a bezpečnosti a ochrany zdraví při práci</w:t>
      </w:r>
      <w:r w:rsidRPr="002E0BB5">
        <w:rPr>
          <w:rFonts w:eastAsia="Calibri" w:cs="Times New Roman"/>
        </w:rPr>
        <w:t xml:space="preserve"> - činnost bude soustředěna na sledování základních trendů probíhajících na trhu práce, na hodnocení přijatých opatření v politice zaměstnanosti na trhu práce, zejména ve veřejných službách zaměstnanosti a na vytváření predikcí vývoje trhu práce, na základě kterých bude možno stanovit očekáváné nejen kvalifikační potřeby trhu práce.</w:t>
      </w:r>
    </w:p>
    <w:p w14:paraId="2591665E" w14:textId="77777777" w:rsidR="002E0BB5" w:rsidRDefault="002E0BB5" w:rsidP="002E0BB5">
      <w:pPr>
        <w:spacing w:after="0" w:line="360" w:lineRule="auto"/>
        <w:ind w:firstLine="708"/>
        <w:jc w:val="both"/>
        <w:rPr>
          <w:rFonts w:eastAsia="Calibri" w:cs="Times New Roman"/>
        </w:rPr>
      </w:pPr>
      <w:r w:rsidRPr="002E0BB5">
        <w:rPr>
          <w:rFonts w:eastAsia="Calibri" w:cs="Times New Roman"/>
          <w:b/>
        </w:rPr>
        <w:t>Monitorování vývoje sociálního dialogu a pracovních podmínek</w:t>
      </w:r>
      <w:r w:rsidRPr="002E0BB5">
        <w:rPr>
          <w:rFonts w:eastAsia="Calibri" w:cs="Times New Roman"/>
        </w:rPr>
        <w:t xml:space="preserve"> – výzkum bude zaměřen na posouzení stávajících kapacit a identifikace rozvojových bariér jak jednotlivých sociálních partnerů, tak sociálního dialogu jako celku a dále na mapování jednotlivých aspektů pracovních podmínek, jako jsou pracovní doba, organizace práce včetně flexibilních a tzv. prekérních forem zaměstnávání a na jejich případné zdravotní dopady.</w:t>
      </w:r>
    </w:p>
    <w:p w14:paraId="6A8098AB" w14:textId="636E5D3F" w:rsidR="002E0BB5" w:rsidRPr="002E0BB5" w:rsidRDefault="002E0BB5" w:rsidP="002E0BB5">
      <w:pPr>
        <w:spacing w:after="0" w:line="360" w:lineRule="auto"/>
        <w:ind w:firstLine="708"/>
        <w:jc w:val="both"/>
        <w:rPr>
          <w:rFonts w:eastAsia="Calibri" w:cs="Times New Roman"/>
        </w:rPr>
      </w:pPr>
      <w:r w:rsidRPr="002E0BB5">
        <w:rPr>
          <w:rFonts w:eastAsia="Calibri" w:cs="Times New Roman"/>
          <w:b/>
          <w:bCs/>
        </w:rPr>
        <w:t xml:space="preserve">Bezpečnosti a ochrana zdraví při práci </w:t>
      </w:r>
      <w:r w:rsidRPr="002E0BB5">
        <w:rPr>
          <w:rFonts w:eastAsia="Calibri" w:cs="Times New Roman"/>
          <w:bCs/>
        </w:rPr>
        <w:t>- cílem je především zajistit</w:t>
      </w:r>
      <w:r w:rsidRPr="002E0BB5">
        <w:rPr>
          <w:rFonts w:eastAsia="Calibri" w:cs="Times New Roman"/>
          <w:b/>
          <w:bCs/>
        </w:rPr>
        <w:t xml:space="preserve"> </w:t>
      </w:r>
      <w:r w:rsidRPr="002E0BB5">
        <w:rPr>
          <w:rFonts w:eastAsia="Calibri" w:cs="Times New Roman"/>
        </w:rPr>
        <w:t>podklady a metody hodnocení socioekonomických aspektů práce a poskytnout vědecké podklady a metody hodnocení zdravotního rizika expozice chemickým škodlivinám a nanočásticím. Studován bude vliv expozice vybraným faktorům pracovního prostředí a pracovních podmínek (fyzikální, fyziologické a psychologické faktory) a vliv psychické zátěže a psychosociálního stresu při práci. Zkoumány budou i</w:t>
      </w:r>
      <w:r w:rsidR="00C47FA5">
        <w:rPr>
          <w:rFonts w:eastAsia="Calibri" w:cs="Times New Roman"/>
        </w:rPr>
        <w:t> </w:t>
      </w:r>
      <w:r w:rsidRPr="002E0BB5">
        <w:rPr>
          <w:rFonts w:eastAsia="Calibri" w:cs="Times New Roman"/>
        </w:rPr>
        <w:t>vybrané nemoci z povolání, jejich diagnostická a posudková kritéria. V tomto kontextu je podstatná také výchova a vzdělávání a management BOZP.</w:t>
      </w:r>
    </w:p>
    <w:p w14:paraId="626DC06B" w14:textId="77777777" w:rsidR="002E0BB5" w:rsidRPr="002E0BB5" w:rsidRDefault="002E0BB5" w:rsidP="002E0BB5">
      <w:pPr>
        <w:spacing w:after="0" w:line="360" w:lineRule="auto"/>
        <w:ind w:firstLine="708"/>
        <w:jc w:val="both"/>
        <w:rPr>
          <w:rFonts w:eastAsia="Calibri" w:cs="Times New Roman"/>
        </w:rPr>
      </w:pPr>
      <w:r w:rsidRPr="002E0BB5">
        <w:rPr>
          <w:rFonts w:eastAsia="Calibri" w:cs="Times New Roman"/>
          <w:b/>
        </w:rPr>
        <w:t>Hodnocení procesů utváření ceny práce</w:t>
      </w:r>
      <w:r w:rsidRPr="002E0BB5">
        <w:rPr>
          <w:rFonts w:eastAsia="Calibri" w:cs="Times New Roman"/>
        </w:rPr>
        <w:t xml:space="preserve"> - pozornost bude soustředěna na kontinuální studium faktorů a sociálně-ekonomických souvislostí procesu utváření ceny práce, hodnocení složitosti, odpovědnosti a namáhavosti prací, pohybu přímých a vedlejších nákladů práce, vývoje výdělků a jejich diferenciace, příjmů a výdajů obyvatelstva, resp. vybraných sociálních skupin.</w:t>
      </w:r>
    </w:p>
    <w:p w14:paraId="277BC315" w14:textId="77777777" w:rsidR="002E0BB5" w:rsidRPr="002E0BB5" w:rsidRDefault="002E0BB5" w:rsidP="002E0BB5">
      <w:pPr>
        <w:spacing w:after="0" w:line="360" w:lineRule="auto"/>
        <w:ind w:firstLine="708"/>
        <w:jc w:val="both"/>
        <w:rPr>
          <w:rFonts w:eastAsia="Calibri" w:cs="Times New Roman"/>
        </w:rPr>
      </w:pPr>
      <w:r w:rsidRPr="002E0BB5">
        <w:rPr>
          <w:rFonts w:eastAsia="Calibri" w:cs="Times New Roman"/>
          <w:b/>
        </w:rPr>
        <w:t>Migrace a politiky integrace cizinců</w:t>
      </w:r>
      <w:r w:rsidRPr="002E0BB5">
        <w:rPr>
          <w:rFonts w:eastAsia="Calibri" w:cs="Times New Roman"/>
        </w:rPr>
        <w:t xml:space="preserve"> - hlavním úkolem bude kontinuální monitorování procesů migrace v ČR a rozbor jejich socioekonomických souvislostí se specifikací zásadních dopadů na českou společnost, na mapování pracovní a sociální integrace cizinců do majoritní společnosti ČR a na sledování vývoje vztahů mezi cizinci a majoritní společností ČR.</w:t>
      </w:r>
    </w:p>
    <w:p w14:paraId="51F7B9EB" w14:textId="77777777" w:rsidR="002E0BB5" w:rsidRPr="002E0BB5" w:rsidRDefault="002E0BB5" w:rsidP="002E0BB5">
      <w:pPr>
        <w:spacing w:after="0" w:line="360" w:lineRule="auto"/>
        <w:ind w:firstLine="708"/>
        <w:jc w:val="both"/>
        <w:rPr>
          <w:rFonts w:eastAsia="Calibri" w:cs="Times New Roman"/>
        </w:rPr>
      </w:pPr>
      <w:r w:rsidRPr="002E0BB5">
        <w:rPr>
          <w:rFonts w:eastAsia="Calibri" w:cs="Times New Roman"/>
          <w:b/>
        </w:rPr>
        <w:t>Sociální a ekonomické důsledky stárnutí populace na sociální systémy</w:t>
      </w:r>
      <w:r w:rsidRPr="002E0BB5">
        <w:rPr>
          <w:rFonts w:eastAsia="Calibri" w:cs="Times New Roman"/>
        </w:rPr>
        <w:t xml:space="preserve"> - pozornost bude soustředěna na analýzu připravenosti české společnosti na řešení těchto důsledků zejména v oblasti důchodového a nemocenského pojištění a v oblasti dlouhodobé sociálně zdravotní péče, v této oblasti bude pozornost rovněž zaměřena na otázky jejich ekonomické a sociální efektivnosti.</w:t>
      </w:r>
    </w:p>
    <w:p w14:paraId="27A45C8A" w14:textId="77777777" w:rsidR="002E0BB5" w:rsidRPr="002E0BB5" w:rsidRDefault="002E0BB5" w:rsidP="002E0BB5">
      <w:pPr>
        <w:spacing w:after="0" w:line="360" w:lineRule="auto"/>
        <w:ind w:firstLine="708"/>
        <w:jc w:val="both"/>
        <w:rPr>
          <w:rFonts w:eastAsia="Calibri" w:cs="Times New Roman"/>
        </w:rPr>
      </w:pPr>
      <w:r w:rsidRPr="002E0BB5">
        <w:rPr>
          <w:rFonts w:eastAsia="Calibri" w:cs="Times New Roman"/>
          <w:b/>
        </w:rPr>
        <w:t>Monitorování sociální diferenciace, sociálního vyloučení a chudoby</w:t>
      </w:r>
      <w:r w:rsidRPr="002E0BB5">
        <w:rPr>
          <w:rFonts w:eastAsia="Calibri" w:cs="Times New Roman"/>
        </w:rPr>
        <w:t xml:space="preserve"> - těžiště výzkumné činnosti bude položeno na hodnocení vybraných oblastí politik (dávkové sociální systémy, politika zaměstnanosti, sociální služby, sociální bydlení) s cílem dále rozvíjet soubor národních indikátorů chudoby a sociálního vyloučení.</w:t>
      </w:r>
    </w:p>
    <w:p w14:paraId="677EF0BF" w14:textId="030F491C" w:rsidR="002E0BB5" w:rsidRPr="002E0BB5" w:rsidRDefault="002E0BB5" w:rsidP="002E0BB5">
      <w:pPr>
        <w:spacing w:after="0" w:line="360" w:lineRule="auto"/>
        <w:ind w:firstLine="708"/>
        <w:jc w:val="both"/>
        <w:rPr>
          <w:rFonts w:eastAsia="Calibri" w:cs="Times New Roman"/>
        </w:rPr>
      </w:pPr>
      <w:r w:rsidRPr="002E0BB5">
        <w:rPr>
          <w:rFonts w:eastAsia="Calibri" w:cs="Times New Roman"/>
          <w:b/>
        </w:rPr>
        <w:t>Proměny české rodiny v kontextu demografických a sociálních změn</w:t>
      </w:r>
      <w:r w:rsidRPr="002E0BB5">
        <w:rPr>
          <w:rFonts w:eastAsia="Calibri" w:cs="Times New Roman"/>
        </w:rPr>
        <w:t xml:space="preserve"> - výzkum bude zaměřen na hodnocení možností rodinné politiky v návaznosti na další veřejné politiky, přitom budou propojovány různé přístupy ke zkoumání rodin, mj. z hlediska slaďování rodinných a profesních rolí, z</w:t>
      </w:r>
      <w:r>
        <w:rPr>
          <w:rFonts w:eastAsia="Calibri" w:cs="Times New Roman"/>
        </w:rPr>
        <w:t> </w:t>
      </w:r>
      <w:r w:rsidRPr="002E0BB5">
        <w:rPr>
          <w:rFonts w:eastAsia="Calibri" w:cs="Times New Roman"/>
        </w:rPr>
        <w:t>hlediska potřeb jednotlivých členů rodin v různých fázích rodinného a životního cyklu a v různých formách rodin, z hlediska vztahu finančních a nefinančních forem společenské podpory.</w:t>
      </w:r>
    </w:p>
    <w:p w14:paraId="0BE6CEB2" w14:textId="77777777" w:rsidR="002E0BB5" w:rsidRDefault="002E0BB5" w:rsidP="002E0BB5">
      <w:pPr>
        <w:spacing w:after="0" w:line="360" w:lineRule="auto"/>
        <w:ind w:firstLine="576"/>
        <w:jc w:val="both"/>
        <w:rPr>
          <w:rFonts w:eastAsia="Calibri" w:cs="Times New Roman"/>
        </w:rPr>
      </w:pPr>
      <w:r w:rsidRPr="002E0BB5">
        <w:rPr>
          <w:rFonts w:eastAsia="Calibri" w:cs="Times New Roman"/>
          <w:b/>
        </w:rPr>
        <w:t>Hodnocení trendů v rozvoji kapacity veřejné správy a vládnutí ve vztahu k sociální politice</w:t>
      </w:r>
      <w:r w:rsidRPr="002E0BB5">
        <w:rPr>
          <w:rFonts w:eastAsia="Calibri" w:cs="Times New Roman"/>
        </w:rPr>
        <w:t xml:space="preserve"> - výzkum bude soustředěn na sledování probíhajících institucionálních a regulačních změn v systému veřejné správy, a to ve vztahu k uplatňování významnějších změn v jednotlivých oblastech sociální politiky, včetně oblasti sociální práce.</w:t>
      </w:r>
    </w:p>
    <w:p w14:paraId="10B84CA1" w14:textId="77777777" w:rsidR="00087EC7" w:rsidRDefault="00087EC7" w:rsidP="002E0BB5">
      <w:pPr>
        <w:spacing w:after="0" w:line="360" w:lineRule="auto"/>
        <w:ind w:firstLine="576"/>
        <w:jc w:val="both"/>
        <w:rPr>
          <w:rFonts w:eastAsia="Calibri" w:cs="Times New Roman"/>
        </w:rPr>
      </w:pPr>
    </w:p>
    <w:p w14:paraId="467EC2D3" w14:textId="589E249E" w:rsidR="002E0BB5" w:rsidRDefault="00A35561" w:rsidP="00A35561">
      <w:pPr>
        <w:pStyle w:val="Nadpis4"/>
      </w:pPr>
      <w:bookmarkStart w:id="152" w:name="_Toc525716239"/>
      <w:r>
        <w:t>Výzkum ve zdravotnictví</w:t>
      </w:r>
      <w:bookmarkEnd w:id="152"/>
    </w:p>
    <w:p w14:paraId="7191F7A3" w14:textId="3D724FF8" w:rsidR="00A35561" w:rsidRPr="00526D82" w:rsidRDefault="00A35561" w:rsidP="00A35561">
      <w:pPr>
        <w:spacing w:before="240" w:line="360" w:lineRule="auto"/>
        <w:rPr>
          <w:b/>
          <w:u w:val="single"/>
        </w:rPr>
      </w:pPr>
      <w:r w:rsidRPr="00526D82">
        <w:rPr>
          <w:b/>
          <w:u w:val="single"/>
        </w:rPr>
        <w:t>Východiska</w:t>
      </w:r>
    </w:p>
    <w:p w14:paraId="3F9F262F" w14:textId="779C5F8F" w:rsidR="00A35561" w:rsidRPr="00A35561" w:rsidRDefault="00A35561" w:rsidP="00A35561">
      <w:pPr>
        <w:autoSpaceDE w:val="0"/>
        <w:autoSpaceDN w:val="0"/>
        <w:adjustRightInd w:val="0"/>
        <w:spacing w:after="0" w:line="360" w:lineRule="auto"/>
        <w:ind w:firstLine="708"/>
        <w:jc w:val="both"/>
        <w:rPr>
          <w:rFonts w:cs="Times-Roman"/>
        </w:rPr>
      </w:pPr>
      <w:r w:rsidRPr="00A35561">
        <w:rPr>
          <w:rFonts w:cs="Times-Roman"/>
        </w:rPr>
        <w:t>Rozhodujícím p</w:t>
      </w:r>
      <w:r w:rsidRPr="00A35561">
        <w:rPr>
          <w:rFonts w:cs="TimesNewRoman-OneByteIdentityH"/>
        </w:rPr>
        <w:t>ř</w:t>
      </w:r>
      <w:r w:rsidRPr="00A35561">
        <w:rPr>
          <w:rFonts w:cs="Times-Roman"/>
        </w:rPr>
        <w:t>edpokladem ekonomicky, sociáln</w:t>
      </w:r>
      <w:r w:rsidRPr="00A35561">
        <w:rPr>
          <w:rFonts w:cs="TimesNewRoman-OneByteIdentityH"/>
        </w:rPr>
        <w:t xml:space="preserve">ě </w:t>
      </w:r>
      <w:r w:rsidRPr="00A35561">
        <w:rPr>
          <w:rFonts w:cs="Times-Roman"/>
        </w:rPr>
        <w:t>i lidsky úsp</w:t>
      </w:r>
      <w:r w:rsidRPr="00A35561">
        <w:rPr>
          <w:rFonts w:cs="TimesNewRoman-OneByteIdentityH"/>
        </w:rPr>
        <w:t>ě</w:t>
      </w:r>
      <w:r w:rsidRPr="00A35561">
        <w:rPr>
          <w:rFonts w:cs="Times-Roman"/>
        </w:rPr>
        <w:t>šné spole</w:t>
      </w:r>
      <w:r w:rsidRPr="00A35561">
        <w:rPr>
          <w:rFonts w:cs="TimesNewRoman-OneByteIdentityH"/>
        </w:rPr>
        <w:t>č</w:t>
      </w:r>
      <w:r w:rsidRPr="00A35561">
        <w:rPr>
          <w:rFonts w:cs="Times-Roman"/>
        </w:rPr>
        <w:t>nosti je zdravá populace. Základním aspektem „zdraví“ je dynamika zm</w:t>
      </w:r>
      <w:r w:rsidRPr="00A35561">
        <w:rPr>
          <w:rFonts w:cs="TimesNewRoman-OneByteIdentityH"/>
        </w:rPr>
        <w:t>ě</w:t>
      </w:r>
      <w:r w:rsidRPr="00A35561">
        <w:rPr>
          <w:rFonts w:cs="Times-Roman"/>
        </w:rPr>
        <w:t>n a proces</w:t>
      </w:r>
      <w:r w:rsidRPr="00A35561">
        <w:rPr>
          <w:rFonts w:cs="TimesNewRoman-OneByteIdentityH"/>
        </w:rPr>
        <w:t>ů</w:t>
      </w:r>
      <w:r w:rsidRPr="00A35561">
        <w:rPr>
          <w:rFonts w:cs="Times-Roman"/>
        </w:rPr>
        <w:t>, ta však má obvykle zna</w:t>
      </w:r>
      <w:r w:rsidRPr="00A35561">
        <w:rPr>
          <w:rFonts w:cs="TimesNewRoman-OneByteIdentityH"/>
        </w:rPr>
        <w:t>č</w:t>
      </w:r>
      <w:r w:rsidRPr="00A35561">
        <w:rPr>
          <w:rFonts w:cs="Times-Roman"/>
        </w:rPr>
        <w:t>nou setrva</w:t>
      </w:r>
      <w:r w:rsidRPr="00A35561">
        <w:rPr>
          <w:rFonts w:cs="TimesNewRoman-OneByteIdentityH"/>
        </w:rPr>
        <w:t>č</w:t>
      </w:r>
      <w:r w:rsidRPr="00A35561">
        <w:rPr>
          <w:rFonts w:cs="Times-Roman"/>
        </w:rPr>
        <w:t>nost. Tím vznikají mnohé diskrepance, nejvýrazn</w:t>
      </w:r>
      <w:r w:rsidRPr="00A35561">
        <w:rPr>
          <w:rFonts w:cs="TimesNewRoman-OneByteIdentityH"/>
        </w:rPr>
        <w:t>ě</w:t>
      </w:r>
      <w:r w:rsidRPr="00A35561">
        <w:rPr>
          <w:rFonts w:cs="Times-Roman"/>
        </w:rPr>
        <w:t>jší jsou mezi rozvojem léka</w:t>
      </w:r>
      <w:r w:rsidRPr="00A35561">
        <w:rPr>
          <w:rFonts w:cs="TimesNewRoman-OneByteIdentityH"/>
        </w:rPr>
        <w:t>ř</w:t>
      </w:r>
      <w:r w:rsidRPr="00A35561">
        <w:rPr>
          <w:rFonts w:cs="Times-Roman"/>
        </w:rPr>
        <w:t>ské v</w:t>
      </w:r>
      <w:r w:rsidRPr="00A35561">
        <w:rPr>
          <w:rFonts w:cs="TimesNewRoman-OneByteIdentityH"/>
        </w:rPr>
        <w:t>ě</w:t>
      </w:r>
      <w:r w:rsidRPr="00A35561">
        <w:rPr>
          <w:rFonts w:cs="Times-Roman"/>
        </w:rPr>
        <w:t>dy a</w:t>
      </w:r>
      <w:r>
        <w:rPr>
          <w:rFonts w:cs="Times-Roman"/>
        </w:rPr>
        <w:t> </w:t>
      </w:r>
      <w:r w:rsidRPr="00A35561">
        <w:rPr>
          <w:rFonts w:cs="Times-Roman"/>
        </w:rPr>
        <w:t>ekonomickými možnostmi zem</w:t>
      </w:r>
      <w:r w:rsidRPr="00A35561">
        <w:rPr>
          <w:rFonts w:cs="TimesNewRoman-OneByteIdentityH"/>
        </w:rPr>
        <w:t>ě</w:t>
      </w:r>
      <w:r w:rsidRPr="00A35561">
        <w:rPr>
          <w:rFonts w:cs="Times-Roman"/>
        </w:rPr>
        <w:t>. K tomu je nutno p</w:t>
      </w:r>
      <w:r w:rsidRPr="00A35561">
        <w:rPr>
          <w:rFonts w:cs="TimesNewRoman-OneByteIdentityH"/>
        </w:rPr>
        <w:t>ř</w:t>
      </w:r>
      <w:r w:rsidRPr="00A35561">
        <w:rPr>
          <w:rFonts w:cs="Times-Roman"/>
        </w:rPr>
        <w:t>ipo</w:t>
      </w:r>
      <w:r w:rsidRPr="00A35561">
        <w:rPr>
          <w:rFonts w:cs="TimesNewRoman-OneByteIdentityH"/>
        </w:rPr>
        <w:t>č</w:t>
      </w:r>
      <w:r w:rsidRPr="00A35561">
        <w:rPr>
          <w:rFonts w:cs="Times-Roman"/>
        </w:rPr>
        <w:t>íst m</w:t>
      </w:r>
      <w:r w:rsidRPr="00A35561">
        <w:rPr>
          <w:rFonts w:cs="TimesNewRoman-OneByteIdentityH"/>
        </w:rPr>
        <w:t>ě</w:t>
      </w:r>
      <w:r w:rsidRPr="00A35561">
        <w:rPr>
          <w:rFonts w:cs="Times-Roman"/>
        </w:rPr>
        <w:t>nící se životní a pracovní podmínky života jednotlivc</w:t>
      </w:r>
      <w:r w:rsidRPr="00A35561">
        <w:rPr>
          <w:rFonts w:cs="TimesNewRoman-OneByteIdentityH"/>
        </w:rPr>
        <w:t xml:space="preserve">ů </w:t>
      </w:r>
      <w:r w:rsidRPr="00A35561">
        <w:rPr>
          <w:rFonts w:cs="Times-Roman"/>
        </w:rPr>
        <w:t>i spole</w:t>
      </w:r>
      <w:r w:rsidRPr="00A35561">
        <w:rPr>
          <w:rFonts w:cs="TimesNewRoman-OneByteIdentityH"/>
        </w:rPr>
        <w:t>č</w:t>
      </w:r>
      <w:r w:rsidRPr="00A35561">
        <w:rPr>
          <w:rFonts w:cs="Times-Roman"/>
        </w:rPr>
        <w:t>nosti a zm</w:t>
      </w:r>
      <w:r w:rsidRPr="00A35561">
        <w:rPr>
          <w:rFonts w:cs="TimesNewRoman-OneByteIdentityH"/>
        </w:rPr>
        <w:t>ě</w:t>
      </w:r>
      <w:r w:rsidRPr="00A35561">
        <w:rPr>
          <w:rFonts w:cs="Times-Roman"/>
        </w:rPr>
        <w:t>ny ve složení spole</w:t>
      </w:r>
      <w:r w:rsidRPr="00A35561">
        <w:rPr>
          <w:rFonts w:cs="TimesNewRoman-OneByteIdentityH"/>
        </w:rPr>
        <w:t>č</w:t>
      </w:r>
      <w:r w:rsidRPr="00A35561">
        <w:rPr>
          <w:rFonts w:cs="Times-Roman"/>
        </w:rPr>
        <w:t>nosti (nap</w:t>
      </w:r>
      <w:r w:rsidRPr="00A35561">
        <w:rPr>
          <w:rFonts w:cs="TimesNewRoman-OneByteIdentityH"/>
        </w:rPr>
        <w:t>ř</w:t>
      </w:r>
      <w:r w:rsidRPr="00A35561">
        <w:rPr>
          <w:rFonts w:cs="Times-Roman"/>
        </w:rPr>
        <w:t>. stárnutí populace). Je pot</w:t>
      </w:r>
      <w:r w:rsidRPr="00A35561">
        <w:rPr>
          <w:rFonts w:cs="TimesNewRoman-OneByteIdentityH"/>
        </w:rPr>
        <w:t>ř</w:t>
      </w:r>
      <w:r w:rsidRPr="00A35561">
        <w:rPr>
          <w:rFonts w:cs="Times-Roman"/>
        </w:rPr>
        <w:t>ebné hledat vyvážený stav mezi možnostmi, pot</w:t>
      </w:r>
      <w:r w:rsidRPr="00A35561">
        <w:rPr>
          <w:rFonts w:cs="TimesNewRoman-OneByteIdentityH"/>
        </w:rPr>
        <w:t>ř</w:t>
      </w:r>
      <w:r w:rsidRPr="00A35561">
        <w:rPr>
          <w:rFonts w:cs="Times-Roman"/>
        </w:rPr>
        <w:t>ebami a rozvojem v oblasti zdraví. Z tohoto pohledu je nutné sm</w:t>
      </w:r>
      <w:r w:rsidRPr="00A35561">
        <w:rPr>
          <w:rFonts w:cs="TimesNewRoman-OneByteIdentityH"/>
        </w:rPr>
        <w:t>ěř</w:t>
      </w:r>
      <w:r w:rsidRPr="00A35561">
        <w:rPr>
          <w:rFonts w:cs="Times-Roman"/>
        </w:rPr>
        <w:t>ovat výzkum a vývoj do této oblasti. Nejde pouze o medicínský výzkum, zapojena musí být i sociologie, popula</w:t>
      </w:r>
      <w:r w:rsidRPr="00A35561">
        <w:rPr>
          <w:rFonts w:cs="TimesNewRoman-OneByteIdentityH"/>
        </w:rPr>
        <w:t>č</w:t>
      </w:r>
      <w:r w:rsidRPr="00A35561">
        <w:rPr>
          <w:rFonts w:cs="Times-Roman"/>
        </w:rPr>
        <w:t>ní psychologie, demografie atd.</w:t>
      </w:r>
    </w:p>
    <w:p w14:paraId="5788A520" w14:textId="77777777" w:rsidR="00A35561" w:rsidRPr="00A35561" w:rsidRDefault="00A35561" w:rsidP="00A35561">
      <w:pPr>
        <w:autoSpaceDE w:val="0"/>
        <w:autoSpaceDN w:val="0"/>
        <w:adjustRightInd w:val="0"/>
        <w:spacing w:after="0" w:line="360" w:lineRule="auto"/>
        <w:ind w:firstLine="708"/>
        <w:jc w:val="both"/>
        <w:rPr>
          <w:rFonts w:cs="Times-Roman"/>
        </w:rPr>
      </w:pPr>
      <w:r w:rsidRPr="00A35561">
        <w:rPr>
          <w:rFonts w:cs="Times-Roman"/>
        </w:rPr>
        <w:t>V oblasti medicíny je t</w:t>
      </w:r>
      <w:r w:rsidRPr="00A35561">
        <w:rPr>
          <w:rFonts w:cs="TimesNewRoman-OneByteIdentityH"/>
        </w:rPr>
        <w:t>ř</w:t>
      </w:r>
      <w:r w:rsidRPr="00A35561">
        <w:rPr>
          <w:rFonts w:cs="Times-Roman"/>
        </w:rPr>
        <w:t>eba se zam</w:t>
      </w:r>
      <w:r w:rsidRPr="00A35561">
        <w:rPr>
          <w:rFonts w:cs="TimesNewRoman-OneByteIdentityH"/>
        </w:rPr>
        <w:t>ěř</w:t>
      </w:r>
      <w:r w:rsidRPr="00A35561">
        <w:rPr>
          <w:rFonts w:cs="Times-Roman"/>
        </w:rPr>
        <w:t>it na nej</w:t>
      </w:r>
      <w:r w:rsidRPr="00A35561">
        <w:rPr>
          <w:rFonts w:cs="TimesNewRoman-OneByteIdentityH"/>
        </w:rPr>
        <w:t>č</w:t>
      </w:r>
      <w:r w:rsidRPr="00A35561">
        <w:rPr>
          <w:rFonts w:cs="Times-Roman"/>
        </w:rPr>
        <w:t>ast</w:t>
      </w:r>
      <w:r w:rsidRPr="00A35561">
        <w:rPr>
          <w:rFonts w:cs="TimesNewRoman-OneByteIdentityH"/>
        </w:rPr>
        <w:t>ě</w:t>
      </w:r>
      <w:r w:rsidRPr="00A35561">
        <w:rPr>
          <w:rFonts w:cs="Times-Roman"/>
        </w:rPr>
        <w:t>jší a nejnebezpe</w:t>
      </w:r>
      <w:r w:rsidRPr="00A35561">
        <w:rPr>
          <w:rFonts w:cs="TimesNewRoman-OneByteIdentityH"/>
        </w:rPr>
        <w:t>č</w:t>
      </w:r>
      <w:r w:rsidRPr="00A35561">
        <w:rPr>
          <w:rFonts w:cs="Times-Roman"/>
        </w:rPr>
        <w:t>n</w:t>
      </w:r>
      <w:r w:rsidRPr="00A35561">
        <w:rPr>
          <w:rFonts w:cs="TimesNewRoman-OneByteIdentityH"/>
        </w:rPr>
        <w:t>ě</w:t>
      </w:r>
      <w:r w:rsidRPr="00A35561">
        <w:rPr>
          <w:rFonts w:cs="Times-Roman"/>
        </w:rPr>
        <w:t>jší oblasti: chronická neinfek</w:t>
      </w:r>
      <w:r w:rsidRPr="00A35561">
        <w:rPr>
          <w:rFonts w:cs="TimesNewRoman-OneByteIdentityH"/>
        </w:rPr>
        <w:t>č</w:t>
      </w:r>
      <w:r w:rsidRPr="00A35561">
        <w:rPr>
          <w:rFonts w:cs="Times-Roman"/>
        </w:rPr>
        <w:t>ní onemocn</w:t>
      </w:r>
      <w:r w:rsidRPr="00A35561">
        <w:rPr>
          <w:rFonts w:cs="TimesNewRoman-OneByteIdentityH"/>
        </w:rPr>
        <w:t>ě</w:t>
      </w:r>
      <w:r w:rsidRPr="00A35561">
        <w:rPr>
          <w:rFonts w:cs="Times-Roman"/>
        </w:rPr>
        <w:t>ní jako kardio- a cerebrovaskulární onemocn</w:t>
      </w:r>
      <w:r w:rsidRPr="00A35561">
        <w:rPr>
          <w:rFonts w:cs="TimesNewRoman-OneByteIdentityH"/>
        </w:rPr>
        <w:t>ě</w:t>
      </w:r>
      <w:r w:rsidRPr="00A35561">
        <w:rPr>
          <w:rFonts w:cs="Times-Roman"/>
        </w:rPr>
        <w:t>ní, onkologie, demence a jiná psychická onemocn</w:t>
      </w:r>
      <w:r w:rsidRPr="00A35561">
        <w:rPr>
          <w:rFonts w:cs="TimesNewRoman-OneByteIdentityH"/>
        </w:rPr>
        <w:t>ě</w:t>
      </w:r>
      <w:r w:rsidRPr="00A35561">
        <w:rPr>
          <w:rFonts w:cs="Times-Roman"/>
        </w:rPr>
        <w:t xml:space="preserve">ní </w:t>
      </w:r>
      <w:r w:rsidRPr="00A35561">
        <w:rPr>
          <w:rFonts w:cs="TimesNewRoman-OneByteIdentityH"/>
        </w:rPr>
        <w:t>č</w:t>
      </w:r>
      <w:r w:rsidRPr="00A35561">
        <w:rPr>
          <w:rFonts w:cs="Times-Roman"/>
        </w:rPr>
        <w:t>i chronická onemocn</w:t>
      </w:r>
      <w:r w:rsidRPr="00A35561">
        <w:rPr>
          <w:rFonts w:cs="TimesNewRoman-OneByteIdentityH"/>
        </w:rPr>
        <w:t>ě</w:t>
      </w:r>
      <w:r w:rsidRPr="00A35561">
        <w:rPr>
          <w:rFonts w:cs="Times-Roman"/>
        </w:rPr>
        <w:t>ní pohybového aparátu atd.</w:t>
      </w:r>
    </w:p>
    <w:p w14:paraId="3033A47A" w14:textId="5EED5865" w:rsidR="00A35561" w:rsidRPr="00A35561" w:rsidRDefault="00A35561" w:rsidP="00A35561">
      <w:pPr>
        <w:autoSpaceDE w:val="0"/>
        <w:autoSpaceDN w:val="0"/>
        <w:adjustRightInd w:val="0"/>
        <w:spacing w:after="0" w:line="360" w:lineRule="auto"/>
        <w:ind w:firstLine="708"/>
        <w:jc w:val="both"/>
        <w:rPr>
          <w:rFonts w:cs="Times-Roman"/>
        </w:rPr>
      </w:pPr>
      <w:r w:rsidRPr="00A35561">
        <w:rPr>
          <w:rFonts w:cs="Times-Roman"/>
        </w:rPr>
        <w:t>Nejefektivn</w:t>
      </w:r>
      <w:r w:rsidRPr="00A35561">
        <w:rPr>
          <w:rFonts w:cs="TimesNewRoman-OneByteIdentityH"/>
        </w:rPr>
        <w:t>ě</w:t>
      </w:r>
      <w:r w:rsidRPr="00A35561">
        <w:rPr>
          <w:rFonts w:cs="Times-Roman"/>
        </w:rPr>
        <w:t>jší je prevence, je t</w:t>
      </w:r>
      <w:r w:rsidRPr="00A35561">
        <w:rPr>
          <w:rFonts w:cs="TimesNewRoman-OneByteIdentityH"/>
        </w:rPr>
        <w:t>ř</w:t>
      </w:r>
      <w:r w:rsidRPr="00A35561">
        <w:rPr>
          <w:rFonts w:cs="Times-Roman"/>
        </w:rPr>
        <w:t>eba v</w:t>
      </w:r>
      <w:r w:rsidRPr="00A35561">
        <w:rPr>
          <w:rFonts w:cs="TimesNewRoman-OneByteIdentityH"/>
        </w:rPr>
        <w:t>ě</w:t>
      </w:r>
      <w:r w:rsidRPr="00A35561">
        <w:rPr>
          <w:rFonts w:cs="Times-Roman"/>
        </w:rPr>
        <w:t>novat pozornost chování populace a jejím chybným nutri</w:t>
      </w:r>
      <w:r w:rsidRPr="00A35561">
        <w:rPr>
          <w:rFonts w:cs="TimesNewRoman-OneByteIdentityH"/>
        </w:rPr>
        <w:t>č</w:t>
      </w:r>
      <w:r w:rsidRPr="00A35561">
        <w:rPr>
          <w:rFonts w:cs="Times-Roman"/>
        </w:rPr>
        <w:t>ním, návykovým, pohybovým i jiným negativním vzorc</w:t>
      </w:r>
      <w:r w:rsidRPr="00A35561">
        <w:rPr>
          <w:rFonts w:cs="TimesNewRoman-OneByteIdentityH"/>
        </w:rPr>
        <w:t>ů</w:t>
      </w:r>
      <w:r w:rsidRPr="00A35561">
        <w:rPr>
          <w:rFonts w:cs="Times-Roman"/>
        </w:rPr>
        <w:t>m chování. Pozornost je t</w:t>
      </w:r>
      <w:r w:rsidRPr="00A35561">
        <w:rPr>
          <w:rFonts w:cs="TimesNewRoman-OneByteIdentityH"/>
        </w:rPr>
        <w:t>ř</w:t>
      </w:r>
      <w:r w:rsidRPr="00A35561">
        <w:rPr>
          <w:rFonts w:cs="Times-Roman"/>
        </w:rPr>
        <w:t>eba v</w:t>
      </w:r>
      <w:r w:rsidRPr="00A35561">
        <w:rPr>
          <w:rFonts w:cs="TimesNewRoman-OneByteIdentityH"/>
        </w:rPr>
        <w:t>ě</w:t>
      </w:r>
      <w:r w:rsidRPr="00A35561">
        <w:rPr>
          <w:rFonts w:cs="Times-Roman"/>
        </w:rPr>
        <w:t>novat i</w:t>
      </w:r>
      <w:r w:rsidR="005E62BB">
        <w:rPr>
          <w:rFonts w:cs="Times-Roman"/>
        </w:rPr>
        <w:t> </w:t>
      </w:r>
      <w:r w:rsidRPr="00A35561">
        <w:rPr>
          <w:rFonts w:cs="Times-Roman"/>
        </w:rPr>
        <w:t>zevním vliv</w:t>
      </w:r>
      <w:r w:rsidRPr="00A35561">
        <w:rPr>
          <w:rFonts w:cs="TimesNewRoman-OneByteIdentityH"/>
        </w:rPr>
        <w:t>ů</w:t>
      </w:r>
      <w:r w:rsidRPr="00A35561">
        <w:rPr>
          <w:rFonts w:cs="Times-Roman"/>
        </w:rPr>
        <w:t>m prost</w:t>
      </w:r>
      <w:r w:rsidRPr="00A35561">
        <w:rPr>
          <w:rFonts w:cs="TimesNewRoman-OneByteIdentityH"/>
        </w:rPr>
        <w:t>ř</w:t>
      </w:r>
      <w:r w:rsidRPr="00A35561">
        <w:rPr>
          <w:rFonts w:cs="Times-Roman"/>
        </w:rPr>
        <w:t>edí, které procházejí výraznými zm</w:t>
      </w:r>
      <w:r w:rsidRPr="00A35561">
        <w:rPr>
          <w:rFonts w:cs="TimesNewRoman-OneByteIdentityH"/>
        </w:rPr>
        <w:t>ě</w:t>
      </w:r>
      <w:r w:rsidRPr="00A35561">
        <w:rPr>
          <w:rFonts w:cs="Times-Roman"/>
        </w:rPr>
        <w:t>nami. Zde je nezastupitelná úloha primární prevence nemocí souvisejících s determinanty/kvalitou životního a pracovního prost</w:t>
      </w:r>
      <w:r w:rsidRPr="00A35561">
        <w:rPr>
          <w:rFonts w:cs="TimesNewRoman-OneByteIdentityH"/>
        </w:rPr>
        <w:t>ř</w:t>
      </w:r>
      <w:r w:rsidRPr="00A35561">
        <w:rPr>
          <w:rFonts w:cs="Times-Roman"/>
        </w:rPr>
        <w:t>edí reprezentovaná obory hygieny, epidemiologie a pracovního léka</w:t>
      </w:r>
      <w:r w:rsidRPr="00A35561">
        <w:rPr>
          <w:rFonts w:cs="TimesNewRoman-OneByteIdentityH"/>
        </w:rPr>
        <w:t>ř</w:t>
      </w:r>
      <w:r w:rsidRPr="00A35561">
        <w:rPr>
          <w:rFonts w:cs="Times-Roman"/>
        </w:rPr>
        <w:t>ství.</w:t>
      </w:r>
    </w:p>
    <w:p w14:paraId="4839ACB8" w14:textId="77777777" w:rsidR="00A35561" w:rsidRPr="00A35561" w:rsidRDefault="00A35561" w:rsidP="00A35561">
      <w:pPr>
        <w:autoSpaceDE w:val="0"/>
        <w:autoSpaceDN w:val="0"/>
        <w:adjustRightInd w:val="0"/>
        <w:spacing w:after="0" w:line="360" w:lineRule="auto"/>
        <w:ind w:firstLine="708"/>
        <w:jc w:val="both"/>
        <w:rPr>
          <w:rFonts w:cs="Times-Roman"/>
        </w:rPr>
      </w:pPr>
      <w:r w:rsidRPr="00A35561">
        <w:rPr>
          <w:rFonts w:cs="Times-Roman"/>
        </w:rPr>
        <w:t>Budou vznikat nejen nové lé</w:t>
      </w:r>
      <w:r w:rsidRPr="00A35561">
        <w:rPr>
          <w:rFonts w:cs="TimesNewRoman-OneByteIdentityH"/>
        </w:rPr>
        <w:t>č</w:t>
      </w:r>
      <w:r w:rsidRPr="00A35561">
        <w:rPr>
          <w:rFonts w:cs="Times-Roman"/>
        </w:rPr>
        <w:t>ebné technologie (genetika, nanotechnologie), ale budou se objevovat i nová rizika, která lze odhadnout v horizontu 5-10 let. V delším horizontu je již nutné, abychom byli p</w:t>
      </w:r>
      <w:r w:rsidRPr="00A35561">
        <w:rPr>
          <w:rFonts w:cs="TimesNewRoman-OneByteIdentityH"/>
        </w:rPr>
        <w:t>ř</w:t>
      </w:r>
      <w:r w:rsidRPr="00A35561">
        <w:rPr>
          <w:rFonts w:cs="Times-Roman"/>
        </w:rPr>
        <w:t>ipraveni i na dosud neznámá rizika. Sem pat</w:t>
      </w:r>
      <w:r w:rsidRPr="00A35561">
        <w:rPr>
          <w:rFonts w:cs="TimesNewRoman-OneByteIdentityH"/>
        </w:rPr>
        <w:t>ř</w:t>
      </w:r>
      <w:r w:rsidRPr="00A35561">
        <w:rPr>
          <w:rFonts w:cs="Times-Roman"/>
        </w:rPr>
        <w:t>í i nová infek</w:t>
      </w:r>
      <w:r w:rsidRPr="00A35561">
        <w:rPr>
          <w:rFonts w:cs="TimesNewRoman-OneByteIdentityH"/>
        </w:rPr>
        <w:t>č</w:t>
      </w:r>
      <w:r w:rsidRPr="00A35561">
        <w:rPr>
          <w:rFonts w:cs="Times-Roman"/>
        </w:rPr>
        <w:t>ní onemocn</w:t>
      </w:r>
      <w:r w:rsidRPr="00A35561">
        <w:rPr>
          <w:rFonts w:cs="TimesNewRoman-OneByteIdentityH"/>
        </w:rPr>
        <w:t>ě</w:t>
      </w:r>
      <w:r w:rsidRPr="00A35561">
        <w:rPr>
          <w:rFonts w:cs="Times-Roman"/>
        </w:rPr>
        <w:t>ní a stále více p</w:t>
      </w:r>
      <w:r w:rsidRPr="00A35561">
        <w:rPr>
          <w:rFonts w:cs="TimesNewRoman-OneByteIdentityH"/>
        </w:rPr>
        <w:t>ř</w:t>
      </w:r>
      <w:r w:rsidRPr="00A35561">
        <w:rPr>
          <w:rFonts w:cs="Times-Roman"/>
        </w:rPr>
        <w:t>ítomné rezistence nových agend.</w:t>
      </w:r>
    </w:p>
    <w:p w14:paraId="2DF57ABC" w14:textId="67A3E4DC" w:rsidR="00A35561" w:rsidRDefault="00A35561" w:rsidP="005E62BB">
      <w:pPr>
        <w:spacing w:line="360" w:lineRule="auto"/>
        <w:ind w:firstLine="576"/>
        <w:jc w:val="both"/>
        <w:rPr>
          <w:rFonts w:cs="Times-Roman"/>
        </w:rPr>
      </w:pPr>
      <w:r w:rsidRPr="00A35561">
        <w:rPr>
          <w:rFonts w:cs="Times-Roman"/>
        </w:rPr>
        <w:t>Systém zdravotnictví a souvisejících oblastí musí být schopen p</w:t>
      </w:r>
      <w:r w:rsidRPr="00A35561">
        <w:rPr>
          <w:rFonts w:cs="TimesNewRoman-OneByteIdentityH"/>
        </w:rPr>
        <w:t>ř</w:t>
      </w:r>
      <w:r w:rsidRPr="00A35561">
        <w:rPr>
          <w:rFonts w:cs="Times-Roman"/>
        </w:rPr>
        <w:t>izp</w:t>
      </w:r>
      <w:r w:rsidRPr="00A35561">
        <w:rPr>
          <w:rFonts w:cs="TimesNewRoman-OneByteIdentityH"/>
        </w:rPr>
        <w:t>ů</w:t>
      </w:r>
      <w:r w:rsidRPr="00A35561">
        <w:rPr>
          <w:rFonts w:cs="Times-Roman"/>
        </w:rPr>
        <w:t>sobit se dynamickému vývoji tak, aby byl zachován p</w:t>
      </w:r>
      <w:r w:rsidRPr="00A35561">
        <w:rPr>
          <w:rFonts w:cs="TimesNewRoman-OneByteIdentityH"/>
        </w:rPr>
        <w:t>ř</w:t>
      </w:r>
      <w:r w:rsidRPr="00A35561">
        <w:rPr>
          <w:rFonts w:cs="Times-Roman"/>
        </w:rPr>
        <w:t>ístup celé populace ke kvalitní prevenci, lé</w:t>
      </w:r>
      <w:r w:rsidRPr="00A35561">
        <w:rPr>
          <w:rFonts w:cs="TimesNewRoman-OneByteIdentityH"/>
        </w:rPr>
        <w:t>č</w:t>
      </w:r>
      <w:r w:rsidRPr="00A35561">
        <w:rPr>
          <w:rFonts w:cs="Times-Roman"/>
        </w:rPr>
        <w:t>b</w:t>
      </w:r>
      <w:r w:rsidRPr="00A35561">
        <w:rPr>
          <w:rFonts w:cs="TimesNewRoman-OneByteIdentityH"/>
        </w:rPr>
        <w:t xml:space="preserve">ě </w:t>
      </w:r>
      <w:r w:rsidRPr="00A35561">
        <w:rPr>
          <w:rFonts w:cs="Times-Roman"/>
        </w:rPr>
        <w:t>a podpo</w:t>
      </w:r>
      <w:r w:rsidRPr="00A35561">
        <w:rPr>
          <w:rFonts w:cs="TimesNewRoman-OneByteIdentityH"/>
        </w:rPr>
        <w:t>ř</w:t>
      </w:r>
      <w:r w:rsidRPr="00A35561">
        <w:rPr>
          <w:rFonts w:cs="Times-Roman"/>
        </w:rPr>
        <w:t>e zdraví a zdravého životního stylu.</w:t>
      </w:r>
    </w:p>
    <w:p w14:paraId="4DDE0D6B" w14:textId="77777777" w:rsidR="00A35561" w:rsidRPr="00A35561" w:rsidRDefault="00A35561" w:rsidP="00A35561">
      <w:pPr>
        <w:spacing w:line="360" w:lineRule="auto"/>
        <w:rPr>
          <w:rFonts w:cs="Times-Roman"/>
        </w:rPr>
      </w:pPr>
    </w:p>
    <w:p w14:paraId="158FB9D8" w14:textId="03574FFA" w:rsidR="00A35561" w:rsidRPr="00526D82" w:rsidRDefault="00A35561" w:rsidP="00A35561">
      <w:pPr>
        <w:rPr>
          <w:b/>
          <w:u w:val="single"/>
        </w:rPr>
      </w:pPr>
      <w:r w:rsidRPr="00526D82">
        <w:rPr>
          <w:b/>
          <w:u w:val="single"/>
        </w:rPr>
        <w:t>Popis potřeb a jejich řešení</w:t>
      </w:r>
    </w:p>
    <w:p w14:paraId="43A62921" w14:textId="2C0F812A" w:rsidR="00A35561" w:rsidRDefault="00A35561" w:rsidP="00A35561">
      <w:pPr>
        <w:autoSpaceDE w:val="0"/>
        <w:autoSpaceDN w:val="0"/>
        <w:adjustRightInd w:val="0"/>
        <w:spacing w:after="0" w:line="360" w:lineRule="auto"/>
        <w:ind w:firstLine="708"/>
        <w:jc w:val="both"/>
        <w:rPr>
          <w:rFonts w:cs="Times-Roman"/>
        </w:rPr>
      </w:pPr>
      <w:r w:rsidRPr="00A35561">
        <w:rPr>
          <w:rFonts w:cs="Times-Roman"/>
        </w:rPr>
        <w:t>Pro oblast zdravotnického výzkumu byla zpracována Koncepce zdravo</w:t>
      </w:r>
      <w:r>
        <w:rPr>
          <w:rFonts w:cs="Times-Roman"/>
        </w:rPr>
        <w:t xml:space="preserve">tnického výzkumu do roku 2022. </w:t>
      </w:r>
    </w:p>
    <w:p w14:paraId="5884B4CC" w14:textId="77777777" w:rsidR="00A35561" w:rsidRPr="00A35561" w:rsidRDefault="00A35561" w:rsidP="00A35561">
      <w:pPr>
        <w:autoSpaceDE w:val="0"/>
        <w:autoSpaceDN w:val="0"/>
        <w:adjustRightInd w:val="0"/>
        <w:spacing w:after="0" w:line="360" w:lineRule="auto"/>
        <w:ind w:firstLine="708"/>
        <w:jc w:val="both"/>
        <w:rPr>
          <w:rFonts w:cs="Times-Roman"/>
        </w:rPr>
      </w:pPr>
      <w:r w:rsidRPr="00A35561">
        <w:rPr>
          <w:rFonts w:cs="Times-Roman"/>
        </w:rPr>
        <w:t xml:space="preserve">Hlavní tematické priority výzkumu Koncepce vychází z Národních priorit orientovaného výzkumu, </w:t>
      </w:r>
      <w:r w:rsidRPr="00A35561">
        <w:t>experimentálního vývoje a inovací</w:t>
      </w:r>
      <w:r w:rsidRPr="00A35561">
        <w:rPr>
          <w:rFonts w:cs="Times-Roman"/>
        </w:rPr>
        <w:t>, konkrétn</w:t>
      </w:r>
      <w:r w:rsidRPr="00A35561">
        <w:rPr>
          <w:rFonts w:cs="TimesNewRoman-OneByteIdentityH"/>
        </w:rPr>
        <w:t xml:space="preserve">ě </w:t>
      </w:r>
      <w:r w:rsidRPr="00A35561">
        <w:rPr>
          <w:rFonts w:cs="Times-Roman"/>
        </w:rPr>
        <w:t xml:space="preserve">z priority </w:t>
      </w:r>
      <w:r w:rsidRPr="00A35561">
        <w:rPr>
          <w:rFonts w:cs="TimesNewRoman-OneByteIdentityH"/>
        </w:rPr>
        <w:t>č</w:t>
      </w:r>
      <w:r w:rsidRPr="00A35561">
        <w:rPr>
          <w:rFonts w:cs="Times-Roman"/>
        </w:rPr>
        <w:t>. 5: Zdravá populace. Priority zdravotnického výzkumu se budou soustředit na t</w:t>
      </w:r>
      <w:r w:rsidRPr="00A35561">
        <w:rPr>
          <w:rFonts w:cs="TimesNewRoman-OneByteIdentityH"/>
        </w:rPr>
        <w:t>ř</w:t>
      </w:r>
      <w:r w:rsidRPr="00A35561">
        <w:rPr>
          <w:rFonts w:cs="Times-Roman"/>
        </w:rPr>
        <w:t>i oblasti: vznik a rozvoj chorob; nové diagnostické a terapeutické metody a epidemiologii a prevenci nejzávažn</w:t>
      </w:r>
      <w:r w:rsidRPr="00A35561">
        <w:rPr>
          <w:rFonts w:cs="TimesNewRoman-OneByteIdentityH"/>
        </w:rPr>
        <w:t>ě</w:t>
      </w:r>
      <w:r w:rsidRPr="00A35561">
        <w:rPr>
          <w:rFonts w:cs="Times-Roman"/>
        </w:rPr>
        <w:t>jších chorob.</w:t>
      </w:r>
    </w:p>
    <w:p w14:paraId="334FD389" w14:textId="77777777" w:rsidR="00A35561" w:rsidRPr="00A35561" w:rsidRDefault="00A35561" w:rsidP="00A35561">
      <w:pPr>
        <w:autoSpaceDE w:val="0"/>
        <w:autoSpaceDN w:val="0"/>
        <w:adjustRightInd w:val="0"/>
        <w:spacing w:after="0" w:line="360" w:lineRule="auto"/>
        <w:ind w:firstLine="708"/>
        <w:jc w:val="both"/>
        <w:rPr>
          <w:rFonts w:cs="Times-Roman"/>
        </w:rPr>
      </w:pPr>
      <w:r w:rsidRPr="00A35561">
        <w:rPr>
          <w:rFonts w:cs="Times-Roman"/>
        </w:rPr>
        <w:t xml:space="preserve">Oblast </w:t>
      </w:r>
      <w:r w:rsidRPr="00A35561">
        <w:rPr>
          <w:rFonts w:cs="Times-Roman"/>
          <w:b/>
        </w:rPr>
        <w:t xml:space="preserve">vznik a rozvoj chorob </w:t>
      </w:r>
      <w:r w:rsidRPr="00A35561">
        <w:rPr>
          <w:rFonts w:cs="Times-Roman"/>
        </w:rPr>
        <w:t>zahrnuje metabolické a endokrinní choroby, nemoci ob</w:t>
      </w:r>
      <w:r w:rsidRPr="00A35561">
        <w:rPr>
          <w:rFonts w:cs="TimesNewRoman-OneByteIdentityH"/>
        </w:rPr>
        <w:t>ě</w:t>
      </w:r>
      <w:r w:rsidRPr="00A35561">
        <w:rPr>
          <w:rFonts w:cs="Times-Roman"/>
        </w:rPr>
        <w:t>hové soustavy, nádorová onemocn</w:t>
      </w:r>
      <w:r w:rsidRPr="00A35561">
        <w:rPr>
          <w:rFonts w:cs="TimesNewRoman-OneByteIdentityH"/>
        </w:rPr>
        <w:t>ě</w:t>
      </w:r>
      <w:r w:rsidRPr="00A35561">
        <w:rPr>
          <w:rFonts w:cs="Times-Roman"/>
        </w:rPr>
        <w:t>ní, nervová a psychická onemocn</w:t>
      </w:r>
      <w:r w:rsidRPr="00A35561">
        <w:rPr>
          <w:rFonts w:cs="TimesNewRoman-OneByteIdentityH"/>
        </w:rPr>
        <w:t>ě</w:t>
      </w:r>
      <w:r w:rsidRPr="00A35561">
        <w:rPr>
          <w:rFonts w:cs="Times-Roman"/>
        </w:rPr>
        <w:t>ní, onemocn</w:t>
      </w:r>
      <w:r w:rsidRPr="00A35561">
        <w:rPr>
          <w:rFonts w:cs="TimesNewRoman-OneByteIdentityH"/>
        </w:rPr>
        <w:t>ě</w:t>
      </w:r>
      <w:r w:rsidRPr="00A35561">
        <w:rPr>
          <w:rFonts w:cs="Times-Roman"/>
        </w:rPr>
        <w:t>ní pohybového aparátu a zán</w:t>
      </w:r>
      <w:r w:rsidRPr="00A35561">
        <w:rPr>
          <w:rFonts w:cs="TimesNewRoman-OneByteIdentityH"/>
        </w:rPr>
        <w:t>ě</w:t>
      </w:r>
      <w:r w:rsidRPr="00A35561">
        <w:rPr>
          <w:rFonts w:cs="Times-Roman"/>
        </w:rPr>
        <w:t>tlivá a imunologická onemocn</w:t>
      </w:r>
      <w:r w:rsidRPr="00A35561">
        <w:rPr>
          <w:rFonts w:cs="TimesNewRoman-OneByteIdentityH"/>
        </w:rPr>
        <w:t>ě</w:t>
      </w:r>
      <w:r w:rsidRPr="00A35561">
        <w:rPr>
          <w:rFonts w:cs="Times-Roman"/>
        </w:rPr>
        <w:t>ní, infekce a onemocn</w:t>
      </w:r>
      <w:r w:rsidRPr="00A35561">
        <w:rPr>
          <w:rFonts w:cs="TimesNewRoman-OneByteIdentityH"/>
        </w:rPr>
        <w:t>ě</w:t>
      </w:r>
      <w:r w:rsidRPr="00A35561">
        <w:rPr>
          <w:rFonts w:cs="Times-Roman"/>
        </w:rPr>
        <w:t>ní d</w:t>
      </w:r>
      <w:r w:rsidRPr="00A35561">
        <w:rPr>
          <w:rFonts w:cs="TimesNewRoman-OneByteIdentityH"/>
        </w:rPr>
        <w:t>ě</w:t>
      </w:r>
      <w:r w:rsidRPr="00A35561">
        <w:rPr>
          <w:rFonts w:cs="Times-Roman"/>
        </w:rPr>
        <w:t>tského v</w:t>
      </w:r>
      <w:r w:rsidRPr="00A35561">
        <w:rPr>
          <w:rFonts w:cs="TimesNewRoman-OneByteIdentityH"/>
        </w:rPr>
        <w:t>ě</w:t>
      </w:r>
      <w:r w:rsidRPr="00A35561">
        <w:rPr>
          <w:rFonts w:cs="Times-Roman"/>
        </w:rPr>
        <w:t>ku a vzácná onemocn</w:t>
      </w:r>
      <w:r w:rsidRPr="00A35561">
        <w:rPr>
          <w:rFonts w:cs="TimesNewRoman-OneByteIdentityH"/>
        </w:rPr>
        <w:t>ě</w:t>
      </w:r>
      <w:r w:rsidRPr="00A35561">
        <w:rPr>
          <w:rFonts w:cs="Times-Roman"/>
        </w:rPr>
        <w:t>ní.</w:t>
      </w:r>
    </w:p>
    <w:p w14:paraId="0BA04E14" w14:textId="77777777" w:rsidR="00A35561" w:rsidRPr="00A35561" w:rsidRDefault="00A35561" w:rsidP="00A35561">
      <w:pPr>
        <w:autoSpaceDE w:val="0"/>
        <w:autoSpaceDN w:val="0"/>
        <w:adjustRightInd w:val="0"/>
        <w:spacing w:after="0" w:line="360" w:lineRule="auto"/>
        <w:ind w:firstLine="708"/>
        <w:jc w:val="both"/>
        <w:rPr>
          <w:rFonts w:cs="Times-Roman"/>
        </w:rPr>
      </w:pPr>
      <w:r w:rsidRPr="00A35561">
        <w:rPr>
          <w:rFonts w:cs="Times-Roman"/>
        </w:rPr>
        <w:t xml:space="preserve">Priorita </w:t>
      </w:r>
      <w:r w:rsidRPr="00A35561">
        <w:rPr>
          <w:rFonts w:cs="Times-Roman"/>
          <w:b/>
        </w:rPr>
        <w:t xml:space="preserve">nové diagnostické a terapeutické metody obsahuje </w:t>
      </w:r>
      <w:r w:rsidRPr="00A35561">
        <w:rPr>
          <w:rFonts w:cs="Times-Roman"/>
        </w:rPr>
        <w:t>In vitro diagnostiku, nízkomolekulární lé</w:t>
      </w:r>
      <w:r w:rsidRPr="00A35561">
        <w:rPr>
          <w:rFonts w:cs="TimesNewRoman-OneByteIdentityH"/>
        </w:rPr>
        <w:t>č</w:t>
      </w:r>
      <w:r w:rsidRPr="00A35561">
        <w:rPr>
          <w:rFonts w:cs="Times-Roman"/>
        </w:rPr>
        <w:t>iva, biologická lé</w:t>
      </w:r>
      <w:r w:rsidRPr="00A35561">
        <w:rPr>
          <w:rFonts w:cs="TimesNewRoman-OneByteIdentityH"/>
        </w:rPr>
        <w:t>č</w:t>
      </w:r>
      <w:r w:rsidRPr="00A35561">
        <w:rPr>
          <w:rFonts w:cs="Times-Roman"/>
        </w:rPr>
        <w:t>iva v</w:t>
      </w:r>
      <w:r w:rsidRPr="00A35561">
        <w:rPr>
          <w:rFonts w:cs="TimesNewRoman-OneByteIdentityH"/>
        </w:rPr>
        <w:t>č</w:t>
      </w:r>
      <w:r w:rsidRPr="00A35561">
        <w:rPr>
          <w:rFonts w:cs="Times-Roman"/>
        </w:rPr>
        <w:t>etn</w:t>
      </w:r>
      <w:r w:rsidRPr="00A35561">
        <w:rPr>
          <w:rFonts w:cs="TimesNewRoman-OneByteIdentityH"/>
        </w:rPr>
        <w:t xml:space="preserve">ě </w:t>
      </w:r>
      <w:r w:rsidRPr="00A35561">
        <w:rPr>
          <w:rFonts w:cs="Times-Roman"/>
        </w:rPr>
        <w:t>vakcín, drug delivery systémy, genovou a bun</w:t>
      </w:r>
      <w:r w:rsidRPr="00A35561">
        <w:rPr>
          <w:rFonts w:cs="TimesNewRoman-OneByteIdentityH"/>
        </w:rPr>
        <w:t>ěč</w:t>
      </w:r>
      <w:r w:rsidRPr="00A35561">
        <w:rPr>
          <w:rFonts w:cs="Times-Roman"/>
        </w:rPr>
        <w:t>nou terapii a tká</w:t>
      </w:r>
      <w:r w:rsidRPr="00A35561">
        <w:rPr>
          <w:rFonts w:cs="TimesNewRoman-OneByteIdentityH"/>
        </w:rPr>
        <w:t>ň</w:t>
      </w:r>
      <w:r w:rsidRPr="00A35561">
        <w:rPr>
          <w:rFonts w:cs="Times-Roman"/>
        </w:rPr>
        <w:t>ové náhrady, vývoj nových léka</w:t>
      </w:r>
      <w:r w:rsidRPr="00A35561">
        <w:rPr>
          <w:rFonts w:cs="TimesNewRoman-OneByteIdentityH"/>
        </w:rPr>
        <w:t>ř</w:t>
      </w:r>
      <w:r w:rsidRPr="00A35561">
        <w:rPr>
          <w:rFonts w:cs="Times-Roman"/>
        </w:rPr>
        <w:t>ských p</w:t>
      </w:r>
      <w:r w:rsidRPr="00A35561">
        <w:rPr>
          <w:rFonts w:cs="TimesNewRoman-OneByteIdentityH"/>
        </w:rPr>
        <w:t>ř</w:t>
      </w:r>
      <w:r w:rsidRPr="00A35561">
        <w:rPr>
          <w:rFonts w:cs="Times-Roman"/>
        </w:rPr>
        <w:t>ístroj</w:t>
      </w:r>
      <w:r w:rsidRPr="00A35561">
        <w:rPr>
          <w:rFonts w:cs="TimesNewRoman-OneByteIdentityH"/>
        </w:rPr>
        <w:t xml:space="preserve">ů </w:t>
      </w:r>
      <w:r w:rsidRPr="00A35561">
        <w:rPr>
          <w:rFonts w:cs="Times-Roman"/>
        </w:rPr>
        <w:t>a za</w:t>
      </w:r>
      <w:r w:rsidRPr="00A35561">
        <w:rPr>
          <w:rFonts w:cs="TimesNewRoman-OneByteIdentityH"/>
        </w:rPr>
        <w:t>ř</w:t>
      </w:r>
      <w:r w:rsidRPr="00A35561">
        <w:rPr>
          <w:rFonts w:cs="Times-Roman"/>
        </w:rPr>
        <w:t>ízení a inovativní chirurgické postupy, v</w:t>
      </w:r>
      <w:r w:rsidRPr="00A35561">
        <w:rPr>
          <w:rFonts w:cs="TimesNewRoman-OneByteIdentityH"/>
        </w:rPr>
        <w:t>č</w:t>
      </w:r>
      <w:r w:rsidRPr="00A35561">
        <w:rPr>
          <w:rFonts w:cs="Times-Roman"/>
        </w:rPr>
        <w:t>etn</w:t>
      </w:r>
      <w:r w:rsidRPr="00A35561">
        <w:rPr>
          <w:rFonts w:cs="TimesNewRoman-OneByteIdentityH"/>
        </w:rPr>
        <w:t xml:space="preserve">ě </w:t>
      </w:r>
      <w:r w:rsidRPr="00A35561">
        <w:rPr>
          <w:rFonts w:cs="Times-Roman"/>
        </w:rPr>
        <w:t>transplantace.</w:t>
      </w:r>
    </w:p>
    <w:p w14:paraId="707CF58A" w14:textId="77777777" w:rsidR="00A35561" w:rsidRDefault="00A35561" w:rsidP="00A35561">
      <w:pPr>
        <w:autoSpaceDE w:val="0"/>
        <w:autoSpaceDN w:val="0"/>
        <w:adjustRightInd w:val="0"/>
        <w:spacing w:after="0" w:line="360" w:lineRule="auto"/>
        <w:ind w:left="20" w:firstLine="688"/>
        <w:jc w:val="both"/>
        <w:rPr>
          <w:rFonts w:cs="Times-Roman"/>
        </w:rPr>
      </w:pPr>
      <w:r w:rsidRPr="00A35561">
        <w:rPr>
          <w:rFonts w:cs="Times-Roman"/>
          <w:b/>
        </w:rPr>
        <w:t>Epidemiologie a prevence nejzávažn</w:t>
      </w:r>
      <w:r w:rsidRPr="00A35561">
        <w:rPr>
          <w:rFonts w:cs="TimesNewRoman-OneByteIdentityH"/>
          <w:b/>
        </w:rPr>
        <w:t>ě</w:t>
      </w:r>
      <w:r w:rsidRPr="00A35561">
        <w:rPr>
          <w:rFonts w:cs="Times-Roman"/>
          <w:b/>
        </w:rPr>
        <w:t xml:space="preserve">jších chorob zahrnuje </w:t>
      </w:r>
      <w:r w:rsidRPr="00A35561">
        <w:rPr>
          <w:rFonts w:cs="Times-Roman"/>
        </w:rPr>
        <w:t>metabolické a endokrinní choroby, nemoci ob</w:t>
      </w:r>
      <w:r w:rsidRPr="00A35561">
        <w:rPr>
          <w:rFonts w:cs="TimesNewRoman-OneByteIdentityH"/>
        </w:rPr>
        <w:t>ě</w:t>
      </w:r>
      <w:r w:rsidRPr="00A35561">
        <w:rPr>
          <w:rFonts w:cs="Times-Roman"/>
        </w:rPr>
        <w:t>hové soustavy, nádorová onemocn</w:t>
      </w:r>
      <w:r w:rsidRPr="00A35561">
        <w:rPr>
          <w:rFonts w:cs="TimesNewRoman-OneByteIdentityH"/>
        </w:rPr>
        <w:t>ě</w:t>
      </w:r>
      <w:r w:rsidRPr="00A35561">
        <w:rPr>
          <w:rFonts w:cs="Times-Roman"/>
        </w:rPr>
        <w:t>ní, nervová a psychická onemocn</w:t>
      </w:r>
      <w:r w:rsidRPr="00A35561">
        <w:rPr>
          <w:rFonts w:cs="TimesNewRoman-OneByteIdentityH"/>
        </w:rPr>
        <w:t>ě</w:t>
      </w:r>
      <w:r w:rsidRPr="00A35561">
        <w:rPr>
          <w:rFonts w:cs="Times-Roman"/>
        </w:rPr>
        <w:t>ní, nemoci pohybového aparátu a zán</w:t>
      </w:r>
      <w:r w:rsidRPr="00A35561">
        <w:rPr>
          <w:rFonts w:cs="TimesNewRoman-OneByteIdentityH"/>
        </w:rPr>
        <w:t>ě</w:t>
      </w:r>
      <w:r w:rsidRPr="00A35561">
        <w:rPr>
          <w:rFonts w:cs="Times-Roman"/>
        </w:rPr>
        <w:t>tlivá a imunologická onemocn</w:t>
      </w:r>
      <w:r w:rsidRPr="00A35561">
        <w:rPr>
          <w:rFonts w:cs="TimesNewRoman-OneByteIdentityH"/>
        </w:rPr>
        <w:t>ě</w:t>
      </w:r>
      <w:r w:rsidRPr="00A35561">
        <w:rPr>
          <w:rFonts w:cs="Times-Roman"/>
        </w:rPr>
        <w:t>ní, závislosti a infekce.</w:t>
      </w:r>
    </w:p>
    <w:p w14:paraId="19ED94C0" w14:textId="514DC418" w:rsidR="00152D9D" w:rsidRDefault="00152D9D">
      <w:pPr>
        <w:spacing w:after="200" w:line="276" w:lineRule="auto"/>
        <w:rPr>
          <w:b/>
          <w:bCs/>
        </w:rPr>
      </w:pPr>
    </w:p>
    <w:p w14:paraId="5928298A" w14:textId="4FA80A5E" w:rsidR="00526D82" w:rsidRDefault="00526D82" w:rsidP="00526D82">
      <w:pPr>
        <w:pStyle w:val="Nadpis4"/>
      </w:pPr>
      <w:bookmarkStart w:id="153" w:name="_Toc525716240"/>
      <w:r>
        <w:t>Bezpečnostní výzkum</w:t>
      </w:r>
      <w:bookmarkEnd w:id="153"/>
    </w:p>
    <w:p w14:paraId="72F61902" w14:textId="662A623A" w:rsidR="00526D82" w:rsidRPr="00526D82" w:rsidRDefault="00526D82" w:rsidP="00526D82">
      <w:pPr>
        <w:spacing w:before="240" w:line="360" w:lineRule="auto"/>
        <w:rPr>
          <w:b/>
          <w:u w:val="single"/>
        </w:rPr>
      </w:pPr>
      <w:r w:rsidRPr="00526D82">
        <w:rPr>
          <w:b/>
          <w:u w:val="single"/>
        </w:rPr>
        <w:t>Východiska</w:t>
      </w:r>
    </w:p>
    <w:p w14:paraId="0C4829EA" w14:textId="77777777" w:rsidR="00EC37E4" w:rsidRPr="00EC37E4" w:rsidRDefault="00EC37E4" w:rsidP="007B268E">
      <w:pPr>
        <w:autoSpaceDE w:val="0"/>
        <w:autoSpaceDN w:val="0"/>
        <w:adjustRightInd w:val="0"/>
        <w:spacing w:after="0" w:line="360" w:lineRule="auto"/>
        <w:ind w:firstLine="708"/>
        <w:jc w:val="both"/>
        <w:rPr>
          <w:rFonts w:cs="Arial"/>
        </w:rPr>
      </w:pPr>
      <w:r w:rsidRPr="00EC37E4">
        <w:rPr>
          <w:rFonts w:cs="Arial"/>
        </w:rPr>
        <w:t xml:space="preserve">V souladu s Bezpečnostní strategií ČR je zajišťování bezpečnosti primárním úkolem státu. Stát je tak hlavním producentem bezpečnosti jako veřejného statku a jejím hlavním garantem. K plnění tohoto úkolu je dominantně využíván bezpečnostní systém, tedy soustava organizačních, legislativních a dalších nástrojů a opatření pokrývající rozsáhlé spektrum schopností nutných k zajištění zájmů státu i jeho občanů v rychle se měnícím bezpečnostním prostředí, které charakterizuje proměnlivost bezpečnostních hrozeb a z nich plynoucích rizik i značnou dynamikou strategických inovací u významné části původců těchto hrozeb. </w:t>
      </w:r>
    </w:p>
    <w:p w14:paraId="49DF79EA" w14:textId="77777777" w:rsidR="007B268E" w:rsidRDefault="00EC37E4" w:rsidP="007B268E">
      <w:pPr>
        <w:autoSpaceDE w:val="0"/>
        <w:autoSpaceDN w:val="0"/>
        <w:adjustRightInd w:val="0"/>
        <w:spacing w:after="0" w:line="360" w:lineRule="auto"/>
        <w:ind w:firstLine="708"/>
        <w:jc w:val="both"/>
        <w:rPr>
          <w:rFonts w:cs="Arial"/>
        </w:rPr>
      </w:pPr>
      <w:r w:rsidRPr="00EC37E4">
        <w:rPr>
          <w:rFonts w:cs="Arial"/>
        </w:rPr>
        <w:t>Bezpečnostní výzkum lze v tomto smyslu chápat jako součást širší podpůrné sítě bezpečnostního systému. V tomto případě jde o subsystém produkující znalosti a nástroje rozšiřující nebo zkvalitňující portfolio uvedených schopností bezpečnostního systému. Koordinovaný přístup k</w:t>
      </w:r>
      <w:r w:rsidR="007B268E">
        <w:rPr>
          <w:rFonts w:cs="Arial"/>
        </w:rPr>
        <w:t> </w:t>
      </w:r>
      <w:r w:rsidRPr="00EC37E4">
        <w:rPr>
          <w:rFonts w:cs="Arial"/>
        </w:rPr>
        <w:t>naplňování této role vyžaduje efektivní, rychlé získávání a praktické využívání nových znalostí, moderní techniky a technologií. Stále větší nároky jsou kladeny na přípravu, vybavení a schopnosti nejen příslušníků bezpečnostních sborů, ale i dalších zainteresovaných stran. Na významu stále nabývá schopnost státu reagovat na všechny druhy mimořádných událostí a krizových situací a to v širokém spektru plněných úkolů od prevence, přes okamžité záchranné práce a efektivní šíření informací až po následná opatření podpory a obnovy. Proto je žádoucí rozvíjet holistické chápání schopností bezpečnostního systému.</w:t>
      </w:r>
    </w:p>
    <w:p w14:paraId="6403ABF5" w14:textId="165D2071" w:rsidR="007B268E" w:rsidRDefault="00EC37E4" w:rsidP="007B268E">
      <w:pPr>
        <w:autoSpaceDE w:val="0"/>
        <w:autoSpaceDN w:val="0"/>
        <w:adjustRightInd w:val="0"/>
        <w:spacing w:after="0" w:line="360" w:lineRule="auto"/>
        <w:ind w:firstLine="708"/>
        <w:jc w:val="both"/>
        <w:rPr>
          <w:rFonts w:cs="Arial"/>
        </w:rPr>
      </w:pPr>
      <w:r w:rsidRPr="00EC37E4">
        <w:rPr>
          <w:rFonts w:cs="Arial"/>
        </w:rPr>
        <w:t xml:space="preserve">Společenské potřeby v oblasti bezpečnostního výzkumu ČR reflektuje nová Meziresortní koncepce bezpečnostního výzkumu a vývoje ČR </w:t>
      </w:r>
      <w:r w:rsidRPr="00EC37E4">
        <w:t>2017 – 2023 s výhledem do roku 2030 (MKBV2017+).</w:t>
      </w:r>
      <w:r w:rsidRPr="00EC37E4">
        <w:rPr>
          <w:rFonts w:cs="Arial"/>
        </w:rPr>
        <w:t xml:space="preserve"> </w:t>
      </w:r>
      <w:r w:rsidRPr="00EC37E4">
        <w:t xml:space="preserve">MKBV2017+ má ambici propojit v systému podpory několik základních principů jako je racionální využívání širokého spektra výzkumných kapacit cestou komplementárních programů veřejné podpory, rozvoj výzkumných organizací zřízených za účelem výzkumu a vývoje v bezpečnostní oblasti a využití potenciálu bilaterální a multilaterální mezinárodní spolupráce. MKVB 2017+ přináší obecný rámec pro systematický rozvoj systému státní podpory pro bezpečnostní výzkum, vývoj a inovace, jakožto jedné součásti politiky výzkumu, vývoje a inovací, avšak realizované ve prospěch bezpečnostního systému ČR. </w:t>
      </w:r>
    </w:p>
    <w:p w14:paraId="21C4C3F3" w14:textId="77777777" w:rsidR="007B268E" w:rsidRDefault="00EC37E4" w:rsidP="007B268E">
      <w:pPr>
        <w:autoSpaceDE w:val="0"/>
        <w:autoSpaceDN w:val="0"/>
        <w:adjustRightInd w:val="0"/>
        <w:spacing w:after="0" w:line="360" w:lineRule="auto"/>
        <w:ind w:firstLine="708"/>
        <w:jc w:val="both"/>
        <w:rPr>
          <w:rFonts w:cs="Arial"/>
        </w:rPr>
      </w:pPr>
      <w:r w:rsidRPr="00EC37E4">
        <w:t xml:space="preserve">MKVB 2017+ </w:t>
      </w:r>
      <w:r w:rsidRPr="00EC37E4">
        <w:rPr>
          <w:rFonts w:cs="Arial"/>
        </w:rPr>
        <w:t xml:space="preserve">jednoznačně akcentuje flexibilitu národní účelové podpory, která je komplementární k opatřením a nástrojům politiky výzkumu vývoje a inovací. Tím je zaručeno, že podpora bezpečnostního výzkumu dokáže v čase flexibilně reagovat na změny v bezpečnostním prostředí (nemění se vymezení, nýbrž důraz na jednotlivé schopnosti a cíle v jejich rozvoji) a zároveň navazuje na dlouhodobé strategické priority v bezpečnostní oblasti. </w:t>
      </w:r>
    </w:p>
    <w:p w14:paraId="2D93F0B7" w14:textId="77777777" w:rsidR="007B268E" w:rsidRDefault="00EC37E4" w:rsidP="007B268E">
      <w:pPr>
        <w:autoSpaceDE w:val="0"/>
        <w:autoSpaceDN w:val="0"/>
        <w:adjustRightInd w:val="0"/>
        <w:spacing w:after="0" w:line="360" w:lineRule="auto"/>
        <w:ind w:firstLine="708"/>
        <w:jc w:val="both"/>
        <w:rPr>
          <w:rFonts w:cs="Arial"/>
        </w:rPr>
      </w:pPr>
      <w:r w:rsidRPr="00EC37E4">
        <w:rPr>
          <w:rFonts w:cs="Arial"/>
        </w:rPr>
        <w:t>Bezpečnostnímu výzkumu se věnují i další dokumenty, např. Koncepce ochrany obyvatelstva do roku 2020 s výhledem do roku 2030, schválená usnesením vlády ČR č. 805 ze dne 23. 10. 2013, která definuje bezpečnostní výzkum jako jednu z pěti strategických priorit. Nutnost rozvoje bezpečnostního výzkumu potvrdil i Audit národní bezpečnosti, který hovoří o prohlubování bezpečnostního výzkumu jako o systematickém využívání výzkumných kapacit k rozvoji schopností bezpečnostního systému. Bezpečnostnímu výzkumu se věnují i dokumenty bezpečnostních složek, zejména se jedná o Koncepci rozvoje Policie ČR do roku 2020, která definuje řadu schopností, které jsou rozvíjeny právě díky bezpečnostnímu výzkumu. Obdobně tomu je i ve Strategii rozvoje HZS ČR do roku 2030.</w:t>
      </w:r>
    </w:p>
    <w:p w14:paraId="32AD75B2" w14:textId="77777777" w:rsidR="00C329A6" w:rsidRDefault="00EC37E4" w:rsidP="00C329A6">
      <w:pPr>
        <w:autoSpaceDE w:val="0"/>
        <w:autoSpaceDN w:val="0"/>
        <w:adjustRightInd w:val="0"/>
        <w:spacing w:after="0" w:line="360" w:lineRule="auto"/>
        <w:ind w:firstLine="708"/>
        <w:jc w:val="both"/>
        <w:rPr>
          <w:rFonts w:cs="Arial"/>
        </w:rPr>
      </w:pPr>
      <w:r w:rsidRPr="00EC37E4">
        <w:rPr>
          <w:rFonts w:cs="Arial"/>
        </w:rPr>
        <w:t>Zaměření bezpečnostního výzkumu na národní úrovni je určeno především Prioritami, které byly vytvořeny jako součást Národních priorit orientovaného výzkumu, experimentálního vývoje a</w:t>
      </w:r>
      <w:r w:rsidR="007B268E">
        <w:rPr>
          <w:rFonts w:cs="Arial"/>
        </w:rPr>
        <w:t> </w:t>
      </w:r>
      <w:r w:rsidRPr="00EC37E4">
        <w:rPr>
          <w:rFonts w:cs="Arial"/>
        </w:rPr>
        <w:t xml:space="preserve">inovací. Bezpečnostnímu a obrannému výzkumu je věnována celá jedna kapitola, do které by mělo být investováno cca 14 % všech prostředků v budoucnu alokovaných na aplikovaný výzkum a experimentální vývoj. Tato hladina však nebyla nikdy naplněna. Priority dále rozvíjí </w:t>
      </w:r>
      <w:r w:rsidRPr="00EC37E4">
        <w:t>MKVB 2017+.</w:t>
      </w:r>
      <w:r w:rsidRPr="00EC37E4">
        <w:rPr>
          <w:rFonts w:cs="Arial"/>
        </w:rPr>
        <w:t xml:space="preserve"> </w:t>
      </w:r>
    </w:p>
    <w:p w14:paraId="0E43FBC7" w14:textId="772B6A04" w:rsidR="00C329A6" w:rsidRDefault="00EC37E4" w:rsidP="00C329A6">
      <w:pPr>
        <w:autoSpaceDE w:val="0"/>
        <w:autoSpaceDN w:val="0"/>
        <w:adjustRightInd w:val="0"/>
        <w:spacing w:after="0" w:line="360" w:lineRule="auto"/>
        <w:ind w:firstLine="708"/>
        <w:jc w:val="both"/>
        <w:rPr>
          <w:rFonts w:cs="Arial"/>
        </w:rPr>
      </w:pPr>
      <w:r w:rsidRPr="00EC37E4">
        <w:rPr>
          <w:rFonts w:cs="Arial"/>
        </w:rPr>
        <w:t>Srovnatelný význam má bezpečnostní výzkum i v evropském a světovém kontextu. Bezpečnostní výzkum je již od počátku jednou z podporovaných oblastí rámcových programů a</w:t>
      </w:r>
      <w:r w:rsidR="00A82FE4">
        <w:rPr>
          <w:rFonts w:cs="Arial"/>
        </w:rPr>
        <w:t> </w:t>
      </w:r>
      <w:r w:rsidRPr="00EC37E4">
        <w:rPr>
          <w:rFonts w:cs="Arial"/>
        </w:rPr>
        <w:t xml:space="preserve"> v </w:t>
      </w:r>
      <w:r w:rsidR="00A82FE4">
        <w:rPr>
          <w:rFonts w:cs="Arial"/>
        </w:rPr>
        <w:t> </w:t>
      </w:r>
      <w:r w:rsidRPr="00EC37E4">
        <w:rPr>
          <w:rFonts w:cs="Arial"/>
        </w:rPr>
        <w:t>Horizontu 2020 má nadále své důležité místo. EU v současné době připravuje nový evropský program pro výzkum a inovace FP9, jehož součástí je ta</w:t>
      </w:r>
      <w:r w:rsidR="00C329A6">
        <w:rPr>
          <w:rFonts w:cs="Arial"/>
        </w:rPr>
        <w:t>ké bezpečnostní výzkum.</w:t>
      </w:r>
    </w:p>
    <w:p w14:paraId="2855D289" w14:textId="611EC33A" w:rsidR="00526D82" w:rsidRDefault="00EC37E4" w:rsidP="00C329A6">
      <w:pPr>
        <w:autoSpaceDE w:val="0"/>
        <w:autoSpaceDN w:val="0"/>
        <w:adjustRightInd w:val="0"/>
        <w:spacing w:after="0" w:line="360" w:lineRule="auto"/>
        <w:ind w:firstLine="708"/>
        <w:jc w:val="both"/>
        <w:rPr>
          <w:rFonts w:cs="Arial"/>
        </w:rPr>
      </w:pPr>
      <w:r w:rsidRPr="00EC37E4">
        <w:rPr>
          <w:rFonts w:cs="Arial"/>
        </w:rPr>
        <w:t>Je zřejmé, že směřování evropského bezpečnostního výzkumu reflektuje především celoevropské problematiky. Národní programy, které jsou v Evropě rozvíjeny, přistupují k těmto problematikám specificky dle národních potřeb a kontextů. Bezpečnostní výzkum ČR je dlouhodobě se směřováním toho evropského komplementární. Řada evropských států (Německo, Francie, Itálie, Finsko, Rakousko a další) realizuje národní podpůrné programy. Ve Velké Británii a Spojených státech amerických je potom podpora bezpečnostního výzkumu institucionalizována cestou různých specializovaných agentur a cílených vládních rozvojových programů. V obou zemích je také rozvinutá tradice vládních výzkumných laboratoří specializovaných na témata dlouhodobého zájmu v bezpečnostní oblasti.</w:t>
      </w:r>
    </w:p>
    <w:p w14:paraId="28154042" w14:textId="77777777" w:rsidR="00E73788" w:rsidRPr="00C329A6" w:rsidRDefault="00E73788" w:rsidP="00C329A6">
      <w:pPr>
        <w:autoSpaceDE w:val="0"/>
        <w:autoSpaceDN w:val="0"/>
        <w:adjustRightInd w:val="0"/>
        <w:spacing w:after="0" w:line="360" w:lineRule="auto"/>
        <w:ind w:firstLine="708"/>
        <w:jc w:val="both"/>
        <w:rPr>
          <w:rFonts w:cs="Arial"/>
        </w:rPr>
      </w:pPr>
    </w:p>
    <w:p w14:paraId="5ED41F93" w14:textId="41FE6380" w:rsidR="006E6688" w:rsidRPr="00EF4A38" w:rsidRDefault="003F18C9" w:rsidP="00F63991">
      <w:pPr>
        <w:pStyle w:val="Nadpis2"/>
      </w:pPr>
      <w:bookmarkStart w:id="154" w:name="_Ref523144718"/>
      <w:bookmarkStart w:id="155" w:name="_Ref523144734"/>
      <w:bookmarkStart w:id="156" w:name="_Toc525716241"/>
      <w:r>
        <w:t xml:space="preserve">Institucionální řízení </w:t>
      </w:r>
      <w:r w:rsidR="00DF7574" w:rsidRPr="00EF4A38">
        <w:t>Národní RIS3 strategi</w:t>
      </w:r>
      <w:bookmarkEnd w:id="154"/>
      <w:bookmarkEnd w:id="155"/>
      <w:r>
        <w:t>e</w:t>
      </w:r>
      <w:r>
        <w:rPr>
          <w:rStyle w:val="Znakapoznpodarou"/>
        </w:rPr>
        <w:footnoteReference w:id="114"/>
      </w:r>
      <w:bookmarkEnd w:id="156"/>
    </w:p>
    <w:p w14:paraId="0ACC370D" w14:textId="55399F50" w:rsidR="006E6688" w:rsidRPr="00EF4A38" w:rsidRDefault="00DF7574" w:rsidP="00EF4A38">
      <w:pPr>
        <w:pStyle w:val="Nadpis3"/>
      </w:pPr>
      <w:bookmarkStart w:id="157" w:name="_Toc525716242"/>
      <w:r w:rsidRPr="00EF4A38">
        <w:t>Rada pro výzkum, vývoj a inovace</w:t>
      </w:r>
      <w:bookmarkEnd w:id="157"/>
    </w:p>
    <w:p w14:paraId="7428441C" w14:textId="5D2CB3D4" w:rsidR="00DF7574" w:rsidRPr="00BA4F8E" w:rsidRDefault="00DF7574" w:rsidP="00423DD2">
      <w:pPr>
        <w:spacing w:before="240" w:line="360" w:lineRule="auto"/>
        <w:ind w:firstLine="708"/>
        <w:jc w:val="both"/>
      </w:pPr>
      <w:r w:rsidRPr="00BA4F8E">
        <w:rPr>
          <w:rFonts w:cs="Arial"/>
        </w:rPr>
        <w:t xml:space="preserve">RVVI je odborným poradním orgánem vlády pro oblast VaVaI. Její činnost upravuje </w:t>
      </w:r>
      <w:r w:rsidRPr="00BA4F8E">
        <w:rPr>
          <w:rFonts w:cs="Arial"/>
          <w:i/>
        </w:rPr>
        <w:t>zákon o podpoře VaV</w:t>
      </w:r>
      <w:r w:rsidRPr="00BA4F8E">
        <w:rPr>
          <w:rStyle w:val="Znakapoznpodarou"/>
          <w:rFonts w:cs="Arial"/>
        </w:rPr>
        <w:footnoteReference w:id="115"/>
      </w:r>
      <w:r w:rsidRPr="00BA4F8E">
        <w:rPr>
          <w:rFonts w:cs="Arial"/>
        </w:rPr>
        <w:t>. V § 35 odst. 2 je uveden výčet činností, které RVVI zabezpečuje. Mezi důležité úkoly RVVI patří příprava a kontrola dodržování</w:t>
      </w:r>
      <w:r w:rsidRPr="00BA4F8E">
        <w:t xml:space="preserve"> Národní politiky výzkumu, vývoje a inovací</w:t>
      </w:r>
      <w:r w:rsidR="00833181">
        <w:t xml:space="preserve"> (NP VaVaI)</w:t>
      </w:r>
      <w:r w:rsidRPr="00BA4F8E">
        <w:t>.</w:t>
      </w:r>
    </w:p>
    <w:p w14:paraId="2A89E151" w14:textId="77777777" w:rsidR="00A56631" w:rsidRPr="00BA4F8E" w:rsidRDefault="00A56631" w:rsidP="00DF7574">
      <w:pPr>
        <w:spacing w:line="360" w:lineRule="auto"/>
        <w:ind w:firstLine="708"/>
        <w:jc w:val="both"/>
      </w:pPr>
    </w:p>
    <w:p w14:paraId="03E646F5" w14:textId="4D577BF9" w:rsidR="001D5A36" w:rsidRPr="00BA4F8E" w:rsidRDefault="001D5A36" w:rsidP="001D5A36">
      <w:pPr>
        <w:pStyle w:val="Nadpis4"/>
        <w:rPr>
          <w:rFonts w:asciiTheme="minorHAnsi" w:hAnsiTheme="minorHAnsi"/>
          <w:sz w:val="22"/>
        </w:rPr>
      </w:pPr>
      <w:bookmarkStart w:id="158" w:name="_Toc525716243"/>
      <w:r w:rsidRPr="00BA4F8E">
        <w:rPr>
          <w:rFonts w:asciiTheme="minorHAnsi" w:hAnsiTheme="minorHAnsi"/>
          <w:sz w:val="22"/>
        </w:rPr>
        <w:t>Vztah mezi Národní politikou výzkumu, vývoje a inovací a Národní RIS3 strategií</w:t>
      </w:r>
      <w:bookmarkEnd w:id="158"/>
    </w:p>
    <w:p w14:paraId="1B27301C" w14:textId="243E0C19" w:rsidR="009C6F95" w:rsidRPr="00BA4F8E" w:rsidRDefault="009C6F95" w:rsidP="009972EF">
      <w:pPr>
        <w:spacing w:before="240" w:after="0" w:line="360" w:lineRule="auto"/>
        <w:ind w:firstLine="708"/>
        <w:jc w:val="both"/>
        <w:rPr>
          <w:rFonts w:cs="Arial"/>
        </w:rPr>
      </w:pPr>
      <w:r w:rsidRPr="00BA4F8E">
        <w:rPr>
          <w:rFonts w:cs="Arial"/>
        </w:rPr>
        <w:t>NP VaVaI představuje vrcholový strategický dokument na národní úrovni, který udává hlavní strategické směry v oblasti výzkumu, vývoje a inovací a zastřešuje ostatní související strategické dokumenty České republiky. Základním cílem NP VaVaI je zajistit rozvoj všech složek VaVaI v České republice - základního výzkumu, aplikovaného výzkumu a experimentálního vývoje, které mají každá svou nezastupitelnou roli a využít jejich provázanosti a synergií k podpoře ekonomického, kulturního a</w:t>
      </w:r>
      <w:r w:rsidR="00642F1A" w:rsidRPr="00BA4F8E">
        <w:rPr>
          <w:rFonts w:cs="Arial"/>
        </w:rPr>
        <w:t> </w:t>
      </w:r>
      <w:r w:rsidRPr="00BA4F8E">
        <w:rPr>
          <w:rFonts w:cs="Arial"/>
        </w:rPr>
        <w:t>sociálního rozvoje České republiky.</w:t>
      </w:r>
    </w:p>
    <w:p w14:paraId="496D5E7D" w14:textId="64B1306A" w:rsidR="009C6F95" w:rsidRDefault="009C6F95" w:rsidP="009972EF">
      <w:pPr>
        <w:spacing w:after="0" w:line="360" w:lineRule="auto"/>
        <w:ind w:firstLine="708"/>
        <w:jc w:val="both"/>
        <w:rPr>
          <w:rFonts w:cs="Arial"/>
        </w:rPr>
      </w:pPr>
      <w:r w:rsidRPr="00BA4F8E">
        <w:rPr>
          <w:rFonts w:cs="Arial"/>
        </w:rPr>
        <w:t>Národní RIS3 strategie zajišťuje efektivní zacílení finančních prostředků na aktivity vedoucí k posílení výzkumné a inovační kapacity a do prioritně vytyčených perspektivních oblastí na národní i krajské úrovni s cílem plně využít znalostní potenciál ČR. Z tohoto hlediska Národní RIS3 strategie naplňuje část úkolů NP</w:t>
      </w:r>
      <w:r w:rsidR="00927A3F" w:rsidRPr="00BA4F8E">
        <w:rPr>
          <w:rFonts w:cs="Arial"/>
        </w:rPr>
        <w:t> </w:t>
      </w:r>
      <w:r w:rsidRPr="00BA4F8E">
        <w:rPr>
          <w:rFonts w:cs="Arial"/>
        </w:rPr>
        <w:t xml:space="preserve">VaVaI v rovině </w:t>
      </w:r>
      <w:r w:rsidR="003009B4">
        <w:rPr>
          <w:rFonts w:cs="Arial"/>
        </w:rPr>
        <w:t xml:space="preserve">orientovaného a </w:t>
      </w:r>
      <w:r w:rsidRPr="00BA4F8E">
        <w:rPr>
          <w:rFonts w:cs="Arial"/>
        </w:rPr>
        <w:t xml:space="preserve">aplikovaného výzkumu a pohybuje se uvnitř jejího rámce. </w:t>
      </w:r>
    </w:p>
    <w:p w14:paraId="5E51D6B0" w14:textId="10065B1A" w:rsidR="006F1AFC" w:rsidRPr="00D23119" w:rsidRDefault="009C3CB5" w:rsidP="00D23119">
      <w:pPr>
        <w:spacing w:after="200" w:line="276" w:lineRule="auto"/>
        <w:rPr>
          <w:rFonts w:cs="Arial"/>
        </w:rPr>
      </w:pPr>
      <w:r>
        <w:rPr>
          <w:rFonts w:cs="Arial"/>
        </w:rPr>
        <w:br w:type="page"/>
      </w:r>
    </w:p>
    <w:p w14:paraId="4A2B30D2" w14:textId="552F0B34" w:rsidR="000D3497" w:rsidRPr="00BA4F8E" w:rsidRDefault="009E2772" w:rsidP="009E2772">
      <w:pPr>
        <w:pStyle w:val="Titulek"/>
      </w:pPr>
      <w:bookmarkStart w:id="159" w:name="_Toc524677689"/>
      <w:r>
        <w:t xml:space="preserve">Obrázek </w:t>
      </w:r>
      <w:r w:rsidR="00E42ECD">
        <w:rPr>
          <w:noProof/>
        </w:rPr>
        <w:fldChar w:fldCharType="begin"/>
      </w:r>
      <w:r w:rsidR="00E42ECD">
        <w:rPr>
          <w:noProof/>
        </w:rPr>
        <w:instrText xml:space="preserve"> SEQ Obrázek \* ARABIC </w:instrText>
      </w:r>
      <w:r w:rsidR="00E42ECD">
        <w:rPr>
          <w:noProof/>
        </w:rPr>
        <w:fldChar w:fldCharType="separate"/>
      </w:r>
      <w:r w:rsidR="00DE40D4">
        <w:rPr>
          <w:noProof/>
        </w:rPr>
        <w:t>2</w:t>
      </w:r>
      <w:r w:rsidR="00E42ECD">
        <w:rPr>
          <w:noProof/>
        </w:rPr>
        <w:fldChar w:fldCharType="end"/>
      </w:r>
      <w:r w:rsidR="000D3497" w:rsidRPr="00BA4F8E">
        <w:t xml:space="preserve"> – Schéma vazeb mezi klíčovými dokumenty </w:t>
      </w:r>
      <w:r w:rsidR="00D50446">
        <w:t xml:space="preserve">ČR </w:t>
      </w:r>
      <w:r w:rsidR="000D3497" w:rsidRPr="00BA4F8E">
        <w:t>v oblasti VaVaI</w:t>
      </w:r>
      <w:bookmarkEnd w:id="159"/>
    </w:p>
    <w:p w14:paraId="0AC5975D" w14:textId="1A0DBD59" w:rsidR="001D5A36" w:rsidRPr="00BA4F8E" w:rsidRDefault="000D3497" w:rsidP="000D3497">
      <w:pPr>
        <w:jc w:val="center"/>
      </w:pPr>
      <w:r w:rsidRPr="00BA4F8E">
        <w:rPr>
          <w:rFonts w:cs="Arial"/>
          <w:noProof/>
          <w:lang w:eastAsia="cs-CZ"/>
        </w:rPr>
        <w:drawing>
          <wp:inline distT="0" distB="0" distL="0" distR="0" wp14:anchorId="1C25CBC3" wp14:editId="68115882">
            <wp:extent cx="4704715" cy="3561715"/>
            <wp:effectExtent l="0" t="0" r="0" b="0"/>
            <wp:docPr id="96" name="Obráze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04715" cy="3561715"/>
                    </a:xfrm>
                    <a:prstGeom prst="rect">
                      <a:avLst/>
                    </a:prstGeom>
                    <a:noFill/>
                  </pic:spPr>
                </pic:pic>
              </a:graphicData>
            </a:graphic>
          </wp:inline>
        </w:drawing>
      </w:r>
    </w:p>
    <w:p w14:paraId="06EB424E" w14:textId="77777777" w:rsidR="000D3497" w:rsidRPr="00BA4F8E" w:rsidRDefault="000D3497" w:rsidP="000D3497"/>
    <w:p w14:paraId="0B6703B5" w14:textId="452B15C1" w:rsidR="006E6688" w:rsidRPr="00EF4A38" w:rsidRDefault="006E2E94" w:rsidP="00EF4A38">
      <w:pPr>
        <w:pStyle w:val="Nadpis3"/>
      </w:pPr>
      <w:bookmarkStart w:id="160" w:name="_Toc525716244"/>
      <w:r w:rsidRPr="00EF4A38">
        <w:t>Sekce technologií 4.0 Ministerstva průmyslu a obchodu</w:t>
      </w:r>
      <w:bookmarkEnd w:id="160"/>
    </w:p>
    <w:p w14:paraId="3AE83213" w14:textId="21ED8452" w:rsidR="006E2E94" w:rsidRPr="00BA4F8E" w:rsidRDefault="006E2E94" w:rsidP="0089243D">
      <w:pPr>
        <w:spacing w:before="240" w:line="360" w:lineRule="auto"/>
        <w:ind w:firstLine="708"/>
        <w:jc w:val="both"/>
        <w:rPr>
          <w:rFonts w:cs="Arial"/>
        </w:rPr>
      </w:pPr>
      <w:r w:rsidRPr="00BA4F8E">
        <w:rPr>
          <w:rFonts w:cs="Arial"/>
        </w:rPr>
        <w:t>Usnesením vlády České republiky ze dne 14. března 2018 č. 168 bylo s účinností k 1. dubnu 2018 schváleno převedení agendy Národní RIS3 strategie z ÚV ČR na Ministerstvo průmyslu a obchodu. Povinnosti uložené bývalému místopředsedovi vlády pro vědu, výzkum a inovace tímto usnesením přešly na ministra průmyslu a obchodu. Usnesení bylo zdůvodněno „snahou převést agendy, které dosud zajišťuje ÚV ČR, pod věcně příslušná ministerstva s cílem zlepšit řízení specializovaných agend - MPO bylo v tomto případě zvoleno pro svoji příslušnost k aplikovanému výzkumu, vývoji a inovacím“. MPO je dle zákona č. 2/1969 Sb., o zřízení ministerstev a jiných ústředních orgánů státní správy ČR, v</w:t>
      </w:r>
      <w:r w:rsidR="008F469A" w:rsidRPr="00BA4F8E">
        <w:rPr>
          <w:rFonts w:cs="Arial"/>
        </w:rPr>
        <w:t> </w:t>
      </w:r>
      <w:r w:rsidRPr="00BA4F8E">
        <w:rPr>
          <w:rFonts w:cs="Arial"/>
        </w:rPr>
        <w:t xml:space="preserve">platném znění, ústřední orgán státní správy pro „průmyslový výzkum“, rozvoj techniky a technologií. Agenda Národní RIS3 strategie, tj. plynulý přechod a provoz oddělení strategie S3 i koordinovaný management Řídicího výboru RIS3, se na MPO stala součástí nově zřízené Sekce technologií 4.0, v jejímž rámci tvoří prioritní složku pro tvorbu systému aplikovaného výzkumu.   </w:t>
      </w:r>
    </w:p>
    <w:p w14:paraId="7A26FF7F" w14:textId="77777777" w:rsidR="006E2E94" w:rsidRPr="00E47B07" w:rsidRDefault="006E2E94" w:rsidP="006E2E94"/>
    <w:p w14:paraId="7AD2433A" w14:textId="77777777" w:rsidR="009C3CB5" w:rsidRPr="00E47B07" w:rsidRDefault="009C3CB5" w:rsidP="006E2E94"/>
    <w:p w14:paraId="6F6A09FE" w14:textId="77777777" w:rsidR="009C3CB5" w:rsidRPr="00E47B07" w:rsidRDefault="009C3CB5" w:rsidP="006E2E94"/>
    <w:p w14:paraId="0A0600F0" w14:textId="66676CB0" w:rsidR="006E6688" w:rsidRDefault="006E6688" w:rsidP="00EF4A38">
      <w:pPr>
        <w:pStyle w:val="Nadpis2"/>
      </w:pPr>
      <w:bookmarkStart w:id="161" w:name="_Ref523144885"/>
      <w:bookmarkStart w:id="162" w:name="_Ref523144911"/>
      <w:bookmarkStart w:id="163" w:name="_Toc525716245"/>
      <w:r w:rsidRPr="00EF4A38">
        <w:t xml:space="preserve">Implementační struktury Národní RIS3 strategie </w:t>
      </w:r>
      <w:r w:rsidR="00074BD9" w:rsidRPr="00EF4A38">
        <w:t>včetně krajské úrovně</w:t>
      </w:r>
      <w:bookmarkEnd w:id="161"/>
      <w:bookmarkEnd w:id="162"/>
      <w:bookmarkEnd w:id="163"/>
    </w:p>
    <w:p w14:paraId="45F0400B" w14:textId="77777777" w:rsidR="00664D94" w:rsidRDefault="00664D94" w:rsidP="00580DE3">
      <w:pPr>
        <w:pStyle w:val="Titulek"/>
      </w:pPr>
    </w:p>
    <w:p w14:paraId="64B001A0" w14:textId="214B1DD5" w:rsidR="001B7E70" w:rsidRPr="001B7E70" w:rsidRDefault="006F66FC" w:rsidP="00580DE3">
      <w:pPr>
        <w:pStyle w:val="Titulek"/>
      </w:pPr>
      <w:bookmarkStart w:id="164" w:name="_Toc524677690"/>
      <w:r w:rsidRPr="00562EB6">
        <w:rPr>
          <w:noProof/>
        </w:rPr>
        <w:drawing>
          <wp:anchor distT="0" distB="0" distL="114300" distR="114300" simplePos="0" relativeHeight="251699200" behindDoc="0" locked="0" layoutInCell="1" allowOverlap="1" wp14:anchorId="0671B827" wp14:editId="2A9578F3">
            <wp:simplePos x="0" y="0"/>
            <wp:positionH relativeFrom="margin">
              <wp:posOffset>-264160</wp:posOffset>
            </wp:positionH>
            <wp:positionV relativeFrom="paragraph">
              <wp:posOffset>240030</wp:posOffset>
            </wp:positionV>
            <wp:extent cx="6390640" cy="4658995"/>
            <wp:effectExtent l="0" t="0" r="0" b="8255"/>
            <wp:wrapSquare wrapText="bothSides"/>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90640" cy="46589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B7E70">
        <w:t xml:space="preserve">Obrázek </w:t>
      </w:r>
      <w:r w:rsidR="009D08F2">
        <w:rPr>
          <w:noProof/>
        </w:rPr>
        <w:fldChar w:fldCharType="begin"/>
      </w:r>
      <w:r w:rsidR="009D08F2">
        <w:rPr>
          <w:noProof/>
        </w:rPr>
        <w:instrText xml:space="preserve"> SEQ Obrázek \* ARABIC </w:instrText>
      </w:r>
      <w:r w:rsidR="009D08F2">
        <w:rPr>
          <w:noProof/>
        </w:rPr>
        <w:fldChar w:fldCharType="separate"/>
      </w:r>
      <w:r w:rsidR="00DE40D4">
        <w:rPr>
          <w:noProof/>
        </w:rPr>
        <w:t>3</w:t>
      </w:r>
      <w:r w:rsidR="009D08F2">
        <w:rPr>
          <w:noProof/>
        </w:rPr>
        <w:fldChar w:fldCharType="end"/>
      </w:r>
      <w:r w:rsidR="001B7E70">
        <w:t xml:space="preserve"> – Systém implementace Národní RIS3 strategie</w:t>
      </w:r>
      <w:bookmarkEnd w:id="164"/>
    </w:p>
    <w:p w14:paraId="71BE34C9" w14:textId="7712A4D9" w:rsidR="001B7E70" w:rsidRPr="00E47B07" w:rsidRDefault="001B7E70" w:rsidP="006F66FC">
      <w:pPr>
        <w:jc w:val="center"/>
      </w:pPr>
    </w:p>
    <w:p w14:paraId="4B953A44" w14:textId="77777777" w:rsidR="00022AF9" w:rsidRPr="00E47B07" w:rsidRDefault="00022AF9" w:rsidP="001B7E70"/>
    <w:p w14:paraId="235EA3EC" w14:textId="3D8B4F2B" w:rsidR="006E6688" w:rsidRPr="00EF4A38" w:rsidRDefault="006E6688" w:rsidP="00EF4A38">
      <w:pPr>
        <w:pStyle w:val="Nadpis3"/>
      </w:pPr>
      <w:bookmarkStart w:id="165" w:name="_Toc525716246"/>
      <w:r w:rsidRPr="00EF4A38">
        <w:t>Národní úroveň RIS3 strategie</w:t>
      </w:r>
      <w:bookmarkEnd w:id="165"/>
    </w:p>
    <w:p w14:paraId="67E49DD3" w14:textId="47F89F98" w:rsidR="00D77AB4" w:rsidRPr="00195A48" w:rsidRDefault="00D50446" w:rsidP="00195A48">
      <w:pPr>
        <w:pStyle w:val="Nadpis4"/>
      </w:pPr>
      <w:bookmarkStart w:id="166" w:name="_Toc525716247"/>
      <w:r>
        <w:t>Řídi</w:t>
      </w:r>
      <w:r w:rsidR="00D77AB4" w:rsidRPr="00195A48">
        <w:t>cí výbor RIS3</w:t>
      </w:r>
      <w:bookmarkEnd w:id="166"/>
    </w:p>
    <w:p w14:paraId="083D34CD" w14:textId="558C5504" w:rsidR="00D77AB4" w:rsidRPr="00BA4F8E" w:rsidRDefault="00D77AB4" w:rsidP="00D77AB4">
      <w:pPr>
        <w:spacing w:before="240" w:line="360" w:lineRule="auto"/>
        <w:ind w:firstLine="709"/>
        <w:jc w:val="both"/>
      </w:pPr>
      <w:r w:rsidRPr="00BA4F8E">
        <w:t xml:space="preserve">Gesci za zřízení a organizační zajištění Řídicího výboru RIS3 (ŘV RIS3) má Ministerstvo průmyslu a obchodu - Sekce technologií 4.0. Předsedou ŘV RIS3 je </w:t>
      </w:r>
      <w:r w:rsidRPr="00BA4F8E">
        <w:rPr>
          <w:rFonts w:eastAsiaTheme="minorEastAsia"/>
          <w:iCs/>
          <w:lang w:eastAsia="cs-CZ"/>
        </w:rPr>
        <w:t>náměstek pro řízení sekce technologií 4.0 MPO</w:t>
      </w:r>
      <w:r w:rsidRPr="00BA4F8E">
        <w:t xml:space="preserve"> a jeho tajemníkem Národní RIS3 manažer (viz dále).</w:t>
      </w:r>
      <w:r w:rsidRPr="00BA4F8E">
        <w:rPr>
          <w:rStyle w:val="Znakapoznpodarou"/>
        </w:rPr>
        <w:footnoteReference w:id="116"/>
      </w:r>
    </w:p>
    <w:p w14:paraId="2F1F48E8" w14:textId="77777777" w:rsidR="00D77AB4" w:rsidRPr="00BA4F8E" w:rsidRDefault="00D77AB4" w:rsidP="00D77AB4">
      <w:pPr>
        <w:spacing w:before="240" w:line="360" w:lineRule="auto"/>
        <w:jc w:val="both"/>
      </w:pPr>
      <w:r w:rsidRPr="00BA4F8E">
        <w:t>Členy ŘV RIS3 jsou:</w:t>
      </w:r>
    </w:p>
    <w:p w14:paraId="5E3CBB1B" w14:textId="77777777" w:rsidR="00D77AB4" w:rsidRPr="00BA4F8E" w:rsidRDefault="00D77AB4" w:rsidP="00543C1B">
      <w:pPr>
        <w:pStyle w:val="Odstavecseseznamem"/>
        <w:numPr>
          <w:ilvl w:val="0"/>
          <w:numId w:val="69"/>
        </w:numPr>
        <w:spacing w:before="240" w:after="200" w:line="360" w:lineRule="auto"/>
        <w:jc w:val="both"/>
        <w:rPr>
          <w:iCs/>
        </w:rPr>
      </w:pPr>
      <w:r w:rsidRPr="00BA4F8E">
        <w:rPr>
          <w:iCs/>
        </w:rPr>
        <w:t>náměstek pro řízení sekce technologií 4.0 MPO,</w:t>
      </w:r>
    </w:p>
    <w:p w14:paraId="5AE2D7F1" w14:textId="77777777" w:rsidR="00D77AB4" w:rsidRPr="00BA4F8E" w:rsidRDefault="00D77AB4" w:rsidP="00543C1B">
      <w:pPr>
        <w:pStyle w:val="Odstavecseseznamem"/>
        <w:numPr>
          <w:ilvl w:val="0"/>
          <w:numId w:val="69"/>
        </w:numPr>
        <w:spacing w:before="240" w:after="200" w:line="360" w:lineRule="auto"/>
        <w:jc w:val="both"/>
        <w:rPr>
          <w:iCs/>
        </w:rPr>
      </w:pPr>
      <w:r w:rsidRPr="00BA4F8E">
        <w:rPr>
          <w:iCs/>
        </w:rPr>
        <w:t>náměstek pro řízení sekce fondů EU a digitální ekonomiky MPO,</w:t>
      </w:r>
    </w:p>
    <w:p w14:paraId="4B833049" w14:textId="78FA7CF4" w:rsidR="00D77AB4" w:rsidRPr="00BA4F8E" w:rsidRDefault="00D10FDD" w:rsidP="00D10FDD">
      <w:pPr>
        <w:pStyle w:val="Odstavecseseznamem"/>
        <w:numPr>
          <w:ilvl w:val="0"/>
          <w:numId w:val="69"/>
        </w:numPr>
        <w:spacing w:before="240" w:after="200" w:line="360" w:lineRule="auto"/>
        <w:jc w:val="both"/>
        <w:rPr>
          <w:iCs/>
        </w:rPr>
      </w:pPr>
      <w:r w:rsidRPr="00D10FDD">
        <w:rPr>
          <w:iCs/>
        </w:rPr>
        <w:t>náměstek pro řízení sekce EU a ESIF</w:t>
      </w:r>
      <w:r w:rsidR="00D77AB4" w:rsidRPr="00BA4F8E">
        <w:rPr>
          <w:iCs/>
        </w:rPr>
        <w:t xml:space="preserve"> Ministerstva školství, mládeže a tělovýchovy,</w:t>
      </w:r>
    </w:p>
    <w:p w14:paraId="02E04467" w14:textId="2138992F" w:rsidR="00D77AB4" w:rsidRPr="00BA4F8E" w:rsidRDefault="00D77AB4" w:rsidP="00543C1B">
      <w:pPr>
        <w:pStyle w:val="Odstavecseseznamem"/>
        <w:numPr>
          <w:ilvl w:val="0"/>
          <w:numId w:val="69"/>
        </w:numPr>
        <w:spacing w:before="240" w:after="200" w:line="360" w:lineRule="auto"/>
        <w:jc w:val="both"/>
        <w:rPr>
          <w:iCs/>
        </w:rPr>
      </w:pPr>
      <w:r w:rsidRPr="00BA4F8E">
        <w:rPr>
          <w:iCs/>
        </w:rPr>
        <w:t>náměstek pro řízení sekce vysokého školství, vědy a výzkumu Ministerstva školství, mládeže a tělovýchovy,</w:t>
      </w:r>
    </w:p>
    <w:p w14:paraId="70ACDBC3" w14:textId="77777777" w:rsidR="00D77AB4" w:rsidRPr="00BA4F8E" w:rsidRDefault="00D77AB4" w:rsidP="00543C1B">
      <w:pPr>
        <w:pStyle w:val="Odstavecseseznamem"/>
        <w:numPr>
          <w:ilvl w:val="0"/>
          <w:numId w:val="69"/>
        </w:numPr>
        <w:spacing w:before="240" w:after="200" w:line="360" w:lineRule="auto"/>
        <w:jc w:val="both"/>
        <w:rPr>
          <w:iCs/>
        </w:rPr>
      </w:pPr>
      <w:r w:rsidRPr="00BA4F8E">
        <w:rPr>
          <w:iCs/>
        </w:rPr>
        <w:t>náměstek pro řízení sekce koordinace evropských fondů a mezinárodních vztahů Ministerstva pro místní rozvoj,</w:t>
      </w:r>
    </w:p>
    <w:p w14:paraId="3277B876" w14:textId="77777777" w:rsidR="00D77AB4" w:rsidRPr="00BA4F8E" w:rsidRDefault="00D77AB4" w:rsidP="00543C1B">
      <w:pPr>
        <w:pStyle w:val="Odstavecseseznamem"/>
        <w:numPr>
          <w:ilvl w:val="0"/>
          <w:numId w:val="69"/>
        </w:numPr>
        <w:spacing w:before="240" w:after="200" w:line="360" w:lineRule="auto"/>
        <w:jc w:val="both"/>
        <w:rPr>
          <w:iCs/>
        </w:rPr>
      </w:pPr>
      <w:r w:rsidRPr="00BA4F8E">
        <w:rPr>
          <w:iCs/>
        </w:rPr>
        <w:t>představitel hl. m. Prahy zastupující Operační program Praha – pól růstu ČR,</w:t>
      </w:r>
    </w:p>
    <w:p w14:paraId="35EC5192" w14:textId="77777777" w:rsidR="00D77AB4" w:rsidRPr="00BA4F8E" w:rsidRDefault="00D77AB4" w:rsidP="00543C1B">
      <w:pPr>
        <w:pStyle w:val="Odstavecseseznamem"/>
        <w:numPr>
          <w:ilvl w:val="0"/>
          <w:numId w:val="69"/>
        </w:numPr>
        <w:spacing w:before="240" w:after="200" w:line="360" w:lineRule="auto"/>
        <w:jc w:val="both"/>
        <w:rPr>
          <w:iCs/>
        </w:rPr>
      </w:pPr>
      <w:r w:rsidRPr="00BA4F8E">
        <w:rPr>
          <w:iCs/>
        </w:rPr>
        <w:t>předseda Technologické agentury České republiky</w:t>
      </w:r>
    </w:p>
    <w:p w14:paraId="46022B8D" w14:textId="276A8A96" w:rsidR="00D77AB4" w:rsidRPr="00BA4F8E" w:rsidRDefault="00D77AB4" w:rsidP="00543C1B">
      <w:pPr>
        <w:pStyle w:val="Odstavecseseznamem"/>
        <w:numPr>
          <w:ilvl w:val="0"/>
          <w:numId w:val="69"/>
        </w:numPr>
        <w:spacing w:before="240" w:after="200" w:line="360" w:lineRule="auto"/>
        <w:jc w:val="both"/>
      </w:pPr>
      <w:r w:rsidRPr="00BA4F8E">
        <w:rPr>
          <w:iCs/>
        </w:rPr>
        <w:t>zástupce Rady pro výzkum, vývoj a inovace</w:t>
      </w:r>
      <w:r w:rsidR="00FA6F35">
        <w:rPr>
          <w:iCs/>
        </w:rPr>
        <w:t>.</w:t>
      </w:r>
    </w:p>
    <w:p w14:paraId="5C4D8E12" w14:textId="77777777" w:rsidR="00D77AB4" w:rsidRPr="00BA4F8E" w:rsidRDefault="00D77AB4" w:rsidP="00D77AB4">
      <w:pPr>
        <w:spacing w:before="240" w:line="360" w:lineRule="auto"/>
        <w:ind w:firstLine="360"/>
        <w:jc w:val="both"/>
      </w:pPr>
      <w:r w:rsidRPr="00BA4F8E">
        <w:t>Dále jsou jako stálí hosté přizváni:</w:t>
      </w:r>
    </w:p>
    <w:p w14:paraId="26503E2E" w14:textId="77777777" w:rsidR="00D77AB4" w:rsidRPr="00BA4F8E" w:rsidRDefault="00D77AB4" w:rsidP="00543C1B">
      <w:pPr>
        <w:pStyle w:val="Odstavecseseznamem"/>
        <w:numPr>
          <w:ilvl w:val="0"/>
          <w:numId w:val="68"/>
        </w:numPr>
        <w:spacing w:before="240" w:after="200" w:line="360" w:lineRule="auto"/>
        <w:jc w:val="both"/>
        <w:rPr>
          <w:iCs/>
        </w:rPr>
      </w:pPr>
      <w:r w:rsidRPr="00BA4F8E">
        <w:rPr>
          <w:iCs/>
        </w:rPr>
        <w:t>zástupce Ministerstva financí pro veřejné rozpočty,</w:t>
      </w:r>
    </w:p>
    <w:p w14:paraId="6F6E24ED" w14:textId="77777777" w:rsidR="00D77AB4" w:rsidRPr="00BA4F8E" w:rsidRDefault="00D77AB4" w:rsidP="00543C1B">
      <w:pPr>
        <w:pStyle w:val="Odstavecseseznamem"/>
        <w:numPr>
          <w:ilvl w:val="0"/>
          <w:numId w:val="68"/>
        </w:numPr>
        <w:spacing w:before="240" w:after="200" w:line="360" w:lineRule="auto"/>
        <w:jc w:val="both"/>
        <w:rPr>
          <w:iCs/>
        </w:rPr>
      </w:pPr>
      <w:r w:rsidRPr="00BA4F8E">
        <w:rPr>
          <w:iCs/>
        </w:rPr>
        <w:t>zástupce Ministerstva práce a sociálních věcí,</w:t>
      </w:r>
    </w:p>
    <w:p w14:paraId="6F8B9D78" w14:textId="77777777" w:rsidR="00D77AB4" w:rsidRPr="00BA4F8E" w:rsidRDefault="00D77AB4" w:rsidP="00543C1B">
      <w:pPr>
        <w:pStyle w:val="Odstavecseseznamem"/>
        <w:numPr>
          <w:ilvl w:val="0"/>
          <w:numId w:val="68"/>
        </w:numPr>
        <w:spacing w:before="240" w:after="200" w:line="360" w:lineRule="auto"/>
        <w:jc w:val="both"/>
      </w:pPr>
      <w:r w:rsidRPr="00BA4F8E">
        <w:t>představitel krajů,</w:t>
      </w:r>
    </w:p>
    <w:p w14:paraId="5A24EAB8" w14:textId="77777777" w:rsidR="00D77AB4" w:rsidRPr="00BA4F8E" w:rsidRDefault="00D77AB4" w:rsidP="00543C1B">
      <w:pPr>
        <w:pStyle w:val="Odstavecseseznamem"/>
        <w:numPr>
          <w:ilvl w:val="0"/>
          <w:numId w:val="68"/>
        </w:numPr>
        <w:spacing w:before="240" w:after="200" w:line="360" w:lineRule="auto"/>
        <w:jc w:val="both"/>
      </w:pPr>
      <w:r w:rsidRPr="00BA4F8E">
        <w:t>popř. další významní aktéři.</w:t>
      </w:r>
    </w:p>
    <w:p w14:paraId="554D84DC" w14:textId="77777777" w:rsidR="00D77AB4" w:rsidRPr="00BA4F8E" w:rsidRDefault="00D77AB4" w:rsidP="00D77AB4">
      <w:pPr>
        <w:spacing w:before="240" w:line="360" w:lineRule="auto"/>
        <w:ind w:firstLine="360"/>
        <w:jc w:val="both"/>
      </w:pPr>
      <w:r w:rsidRPr="00BA4F8E">
        <w:t xml:space="preserve">Dle obsahu projednávaných témat může ŘV RIS3 zvát aktuální hosty dle vlastního uvážení. </w:t>
      </w:r>
    </w:p>
    <w:p w14:paraId="19EEDAF8" w14:textId="77777777" w:rsidR="00D77AB4" w:rsidRPr="00BA4F8E" w:rsidRDefault="00D77AB4" w:rsidP="00D77AB4">
      <w:pPr>
        <w:spacing w:before="240" w:line="360" w:lineRule="auto"/>
        <w:ind w:firstLine="360"/>
        <w:jc w:val="both"/>
      </w:pPr>
      <w:r w:rsidRPr="00BA4F8E">
        <w:t xml:space="preserve">Řídicí výbor RIS3: </w:t>
      </w:r>
    </w:p>
    <w:p w14:paraId="7B5316E9" w14:textId="60FCF171" w:rsidR="00D77AB4" w:rsidRPr="00D10FDD" w:rsidRDefault="00D77AB4" w:rsidP="00543C1B">
      <w:pPr>
        <w:numPr>
          <w:ilvl w:val="0"/>
          <w:numId w:val="67"/>
        </w:numPr>
        <w:spacing w:before="240" w:after="200" w:line="360" w:lineRule="auto"/>
        <w:contextualSpacing/>
        <w:jc w:val="both"/>
        <w:rPr>
          <w:rFonts w:eastAsia="MS Mincho"/>
        </w:rPr>
      </w:pPr>
      <w:r w:rsidRPr="00BA4F8E">
        <w:rPr>
          <w:rFonts w:eastAsia="MS Mincho"/>
        </w:rPr>
        <w:t xml:space="preserve">projednává Národní RIS3 strategii a její aktualizace, </w:t>
      </w:r>
      <w:r w:rsidRPr="00BA4F8E">
        <w:t>včetně souvisejícího akčního plánu a</w:t>
      </w:r>
      <w:r w:rsidR="00A26C14" w:rsidRPr="00BA4F8E">
        <w:t> </w:t>
      </w:r>
      <w:r w:rsidRPr="00BA4F8E">
        <w:t>jeho aktualizace,</w:t>
      </w:r>
    </w:p>
    <w:p w14:paraId="19C65119" w14:textId="33F59381" w:rsidR="00D10FDD" w:rsidRPr="00BA4F8E" w:rsidRDefault="00D10FDD" w:rsidP="00D10FDD">
      <w:pPr>
        <w:numPr>
          <w:ilvl w:val="0"/>
          <w:numId w:val="67"/>
        </w:numPr>
        <w:spacing w:before="240" w:after="200" w:line="360" w:lineRule="auto"/>
        <w:contextualSpacing/>
        <w:jc w:val="both"/>
        <w:rPr>
          <w:rFonts w:eastAsia="MS Mincho"/>
        </w:rPr>
      </w:pPr>
      <w:r w:rsidRPr="00D10FDD">
        <w:rPr>
          <w:rFonts w:eastAsia="MS Mincho"/>
        </w:rPr>
        <w:t>projednává koncepční a strategické otázky souvisejících s řízením RIS3 strategie</w:t>
      </w:r>
      <w:r>
        <w:rPr>
          <w:rFonts w:eastAsia="MS Mincho"/>
        </w:rPr>
        <w:t>,</w:t>
      </w:r>
    </w:p>
    <w:p w14:paraId="3DA2D90A"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 xml:space="preserve">projednává a navrhuje opatření pro monitorování Národní RIS3 strategie, </w:t>
      </w:r>
    </w:p>
    <w:p w14:paraId="2B6D19CB"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projednává návrh intervencí VaVaI a vydává k nim doporučení, zejména s ohledem na dosažení cílů Národní RIS3 strategie,</w:t>
      </w:r>
    </w:p>
    <w:p w14:paraId="13834D53" w14:textId="0BD60D52"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projednává a schvaluje každoroční monitorovací zprávy, implementační plán</w:t>
      </w:r>
      <w:r w:rsidR="004A2903">
        <w:rPr>
          <w:rFonts w:eastAsia="MS Mincho"/>
        </w:rPr>
        <w:t>y</w:t>
      </w:r>
      <w:r w:rsidRPr="00BA4F8E">
        <w:rPr>
          <w:rFonts w:eastAsia="MS Mincho"/>
        </w:rPr>
        <w:t xml:space="preserve"> a další zprávy o postupu realizace Národní RIS3 strategie,</w:t>
      </w:r>
    </w:p>
    <w:p w14:paraId="2F3A350E"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 xml:space="preserve">projednává oblasti inteligentní specializace a návrhy na jejich změny a upřesnění, </w:t>
      </w:r>
    </w:p>
    <w:p w14:paraId="671233FF"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koordinuje realizaci Národní RIS3 strategie různými resorty,</w:t>
      </w:r>
    </w:p>
    <w:p w14:paraId="4061BCA4"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t>sleduje a projednává plnění národních priorit zejména s ohledem na synergické vazby mezi relevantními operačními programy a výdaji ze státního rozpočtu,</w:t>
      </w:r>
    </w:p>
    <w:p w14:paraId="008EB4DA" w14:textId="77777777" w:rsidR="00D77AB4" w:rsidRPr="00BA4F8E" w:rsidRDefault="00D77AB4" w:rsidP="00543C1B">
      <w:pPr>
        <w:numPr>
          <w:ilvl w:val="0"/>
          <w:numId w:val="67"/>
        </w:numPr>
        <w:spacing w:before="240" w:after="120" w:line="360" w:lineRule="auto"/>
        <w:jc w:val="both"/>
        <w:rPr>
          <w:rFonts w:eastAsia="MS Mincho"/>
        </w:rPr>
      </w:pPr>
      <w:r w:rsidRPr="00BA4F8E">
        <w:rPr>
          <w:rFonts w:eastAsia="MS Mincho"/>
        </w:rPr>
        <w:t>předkládá materiály k realizaci Národní RIS3 strategie ministrovi průmyslu a obchodu, který je předkládá RVVI a Vládě ČR.</w:t>
      </w:r>
    </w:p>
    <w:p w14:paraId="7DBCB76E" w14:textId="514AC9C3" w:rsidR="00D77AB4" w:rsidRPr="00BA4F8E" w:rsidRDefault="00D77AB4" w:rsidP="00D77AB4">
      <w:pPr>
        <w:spacing w:before="240" w:line="360" w:lineRule="auto"/>
        <w:ind w:firstLine="360"/>
        <w:jc w:val="both"/>
      </w:pPr>
      <w:r w:rsidRPr="00BA4F8E">
        <w:t>ŘV RIS3 se schází podle potřeby, zpravidla 4x ročně. Podrobněji jsou role a činnosti ŘV RIS3 popsány ve Statutu ŘV RIS3</w:t>
      </w:r>
      <w:r w:rsidR="00F3170E">
        <w:rPr>
          <w:rStyle w:val="Znakapoznpodarou"/>
        </w:rPr>
        <w:footnoteReference w:id="117"/>
      </w:r>
      <w:r w:rsidRPr="00BA4F8E">
        <w:t>.</w:t>
      </w:r>
    </w:p>
    <w:p w14:paraId="2BA66BFF" w14:textId="77777777" w:rsidR="00A56631" w:rsidRPr="00BA4F8E" w:rsidRDefault="00A56631" w:rsidP="00D77AB4">
      <w:pPr>
        <w:spacing w:before="240" w:line="360" w:lineRule="auto"/>
        <w:ind w:firstLine="360"/>
        <w:jc w:val="both"/>
      </w:pPr>
    </w:p>
    <w:p w14:paraId="640EC85C" w14:textId="4E66985F" w:rsidR="00D77AB4" w:rsidRPr="007A511E" w:rsidRDefault="00D77AB4" w:rsidP="007A511E">
      <w:pPr>
        <w:pStyle w:val="Nadpis4"/>
      </w:pPr>
      <w:bookmarkStart w:id="167" w:name="_Toc525716248"/>
      <w:r w:rsidRPr="007A511E">
        <w:t>Národní RIS3 manažer</w:t>
      </w:r>
      <w:bookmarkEnd w:id="167"/>
    </w:p>
    <w:p w14:paraId="44ED23F5" w14:textId="77777777" w:rsidR="00D77AB4" w:rsidRPr="00BA4F8E" w:rsidRDefault="00D77AB4" w:rsidP="00D77AB4">
      <w:pPr>
        <w:spacing w:before="240" w:line="360" w:lineRule="auto"/>
        <w:ind w:firstLine="709"/>
        <w:jc w:val="both"/>
      </w:pPr>
      <w:r w:rsidRPr="00BA4F8E">
        <w:t>Národní RIS3 manažer je vedoucím představitelem výkonné složky pro řízení a koordinaci Národní RIS3 strategie. Národním RIS3 manažerem je vedoucí oddělení strategie S3, sekce technologií 4.0 MPO.</w:t>
      </w:r>
    </w:p>
    <w:p w14:paraId="58895747" w14:textId="77777777" w:rsidR="00D77AB4" w:rsidRPr="00BA4F8E" w:rsidRDefault="00D77AB4" w:rsidP="00D77AB4">
      <w:pPr>
        <w:spacing w:before="240" w:line="360" w:lineRule="auto"/>
        <w:jc w:val="both"/>
      </w:pPr>
      <w:r w:rsidRPr="00BA4F8E">
        <w:t xml:space="preserve">Role Národního RIS3 manažera jsou: </w:t>
      </w:r>
    </w:p>
    <w:p w14:paraId="27E62080"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zastává úlohu tajemníka Řídicího výboru RIS3,</w:t>
      </w:r>
    </w:p>
    <w:p w14:paraId="4279A2F2" w14:textId="5E831B9B"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s využitím kapacit Analytického týmu připravuje návrhy a zprávy pro Řídicí výbor RIS3, vč.</w:t>
      </w:r>
      <w:r w:rsidR="00312375" w:rsidRPr="00BA4F8E">
        <w:rPr>
          <w:rFonts w:eastAsia="MS Mincho"/>
        </w:rPr>
        <w:t> </w:t>
      </w:r>
      <w:r w:rsidRPr="00BA4F8E">
        <w:rPr>
          <w:rFonts w:eastAsia="MS Mincho"/>
        </w:rPr>
        <w:t>zpráv o postupu realizace Národní RIS3 strategie, monitorovacích zpráv a zpráv o</w:t>
      </w:r>
      <w:r w:rsidR="0095019A" w:rsidRPr="00BA4F8E">
        <w:rPr>
          <w:rFonts w:eastAsia="MS Mincho"/>
        </w:rPr>
        <w:t> </w:t>
      </w:r>
      <w:r w:rsidRPr="00BA4F8E">
        <w:rPr>
          <w:rFonts w:eastAsia="MS Mincho"/>
        </w:rPr>
        <w:t>naplňování cílů Národní RIS3 strategie,</w:t>
      </w:r>
    </w:p>
    <w:p w14:paraId="4F6CEC97"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zpracovává implementační plán Národní RIS3 strategie,</w:t>
      </w:r>
    </w:p>
    <w:p w14:paraId="20BD2C0F"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po schválení Řídicím výborem RIS3 dle potřeby zřizuje Národní inovační platformy,</w:t>
      </w:r>
    </w:p>
    <w:p w14:paraId="144FEEB4"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strukturuje práci a stanovuje harmonogram činnosti Národních inovačních platforem,</w:t>
      </w:r>
    </w:p>
    <w:p w14:paraId="59852C28" w14:textId="77777777" w:rsidR="00D77AB4" w:rsidRPr="00BA4F8E" w:rsidRDefault="00D77AB4" w:rsidP="00543C1B">
      <w:pPr>
        <w:numPr>
          <w:ilvl w:val="0"/>
          <w:numId w:val="67"/>
        </w:numPr>
        <w:spacing w:before="240" w:after="0" w:line="360" w:lineRule="auto"/>
        <w:jc w:val="both"/>
        <w:rPr>
          <w:rFonts w:eastAsia="MS Mincho"/>
        </w:rPr>
      </w:pPr>
      <w:r w:rsidRPr="00BA4F8E">
        <w:rPr>
          <w:rFonts w:eastAsia="MS Mincho"/>
        </w:rPr>
        <w:t>svolává jednání Národních inovačních platforem a předsedá jim,</w:t>
      </w:r>
    </w:p>
    <w:p w14:paraId="64FBE048" w14:textId="6B0C59E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přenáší návrhy a iniciativy, vzešlé z Národních inovačních platforem do Řídicího výboru RIS3 a řídicím orgánům relevantních operačních programů a národních programů podpory VaVaI,</w:t>
      </w:r>
    </w:p>
    <w:p w14:paraId="2DD81D9F" w14:textId="1BB7BAC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koordinuje a dohlíží na realizaci Národní RIS3 strategie prostřednictvím operačních programů a národních programů podpory VaVaI a komunikuje v této věci s řídicími orgány,</w:t>
      </w:r>
    </w:p>
    <w:p w14:paraId="56F53314" w14:textId="7777777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účastní se jednání monitorovacích výborů operačních programů, jejichž prostřednictvím se Národní RIS3 strategie implementuje (do procesního řízení operačních programů však nezasahuje - je výlučně v gesci řídicích orgánů OP),</w:t>
      </w:r>
    </w:p>
    <w:p w14:paraId="17B569B3" w14:textId="4BC82747" w:rsidR="00D77AB4" w:rsidRPr="00BA4F8E" w:rsidRDefault="00D77AB4" w:rsidP="00543C1B">
      <w:pPr>
        <w:numPr>
          <w:ilvl w:val="0"/>
          <w:numId w:val="67"/>
        </w:numPr>
        <w:spacing w:before="240" w:after="200" w:line="360" w:lineRule="auto"/>
        <w:contextualSpacing/>
        <w:jc w:val="both"/>
        <w:rPr>
          <w:rFonts w:eastAsia="MS Mincho"/>
        </w:rPr>
      </w:pPr>
      <w:r w:rsidRPr="00BA4F8E">
        <w:rPr>
          <w:rFonts w:eastAsia="MS Mincho"/>
        </w:rPr>
        <w:t xml:space="preserve">koordinuje a dohlíží na realizaci Národní RIS3 strategie prostřednictvím národních prostředků a koordinuje jejich využívání pro naplnění cílů Národní RIS3 strategie v synergii s prostředky relevantních operačních programů </w:t>
      </w:r>
      <w:r w:rsidRPr="00BA4F8E">
        <w:t>tak, aby</w:t>
      </w:r>
      <w:r w:rsidRPr="00BA4F8E">
        <w:rPr>
          <w:u w:val="single"/>
        </w:rPr>
        <w:t xml:space="preserve"> </w:t>
      </w:r>
      <w:r w:rsidRPr="00BA4F8E">
        <w:t>byla zajištěna úzká provázanost v</w:t>
      </w:r>
      <w:r w:rsidR="00286E45" w:rsidRPr="00BA4F8E">
        <w:t> </w:t>
      </w:r>
      <w:r w:rsidRPr="00BA4F8E">
        <w:t>dlouhodobém financování priorit Národní RIS3 strategie (intervencí posilujících inteligentní specializaci)</w:t>
      </w:r>
      <w:r w:rsidRPr="00BA4F8E">
        <w:rPr>
          <w:rFonts w:eastAsia="MS Mincho"/>
        </w:rPr>
        <w:t>.</w:t>
      </w:r>
    </w:p>
    <w:p w14:paraId="6C0ED913" w14:textId="7AF982B7" w:rsidR="00BD0AEA" w:rsidRPr="007A511E" w:rsidRDefault="00BD0AEA" w:rsidP="007A511E">
      <w:pPr>
        <w:pStyle w:val="Nadpis4"/>
      </w:pPr>
      <w:bookmarkStart w:id="168" w:name="_Toc525716249"/>
      <w:r w:rsidRPr="007A511E">
        <w:t>Analytický tým</w:t>
      </w:r>
      <w:bookmarkEnd w:id="168"/>
    </w:p>
    <w:p w14:paraId="09A08D20" w14:textId="7EF2FBCC" w:rsidR="00BD0AEA" w:rsidRPr="00BA4F8E" w:rsidRDefault="00BD0AEA" w:rsidP="00FE1B2F">
      <w:pPr>
        <w:spacing w:before="240" w:line="360" w:lineRule="auto"/>
        <w:ind w:firstLine="709"/>
        <w:jc w:val="both"/>
      </w:pPr>
      <w:r w:rsidRPr="00BA4F8E">
        <w:t>Pro podporu činnosti Národního RIS3 manažera byl zřízen Analytický tým (RIS3)</w:t>
      </w:r>
      <w:r w:rsidR="0095779A">
        <w:rPr>
          <w:rStyle w:val="Znakapoznpodarou"/>
        </w:rPr>
        <w:footnoteReference w:id="118"/>
      </w:r>
      <w:r w:rsidRPr="00BA4F8E">
        <w:t>. K širšímu okruhu Analytického týmu náležejí také Krajští RIS3 manažeři a Krajští RIS3 koordinátoři</w:t>
      </w:r>
      <w:r w:rsidR="0095779A">
        <w:t>, kteří poskytují národní úrovni informační výstupy minimálně v rozsah</w:t>
      </w:r>
      <w:r w:rsidR="0095779A" w:rsidRPr="00534B94">
        <w:t xml:space="preserve">u kap. </w:t>
      </w:r>
      <w:r w:rsidR="00534B94" w:rsidRPr="00534B94">
        <w:fldChar w:fldCharType="begin"/>
      </w:r>
      <w:r w:rsidR="00534B94" w:rsidRPr="00534B94">
        <w:instrText xml:space="preserve"> REF _Ref524508375 \r \h </w:instrText>
      </w:r>
      <w:r w:rsidR="00534B94">
        <w:instrText xml:space="preserve"> \* MERGEFORMAT </w:instrText>
      </w:r>
      <w:r w:rsidR="00534B94" w:rsidRPr="00534B94">
        <w:fldChar w:fldCharType="separate"/>
      </w:r>
      <w:r w:rsidR="00534B94" w:rsidRPr="00534B94">
        <w:t>7.4.1.3</w:t>
      </w:r>
      <w:r w:rsidR="00534B94" w:rsidRPr="00534B94">
        <w:fldChar w:fldCharType="end"/>
      </w:r>
      <w:r w:rsidR="0095779A" w:rsidRPr="00534B94">
        <w:t xml:space="preserve"> </w:t>
      </w:r>
      <w:r w:rsidR="00534B94">
        <w:rPr>
          <w:highlight w:val="yellow"/>
        </w:rPr>
        <w:fldChar w:fldCharType="begin"/>
      </w:r>
      <w:r w:rsidR="00534B94">
        <w:rPr>
          <w:highlight w:val="yellow"/>
        </w:rPr>
        <w:instrText xml:space="preserve"> REF _Ref524508404 \h </w:instrText>
      </w:r>
      <w:r w:rsidR="00534B94">
        <w:rPr>
          <w:highlight w:val="yellow"/>
        </w:rPr>
      </w:r>
      <w:r w:rsidR="00534B94">
        <w:rPr>
          <w:highlight w:val="yellow"/>
        </w:rPr>
        <w:fldChar w:fldCharType="separate"/>
      </w:r>
      <w:r w:rsidR="00534B94" w:rsidRPr="00CC3066">
        <w:t>Spolupráce s krajskou úrovní při monitoringu Národní RIS3 strategie</w:t>
      </w:r>
      <w:r w:rsidR="00534B94">
        <w:rPr>
          <w:highlight w:val="yellow"/>
        </w:rPr>
        <w:fldChar w:fldCharType="end"/>
      </w:r>
      <w:r w:rsidR="0095779A">
        <w:t xml:space="preserve"> </w:t>
      </w:r>
      <w:r w:rsidRPr="00BA4F8E">
        <w:t>.</w:t>
      </w:r>
    </w:p>
    <w:p w14:paraId="6F52ABCF" w14:textId="77777777" w:rsidR="00BD0AEA" w:rsidRPr="00BA4F8E" w:rsidRDefault="00BD0AEA" w:rsidP="00BD0AEA">
      <w:pPr>
        <w:spacing w:line="360" w:lineRule="auto"/>
        <w:ind w:firstLine="708"/>
      </w:pPr>
      <w:r w:rsidRPr="00BA4F8E">
        <w:t xml:space="preserve">Role Analytického týmu jsou následující: </w:t>
      </w:r>
    </w:p>
    <w:p w14:paraId="51962453" w14:textId="77777777" w:rsidR="00BD0AEA" w:rsidRPr="00BA4F8E" w:rsidRDefault="00BD0AEA" w:rsidP="00543C1B">
      <w:pPr>
        <w:numPr>
          <w:ilvl w:val="0"/>
          <w:numId w:val="67"/>
        </w:numPr>
        <w:spacing w:after="200" w:line="360" w:lineRule="auto"/>
        <w:contextualSpacing/>
        <w:jc w:val="both"/>
        <w:rPr>
          <w:rFonts w:eastAsia="MS Mincho"/>
        </w:rPr>
      </w:pPr>
      <w:r w:rsidRPr="00BA4F8E">
        <w:rPr>
          <w:rFonts w:eastAsia="MS Mincho"/>
        </w:rPr>
        <w:t>získávat informace a poklady o realizaci intervencí, přispívajících k naplňování cílů Národní RIS3 strategie a připravovat podklady pro Národního RIS3 manažera a pro Řídicí výbor RIS3,</w:t>
      </w:r>
    </w:p>
    <w:p w14:paraId="07FC755F" w14:textId="77777777" w:rsidR="00BD0AEA" w:rsidRPr="00BA4F8E" w:rsidRDefault="00BD0AEA" w:rsidP="00543C1B">
      <w:pPr>
        <w:numPr>
          <w:ilvl w:val="0"/>
          <w:numId w:val="67"/>
        </w:numPr>
        <w:spacing w:after="200" w:line="360" w:lineRule="auto"/>
        <w:contextualSpacing/>
        <w:jc w:val="both"/>
        <w:rPr>
          <w:rFonts w:eastAsia="MS Mincho"/>
        </w:rPr>
      </w:pPr>
      <w:r w:rsidRPr="00BA4F8E">
        <w:rPr>
          <w:rFonts w:eastAsia="MS Mincho"/>
        </w:rPr>
        <w:t>monitorovat implementaci Národní RIS3 strategie a připravovat monitorovací zprávy s využitím podkladů z operačních programů a dalších zdrojů,</w:t>
      </w:r>
    </w:p>
    <w:p w14:paraId="7B2F8298" w14:textId="77777777" w:rsidR="00BD0AEA" w:rsidRPr="00BA4F8E" w:rsidRDefault="00BD0AEA" w:rsidP="00543C1B">
      <w:pPr>
        <w:numPr>
          <w:ilvl w:val="0"/>
          <w:numId w:val="67"/>
        </w:numPr>
        <w:spacing w:after="200" w:line="360" w:lineRule="auto"/>
        <w:jc w:val="both"/>
        <w:rPr>
          <w:rFonts w:eastAsia="MS Mincho"/>
        </w:rPr>
      </w:pPr>
      <w:r w:rsidRPr="00BA4F8E">
        <w:rPr>
          <w:rFonts w:eastAsia="MS Mincho"/>
        </w:rPr>
        <w:t xml:space="preserve">sbírat, zpracovávat a vyhodnocovat informace o vývoji inovačního systému v ČR, připravovat návrhy na aktualizaci Národní RIS3 strategie, včetně návrhů na upřesnění, specifikaci a selekci oblastí inteligentní specializace. </w:t>
      </w:r>
    </w:p>
    <w:p w14:paraId="68B1ED30" w14:textId="77777777" w:rsidR="00BD0AEA" w:rsidRPr="00BA4F8E" w:rsidRDefault="00BD0AEA" w:rsidP="00E807DD">
      <w:pPr>
        <w:spacing w:line="360" w:lineRule="auto"/>
        <w:ind w:firstLine="708"/>
        <w:jc w:val="both"/>
      </w:pPr>
      <w:r w:rsidRPr="00BA4F8E">
        <w:t xml:space="preserve">Ze členů Analytického týmu mohou být jmenováni tajemníci jednotlivých Národních inovačních platforem. </w:t>
      </w:r>
    </w:p>
    <w:p w14:paraId="14609FA1" w14:textId="77777777" w:rsidR="001871EB" w:rsidRPr="00BA4F8E" w:rsidRDefault="001871EB" w:rsidP="00BD0AEA">
      <w:pPr>
        <w:spacing w:line="360" w:lineRule="auto"/>
        <w:ind w:firstLine="708"/>
      </w:pPr>
    </w:p>
    <w:p w14:paraId="0DF7F10F" w14:textId="73014ADE" w:rsidR="00F81AA3" w:rsidRPr="007A511E" w:rsidRDefault="00F81AA3" w:rsidP="007A511E">
      <w:pPr>
        <w:pStyle w:val="Nadpis4"/>
      </w:pPr>
      <w:bookmarkStart w:id="169" w:name="_Toc525716250"/>
      <w:r w:rsidRPr="007A511E">
        <w:t>Národní</w:t>
      </w:r>
      <w:r w:rsidR="00FA5A15">
        <w:t xml:space="preserve"> i</w:t>
      </w:r>
      <w:r w:rsidRPr="007A511E">
        <w:t>novační platformy</w:t>
      </w:r>
      <w:bookmarkEnd w:id="169"/>
    </w:p>
    <w:p w14:paraId="1858AD25" w14:textId="77777777" w:rsidR="00F81AA3" w:rsidRPr="00BA4F8E" w:rsidRDefault="00F81AA3" w:rsidP="00F81AA3">
      <w:pPr>
        <w:spacing w:before="240" w:line="360" w:lineRule="auto"/>
        <w:ind w:firstLine="709"/>
        <w:jc w:val="both"/>
      </w:pPr>
      <w:r w:rsidRPr="00BA4F8E">
        <w:t>Národní inovační platformy (NIP) jsou konzultační skupiny, které prostřednictvím Národního RIS3 manažera zřizuje Řídicí výbor RIS3 za účelem identifikace potřeb, zpřesnění/usměrnění strategických priorit, identifikace podnikatelských příležitostí a projednání zacílení navrhovaných opatření (tj. zamýšlených intervencí na podporu oblastí inteligentní specializace). NIP jsou zřízeny pro jednotlivé oblasti inteligentní specializace a představují fórum, které má iniciační a doporučující charakter.</w:t>
      </w:r>
      <w:r w:rsidRPr="00BA4F8E">
        <w:rPr>
          <w:rStyle w:val="Znakapoznpodarou"/>
        </w:rPr>
        <w:footnoteReference w:id="119"/>
      </w:r>
      <w:r w:rsidRPr="00BA4F8E">
        <w:t xml:space="preserve"> Aktuální nastavení Národních inovačních platforem shrnuje následující přehled:</w:t>
      </w:r>
    </w:p>
    <w:p w14:paraId="1CF73045" w14:textId="68D91A04" w:rsidR="00F81AA3" w:rsidRPr="00022AF9" w:rsidRDefault="00F81AA3" w:rsidP="00543C1B">
      <w:pPr>
        <w:pStyle w:val="Odstavecseseznamem"/>
        <w:numPr>
          <w:ilvl w:val="0"/>
          <w:numId w:val="71"/>
        </w:numPr>
        <w:spacing w:before="240" w:after="200" w:line="360" w:lineRule="auto"/>
        <w:ind w:left="1776"/>
        <w:jc w:val="both"/>
      </w:pPr>
      <w:r w:rsidRPr="00022AF9">
        <w:t>Strojírenství, energetika, hutnictví</w:t>
      </w:r>
      <w:r w:rsidR="00061E77" w:rsidRPr="00022AF9">
        <w:t xml:space="preserve"> a průmyslová chemie</w:t>
      </w:r>
    </w:p>
    <w:p w14:paraId="52039A03" w14:textId="77777777" w:rsidR="00F81AA3" w:rsidRPr="00022AF9" w:rsidRDefault="00F81AA3" w:rsidP="00543C1B">
      <w:pPr>
        <w:pStyle w:val="Odstavecseseznamem"/>
        <w:numPr>
          <w:ilvl w:val="0"/>
          <w:numId w:val="71"/>
        </w:numPr>
        <w:spacing w:before="240" w:after="200" w:line="360" w:lineRule="auto"/>
        <w:ind w:left="1776"/>
        <w:jc w:val="both"/>
      </w:pPr>
      <w:r w:rsidRPr="00022AF9">
        <w:t>Elektronika, elektrotechnika a ICT</w:t>
      </w:r>
    </w:p>
    <w:p w14:paraId="6F3841D9" w14:textId="77777777" w:rsidR="00F81AA3" w:rsidRPr="00022AF9" w:rsidRDefault="00F81AA3" w:rsidP="00543C1B">
      <w:pPr>
        <w:pStyle w:val="Odstavecseseznamem"/>
        <w:numPr>
          <w:ilvl w:val="0"/>
          <w:numId w:val="71"/>
        </w:numPr>
        <w:spacing w:before="240" w:after="200" w:line="360" w:lineRule="auto"/>
        <w:ind w:left="1776"/>
        <w:jc w:val="both"/>
      </w:pPr>
      <w:r w:rsidRPr="00022AF9">
        <w:t>Výroba dopravních prostředků</w:t>
      </w:r>
    </w:p>
    <w:p w14:paraId="08A3D9EB" w14:textId="77777777" w:rsidR="00022AF9" w:rsidRPr="00022AF9" w:rsidRDefault="00F81AA3" w:rsidP="00543C1B">
      <w:pPr>
        <w:pStyle w:val="Odstavecseseznamem"/>
        <w:numPr>
          <w:ilvl w:val="0"/>
          <w:numId w:val="71"/>
        </w:numPr>
        <w:spacing w:before="240" w:after="200" w:line="360" w:lineRule="auto"/>
        <w:ind w:left="1776"/>
        <w:jc w:val="both"/>
      </w:pPr>
      <w:r w:rsidRPr="00022AF9">
        <w:t xml:space="preserve">Léčiva, biotechnologie, prostředky zdravotnické techniky, life sciences </w:t>
      </w:r>
    </w:p>
    <w:p w14:paraId="2A2297DA" w14:textId="6F141BF6" w:rsidR="00022AF9" w:rsidRPr="00022AF9" w:rsidRDefault="00061E77" w:rsidP="00543C1B">
      <w:pPr>
        <w:pStyle w:val="Odstavecseseznamem"/>
        <w:numPr>
          <w:ilvl w:val="0"/>
          <w:numId w:val="71"/>
        </w:numPr>
        <w:spacing w:before="240" w:after="200" w:line="360" w:lineRule="auto"/>
        <w:ind w:left="1776"/>
        <w:jc w:val="both"/>
      </w:pPr>
      <w:r w:rsidRPr="00022AF9">
        <w:rPr>
          <w:rFonts w:eastAsia="MS Mincho"/>
        </w:rPr>
        <w:t xml:space="preserve">V. </w:t>
      </w:r>
      <w:r w:rsidR="00F81AA3" w:rsidRPr="00022AF9">
        <w:rPr>
          <w:rFonts w:eastAsia="MS Mincho"/>
        </w:rPr>
        <w:t xml:space="preserve">Kulturní a kreativní </w:t>
      </w:r>
      <w:r w:rsidR="008C2EB6">
        <w:rPr>
          <w:rFonts w:eastAsia="MS Mincho"/>
        </w:rPr>
        <w:t>odvětví</w:t>
      </w:r>
      <w:r w:rsidR="00F81AA3" w:rsidRPr="00022AF9">
        <w:rPr>
          <w:rFonts w:eastAsia="MS Mincho"/>
        </w:rPr>
        <w:t xml:space="preserve"> </w:t>
      </w:r>
    </w:p>
    <w:p w14:paraId="7E034C26" w14:textId="77777777" w:rsidR="00022AF9" w:rsidRPr="009C3CB5" w:rsidRDefault="00061E77" w:rsidP="00543C1B">
      <w:pPr>
        <w:pStyle w:val="Odstavecseseznamem"/>
        <w:numPr>
          <w:ilvl w:val="0"/>
          <w:numId w:val="71"/>
        </w:numPr>
        <w:spacing w:before="240" w:after="200" w:line="360" w:lineRule="auto"/>
        <w:ind w:left="1776"/>
        <w:jc w:val="both"/>
      </w:pPr>
      <w:r w:rsidRPr="009C3CB5">
        <w:rPr>
          <w:rFonts w:eastAsia="MS Mincho"/>
        </w:rPr>
        <w:t xml:space="preserve">VI. </w:t>
      </w:r>
      <w:r w:rsidR="00204E12" w:rsidRPr="009C3CB5">
        <w:rPr>
          <w:rFonts w:eastAsia="MS Mincho"/>
        </w:rPr>
        <w:t>Udržitelné zemědělství a environmentální aplikační odvětví</w:t>
      </w:r>
    </w:p>
    <w:p w14:paraId="2418AA49" w14:textId="5F8D59FE" w:rsidR="00F81AA3" w:rsidRPr="009C3CB5" w:rsidRDefault="00204E12" w:rsidP="00543C1B">
      <w:pPr>
        <w:pStyle w:val="Odstavecseseznamem"/>
        <w:numPr>
          <w:ilvl w:val="0"/>
          <w:numId w:val="71"/>
        </w:numPr>
        <w:spacing w:before="240" w:after="200" w:line="360" w:lineRule="auto"/>
        <w:ind w:left="1776"/>
        <w:jc w:val="both"/>
      </w:pPr>
      <w:r w:rsidRPr="009C3CB5">
        <w:rPr>
          <w:rFonts w:eastAsia="MS Mincho"/>
        </w:rPr>
        <w:t xml:space="preserve">VII. </w:t>
      </w:r>
      <w:r w:rsidR="00F81AA3" w:rsidRPr="009C3CB5">
        <w:rPr>
          <w:rFonts w:eastAsia="MS Mincho"/>
        </w:rPr>
        <w:t>Společenské výzvy</w:t>
      </w:r>
      <w:r w:rsidR="00F81AA3" w:rsidRPr="009C3CB5">
        <w:t>.</w:t>
      </w:r>
    </w:p>
    <w:p w14:paraId="614980F8" w14:textId="77777777" w:rsidR="00F81AA3" w:rsidRPr="00BA4F8E" w:rsidRDefault="00F81AA3" w:rsidP="00F81AA3">
      <w:pPr>
        <w:spacing w:before="240" w:line="360" w:lineRule="auto"/>
        <w:ind w:firstLine="360"/>
        <w:jc w:val="both"/>
      </w:pPr>
      <w:r w:rsidRPr="00BA4F8E">
        <w:t>V NIP jsou zastoupeni:</w:t>
      </w:r>
    </w:p>
    <w:p w14:paraId="5BE58AC0" w14:textId="4DCEC3D6" w:rsidR="00F81AA3" w:rsidRPr="0089243D" w:rsidRDefault="00F81AA3" w:rsidP="00543C1B">
      <w:pPr>
        <w:pStyle w:val="Odstavecseseznamem"/>
        <w:numPr>
          <w:ilvl w:val="0"/>
          <w:numId w:val="102"/>
        </w:numPr>
        <w:spacing w:before="240" w:after="200" w:line="360" w:lineRule="auto"/>
        <w:jc w:val="both"/>
        <w:rPr>
          <w:rFonts w:eastAsia="MS Mincho"/>
        </w:rPr>
      </w:pPr>
      <w:r w:rsidRPr="0089243D">
        <w:rPr>
          <w:rFonts w:eastAsia="MS Mincho"/>
        </w:rPr>
        <w:t>zástupci významných představitelů aplikační sféry/uživatelů výsledků VaVaI (zejména firem</w:t>
      </w:r>
      <w:r w:rsidR="00332709">
        <w:rPr>
          <w:rFonts w:eastAsia="MS Mincho"/>
        </w:rPr>
        <w:t xml:space="preserve"> a klastrových organizací</w:t>
      </w:r>
      <w:r w:rsidRPr="0089243D">
        <w:rPr>
          <w:rFonts w:eastAsia="MS Mincho"/>
        </w:rPr>
        <w:t>) -  jak představitelé velkých firem, tak MSP, v obou případech se jedná o podniky s výzkumnými aktivitami,</w:t>
      </w:r>
    </w:p>
    <w:p w14:paraId="1008CDBB" w14:textId="77777777" w:rsidR="00F81AA3" w:rsidRPr="00BA4F8E" w:rsidRDefault="00F81AA3" w:rsidP="00543C1B">
      <w:pPr>
        <w:numPr>
          <w:ilvl w:val="0"/>
          <w:numId w:val="70"/>
        </w:numPr>
        <w:spacing w:before="240" w:after="200" w:line="360" w:lineRule="auto"/>
        <w:ind w:left="737" w:hanging="377"/>
        <w:jc w:val="both"/>
        <w:rPr>
          <w:rFonts w:eastAsia="MS Mincho"/>
        </w:rPr>
      </w:pPr>
      <w:r w:rsidRPr="00BA4F8E">
        <w:rPr>
          <w:rFonts w:eastAsia="MS Mincho"/>
        </w:rPr>
        <w:t xml:space="preserve">zástupci předních výzkumných organizací, jejichž úkolem je identifikovat a propojit znalostní domény (vč. KETs) s aplikačními oblastmi – představitelé Akademie věd ČR (relevantních ústavů), zástupci vysokých škol, výzkumných organizací a veřejných výzkumných institucí,  </w:t>
      </w:r>
    </w:p>
    <w:p w14:paraId="3CC93A94" w14:textId="77777777" w:rsidR="00F81AA3" w:rsidRPr="00BA4F8E" w:rsidRDefault="00F81AA3" w:rsidP="00543C1B">
      <w:pPr>
        <w:numPr>
          <w:ilvl w:val="0"/>
          <w:numId w:val="70"/>
        </w:numPr>
        <w:spacing w:before="240" w:after="200" w:line="360" w:lineRule="auto"/>
        <w:ind w:left="737" w:hanging="377"/>
        <w:jc w:val="both"/>
        <w:rPr>
          <w:rFonts w:eastAsia="MS Mincho"/>
        </w:rPr>
      </w:pPr>
      <w:r w:rsidRPr="00BA4F8E">
        <w:rPr>
          <w:rFonts w:eastAsia="MS Mincho"/>
        </w:rPr>
        <w:t xml:space="preserve">zástupci veřejné správy, např. regulátorů trhu v relevantních oborech, apod., </w:t>
      </w:r>
    </w:p>
    <w:p w14:paraId="0ED909B9" w14:textId="77777777" w:rsidR="00F81AA3" w:rsidRPr="00BA4F8E" w:rsidRDefault="00F81AA3" w:rsidP="00543C1B">
      <w:pPr>
        <w:numPr>
          <w:ilvl w:val="0"/>
          <w:numId w:val="70"/>
        </w:numPr>
        <w:spacing w:before="240" w:after="200" w:line="360" w:lineRule="auto"/>
        <w:ind w:left="737" w:hanging="377"/>
        <w:jc w:val="both"/>
        <w:rPr>
          <w:rFonts w:eastAsia="MS Mincho"/>
        </w:rPr>
      </w:pPr>
      <w:r w:rsidRPr="00BA4F8E">
        <w:rPr>
          <w:rFonts w:eastAsia="MS Mincho"/>
        </w:rPr>
        <w:t xml:space="preserve">zástupci za krajskou úroveň. </w:t>
      </w:r>
    </w:p>
    <w:p w14:paraId="3756BC66" w14:textId="77777777" w:rsidR="00F81AA3" w:rsidRPr="00BA4F8E" w:rsidRDefault="00F81AA3" w:rsidP="00F81AA3">
      <w:pPr>
        <w:spacing w:before="240" w:line="360" w:lineRule="auto"/>
        <w:ind w:firstLine="360"/>
        <w:jc w:val="both"/>
      </w:pPr>
      <w:r w:rsidRPr="00BA4F8E">
        <w:t>NIP plní následující role:</w:t>
      </w:r>
    </w:p>
    <w:p w14:paraId="158665C1" w14:textId="77777777" w:rsidR="00F81AA3" w:rsidRPr="00BA4F8E" w:rsidRDefault="00F81AA3" w:rsidP="00543C1B">
      <w:pPr>
        <w:numPr>
          <w:ilvl w:val="0"/>
          <w:numId w:val="73"/>
        </w:numPr>
        <w:spacing w:before="240" w:after="120" w:line="360" w:lineRule="auto"/>
        <w:ind w:left="737" w:hanging="377"/>
        <w:jc w:val="both"/>
        <w:rPr>
          <w:rFonts w:eastAsia="MS Mincho"/>
        </w:rPr>
      </w:pPr>
      <w:r w:rsidRPr="00BA4F8E">
        <w:rPr>
          <w:rFonts w:eastAsia="MS Mincho"/>
        </w:rPr>
        <w:t xml:space="preserve">mohou se vyjadřovat k navrhovaným intervencím, zejména s ohledem na jejich přispění k cílům Národní RIS3 strategie; k tomu účelu se na vlastní žádost nebo na návrh Národního RIS3 manažera mohou vyjadřovat:   </w:t>
      </w:r>
    </w:p>
    <w:p w14:paraId="5FFA68A4" w14:textId="77777777" w:rsidR="00F81AA3" w:rsidRPr="00BA4F8E" w:rsidRDefault="00F81AA3" w:rsidP="00543C1B">
      <w:pPr>
        <w:numPr>
          <w:ilvl w:val="1"/>
          <w:numId w:val="73"/>
        </w:numPr>
        <w:spacing w:before="240" w:after="120" w:line="360" w:lineRule="auto"/>
        <w:jc w:val="both"/>
        <w:rPr>
          <w:rFonts w:eastAsia="MS Mincho"/>
        </w:rPr>
      </w:pPr>
      <w:r w:rsidRPr="00BA4F8E">
        <w:rPr>
          <w:rFonts w:eastAsia="MS Mincho"/>
        </w:rPr>
        <w:t>k návrhům jednotlivých výzev operačních programů a jejich prioritních os a návrhům národních programů podpory VaVaI, kterými se naplňuje Národní RIS3 strategie,</w:t>
      </w:r>
    </w:p>
    <w:p w14:paraId="248D3904" w14:textId="605658EC" w:rsidR="00F81AA3" w:rsidRPr="00BA4F8E" w:rsidRDefault="00F81AA3" w:rsidP="00543C1B">
      <w:pPr>
        <w:numPr>
          <w:ilvl w:val="0"/>
          <w:numId w:val="73"/>
        </w:numPr>
        <w:spacing w:before="240" w:after="120" w:line="360" w:lineRule="auto"/>
        <w:jc w:val="both"/>
        <w:rPr>
          <w:rFonts w:eastAsia="MS Mincho"/>
        </w:rPr>
      </w:pPr>
      <w:r w:rsidRPr="00BA4F8E">
        <w:rPr>
          <w:rFonts w:eastAsia="MS Mincho"/>
        </w:rPr>
        <w:t xml:space="preserve">projednávají zaměření, cíle a výsledky intervencí, kterými se naplňuje Národní RIS3 strategie, a mohou dávat doporučení pro jejich další profilování, </w:t>
      </w:r>
    </w:p>
    <w:p w14:paraId="58D11556" w14:textId="77777777" w:rsidR="00F81AA3" w:rsidRPr="00BA4F8E" w:rsidRDefault="00F81AA3" w:rsidP="00543C1B">
      <w:pPr>
        <w:numPr>
          <w:ilvl w:val="0"/>
          <w:numId w:val="73"/>
        </w:numPr>
        <w:spacing w:before="240" w:after="120" w:line="360" w:lineRule="auto"/>
        <w:ind w:left="737" w:hanging="377"/>
        <w:jc w:val="both"/>
        <w:rPr>
          <w:rFonts w:eastAsia="MS Mincho"/>
        </w:rPr>
      </w:pPr>
      <w:r w:rsidRPr="00BA4F8E">
        <w:rPr>
          <w:rFonts w:eastAsia="MS Mincho"/>
        </w:rPr>
        <w:t>v rámci EDP projednávají a doporučují profilování, zacílení a upřesnění oblastí inteligentní specializace na národní úrovni,</w:t>
      </w:r>
    </w:p>
    <w:p w14:paraId="682C57A3" w14:textId="77777777" w:rsidR="00F81AA3" w:rsidRPr="00BA4F8E" w:rsidRDefault="00F81AA3" w:rsidP="00543C1B">
      <w:pPr>
        <w:numPr>
          <w:ilvl w:val="0"/>
          <w:numId w:val="73"/>
        </w:numPr>
        <w:spacing w:before="240" w:after="120" w:line="360" w:lineRule="auto"/>
        <w:jc w:val="both"/>
        <w:rPr>
          <w:rFonts w:eastAsia="MS Mincho"/>
        </w:rPr>
      </w:pPr>
      <w:r w:rsidRPr="00BA4F8E">
        <w:rPr>
          <w:rFonts w:eastAsia="MS Mincho"/>
        </w:rPr>
        <w:t>poskytují Národnímu RIS3 manažerovi a Řídicímu výboru RIS3 zpětnou vazbu k dlouhodobým potřebám podnikatelského a výzkumného sektoru s ohledem na roční a delší plánování v oblasti VaVaI,</w:t>
      </w:r>
    </w:p>
    <w:p w14:paraId="082AE86D" w14:textId="77777777" w:rsidR="00F81AA3" w:rsidRPr="00BA4F8E" w:rsidRDefault="00F81AA3" w:rsidP="00543C1B">
      <w:pPr>
        <w:numPr>
          <w:ilvl w:val="0"/>
          <w:numId w:val="72"/>
        </w:numPr>
        <w:spacing w:before="240" w:after="120" w:line="360" w:lineRule="auto"/>
        <w:jc w:val="both"/>
        <w:rPr>
          <w:rFonts w:eastAsia="MS Mincho"/>
        </w:rPr>
      </w:pPr>
      <w:r w:rsidRPr="00BA4F8E">
        <w:rPr>
          <w:rFonts w:eastAsia="MS Mincho"/>
        </w:rPr>
        <w:t>mohou dávat další relevantní doporučení Národnímu RIS3 manažerovi a Řídicímu výboru RIS3.</w:t>
      </w:r>
    </w:p>
    <w:p w14:paraId="712359C3" w14:textId="054AFA6B" w:rsidR="00F81AA3" w:rsidRDefault="00F81AA3" w:rsidP="0089243D">
      <w:pPr>
        <w:spacing w:before="240" w:line="360" w:lineRule="auto"/>
        <w:ind w:firstLine="709"/>
        <w:jc w:val="both"/>
      </w:pPr>
      <w:r w:rsidRPr="00BA4F8E">
        <w:t>Počet členů NIP se pohybuje v rozsahu 15–20 osob. NIP se scházejí dle potřeby, zpravidla 2x</w:t>
      </w:r>
      <w:r w:rsidR="007A511E">
        <w:t> </w:t>
      </w:r>
      <w:r w:rsidRPr="00BA4F8E">
        <w:t>ročně, a mohou být svolávány z iniciativy Národního RIS3 manažera nebo členů Řídicího výboru RIS3. Jednáním NIP předsedá Národní RIS3 manažer. Pro účely vyjadřování k navrhovaným intervencím a</w:t>
      </w:r>
      <w:r w:rsidR="007D28EA" w:rsidRPr="00BA4F8E">
        <w:t> </w:t>
      </w:r>
      <w:r w:rsidRPr="00BA4F8E">
        <w:t xml:space="preserve">k poskytování zpětné vazby Národnímu RIS3 manažerovi a Řídicímu výboru RIS3 připravuje Národní RIS3 manažer ve spolupráci s Analytickým týmem podklady a poskytuje informace o chystaných, probíhajících a ukončených intervencích. </w:t>
      </w:r>
    </w:p>
    <w:p w14:paraId="5E3F6F54" w14:textId="77777777" w:rsidR="00252492" w:rsidRPr="00BA4F8E" w:rsidRDefault="00252492" w:rsidP="00F81AA3">
      <w:pPr>
        <w:spacing w:before="240" w:line="360" w:lineRule="auto"/>
        <w:ind w:firstLine="360"/>
        <w:jc w:val="both"/>
      </w:pPr>
    </w:p>
    <w:p w14:paraId="11C30C5A" w14:textId="0D6CB998" w:rsidR="006A45EB" w:rsidRPr="00127070" w:rsidRDefault="006A45EB" w:rsidP="00127070">
      <w:pPr>
        <w:pStyle w:val="Nadpis4"/>
      </w:pPr>
      <w:bookmarkStart w:id="170" w:name="_Ref521489154"/>
      <w:bookmarkStart w:id="171" w:name="_Ref521489169"/>
      <w:bookmarkStart w:id="172" w:name="_Toc525716251"/>
      <w:r w:rsidRPr="00127070">
        <w:t>Aktuální stav EDP</w:t>
      </w:r>
      <w:r w:rsidRPr="002E062A">
        <w:rPr>
          <w:rStyle w:val="Znakapoznpodarou"/>
        </w:rPr>
        <w:footnoteReference w:id="120"/>
      </w:r>
      <w:bookmarkEnd w:id="170"/>
      <w:bookmarkEnd w:id="171"/>
      <w:bookmarkEnd w:id="172"/>
    </w:p>
    <w:p w14:paraId="452D37FE" w14:textId="0D63F840" w:rsidR="006A45EB" w:rsidRPr="00BA4F8E" w:rsidRDefault="006A45EB" w:rsidP="006D1CFF">
      <w:pPr>
        <w:spacing w:after="0" w:line="360" w:lineRule="auto"/>
        <w:ind w:firstLine="708"/>
        <w:jc w:val="both"/>
      </w:pPr>
      <w:r w:rsidRPr="00BA4F8E">
        <w:t>Zkoumání a identifikace výzkumných a inovačních potřeb podnikatelské sféry</w:t>
      </w:r>
      <w:r w:rsidRPr="00BA4F8E" w:rsidDel="003F42D2">
        <w:t xml:space="preserve"> </w:t>
      </w:r>
      <w:r w:rsidRPr="00BA4F8E">
        <w:t xml:space="preserve">probíhá především na jednáních Národních inovačních platforem. Výchozí oblasti inteligentní specializace </w:t>
      </w:r>
      <w:r w:rsidRPr="00DC2729">
        <w:t>(viz</w:t>
      </w:r>
      <w:r w:rsidR="00C12383" w:rsidRPr="00DC2729">
        <w:t> </w:t>
      </w:r>
      <w:r w:rsidRPr="00DC2729">
        <w:t xml:space="preserve">kap. </w:t>
      </w:r>
      <w:r w:rsidR="001A63DF" w:rsidRPr="00DC2729">
        <w:fldChar w:fldCharType="begin"/>
      </w:r>
      <w:r w:rsidR="001A63DF" w:rsidRPr="00DC2729">
        <w:instrText xml:space="preserve"> REF _Ref521397310 \r \h  \* MERGEFORMAT </w:instrText>
      </w:r>
      <w:r w:rsidR="001A63DF" w:rsidRPr="00DC2729">
        <w:fldChar w:fldCharType="separate"/>
      </w:r>
      <w:r w:rsidR="00DE40D4">
        <w:t>4</w:t>
      </w:r>
      <w:r w:rsidR="001A63DF" w:rsidRPr="00DC2729">
        <w:fldChar w:fldCharType="end"/>
      </w:r>
      <w:r w:rsidR="000A0976" w:rsidRPr="00DC2729">
        <w:t xml:space="preserve"> </w:t>
      </w:r>
      <w:r w:rsidR="00AF6925" w:rsidRPr="00DC2729">
        <w:rPr>
          <w:highlight w:val="yellow"/>
        </w:rPr>
        <w:fldChar w:fldCharType="begin"/>
      </w:r>
      <w:r w:rsidR="00AF6925" w:rsidRPr="00DC2729">
        <w:rPr>
          <w:highlight w:val="yellow"/>
        </w:rPr>
        <w:instrText xml:space="preserve"> REF _Ref521397314 \h </w:instrText>
      </w:r>
      <w:r w:rsidR="00BA4F8E" w:rsidRPr="00DC2729">
        <w:rPr>
          <w:highlight w:val="yellow"/>
        </w:rPr>
        <w:instrText xml:space="preserve"> \* MERGEFORMAT </w:instrText>
      </w:r>
      <w:r w:rsidR="00AF6925" w:rsidRPr="00DC2729">
        <w:rPr>
          <w:highlight w:val="yellow"/>
        </w:rPr>
      </w:r>
      <w:r w:rsidR="00AF6925" w:rsidRPr="00DC2729">
        <w:rPr>
          <w:highlight w:val="yellow"/>
        </w:rPr>
        <w:fldChar w:fldCharType="separate"/>
      </w:r>
      <w:r w:rsidR="00DE40D4" w:rsidRPr="006A19EB">
        <w:t>Výzkumná a ekonomická specializace ČR</w:t>
      </w:r>
      <w:r w:rsidR="00AF6925" w:rsidRPr="00DC2729">
        <w:rPr>
          <w:highlight w:val="yellow"/>
        </w:rPr>
        <w:fldChar w:fldCharType="end"/>
      </w:r>
      <w:r w:rsidRPr="00DC2729">
        <w:t xml:space="preserve">) se v průběhu procesu postupně upřesňují a zaostřují s ohledem na požadavky všech zástupců triple/quadruple helix. Na této bázi jsou při EDP zohledňovány rovněž vybrané oblasti specializace krajské (viz kap. </w:t>
      </w:r>
      <w:r w:rsidR="004A0E68" w:rsidRPr="00DC2729">
        <w:fldChar w:fldCharType="begin"/>
      </w:r>
      <w:r w:rsidR="004A0E68" w:rsidRPr="00DC2729">
        <w:instrText xml:space="preserve"> REF _Ref521490931 \r \h  \* MERGEFORMAT </w:instrText>
      </w:r>
      <w:r w:rsidR="004A0E68" w:rsidRPr="00DC2729">
        <w:fldChar w:fldCharType="separate"/>
      </w:r>
      <w:r w:rsidR="00DE40D4">
        <w:t>7.3.3.2</w:t>
      </w:r>
      <w:r w:rsidR="004A0E68" w:rsidRPr="00DC2729">
        <w:fldChar w:fldCharType="end"/>
      </w:r>
      <w:r w:rsidR="007D00E5" w:rsidRPr="00DC2729">
        <w:t xml:space="preserve"> </w:t>
      </w:r>
      <w:r w:rsidR="004A0E68" w:rsidRPr="00DC2729">
        <w:fldChar w:fldCharType="begin"/>
      </w:r>
      <w:r w:rsidR="004A0E68" w:rsidRPr="00DC2729">
        <w:instrText xml:space="preserve"> REF _Ref521490908 \h  \* MERGEFORMAT </w:instrText>
      </w:r>
      <w:r w:rsidR="004A0E68" w:rsidRPr="00DC2729">
        <w:fldChar w:fldCharType="separate"/>
      </w:r>
      <w:r w:rsidR="00DE40D4" w:rsidRPr="00BA4F8E">
        <w:t>Krajské inovační platformy – krajsky specifický EDP</w:t>
      </w:r>
      <w:r w:rsidR="004A0E68" w:rsidRPr="00DC2729">
        <w:fldChar w:fldCharType="end"/>
      </w:r>
      <w:r w:rsidRPr="00DC2729">
        <w:t>) .</w:t>
      </w:r>
    </w:p>
    <w:p w14:paraId="0C018523" w14:textId="2EFE11B1" w:rsidR="009B55D7" w:rsidRPr="00BA4F8E" w:rsidRDefault="009B55D7" w:rsidP="006D1CFF">
      <w:pPr>
        <w:spacing w:after="0" w:line="360" w:lineRule="auto"/>
        <w:ind w:firstLine="708"/>
        <w:jc w:val="both"/>
      </w:pPr>
      <w:r>
        <w:t>V roce 2018 bylo</w:t>
      </w:r>
      <w:r w:rsidRPr="00BA4F8E">
        <w:t xml:space="preserve"> v </w:t>
      </w:r>
      <w:r>
        <w:t xml:space="preserve">rámci procesu EDP identifikováno nové aplikační odvětví s názvem „Průmyslová chemie“. </w:t>
      </w:r>
      <w:r w:rsidR="005C6C5C">
        <w:t>Dvě a</w:t>
      </w:r>
      <w:r>
        <w:t>plikační odvětví</w:t>
      </w:r>
      <w:r w:rsidR="001D092B">
        <w:t xml:space="preserve"> </w:t>
      </w:r>
      <w:r w:rsidR="001D092B" w:rsidRPr="00BA4F8E">
        <w:t>„Udržitelná výstavba, lidská sídla a technická ochrana životního prostředí“ a</w:t>
      </w:r>
      <w:r w:rsidR="001D092B">
        <w:t> </w:t>
      </w:r>
      <w:r w:rsidR="001D092B" w:rsidRPr="00BA4F8E">
        <w:t>„Zajištění zdravého a kvalitního životního prostředí, biodiverzity a ekologie přírodních zdrojů“</w:t>
      </w:r>
      <w:r w:rsidR="001D092B">
        <w:t xml:space="preserve">, jejichž gestorem je MŽP, </w:t>
      </w:r>
      <w:r w:rsidR="005C6C5C">
        <w:t>vznikla rozvinutím a přeformulováním původního</w:t>
      </w:r>
      <w:r w:rsidR="001D092B">
        <w:t xml:space="preserve"> aplikačního odvětví</w:t>
      </w:r>
      <w:r w:rsidR="005C6C5C">
        <w:t xml:space="preserve"> </w:t>
      </w:r>
      <w:r w:rsidR="005C6C5C" w:rsidRPr="00BA4F8E">
        <w:t>„Zajištění zdravého a kvalitního životního prostředí</w:t>
      </w:r>
      <w:r w:rsidR="005C6C5C">
        <w:t xml:space="preserve"> a využívání přírodních zdrojů“</w:t>
      </w:r>
      <w:r w:rsidR="001D092B">
        <w:t xml:space="preserve"> – zapracovány byly mimo jiné návrhy</w:t>
      </w:r>
      <w:r w:rsidR="005C6C5C">
        <w:t xml:space="preserve"> </w:t>
      </w:r>
      <w:r w:rsidR="001D092B">
        <w:t>z odvětví stavebnictví</w:t>
      </w:r>
      <w:r w:rsidRPr="00BA4F8E">
        <w:t xml:space="preserve">. </w:t>
      </w:r>
    </w:p>
    <w:p w14:paraId="315D478A" w14:textId="2CD27037" w:rsidR="009B55D7" w:rsidRPr="001203BD" w:rsidRDefault="009B55D7" w:rsidP="006D1CFF">
      <w:pPr>
        <w:spacing w:after="0" w:line="360" w:lineRule="auto"/>
        <w:ind w:firstLine="709"/>
        <w:jc w:val="both"/>
      </w:pPr>
      <w:r w:rsidRPr="00BA4F8E">
        <w:t>S ohledem na skutečnost, že implementace dvou nových klíčových</w:t>
      </w:r>
      <w:r>
        <w:t xml:space="preserve"> technologií pro země EU z roku </w:t>
      </w:r>
      <w:r w:rsidRPr="00BA4F8E">
        <w:t xml:space="preserve">2018 (Umělá inteligence / Artificial Intelligence a Zabezpečení a konektivita / Security and </w:t>
      </w:r>
      <w:r w:rsidRPr="006D0A08">
        <w:t>Connectivity) si vyžádá větší změnu struktury stávající platné Národní RIS3 strategie (viz</w:t>
      </w:r>
      <w:r w:rsidR="0077705C" w:rsidRPr="006D0A08">
        <w:t> </w:t>
      </w:r>
      <w:r w:rsidRPr="006D0A08">
        <w:t>ka</w:t>
      </w:r>
      <w:r w:rsidRPr="001203BD">
        <w:t>p.</w:t>
      </w:r>
      <w:r w:rsidR="001F4A7A" w:rsidRPr="001203BD">
        <w:t> </w:t>
      </w:r>
      <w:r w:rsidR="00EA0311" w:rsidRPr="001203BD">
        <w:fldChar w:fldCharType="begin"/>
      </w:r>
      <w:r w:rsidR="00EA0311" w:rsidRPr="001203BD">
        <w:instrText xml:space="preserve"> REF _Ref521660964 \r \h  \* MERGEFORMAT </w:instrText>
      </w:r>
      <w:r w:rsidR="00EA0311" w:rsidRPr="001203BD">
        <w:fldChar w:fldCharType="separate"/>
      </w:r>
      <w:r w:rsidR="00DE40D4">
        <w:t>4.2.2</w:t>
      </w:r>
      <w:r w:rsidR="00EA0311" w:rsidRPr="001203BD">
        <w:fldChar w:fldCharType="end"/>
      </w:r>
      <w:r w:rsidR="00A3295D" w:rsidRPr="001203BD">
        <w:t> </w:t>
      </w:r>
      <w:r w:rsidR="00EA0311" w:rsidRPr="001203BD">
        <w:rPr>
          <w:highlight w:val="yellow"/>
        </w:rPr>
        <w:fldChar w:fldCharType="begin"/>
      </w:r>
      <w:r w:rsidR="00EA0311" w:rsidRPr="001203BD">
        <w:rPr>
          <w:highlight w:val="yellow"/>
        </w:rPr>
        <w:instrText xml:space="preserve"> REF _Ref521660964 \h </w:instrText>
      </w:r>
      <w:r w:rsidR="00EA0311" w:rsidRPr="001203BD">
        <w:rPr>
          <w:highlight w:val="yellow"/>
        </w:rPr>
      </w:r>
      <w:r w:rsidR="00EA0311" w:rsidRPr="001203BD">
        <w:rPr>
          <w:highlight w:val="yellow"/>
        </w:rPr>
        <w:fldChar w:fldCharType="separate"/>
      </w:r>
      <w:r w:rsidR="00DE40D4" w:rsidRPr="00F76546">
        <w:t>Výzkumná specializace</w:t>
      </w:r>
      <w:r w:rsidR="00EA0311" w:rsidRPr="001203BD">
        <w:rPr>
          <w:highlight w:val="yellow"/>
        </w:rPr>
        <w:fldChar w:fldCharType="end"/>
      </w:r>
      <w:r w:rsidRPr="001203BD">
        <w:t xml:space="preserve">), je plánována tato implementace až pro připravovanou novou RIS3 strategii platnou pro období 2021+. </w:t>
      </w:r>
    </w:p>
    <w:p w14:paraId="4556477E" w14:textId="5B5A327C" w:rsidR="006A45EB" w:rsidRPr="001203BD" w:rsidRDefault="006A45EB" w:rsidP="006D1CFF">
      <w:pPr>
        <w:spacing w:after="0" w:line="360" w:lineRule="auto"/>
        <w:ind w:firstLine="708"/>
        <w:jc w:val="both"/>
      </w:pPr>
      <w:r w:rsidRPr="001203BD">
        <w:rPr>
          <w:b/>
          <w:bCs/>
          <w:iCs/>
        </w:rPr>
        <w:t>Oblasti inteligentní specializace ČR, popsané v</w:t>
      </w:r>
      <w:r w:rsidR="00B9017F" w:rsidRPr="001203BD">
        <w:rPr>
          <w:b/>
          <w:bCs/>
          <w:iCs/>
        </w:rPr>
        <w:t> </w:t>
      </w:r>
      <w:r w:rsidRPr="001203BD">
        <w:rPr>
          <w:b/>
          <w:bCs/>
          <w:iCs/>
        </w:rPr>
        <w:t>kap</w:t>
      </w:r>
      <w:r w:rsidR="00B9017F" w:rsidRPr="001203BD">
        <w:rPr>
          <w:b/>
          <w:bCs/>
          <w:iCs/>
        </w:rPr>
        <w:t>.</w:t>
      </w:r>
      <w:r w:rsidRPr="001203BD">
        <w:rPr>
          <w:b/>
          <w:bCs/>
          <w:iCs/>
        </w:rPr>
        <w:t xml:space="preserve"> </w:t>
      </w:r>
      <w:r w:rsidR="00EA0311" w:rsidRPr="001203BD">
        <w:rPr>
          <w:b/>
          <w:bCs/>
          <w:iCs/>
        </w:rPr>
        <w:fldChar w:fldCharType="begin"/>
      </w:r>
      <w:r w:rsidR="00EA0311" w:rsidRPr="001203BD">
        <w:rPr>
          <w:b/>
          <w:bCs/>
          <w:iCs/>
        </w:rPr>
        <w:instrText xml:space="preserve"> REF _Ref521663811 \r \h  \* MERGEFORMAT </w:instrText>
      </w:r>
      <w:r w:rsidR="00EA0311" w:rsidRPr="001203BD">
        <w:rPr>
          <w:b/>
          <w:bCs/>
          <w:iCs/>
        </w:rPr>
      </w:r>
      <w:r w:rsidR="00EA0311" w:rsidRPr="001203BD">
        <w:rPr>
          <w:b/>
          <w:bCs/>
          <w:iCs/>
        </w:rPr>
        <w:fldChar w:fldCharType="separate"/>
      </w:r>
      <w:r w:rsidR="00DE40D4">
        <w:rPr>
          <w:b/>
          <w:bCs/>
          <w:iCs/>
        </w:rPr>
        <w:t>7.1</w:t>
      </w:r>
      <w:r w:rsidR="00EA0311" w:rsidRPr="001203BD">
        <w:rPr>
          <w:b/>
          <w:bCs/>
          <w:iCs/>
        </w:rPr>
        <w:fldChar w:fldCharType="end"/>
      </w:r>
      <w:r w:rsidRPr="001203BD">
        <w:rPr>
          <w:b/>
          <w:bCs/>
          <w:iCs/>
        </w:rPr>
        <w:t xml:space="preserve"> (</w:t>
      </w:r>
      <w:r w:rsidR="00EA0311" w:rsidRPr="001203BD">
        <w:rPr>
          <w:b/>
          <w:bCs/>
          <w:iCs/>
        </w:rPr>
        <w:fldChar w:fldCharType="begin"/>
      </w:r>
      <w:r w:rsidR="00EA0311" w:rsidRPr="001203BD">
        <w:rPr>
          <w:b/>
          <w:bCs/>
          <w:iCs/>
        </w:rPr>
        <w:instrText xml:space="preserve"> REF _Ref521663811 \h  \* MERGEFORMAT </w:instrText>
      </w:r>
      <w:r w:rsidR="00EA0311" w:rsidRPr="001203BD">
        <w:rPr>
          <w:b/>
          <w:bCs/>
          <w:iCs/>
        </w:rPr>
      </w:r>
      <w:r w:rsidR="00EA0311" w:rsidRPr="001203BD">
        <w:rPr>
          <w:b/>
          <w:bCs/>
          <w:iCs/>
        </w:rPr>
        <w:fldChar w:fldCharType="separate"/>
      </w:r>
      <w:r w:rsidR="00DE40D4">
        <w:t>Oblasti inteligentní specializace</w:t>
      </w:r>
      <w:r w:rsidR="00DE40D4" w:rsidRPr="00EF4A38">
        <w:t xml:space="preserve"> v České republice</w:t>
      </w:r>
      <w:r w:rsidR="00EA0311" w:rsidRPr="001203BD">
        <w:rPr>
          <w:b/>
          <w:bCs/>
          <w:iCs/>
        </w:rPr>
        <w:fldChar w:fldCharType="end"/>
      </w:r>
      <w:r w:rsidRPr="001203BD">
        <w:rPr>
          <w:b/>
          <w:bCs/>
          <w:iCs/>
        </w:rPr>
        <w:t xml:space="preserve">) a v příloze </w:t>
      </w:r>
      <w:r w:rsidR="00EA0311" w:rsidRPr="001203BD">
        <w:rPr>
          <w:b/>
          <w:bCs/>
          <w:iCs/>
        </w:rPr>
        <w:fldChar w:fldCharType="begin"/>
      </w:r>
      <w:r w:rsidR="00EA0311" w:rsidRPr="001203BD">
        <w:rPr>
          <w:b/>
          <w:bCs/>
          <w:iCs/>
        </w:rPr>
        <w:instrText xml:space="preserve"> REF _Ref521491484 \r \h  \* MERGEFORMAT </w:instrText>
      </w:r>
      <w:r w:rsidR="00EA0311" w:rsidRPr="001203BD">
        <w:rPr>
          <w:b/>
          <w:bCs/>
          <w:iCs/>
        </w:rPr>
      </w:r>
      <w:r w:rsidR="00EA0311" w:rsidRPr="001203BD">
        <w:rPr>
          <w:b/>
          <w:bCs/>
          <w:iCs/>
        </w:rPr>
        <w:fldChar w:fldCharType="separate"/>
      </w:r>
      <w:r w:rsidR="00DE40D4">
        <w:rPr>
          <w:b/>
          <w:bCs/>
          <w:iCs/>
        </w:rPr>
        <w:t>9.2</w:t>
      </w:r>
      <w:r w:rsidR="00EA0311" w:rsidRPr="001203BD">
        <w:rPr>
          <w:b/>
          <w:bCs/>
          <w:iCs/>
        </w:rPr>
        <w:fldChar w:fldCharType="end"/>
      </w:r>
      <w:r w:rsidRPr="001203BD">
        <w:rPr>
          <w:b/>
          <w:bCs/>
          <w:iCs/>
        </w:rPr>
        <w:t xml:space="preserve"> (</w:t>
      </w:r>
      <w:r w:rsidR="00EA0311" w:rsidRPr="001203BD">
        <w:rPr>
          <w:b/>
          <w:bCs/>
          <w:iCs/>
        </w:rPr>
        <w:fldChar w:fldCharType="begin"/>
      </w:r>
      <w:r w:rsidR="00EA0311" w:rsidRPr="001203BD">
        <w:rPr>
          <w:b/>
          <w:bCs/>
          <w:iCs/>
        </w:rPr>
        <w:instrText xml:space="preserve"> REF _Ref521491484 \h  \* MERGEFORMAT </w:instrText>
      </w:r>
      <w:r w:rsidR="00EA0311" w:rsidRPr="001203BD">
        <w:rPr>
          <w:b/>
          <w:bCs/>
          <w:iCs/>
        </w:rPr>
      </w:r>
      <w:r w:rsidR="00EA0311" w:rsidRPr="001203BD">
        <w:rPr>
          <w:b/>
          <w:bCs/>
          <w:iCs/>
        </w:rPr>
        <w:fldChar w:fldCharType="separate"/>
      </w:r>
      <w:r w:rsidR="00DE40D4" w:rsidRPr="00EF4A38">
        <w:t>Priority výzkumu, vývoje a inovací zjištěné prostřednictvím EDP v rámci Národních inovačních platforem</w:t>
      </w:r>
      <w:r w:rsidR="00EA0311" w:rsidRPr="001203BD">
        <w:rPr>
          <w:b/>
          <w:bCs/>
          <w:iCs/>
        </w:rPr>
        <w:fldChar w:fldCharType="end"/>
      </w:r>
      <w:r w:rsidRPr="001203BD">
        <w:rPr>
          <w:b/>
          <w:bCs/>
          <w:iCs/>
        </w:rPr>
        <w:t>) představují aktuální komplexní výstup EDP</w:t>
      </w:r>
      <w:r w:rsidR="00832381">
        <w:rPr>
          <w:rStyle w:val="Znakapoznpodarou"/>
          <w:b/>
          <w:bCs/>
          <w:iCs/>
        </w:rPr>
        <w:footnoteReference w:id="121"/>
      </w:r>
      <w:r w:rsidRPr="001203BD">
        <w:rPr>
          <w:b/>
          <w:bCs/>
          <w:iCs/>
        </w:rPr>
        <w:t>.</w:t>
      </w:r>
      <w:r w:rsidRPr="001203BD">
        <w:rPr>
          <w:b/>
          <w:i/>
        </w:rPr>
        <w:t xml:space="preserve"> </w:t>
      </w:r>
      <w:r w:rsidRPr="001203BD">
        <w:rPr>
          <w:b/>
        </w:rPr>
        <w:t>Ve zjednodušené formě</w:t>
      </w:r>
      <w:r w:rsidRPr="001203BD">
        <w:t xml:space="preserve"> tento stav dokresluje </w:t>
      </w:r>
      <w:r w:rsidR="0019394D" w:rsidRPr="001203BD">
        <w:rPr>
          <w:b/>
          <w:highlight w:val="yellow"/>
        </w:rPr>
        <w:fldChar w:fldCharType="begin"/>
      </w:r>
      <w:r w:rsidR="0019394D" w:rsidRPr="001203BD">
        <w:instrText xml:space="preserve"> REF _Ref521491830 \h </w:instrText>
      </w:r>
      <w:r w:rsidR="0019394D" w:rsidRPr="001203BD">
        <w:rPr>
          <w:b/>
          <w:highlight w:val="yellow"/>
        </w:rPr>
      </w:r>
      <w:r w:rsidR="0019394D" w:rsidRPr="001203BD">
        <w:rPr>
          <w:b/>
          <w:highlight w:val="yellow"/>
        </w:rPr>
        <w:fldChar w:fldCharType="separate"/>
      </w:r>
      <w:r w:rsidR="00DE40D4">
        <w:t xml:space="preserve">Tabulka </w:t>
      </w:r>
      <w:r w:rsidR="00DE40D4">
        <w:rPr>
          <w:noProof/>
        </w:rPr>
        <w:t>12</w:t>
      </w:r>
      <w:r w:rsidR="0019394D" w:rsidRPr="001203BD">
        <w:rPr>
          <w:b/>
          <w:highlight w:val="yellow"/>
        </w:rPr>
        <w:fldChar w:fldCharType="end"/>
      </w:r>
      <w:r w:rsidRPr="001203BD">
        <w:t xml:space="preserve">. </w:t>
      </w:r>
    </w:p>
    <w:p w14:paraId="2815115D" w14:textId="4B47D4D5" w:rsidR="006A45EB" w:rsidRPr="00BA4F8E" w:rsidRDefault="006A45EB">
      <w:pPr>
        <w:spacing w:after="200" w:line="276" w:lineRule="auto"/>
      </w:pPr>
      <w:r w:rsidRPr="00BA4F8E">
        <w:br w:type="page"/>
      </w:r>
    </w:p>
    <w:p w14:paraId="13A24D55" w14:textId="77777777" w:rsidR="006A45EB" w:rsidRPr="00BA4F8E" w:rsidRDefault="006A45EB" w:rsidP="006A45EB">
      <w:pPr>
        <w:spacing w:before="240" w:line="360" w:lineRule="auto"/>
        <w:ind w:firstLine="708"/>
        <w:jc w:val="both"/>
        <w:sectPr w:rsidR="006A45EB" w:rsidRPr="00BA4F8E" w:rsidSect="00EE4873">
          <w:pgSz w:w="11906" w:h="16838"/>
          <w:pgMar w:top="1417" w:right="1417" w:bottom="1417" w:left="1417" w:header="708" w:footer="708" w:gutter="0"/>
          <w:cols w:space="708"/>
          <w:docGrid w:linePitch="360"/>
        </w:sectPr>
      </w:pPr>
    </w:p>
    <w:p w14:paraId="690F601D" w14:textId="32362645" w:rsidR="003B741B" w:rsidRPr="003B741B" w:rsidRDefault="00CD6E27" w:rsidP="00580DE3">
      <w:pPr>
        <w:pStyle w:val="Titulek"/>
      </w:pPr>
      <w:bookmarkStart w:id="173" w:name="_Ref521491830"/>
      <w:bookmarkStart w:id="174" w:name="_Ref523149028"/>
      <w:bookmarkStart w:id="175" w:name="_Toc524677672"/>
      <w:r>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12</w:t>
      </w:r>
      <w:r w:rsidR="00EE7C52">
        <w:rPr>
          <w:noProof/>
        </w:rPr>
        <w:fldChar w:fldCharType="end"/>
      </w:r>
      <w:bookmarkEnd w:id="173"/>
      <w:r w:rsidR="006A45EB" w:rsidRPr="00BA4F8E">
        <w:t xml:space="preserve">- </w:t>
      </w:r>
      <w:r w:rsidR="00D55448">
        <w:t>Vertikalizační matice Národní RIS3 strategie</w:t>
      </w:r>
      <w:bookmarkStart w:id="176" w:name="_Toc473707895"/>
      <w:r w:rsidR="00D55448">
        <w:t xml:space="preserve"> (</w:t>
      </w:r>
      <w:r w:rsidR="003B741B" w:rsidRPr="003B741B">
        <w:t>Přehled DOMÉN INTELIGENTNÍ SPECIALIZACE</w:t>
      </w:r>
      <w:r w:rsidR="003B741B" w:rsidRPr="00FB115C">
        <w:rPr>
          <w:vertAlign w:val="superscript"/>
        </w:rPr>
        <w:footnoteReference w:id="122"/>
      </w:r>
      <w:r w:rsidR="003B741B" w:rsidRPr="003B741B">
        <w:t>: klíčová</w:t>
      </w:r>
      <w:r w:rsidR="001D6BC7" w:rsidRPr="001D6BC7">
        <w:t xml:space="preserve"> aplikační odvětví</w:t>
      </w:r>
      <w:r w:rsidR="003B741B" w:rsidRPr="003B741B">
        <w:t xml:space="preserve"> vs. generické znalostní domény</w:t>
      </w:r>
      <w:r w:rsidR="001D6BC7" w:rsidRPr="001D6BC7">
        <w:t>)</w:t>
      </w:r>
      <w:bookmarkEnd w:id="174"/>
      <w:bookmarkEnd w:id="175"/>
      <w:r w:rsidR="003B741B" w:rsidRPr="003B741B">
        <w:t xml:space="preserve"> </w:t>
      </w:r>
      <w:bookmarkEnd w:id="176"/>
    </w:p>
    <w:tbl>
      <w:tblPr>
        <w:tblW w:w="5080" w:type="pct"/>
        <w:jc w:val="center"/>
        <w:tblLayout w:type="fixed"/>
        <w:tblCellMar>
          <w:left w:w="70" w:type="dxa"/>
          <w:right w:w="70" w:type="dxa"/>
        </w:tblCellMar>
        <w:tblLook w:val="04A0" w:firstRow="1" w:lastRow="0" w:firstColumn="1" w:lastColumn="0" w:noHBand="0" w:noVBand="1"/>
      </w:tblPr>
      <w:tblGrid>
        <w:gridCol w:w="271"/>
        <w:gridCol w:w="569"/>
        <w:gridCol w:w="1591"/>
        <w:gridCol w:w="677"/>
        <w:gridCol w:w="656"/>
        <w:gridCol w:w="656"/>
        <w:gridCol w:w="673"/>
        <w:gridCol w:w="924"/>
        <w:gridCol w:w="1060"/>
        <w:gridCol w:w="788"/>
        <w:gridCol w:w="920"/>
        <w:gridCol w:w="928"/>
        <w:gridCol w:w="1848"/>
        <w:gridCol w:w="924"/>
        <w:gridCol w:w="928"/>
        <w:gridCol w:w="783"/>
        <w:gridCol w:w="660"/>
        <w:gridCol w:w="528"/>
        <w:gridCol w:w="1183"/>
        <w:gridCol w:w="928"/>
        <w:gridCol w:w="1188"/>
        <w:gridCol w:w="924"/>
        <w:gridCol w:w="920"/>
        <w:gridCol w:w="758"/>
      </w:tblGrid>
      <w:tr w:rsidR="003B741B" w:rsidRPr="003B741B" w14:paraId="602270B1" w14:textId="77777777" w:rsidTr="009D08F2">
        <w:trPr>
          <w:trHeight w:val="450"/>
          <w:jc w:val="center"/>
        </w:trPr>
        <w:tc>
          <w:tcPr>
            <w:tcW w:w="572" w:type="pct"/>
            <w:gridSpan w:val="3"/>
            <w:tcBorders>
              <w:top w:val="single" w:sz="12" w:space="0" w:color="80A1B6"/>
              <w:left w:val="single" w:sz="12" w:space="0" w:color="80A1B6"/>
              <w:bottom w:val="single" w:sz="4" w:space="0" w:color="80A1B6"/>
              <w:right w:val="single" w:sz="12" w:space="0" w:color="80A1B6"/>
            </w:tcBorders>
            <w:shd w:val="clear" w:color="auto" w:fill="004B8D"/>
            <w:vAlign w:val="center"/>
          </w:tcPr>
          <w:p w14:paraId="0DE71BAB" w14:textId="77777777" w:rsidR="003B741B" w:rsidRPr="003B741B" w:rsidDel="00441809" w:rsidRDefault="003B741B" w:rsidP="003B741B">
            <w:pPr>
              <w:suppressAutoHyphens/>
              <w:spacing w:after="0" w:line="240" w:lineRule="auto"/>
              <w:ind w:left="342"/>
              <w:rPr>
                <w:rFonts w:ascii="Arial,Times New Roman" w:eastAsia="Arial,Times New Roman" w:hAnsi="Arial,Times New Roman" w:cs="Arial,Times New Roman"/>
                <w:b/>
                <w:bCs/>
                <w:color w:val="FFFFFF"/>
                <w:kern w:val="1"/>
                <w:sz w:val="16"/>
                <w:szCs w:val="16"/>
                <w:lang w:eastAsia="cs-CZ" w:bidi="hi-IN"/>
              </w:rPr>
            </w:pPr>
          </w:p>
        </w:tc>
        <w:tc>
          <w:tcPr>
            <w:tcW w:w="3815" w:type="pct"/>
            <w:gridSpan w:val="18"/>
            <w:tcBorders>
              <w:top w:val="single" w:sz="12" w:space="0" w:color="80A1B6"/>
              <w:left w:val="single" w:sz="12" w:space="0" w:color="80A1B6"/>
              <w:bottom w:val="single" w:sz="4" w:space="0" w:color="80A1B6"/>
              <w:right w:val="single" w:sz="12" w:space="0" w:color="80A1B6"/>
            </w:tcBorders>
            <w:shd w:val="clear" w:color="auto" w:fill="004B8D"/>
          </w:tcPr>
          <w:p w14:paraId="761D2E82" w14:textId="6D4CD63D" w:rsidR="003B741B" w:rsidRPr="003B741B" w:rsidRDefault="003B741B" w:rsidP="001D6BC7">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20"/>
                <w:szCs w:val="20"/>
                <w:lang w:eastAsia="cs-CZ" w:bidi="hi-IN"/>
              </w:rPr>
              <w:t>KLÍČOVÁ APLIKAČNÍ ODVĚTVÍ</w:t>
            </w:r>
            <w:r w:rsidRPr="003B741B">
              <w:rPr>
                <w:rFonts w:ascii="Arial" w:eastAsia="Arial,Times New Roman" w:hAnsi="Arial" w:cs="Arial"/>
                <w:b/>
                <w:bCs/>
                <w:color w:val="FFFFFF"/>
                <w:kern w:val="1"/>
                <w:sz w:val="20"/>
                <w:szCs w:val="20"/>
                <w:vertAlign w:val="superscript"/>
                <w:lang w:eastAsia="cs-CZ" w:bidi="hi-IN"/>
              </w:rPr>
              <w:footnoteReference w:id="123"/>
            </w:r>
            <w:r w:rsidRPr="003B741B">
              <w:rPr>
                <w:rFonts w:ascii="Arial" w:eastAsia="Arial,Times New Roman" w:hAnsi="Arial" w:cs="Arial"/>
                <w:b/>
                <w:bCs/>
                <w:color w:val="FFFFFF"/>
                <w:kern w:val="1"/>
                <w:sz w:val="20"/>
                <w:szCs w:val="20"/>
                <w:lang w:eastAsia="cs-CZ" w:bidi="hi-IN"/>
              </w:rPr>
              <w:t xml:space="preserve">  (zaostřená na základě pokročilé fáze EDP v aktualizované Národní RIS3 strategii) </w:t>
            </w:r>
          </w:p>
        </w:tc>
        <w:tc>
          <w:tcPr>
            <w:tcW w:w="613" w:type="pct"/>
            <w:gridSpan w:val="3"/>
            <w:tcBorders>
              <w:top w:val="single" w:sz="12" w:space="0" w:color="80A1B6"/>
              <w:left w:val="single" w:sz="12" w:space="0" w:color="80A1B6"/>
              <w:bottom w:val="single" w:sz="4" w:space="0" w:color="80A1B6"/>
              <w:right w:val="single" w:sz="12" w:space="0" w:color="80A1B6"/>
            </w:tcBorders>
            <w:shd w:val="clear" w:color="auto" w:fill="8064A2"/>
            <w:vAlign w:val="center"/>
          </w:tcPr>
          <w:p w14:paraId="588E24B1" w14:textId="6D9F8042" w:rsidR="003B741B" w:rsidRPr="003B741B" w:rsidRDefault="003B741B" w:rsidP="001D6BC7">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8"/>
                <w:szCs w:val="18"/>
                <w:lang w:eastAsia="cs-CZ" w:bidi="hi-IN"/>
              </w:rPr>
              <w:t>Krajsky specifická aplikační odvětví</w:t>
            </w:r>
          </w:p>
        </w:tc>
      </w:tr>
      <w:tr w:rsidR="003B741B" w:rsidRPr="003B741B" w14:paraId="0BCF8D70" w14:textId="77777777" w:rsidTr="009D08F2">
        <w:trPr>
          <w:trHeight w:val="1857"/>
          <w:jc w:val="center"/>
        </w:trPr>
        <w:tc>
          <w:tcPr>
            <w:tcW w:w="572" w:type="pct"/>
            <w:gridSpan w:val="3"/>
            <w:vMerge w:val="restart"/>
            <w:tcBorders>
              <w:top w:val="single" w:sz="12" w:space="0" w:color="80A1B6"/>
              <w:left w:val="single" w:sz="12" w:space="0" w:color="80A1B6"/>
              <w:right w:val="single" w:sz="12" w:space="0" w:color="80A1B6"/>
            </w:tcBorders>
            <w:shd w:val="clear" w:color="auto" w:fill="004B8D"/>
            <w:vAlign w:val="center"/>
          </w:tcPr>
          <w:p w14:paraId="244A20B3" w14:textId="77777777" w:rsidR="003B741B" w:rsidRPr="003B741B" w:rsidRDefault="003B741B" w:rsidP="003B741B">
            <w:pPr>
              <w:suppressAutoHyphens/>
              <w:spacing w:after="0" w:line="240" w:lineRule="auto"/>
              <w:rPr>
                <w:rFonts w:ascii="Arial" w:eastAsia="Times New Roman" w:hAnsi="Arial" w:cs="Arial"/>
                <w:b/>
                <w:bCs/>
                <w:color w:val="FFFFFF"/>
                <w:kern w:val="1"/>
                <w:sz w:val="16"/>
                <w:szCs w:val="16"/>
                <w:lang w:eastAsia="cs-CZ" w:bidi="hi-IN"/>
              </w:rPr>
            </w:pPr>
          </w:p>
          <w:p w14:paraId="4AD54A2B" w14:textId="77777777" w:rsidR="003B741B" w:rsidRPr="003B741B" w:rsidRDefault="003B741B" w:rsidP="003B741B">
            <w:pPr>
              <w:suppressAutoHyphens/>
              <w:spacing w:after="0" w:line="240" w:lineRule="auto"/>
              <w:rPr>
                <w:rFonts w:ascii="Arial" w:eastAsia="Times New Roman" w:hAnsi="Arial" w:cs="Arial"/>
                <w:b/>
                <w:bCs/>
                <w:color w:val="FFFFFF"/>
                <w:kern w:val="1"/>
                <w:sz w:val="16"/>
                <w:szCs w:val="16"/>
                <w:lang w:eastAsia="cs-CZ" w:bidi="hi-IN"/>
              </w:rPr>
            </w:pPr>
          </w:p>
        </w:tc>
        <w:tc>
          <w:tcPr>
            <w:tcW w:w="625" w:type="pct"/>
            <w:gridSpan w:val="4"/>
            <w:tcBorders>
              <w:top w:val="single" w:sz="12" w:space="0" w:color="80A1B6"/>
              <w:left w:val="single" w:sz="12" w:space="0" w:color="80A1B6"/>
              <w:bottom w:val="single" w:sz="4" w:space="0" w:color="80A1B6"/>
              <w:right w:val="single" w:sz="12" w:space="0" w:color="80A1B6"/>
            </w:tcBorders>
            <w:shd w:val="clear" w:color="auto" w:fill="004B8D"/>
            <w:vAlign w:val="center"/>
            <w:hideMark/>
          </w:tcPr>
          <w:p w14:paraId="738B36F9"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 xml:space="preserve">Pokročilé stroje/technologie pro silný a globálně konkurenceschopný průmysl </w:t>
            </w:r>
          </w:p>
          <w:p w14:paraId="3EC8E91D" w14:textId="77777777" w:rsidR="003B741B" w:rsidRPr="003B741B" w:rsidRDefault="003B741B" w:rsidP="003B741B">
            <w:pPr>
              <w:suppressAutoHyphens/>
              <w:spacing w:after="0" w:line="240" w:lineRule="auto"/>
              <w:jc w:val="center"/>
              <w:rPr>
                <w:rFonts w:ascii="Arial" w:eastAsia="Times New Roman" w:hAnsi="Arial" w:cs="Arial"/>
                <w:b/>
                <w:bCs/>
                <w:color w:val="FFFFFF"/>
                <w:kern w:val="1"/>
                <w:sz w:val="16"/>
                <w:szCs w:val="16"/>
                <w:lang w:eastAsia="cs-CZ" w:bidi="hi-IN"/>
              </w:rPr>
            </w:pPr>
          </w:p>
          <w:p w14:paraId="3CA3E4B6"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(NIP I. – Strojírenství, energetika, hutnictví a průmyslová chemie)</w:t>
            </w:r>
          </w:p>
        </w:tc>
        <w:tc>
          <w:tcPr>
            <w:tcW w:w="465" w:type="pct"/>
            <w:gridSpan w:val="2"/>
            <w:tcBorders>
              <w:top w:val="single" w:sz="12" w:space="0" w:color="80A1B6"/>
              <w:left w:val="single" w:sz="12" w:space="0" w:color="80A1B6"/>
              <w:bottom w:val="single" w:sz="4" w:space="0" w:color="80A1B6"/>
              <w:right w:val="single" w:sz="12" w:space="0" w:color="80A1B6"/>
            </w:tcBorders>
            <w:shd w:val="clear" w:color="auto" w:fill="004B8D"/>
            <w:vAlign w:val="center"/>
            <w:hideMark/>
          </w:tcPr>
          <w:p w14:paraId="7689F886"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 xml:space="preserve">Digital market technologies a elektrotechnika </w:t>
            </w:r>
          </w:p>
          <w:p w14:paraId="261027CA" w14:textId="77777777" w:rsidR="003B741B" w:rsidRPr="003B741B" w:rsidRDefault="003B741B" w:rsidP="003B741B">
            <w:pPr>
              <w:suppressAutoHyphens/>
              <w:spacing w:after="0" w:line="240" w:lineRule="auto"/>
              <w:jc w:val="center"/>
              <w:rPr>
                <w:rFonts w:ascii="Arial" w:eastAsia="Times New Roman" w:hAnsi="Arial" w:cs="Arial"/>
                <w:b/>
                <w:bCs/>
                <w:color w:val="FFFFFF"/>
                <w:kern w:val="1"/>
                <w:sz w:val="16"/>
                <w:szCs w:val="16"/>
                <w:lang w:eastAsia="cs-CZ" w:bidi="hi-IN"/>
              </w:rPr>
            </w:pPr>
          </w:p>
          <w:p w14:paraId="54D334A4"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(NIP II. – Elektronika, elektrotechnika a ICT)</w:t>
            </w:r>
          </w:p>
        </w:tc>
        <w:tc>
          <w:tcPr>
            <w:tcW w:w="618" w:type="pct"/>
            <w:gridSpan w:val="3"/>
            <w:tcBorders>
              <w:top w:val="single" w:sz="12" w:space="0" w:color="80A1B6"/>
              <w:left w:val="single" w:sz="12" w:space="0" w:color="80A1B6"/>
              <w:bottom w:val="single" w:sz="4" w:space="0" w:color="80A1B6"/>
              <w:right w:val="single" w:sz="12" w:space="0" w:color="80A1B6"/>
            </w:tcBorders>
            <w:shd w:val="clear" w:color="auto" w:fill="004B8D"/>
            <w:vAlign w:val="center"/>
            <w:hideMark/>
          </w:tcPr>
          <w:p w14:paraId="459763A0"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 xml:space="preserve">Dopravní prostředky pro 21. století </w:t>
            </w:r>
          </w:p>
          <w:p w14:paraId="5BD5C81E" w14:textId="77777777" w:rsidR="003B741B" w:rsidRPr="003B741B" w:rsidRDefault="003B741B" w:rsidP="003B741B">
            <w:pPr>
              <w:suppressAutoHyphens/>
              <w:spacing w:after="0" w:line="240" w:lineRule="auto"/>
              <w:jc w:val="center"/>
              <w:rPr>
                <w:rFonts w:ascii="Arial" w:eastAsia="Times New Roman" w:hAnsi="Arial" w:cs="Arial"/>
                <w:b/>
                <w:bCs/>
                <w:color w:val="FFFFFF"/>
                <w:kern w:val="1"/>
                <w:sz w:val="16"/>
                <w:szCs w:val="16"/>
                <w:lang w:eastAsia="cs-CZ" w:bidi="hi-IN"/>
              </w:rPr>
            </w:pPr>
          </w:p>
          <w:p w14:paraId="336AFC51"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(NIP III. – Výroba dopravních prostředků)</w:t>
            </w:r>
          </w:p>
        </w:tc>
        <w:tc>
          <w:tcPr>
            <w:tcW w:w="434" w:type="pct"/>
            <w:tcBorders>
              <w:top w:val="single" w:sz="12" w:space="0" w:color="80A1B6"/>
              <w:left w:val="single" w:sz="12" w:space="0" w:color="80A1B6"/>
              <w:bottom w:val="single" w:sz="4" w:space="0" w:color="80A1B6"/>
              <w:right w:val="single" w:sz="12" w:space="0" w:color="80A1B6"/>
            </w:tcBorders>
            <w:shd w:val="clear" w:color="auto" w:fill="004B8D"/>
            <w:vAlign w:val="center"/>
            <w:hideMark/>
          </w:tcPr>
          <w:p w14:paraId="2A5E8BF7"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 xml:space="preserve">Péče o zdraví, pokročilá medicína </w:t>
            </w:r>
          </w:p>
          <w:p w14:paraId="082C42B9"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p>
          <w:p w14:paraId="25086B55"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(NIP IV. – Léčiva, biotechnologie, prostředky zdrav. techniky, Life Sciences)</w:t>
            </w:r>
          </w:p>
        </w:tc>
        <w:tc>
          <w:tcPr>
            <w:tcW w:w="434" w:type="pct"/>
            <w:gridSpan w:val="2"/>
            <w:tcBorders>
              <w:top w:val="single" w:sz="12" w:space="0" w:color="80A1B6"/>
              <w:left w:val="single" w:sz="12" w:space="0" w:color="80A1B6"/>
              <w:right w:val="single" w:sz="12" w:space="0" w:color="80A1B6"/>
            </w:tcBorders>
            <w:shd w:val="clear" w:color="auto" w:fill="004B8D"/>
            <w:vAlign w:val="center"/>
            <w:hideMark/>
          </w:tcPr>
          <w:p w14:paraId="4F0A513A"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 xml:space="preserve">Kulturní a kreativní odvětví </w:t>
            </w:r>
          </w:p>
          <w:p w14:paraId="59DB047F" w14:textId="77777777" w:rsidR="003B741B" w:rsidRPr="003B741B" w:rsidRDefault="003B741B" w:rsidP="003B741B">
            <w:pPr>
              <w:suppressAutoHyphens/>
              <w:spacing w:after="0" w:line="240" w:lineRule="auto"/>
              <w:jc w:val="center"/>
              <w:rPr>
                <w:rFonts w:ascii="Arial" w:eastAsia="Times New Roman" w:hAnsi="Arial" w:cs="Arial"/>
                <w:b/>
                <w:bCs/>
                <w:color w:val="FFFFFF"/>
                <w:kern w:val="1"/>
                <w:sz w:val="16"/>
                <w:szCs w:val="16"/>
                <w:lang w:eastAsia="cs-CZ" w:bidi="hi-IN"/>
              </w:rPr>
            </w:pPr>
          </w:p>
          <w:p w14:paraId="42486197" w14:textId="56E00A86"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(NIP V.</w:t>
            </w:r>
            <w:r w:rsidRPr="003B741B">
              <w:rPr>
                <w:rFonts w:ascii="Calibri" w:eastAsia="Calibri" w:hAnsi="Calibri" w:cs="Calibri"/>
                <w:color w:val="000000"/>
                <w:kern w:val="1"/>
                <w:sz w:val="24"/>
                <w:szCs w:val="20"/>
                <w:lang w:eastAsia="hi-IN" w:bidi="hi-IN"/>
              </w:rPr>
              <w:t xml:space="preserve"> </w:t>
            </w:r>
            <w:r w:rsidRPr="003B741B">
              <w:rPr>
                <w:rFonts w:ascii="Arial" w:eastAsia="Arial,Times New Roman" w:hAnsi="Arial" w:cs="Arial"/>
                <w:b/>
                <w:bCs/>
                <w:color w:val="FFFFFF"/>
                <w:kern w:val="1"/>
                <w:sz w:val="16"/>
                <w:szCs w:val="16"/>
                <w:lang w:eastAsia="cs-CZ" w:bidi="hi-IN"/>
              </w:rPr>
              <w:t xml:space="preserve">– Kulturní a kreativní </w:t>
            </w:r>
            <w:r w:rsidR="00510996">
              <w:rPr>
                <w:rFonts w:ascii="Arial" w:eastAsia="Arial,Times New Roman" w:hAnsi="Arial" w:cs="Arial"/>
                <w:b/>
                <w:bCs/>
                <w:color w:val="FFFFFF"/>
                <w:kern w:val="1"/>
                <w:sz w:val="16"/>
                <w:szCs w:val="16"/>
                <w:lang w:eastAsia="cs-CZ" w:bidi="hi-IN"/>
              </w:rPr>
              <w:t>odvětví</w:t>
            </w:r>
            <w:r w:rsidRPr="003B741B">
              <w:rPr>
                <w:rFonts w:ascii="Arial" w:eastAsia="Arial,Times New Roman" w:hAnsi="Arial" w:cs="Arial"/>
                <w:b/>
                <w:bCs/>
                <w:color w:val="FFFFFF"/>
                <w:kern w:val="1"/>
                <w:sz w:val="16"/>
                <w:szCs w:val="16"/>
                <w:lang w:eastAsia="cs-CZ" w:bidi="hi-IN"/>
              </w:rPr>
              <w:t>)</w:t>
            </w:r>
          </w:p>
          <w:p w14:paraId="6DD4B572" w14:textId="77777777" w:rsidR="003B741B" w:rsidRPr="003B741B" w:rsidRDefault="003B741B" w:rsidP="003B741B">
            <w:pPr>
              <w:suppressAutoHyphens/>
              <w:spacing w:after="0" w:line="240" w:lineRule="auto"/>
              <w:jc w:val="center"/>
              <w:rPr>
                <w:rFonts w:ascii="Arial" w:eastAsia="Times New Roman" w:hAnsi="Arial" w:cs="Arial"/>
                <w:bCs/>
                <w:color w:val="FFFFFF"/>
                <w:kern w:val="1"/>
                <w:sz w:val="16"/>
                <w:szCs w:val="16"/>
                <w:lang w:eastAsia="cs-CZ" w:bidi="hi-IN"/>
              </w:rPr>
            </w:pPr>
          </w:p>
        </w:tc>
        <w:tc>
          <w:tcPr>
            <w:tcW w:w="959" w:type="pct"/>
            <w:gridSpan w:val="5"/>
            <w:tcBorders>
              <w:top w:val="single" w:sz="12" w:space="0" w:color="80A1B6"/>
              <w:left w:val="single" w:sz="12" w:space="0" w:color="80A1B6"/>
              <w:bottom w:val="single" w:sz="4" w:space="0" w:color="80A1B6"/>
              <w:right w:val="single" w:sz="12" w:space="0" w:color="80A1B6"/>
            </w:tcBorders>
            <w:shd w:val="clear" w:color="auto" w:fill="004B8D"/>
            <w:vAlign w:val="center"/>
          </w:tcPr>
          <w:p w14:paraId="1441BD38"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Udržitelné zemědělství a environmentální aplikační odvětví</w:t>
            </w:r>
          </w:p>
          <w:p w14:paraId="3904C8EA" w14:textId="77777777" w:rsidR="003B741B" w:rsidRPr="003B741B" w:rsidRDefault="003B741B" w:rsidP="003B741B">
            <w:pPr>
              <w:suppressAutoHyphens/>
              <w:spacing w:after="0" w:line="240" w:lineRule="auto"/>
              <w:jc w:val="center"/>
              <w:rPr>
                <w:rFonts w:ascii="Arial" w:eastAsia="Times New Roman" w:hAnsi="Arial" w:cs="Arial"/>
                <w:b/>
                <w:bCs/>
                <w:color w:val="FFFFFF"/>
                <w:kern w:val="1"/>
                <w:sz w:val="16"/>
                <w:szCs w:val="16"/>
                <w:lang w:eastAsia="cs-CZ" w:bidi="hi-IN"/>
              </w:rPr>
            </w:pPr>
          </w:p>
          <w:p w14:paraId="079C7BFF"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(NIP VI.)</w:t>
            </w:r>
          </w:p>
        </w:tc>
        <w:tc>
          <w:tcPr>
            <w:tcW w:w="279" w:type="pct"/>
            <w:tcBorders>
              <w:top w:val="single" w:sz="12" w:space="0" w:color="80A1B6"/>
              <w:left w:val="single" w:sz="12" w:space="0" w:color="80A1B6"/>
              <w:bottom w:val="single" w:sz="4" w:space="0" w:color="80A1B6"/>
              <w:right w:val="single" w:sz="12" w:space="0" w:color="80A1B6"/>
            </w:tcBorders>
            <w:shd w:val="clear" w:color="auto" w:fill="004B8D"/>
            <w:vAlign w:val="center"/>
            <w:hideMark/>
          </w:tcPr>
          <w:p w14:paraId="194DA7F3"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Společenské výzvy</w:t>
            </w:r>
          </w:p>
          <w:p w14:paraId="5330E59A" w14:textId="77777777" w:rsidR="003B741B" w:rsidRPr="003B741B" w:rsidRDefault="003B741B" w:rsidP="003B741B">
            <w:pPr>
              <w:suppressAutoHyphens/>
              <w:spacing w:after="0" w:line="240" w:lineRule="auto"/>
              <w:jc w:val="center"/>
              <w:rPr>
                <w:rFonts w:ascii="Arial" w:eastAsia="Times New Roman" w:hAnsi="Arial" w:cs="Arial"/>
                <w:b/>
                <w:bCs/>
                <w:color w:val="FFFFFF"/>
                <w:kern w:val="1"/>
                <w:sz w:val="16"/>
                <w:szCs w:val="16"/>
                <w:lang w:eastAsia="cs-CZ" w:bidi="hi-IN"/>
              </w:rPr>
            </w:pPr>
          </w:p>
          <w:p w14:paraId="15E513FF" w14:textId="77777777" w:rsidR="003B741B" w:rsidRPr="003B741B" w:rsidRDefault="003B741B" w:rsidP="003B741B">
            <w:pPr>
              <w:suppressAutoHyphens/>
              <w:spacing w:after="0" w:line="240" w:lineRule="auto"/>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16"/>
                <w:szCs w:val="16"/>
                <w:lang w:eastAsia="cs-CZ" w:bidi="hi-IN"/>
              </w:rPr>
              <w:t xml:space="preserve"> (NIP VII.)</w:t>
            </w:r>
            <w:r w:rsidRPr="003B741B">
              <w:rPr>
                <w:rFonts w:ascii="Arial" w:eastAsia="Calibri" w:hAnsi="Arial" w:cs="Arial"/>
                <w:color w:val="FFFFFF"/>
                <w:kern w:val="1"/>
                <w:szCs w:val="20"/>
                <w:vertAlign w:val="superscript"/>
                <w:lang w:eastAsia="hi-IN" w:bidi="hi-IN"/>
              </w:rPr>
              <w:footnoteReference w:id="124"/>
            </w:r>
          </w:p>
        </w:tc>
        <w:tc>
          <w:tcPr>
            <w:tcW w:w="613" w:type="pct"/>
            <w:gridSpan w:val="3"/>
            <w:tcBorders>
              <w:top w:val="single" w:sz="12" w:space="0" w:color="80A1B6"/>
              <w:left w:val="single" w:sz="12" w:space="0" w:color="80A1B6"/>
              <w:bottom w:val="single" w:sz="4" w:space="0" w:color="80A1B6"/>
              <w:right w:val="single" w:sz="12" w:space="0" w:color="80A1B6"/>
            </w:tcBorders>
            <w:shd w:val="clear" w:color="auto" w:fill="8064A2"/>
            <w:vAlign w:val="center"/>
          </w:tcPr>
          <w:p w14:paraId="103CE951" w14:textId="77777777" w:rsidR="003B741B" w:rsidRPr="003B741B" w:rsidRDefault="003B741B" w:rsidP="003B741B">
            <w:pPr>
              <w:suppressAutoHyphens/>
              <w:spacing w:after="0" w:line="240" w:lineRule="auto"/>
              <w:jc w:val="center"/>
              <w:rPr>
                <w:rFonts w:ascii="Arial" w:eastAsia="Times New Roman" w:hAnsi="Arial" w:cs="Arial"/>
                <w:b/>
                <w:bCs/>
                <w:i/>
                <w:color w:val="FFFFFF"/>
                <w:kern w:val="1"/>
                <w:sz w:val="16"/>
                <w:szCs w:val="16"/>
                <w:lang w:eastAsia="cs-CZ" w:bidi="hi-IN"/>
              </w:rPr>
            </w:pPr>
          </w:p>
        </w:tc>
      </w:tr>
      <w:tr w:rsidR="003B741B" w:rsidRPr="003B741B" w14:paraId="7D344478" w14:textId="77777777" w:rsidTr="009D08F2">
        <w:trPr>
          <w:cantSplit/>
          <w:trHeight w:val="1692"/>
          <w:jc w:val="center"/>
        </w:trPr>
        <w:tc>
          <w:tcPr>
            <w:tcW w:w="572" w:type="pct"/>
            <w:gridSpan w:val="3"/>
            <w:vMerge/>
            <w:tcBorders>
              <w:left w:val="single" w:sz="12" w:space="0" w:color="80A1B6"/>
              <w:bottom w:val="single" w:sz="12" w:space="0" w:color="80A1B6"/>
              <w:right w:val="single" w:sz="12" w:space="0" w:color="80A1B6"/>
            </w:tcBorders>
            <w:shd w:val="clear" w:color="auto" w:fill="004B8D"/>
            <w:vAlign w:val="center"/>
          </w:tcPr>
          <w:p w14:paraId="3471C054" w14:textId="77777777" w:rsidR="003B741B" w:rsidRPr="003B741B" w:rsidRDefault="003B741B" w:rsidP="003B741B">
            <w:pPr>
              <w:suppressAutoHyphens/>
              <w:spacing w:after="0" w:line="240" w:lineRule="auto"/>
              <w:rPr>
                <w:rFonts w:ascii="Arial" w:eastAsia="Times New Roman" w:hAnsi="Arial" w:cs="Arial"/>
                <w:b/>
                <w:bCs/>
                <w:color w:val="FFFFFF"/>
                <w:kern w:val="1"/>
                <w:sz w:val="16"/>
                <w:szCs w:val="16"/>
                <w:lang w:eastAsia="cs-CZ" w:bidi="hi-IN"/>
              </w:rPr>
            </w:pPr>
          </w:p>
        </w:tc>
        <w:tc>
          <w:tcPr>
            <w:tcW w:w="159" w:type="pct"/>
            <w:tcBorders>
              <w:top w:val="single" w:sz="4" w:space="0" w:color="80A1B6"/>
              <w:left w:val="single" w:sz="12" w:space="0" w:color="80A1B6"/>
              <w:bottom w:val="single" w:sz="12" w:space="0" w:color="80A1B6"/>
              <w:right w:val="single" w:sz="8" w:space="0" w:color="80A1B6"/>
            </w:tcBorders>
            <w:shd w:val="clear" w:color="auto" w:fill="B9E0F7"/>
            <w:textDirection w:val="btLr"/>
            <w:vAlign w:val="center"/>
            <w:hideMark/>
          </w:tcPr>
          <w:p w14:paraId="0AEC2AAA"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Strojírenství mechatronika</w:t>
            </w:r>
          </w:p>
        </w:tc>
        <w:tc>
          <w:tcPr>
            <w:tcW w:w="154" w:type="pct"/>
            <w:tcBorders>
              <w:top w:val="single" w:sz="4" w:space="0" w:color="80A1B6"/>
              <w:left w:val="single" w:sz="8" w:space="0" w:color="80A1B6"/>
              <w:bottom w:val="single" w:sz="12" w:space="0" w:color="80A1B6"/>
              <w:right w:val="single" w:sz="8" w:space="0" w:color="80A1B6"/>
            </w:tcBorders>
            <w:shd w:val="clear" w:color="auto" w:fill="B9E0F7"/>
            <w:textDirection w:val="btLr"/>
            <w:vAlign w:val="center"/>
            <w:hideMark/>
          </w:tcPr>
          <w:p w14:paraId="212D6E90"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Hutnictví</w:t>
            </w:r>
          </w:p>
        </w:tc>
        <w:tc>
          <w:tcPr>
            <w:tcW w:w="154" w:type="pct"/>
            <w:tcBorders>
              <w:top w:val="single" w:sz="4" w:space="0" w:color="80A1B6"/>
              <w:left w:val="single" w:sz="8" w:space="0" w:color="80A1B6"/>
              <w:bottom w:val="single" w:sz="12" w:space="0" w:color="80A1B6"/>
              <w:right w:val="single" w:sz="12" w:space="0" w:color="80A1B6"/>
            </w:tcBorders>
            <w:shd w:val="clear" w:color="auto" w:fill="B9E0F7"/>
            <w:textDirection w:val="btLr"/>
            <w:vAlign w:val="center"/>
            <w:hideMark/>
          </w:tcPr>
          <w:p w14:paraId="66F743A1"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Energetika</w:t>
            </w:r>
          </w:p>
        </w:tc>
        <w:tc>
          <w:tcPr>
            <w:tcW w:w="158" w:type="pct"/>
            <w:tcBorders>
              <w:top w:val="single" w:sz="4" w:space="0" w:color="80A1B6"/>
              <w:left w:val="single" w:sz="12" w:space="0" w:color="80A1B6"/>
              <w:bottom w:val="single" w:sz="12" w:space="0" w:color="80A1B6"/>
              <w:right w:val="single" w:sz="12" w:space="0" w:color="80A1B6"/>
            </w:tcBorders>
            <w:shd w:val="clear" w:color="auto" w:fill="B9E0F7"/>
            <w:textDirection w:val="btLr"/>
            <w:vAlign w:val="center"/>
          </w:tcPr>
          <w:p w14:paraId="36EA75F8"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Průmyslová chemie</w:t>
            </w:r>
          </w:p>
        </w:tc>
        <w:tc>
          <w:tcPr>
            <w:tcW w:w="217" w:type="pct"/>
            <w:tcBorders>
              <w:top w:val="single" w:sz="4" w:space="0" w:color="80A1B6"/>
              <w:left w:val="single" w:sz="12" w:space="0" w:color="80A1B6"/>
              <w:bottom w:val="single" w:sz="12" w:space="0" w:color="80A1B6"/>
              <w:right w:val="single" w:sz="8" w:space="0" w:color="80A1B6"/>
            </w:tcBorders>
            <w:shd w:val="clear" w:color="auto" w:fill="B9E0F7"/>
            <w:textDirection w:val="btLr"/>
            <w:vAlign w:val="center"/>
            <w:hideMark/>
          </w:tcPr>
          <w:p w14:paraId="5BBC75F2"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Elektronika a elektrotechnika v digitálním věku</w:t>
            </w:r>
          </w:p>
        </w:tc>
        <w:tc>
          <w:tcPr>
            <w:tcW w:w="249" w:type="pct"/>
            <w:tcBorders>
              <w:top w:val="single" w:sz="4" w:space="0" w:color="80A1B6"/>
              <w:left w:val="single" w:sz="8" w:space="0" w:color="80A1B6"/>
              <w:bottom w:val="single" w:sz="12" w:space="0" w:color="80A1B6"/>
              <w:right w:val="single" w:sz="12" w:space="0" w:color="80A1B6"/>
            </w:tcBorders>
            <w:shd w:val="clear" w:color="auto" w:fill="B9E0F7"/>
            <w:textDirection w:val="btLr"/>
            <w:vAlign w:val="center"/>
            <w:hideMark/>
          </w:tcPr>
          <w:p w14:paraId="6805B05C"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Digitální ekonomika a digitální obsah</w:t>
            </w:r>
          </w:p>
        </w:tc>
        <w:tc>
          <w:tcPr>
            <w:tcW w:w="185" w:type="pct"/>
            <w:tcBorders>
              <w:top w:val="single" w:sz="4" w:space="0" w:color="80A1B6"/>
              <w:left w:val="single" w:sz="12" w:space="0" w:color="80A1B6"/>
              <w:bottom w:val="single" w:sz="12" w:space="0" w:color="80A1B6"/>
              <w:right w:val="single" w:sz="8" w:space="0" w:color="80A1B6"/>
            </w:tcBorders>
            <w:shd w:val="clear" w:color="auto" w:fill="B9E0F7"/>
            <w:textDirection w:val="btLr"/>
            <w:vAlign w:val="center"/>
            <w:hideMark/>
          </w:tcPr>
          <w:p w14:paraId="3D4BA565"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Automotive</w:t>
            </w:r>
          </w:p>
        </w:tc>
        <w:tc>
          <w:tcPr>
            <w:tcW w:w="216" w:type="pct"/>
            <w:tcBorders>
              <w:top w:val="single" w:sz="4" w:space="0" w:color="80A1B6"/>
              <w:left w:val="single" w:sz="8" w:space="0" w:color="80A1B6"/>
              <w:bottom w:val="single" w:sz="12" w:space="0" w:color="80A1B6"/>
              <w:right w:val="single" w:sz="8" w:space="0" w:color="80A1B6"/>
            </w:tcBorders>
            <w:shd w:val="clear" w:color="auto" w:fill="B9E0F7"/>
            <w:textDirection w:val="btLr"/>
            <w:vAlign w:val="center"/>
            <w:hideMark/>
          </w:tcPr>
          <w:p w14:paraId="1A14E3B8"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Železniční a kolejová vozidla</w:t>
            </w:r>
          </w:p>
        </w:tc>
        <w:tc>
          <w:tcPr>
            <w:tcW w:w="218" w:type="pct"/>
            <w:tcBorders>
              <w:top w:val="single" w:sz="4" w:space="0" w:color="80A1B6"/>
              <w:left w:val="single" w:sz="8" w:space="0" w:color="80A1B6"/>
              <w:right w:val="single" w:sz="12" w:space="0" w:color="80A1B6"/>
            </w:tcBorders>
            <w:shd w:val="clear" w:color="auto" w:fill="B9E0F7"/>
            <w:textDirection w:val="btLr"/>
            <w:vAlign w:val="center"/>
            <w:hideMark/>
          </w:tcPr>
          <w:p w14:paraId="2E70BD05"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Letecký a kosmický průmysl</w:t>
            </w:r>
          </w:p>
        </w:tc>
        <w:tc>
          <w:tcPr>
            <w:tcW w:w="434" w:type="pct"/>
            <w:tcBorders>
              <w:top w:val="single" w:sz="4" w:space="0" w:color="80A1B6"/>
              <w:left w:val="single" w:sz="12" w:space="0" w:color="80A1B6"/>
              <w:bottom w:val="single" w:sz="12" w:space="0" w:color="80A1B6"/>
              <w:right w:val="single" w:sz="12" w:space="0" w:color="80A1B6"/>
            </w:tcBorders>
            <w:shd w:val="clear" w:color="auto" w:fill="B9E0F7"/>
            <w:textDirection w:val="btLr"/>
            <w:vAlign w:val="center"/>
            <w:hideMark/>
          </w:tcPr>
          <w:p w14:paraId="361044FB"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Léčiva, biotechnologie, prostředky zdravotnické techniky a Life Sciences</w:t>
            </w:r>
          </w:p>
        </w:tc>
        <w:tc>
          <w:tcPr>
            <w:tcW w:w="217" w:type="pct"/>
            <w:tcBorders>
              <w:top w:val="single" w:sz="4" w:space="0" w:color="80A1B6"/>
              <w:left w:val="single" w:sz="12" w:space="0" w:color="80A1B6"/>
              <w:bottom w:val="single" w:sz="12" w:space="0" w:color="80A1B6"/>
              <w:right w:val="single" w:sz="8" w:space="0" w:color="80A1B6"/>
            </w:tcBorders>
            <w:shd w:val="clear" w:color="auto" w:fill="B9E0F7"/>
            <w:textDirection w:val="btLr"/>
            <w:vAlign w:val="center"/>
            <w:hideMark/>
          </w:tcPr>
          <w:p w14:paraId="293314B2"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Tradiční kulturní a kreativní odvětví</w:t>
            </w:r>
            <w:r w:rsidRPr="003B741B">
              <w:rPr>
                <w:rFonts w:ascii="Arial" w:eastAsia="Arial,Times New Roman" w:hAnsi="Arial" w:cs="Arial"/>
                <w:bCs/>
                <w:color w:val="365F91"/>
                <w:kern w:val="16"/>
                <w:sz w:val="16"/>
                <w:szCs w:val="16"/>
                <w:vertAlign w:val="superscript"/>
                <w:lang w:eastAsia="cs-CZ" w:bidi="hi-IN"/>
              </w:rPr>
              <w:t>7</w:t>
            </w:r>
          </w:p>
        </w:tc>
        <w:tc>
          <w:tcPr>
            <w:tcW w:w="218" w:type="pct"/>
            <w:tcBorders>
              <w:top w:val="single" w:sz="4" w:space="0" w:color="80A1B6"/>
              <w:left w:val="single" w:sz="8" w:space="0" w:color="80A1B6"/>
              <w:bottom w:val="single" w:sz="12" w:space="0" w:color="80A1B6"/>
              <w:right w:val="single" w:sz="12" w:space="0" w:color="80A1B6"/>
            </w:tcBorders>
            <w:shd w:val="clear" w:color="auto" w:fill="B9E0F7"/>
            <w:textDirection w:val="btLr"/>
            <w:vAlign w:val="center"/>
            <w:hideMark/>
          </w:tcPr>
          <w:p w14:paraId="27ADBD64" w14:textId="4045DD7A" w:rsidR="003B741B" w:rsidRPr="003B741B" w:rsidRDefault="00A25E1C"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Pr>
                <w:rFonts w:ascii="Arial" w:eastAsia="Arial,Times New Roman" w:hAnsi="Arial" w:cs="Arial"/>
                <w:bCs/>
                <w:color w:val="365F91"/>
                <w:kern w:val="1"/>
                <w:sz w:val="16"/>
                <w:szCs w:val="16"/>
                <w:lang w:eastAsia="cs-CZ" w:bidi="hi-IN"/>
              </w:rPr>
              <w:t>Nová</w:t>
            </w:r>
            <w:r w:rsidR="003B741B" w:rsidRPr="003B741B">
              <w:rPr>
                <w:rFonts w:ascii="Arial" w:eastAsia="Arial,Times New Roman" w:hAnsi="Arial" w:cs="Arial"/>
                <w:bCs/>
                <w:color w:val="365F91"/>
                <w:kern w:val="1"/>
                <w:sz w:val="16"/>
                <w:szCs w:val="16"/>
                <w:lang w:eastAsia="cs-CZ" w:bidi="hi-IN"/>
              </w:rPr>
              <w:t xml:space="preserve"> kulturní a kreativní odvětví</w:t>
            </w:r>
            <w:r w:rsidR="003B741B" w:rsidRPr="003B741B">
              <w:rPr>
                <w:rFonts w:ascii="Calibri" w:eastAsia="Calibri" w:hAnsi="Calibri" w:cs="Calibri"/>
                <w:bCs/>
                <w:color w:val="365F91"/>
                <w:kern w:val="24"/>
                <w:sz w:val="24"/>
                <w:szCs w:val="20"/>
                <w:vertAlign w:val="superscript"/>
                <w:lang w:eastAsia="hi-IN" w:bidi="hi-IN"/>
              </w:rPr>
              <w:footnoteReference w:id="125"/>
            </w:r>
          </w:p>
        </w:tc>
        <w:tc>
          <w:tcPr>
            <w:tcW w:w="184" w:type="pct"/>
            <w:tcBorders>
              <w:top w:val="single" w:sz="4" w:space="0" w:color="80A1B6"/>
              <w:left w:val="single" w:sz="12" w:space="0" w:color="80A1B6"/>
              <w:bottom w:val="single" w:sz="12" w:space="0" w:color="80A1B6"/>
              <w:right w:val="single" w:sz="12" w:space="0" w:color="80A1B6"/>
            </w:tcBorders>
            <w:shd w:val="clear" w:color="auto" w:fill="B9E0F7"/>
            <w:textDirection w:val="btLr"/>
            <w:vAlign w:val="center"/>
          </w:tcPr>
          <w:p w14:paraId="4F477F2B"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 xml:space="preserve">Udržitelné hospodaření s přírodními zdroji </w:t>
            </w:r>
          </w:p>
        </w:tc>
        <w:tc>
          <w:tcPr>
            <w:tcW w:w="155" w:type="pct"/>
            <w:tcBorders>
              <w:top w:val="single" w:sz="4" w:space="0" w:color="80A1B6"/>
              <w:left w:val="single" w:sz="12" w:space="0" w:color="80A1B6"/>
              <w:bottom w:val="single" w:sz="12" w:space="0" w:color="80A1B6"/>
              <w:right w:val="single" w:sz="12" w:space="0" w:color="80A1B6"/>
            </w:tcBorders>
            <w:shd w:val="clear" w:color="auto" w:fill="B9E0F7"/>
            <w:textDirection w:val="btLr"/>
            <w:vAlign w:val="center"/>
          </w:tcPr>
          <w:p w14:paraId="04E6664C"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Udržitelné zemědělství a lesnictví</w:t>
            </w:r>
          </w:p>
        </w:tc>
        <w:tc>
          <w:tcPr>
            <w:tcW w:w="124" w:type="pct"/>
            <w:tcBorders>
              <w:top w:val="single" w:sz="4" w:space="0" w:color="80A1B6"/>
              <w:left w:val="single" w:sz="12" w:space="0" w:color="80A1B6"/>
              <w:bottom w:val="single" w:sz="12" w:space="0" w:color="80A1B6"/>
              <w:right w:val="single" w:sz="12" w:space="0" w:color="80A1B6"/>
            </w:tcBorders>
            <w:shd w:val="clear" w:color="auto" w:fill="B9E0F7"/>
            <w:textDirection w:val="btLr"/>
            <w:vAlign w:val="center"/>
          </w:tcPr>
          <w:p w14:paraId="15EF24A3"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Udržitelná produkce potravin</w:t>
            </w:r>
          </w:p>
        </w:tc>
        <w:tc>
          <w:tcPr>
            <w:tcW w:w="278" w:type="pct"/>
            <w:tcBorders>
              <w:top w:val="single" w:sz="4" w:space="0" w:color="80A1B6"/>
              <w:left w:val="single" w:sz="12" w:space="0" w:color="80A1B6"/>
              <w:bottom w:val="single" w:sz="12" w:space="0" w:color="80A1B6"/>
              <w:right w:val="single" w:sz="12" w:space="0" w:color="80A1B6"/>
            </w:tcBorders>
            <w:shd w:val="clear" w:color="auto" w:fill="B9E0F7"/>
            <w:textDirection w:val="btLr"/>
            <w:vAlign w:val="center"/>
          </w:tcPr>
          <w:p w14:paraId="125D4F71"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Zajištění zdravého a kvalitního životního prostředí, biodiverzity a ekologie přírodních zdrojů</w:t>
            </w:r>
          </w:p>
        </w:tc>
        <w:tc>
          <w:tcPr>
            <w:tcW w:w="218" w:type="pct"/>
            <w:tcBorders>
              <w:top w:val="single" w:sz="4" w:space="0" w:color="80A1B6"/>
              <w:left w:val="single" w:sz="12" w:space="0" w:color="80A1B6"/>
              <w:bottom w:val="single" w:sz="12" w:space="0" w:color="80A1B6"/>
              <w:right w:val="single" w:sz="12" w:space="0" w:color="80A1B6"/>
            </w:tcBorders>
            <w:shd w:val="clear" w:color="auto" w:fill="B9E0F7"/>
            <w:textDirection w:val="btLr"/>
          </w:tcPr>
          <w:p w14:paraId="20BD6DCE"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Udržitelná výstavba, lidská sídla a technická ochrana životního prostředí</w:t>
            </w:r>
          </w:p>
        </w:tc>
        <w:tc>
          <w:tcPr>
            <w:tcW w:w="279" w:type="pct"/>
            <w:tcBorders>
              <w:top w:val="single" w:sz="4" w:space="0" w:color="80A1B6"/>
              <w:left w:val="single" w:sz="12" w:space="0" w:color="80A1B6"/>
              <w:bottom w:val="single" w:sz="12" w:space="0" w:color="80A1B6"/>
              <w:right w:val="single" w:sz="12" w:space="0" w:color="80A1B6"/>
            </w:tcBorders>
            <w:shd w:val="clear" w:color="auto" w:fill="B9E0F7"/>
            <w:textDirection w:val="btLr"/>
            <w:vAlign w:val="center"/>
            <w:hideMark/>
          </w:tcPr>
          <w:p w14:paraId="1E2A43D1" w14:textId="24659838"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Bezpečnostní výzkum; Výzkum ve</w:t>
            </w:r>
            <w:r w:rsidR="00A4671B">
              <w:rPr>
                <w:rFonts w:ascii="Arial" w:eastAsia="Arial,Times New Roman" w:hAnsi="Arial" w:cs="Arial"/>
                <w:bCs/>
                <w:color w:val="365F91"/>
                <w:kern w:val="1"/>
                <w:sz w:val="16"/>
                <w:szCs w:val="16"/>
                <w:lang w:eastAsia="cs-CZ" w:bidi="hi-IN"/>
              </w:rPr>
              <w:t xml:space="preserve"> </w:t>
            </w:r>
            <w:r w:rsidR="00D770E2">
              <w:rPr>
                <w:rFonts w:ascii="Arial" w:eastAsia="Arial,Times New Roman" w:hAnsi="Arial" w:cs="Arial"/>
                <w:bCs/>
                <w:color w:val="365F91"/>
                <w:kern w:val="1"/>
                <w:sz w:val="16"/>
                <w:szCs w:val="16"/>
                <w:lang w:eastAsia="cs-CZ" w:bidi="hi-IN"/>
              </w:rPr>
              <w:t xml:space="preserve">zdravotnictví; Práce, soc. služby </w:t>
            </w:r>
            <w:r w:rsidRPr="003B741B">
              <w:rPr>
                <w:rFonts w:ascii="Arial" w:eastAsia="Arial,Times New Roman" w:hAnsi="Arial" w:cs="Arial"/>
                <w:bCs/>
                <w:color w:val="365F91"/>
                <w:kern w:val="1"/>
                <w:sz w:val="16"/>
                <w:szCs w:val="16"/>
                <w:lang w:eastAsia="cs-CZ" w:bidi="hi-IN"/>
              </w:rPr>
              <w:t>a důchodový systém</w:t>
            </w:r>
          </w:p>
        </w:tc>
        <w:tc>
          <w:tcPr>
            <w:tcW w:w="217" w:type="pct"/>
            <w:tcBorders>
              <w:top w:val="single" w:sz="4" w:space="0" w:color="80A1B6"/>
              <w:left w:val="single" w:sz="12" w:space="0" w:color="80A1B6"/>
              <w:bottom w:val="single" w:sz="12" w:space="0" w:color="80A1B6"/>
              <w:right w:val="single" w:sz="12" w:space="0" w:color="80A1B6"/>
            </w:tcBorders>
            <w:shd w:val="clear" w:color="auto" w:fill="CCC0D9"/>
            <w:textDirection w:val="btLr"/>
          </w:tcPr>
          <w:p w14:paraId="56786372"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Sklářství a keramika – kraje: Ústecký, Karlovarský, Liberecký</w:t>
            </w:r>
          </w:p>
        </w:tc>
        <w:tc>
          <w:tcPr>
            <w:tcW w:w="216" w:type="pct"/>
            <w:tcBorders>
              <w:top w:val="single" w:sz="4" w:space="0" w:color="80A1B6"/>
              <w:left w:val="single" w:sz="12" w:space="0" w:color="80A1B6"/>
              <w:bottom w:val="single" w:sz="12" w:space="0" w:color="80A1B6"/>
              <w:right w:val="single" w:sz="12" w:space="0" w:color="80A1B6"/>
            </w:tcBorders>
            <w:shd w:val="clear" w:color="auto" w:fill="CCC0D9"/>
            <w:textDirection w:val="btLr"/>
          </w:tcPr>
          <w:p w14:paraId="638BE0EE"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Textil – kraje: Pardubický, Liberecký,  Královéhradecký</w:t>
            </w:r>
          </w:p>
          <w:p w14:paraId="08410679"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p>
        </w:tc>
        <w:tc>
          <w:tcPr>
            <w:tcW w:w="181" w:type="pct"/>
            <w:tcBorders>
              <w:top w:val="single" w:sz="4" w:space="0" w:color="80A1B6"/>
              <w:left w:val="single" w:sz="12" w:space="0" w:color="80A1B6"/>
              <w:bottom w:val="single" w:sz="12" w:space="0" w:color="80A1B6"/>
              <w:right w:val="single" w:sz="12" w:space="0" w:color="80A1B6"/>
            </w:tcBorders>
            <w:shd w:val="clear" w:color="auto" w:fill="CCC0D9"/>
            <w:textDirection w:val="btLr"/>
          </w:tcPr>
          <w:p w14:paraId="41A1F4AC" w14:textId="77777777" w:rsidR="003B741B" w:rsidRPr="003B741B" w:rsidRDefault="003B741B" w:rsidP="003B741B">
            <w:pPr>
              <w:suppressAutoHyphens/>
              <w:spacing w:after="0" w:line="240" w:lineRule="auto"/>
              <w:ind w:left="113" w:right="113"/>
              <w:jc w:val="center"/>
              <w:rPr>
                <w:rFonts w:ascii="Arial" w:eastAsia="Arial,Times New Roman" w:hAnsi="Arial" w:cs="Arial"/>
                <w:bCs/>
                <w:color w:val="365F91"/>
                <w:kern w:val="1"/>
                <w:sz w:val="16"/>
                <w:szCs w:val="16"/>
                <w:lang w:eastAsia="cs-CZ" w:bidi="hi-IN"/>
              </w:rPr>
            </w:pPr>
            <w:r w:rsidRPr="003B741B">
              <w:rPr>
                <w:rFonts w:ascii="Arial" w:eastAsia="Arial,Times New Roman" w:hAnsi="Arial" w:cs="Arial"/>
                <w:bCs/>
                <w:color w:val="365F91"/>
                <w:kern w:val="1"/>
                <w:sz w:val="16"/>
                <w:szCs w:val="16"/>
                <w:lang w:eastAsia="cs-CZ" w:bidi="hi-IN"/>
              </w:rPr>
              <w:t>Balneologie a lázeňství – kraj: Karlovarský</w:t>
            </w:r>
          </w:p>
        </w:tc>
      </w:tr>
      <w:tr w:rsidR="003B741B" w:rsidRPr="003B741B" w14:paraId="2A661DA7" w14:textId="77777777" w:rsidTr="009D08F2">
        <w:trPr>
          <w:trHeight w:val="567"/>
          <w:jc w:val="center"/>
        </w:trPr>
        <w:tc>
          <w:tcPr>
            <w:tcW w:w="64" w:type="pct"/>
            <w:vMerge w:val="restart"/>
            <w:tcBorders>
              <w:top w:val="single" w:sz="12" w:space="0" w:color="80A1B6"/>
              <w:left w:val="single" w:sz="12" w:space="0" w:color="80A1B6"/>
              <w:right w:val="single" w:sz="12" w:space="0" w:color="80A1B6"/>
            </w:tcBorders>
            <w:shd w:val="clear" w:color="auto" w:fill="76923C"/>
            <w:textDirection w:val="btLr"/>
            <w:vAlign w:val="center"/>
          </w:tcPr>
          <w:p w14:paraId="5933B590" w14:textId="77777777" w:rsidR="003B741B" w:rsidRPr="003B741B" w:rsidRDefault="003B741B" w:rsidP="003B741B">
            <w:pPr>
              <w:suppressAutoHyphens/>
              <w:spacing w:after="0" w:line="240" w:lineRule="auto"/>
              <w:ind w:left="113" w:right="113"/>
              <w:jc w:val="center"/>
              <w:rPr>
                <w:rFonts w:ascii="Arial" w:eastAsia="Arial,Times New Roman" w:hAnsi="Arial" w:cs="Arial"/>
                <w:b/>
                <w:bCs/>
                <w:color w:val="FFFFFF"/>
                <w:kern w:val="1"/>
                <w:sz w:val="16"/>
                <w:szCs w:val="16"/>
                <w:lang w:eastAsia="cs-CZ" w:bidi="hi-IN"/>
              </w:rPr>
            </w:pPr>
            <w:r w:rsidRPr="003B741B">
              <w:rPr>
                <w:rFonts w:ascii="Arial" w:eastAsia="Arial,Times New Roman" w:hAnsi="Arial" w:cs="Arial"/>
                <w:b/>
                <w:bCs/>
                <w:color w:val="FFFFFF"/>
                <w:kern w:val="1"/>
                <w:sz w:val="20"/>
                <w:szCs w:val="20"/>
                <w:lang w:eastAsia="cs-CZ" w:bidi="hi-IN"/>
              </w:rPr>
              <w:t>GENERICKÉ ZNALOSTNÍ DOMÉNY</w:t>
            </w:r>
            <w:r w:rsidRPr="003B741B">
              <w:rPr>
                <w:rFonts w:ascii="Arial" w:eastAsia="Arial,Times New Roman" w:hAnsi="Arial" w:cs="Arial"/>
                <w:bCs/>
                <w:color w:val="FFFFFF"/>
                <w:kern w:val="1"/>
                <w:sz w:val="20"/>
                <w:szCs w:val="20"/>
                <w:vertAlign w:val="superscript"/>
                <w:lang w:eastAsia="cs-CZ" w:bidi="hi-IN"/>
              </w:rPr>
              <w:footnoteReference w:id="126"/>
            </w:r>
          </w:p>
        </w:tc>
        <w:tc>
          <w:tcPr>
            <w:tcW w:w="134" w:type="pct"/>
            <w:vMerge w:val="restart"/>
            <w:tcBorders>
              <w:top w:val="single" w:sz="12" w:space="0" w:color="80A1B6"/>
              <w:left w:val="single" w:sz="12" w:space="0" w:color="80A1B6"/>
              <w:right w:val="single" w:sz="12" w:space="0" w:color="80A1B6"/>
            </w:tcBorders>
            <w:shd w:val="clear" w:color="auto" w:fill="C2D69B"/>
            <w:textDirection w:val="btLr"/>
            <w:vAlign w:val="center"/>
          </w:tcPr>
          <w:p w14:paraId="2FC94CD3" w14:textId="77777777" w:rsidR="003B741B" w:rsidRPr="003B741B" w:rsidRDefault="003B741B" w:rsidP="003B741B">
            <w:pPr>
              <w:suppressAutoHyphens/>
              <w:spacing w:after="0" w:line="240" w:lineRule="auto"/>
              <w:ind w:left="113" w:right="113"/>
              <w:rPr>
                <w:rFonts w:ascii="Arial" w:eastAsia="Arial,Times New Roman" w:hAnsi="Arial" w:cs="Arial"/>
                <w:b/>
                <w:bCs/>
                <w:color w:val="365F91"/>
                <w:kern w:val="1"/>
                <w:sz w:val="16"/>
                <w:szCs w:val="16"/>
                <w:lang w:eastAsia="cs-CZ" w:bidi="hi-IN"/>
              </w:rPr>
            </w:pPr>
            <w:r w:rsidRPr="003B741B">
              <w:rPr>
                <w:rFonts w:ascii="Arial" w:eastAsia="Arial,Times New Roman" w:hAnsi="Arial" w:cs="Arial"/>
                <w:b/>
                <w:bCs/>
                <w:color w:val="365F91"/>
                <w:kern w:val="1"/>
                <w:sz w:val="16"/>
                <w:szCs w:val="16"/>
                <w:lang w:eastAsia="cs-CZ" w:bidi="hi-IN"/>
              </w:rPr>
              <w:t>Key enabling technologies (KETs)</w:t>
            </w:r>
          </w:p>
        </w:tc>
        <w:tc>
          <w:tcPr>
            <w:tcW w:w="374" w:type="pct"/>
            <w:tcBorders>
              <w:top w:val="single" w:sz="12" w:space="0" w:color="80A1B6"/>
              <w:left w:val="single" w:sz="12" w:space="0" w:color="80A1B6"/>
              <w:bottom w:val="single" w:sz="4" w:space="0" w:color="80A1B6"/>
              <w:right w:val="single" w:sz="12" w:space="0" w:color="80A1B6"/>
            </w:tcBorders>
            <w:shd w:val="clear" w:color="auto" w:fill="D6E3BC"/>
            <w:vAlign w:val="center"/>
          </w:tcPr>
          <w:p w14:paraId="589509A0" w14:textId="77777777" w:rsidR="003B741B" w:rsidRPr="003B741B" w:rsidRDefault="003B741B" w:rsidP="003B741B">
            <w:pPr>
              <w:suppressAutoHyphens/>
              <w:spacing w:after="0" w:line="240" w:lineRule="auto"/>
              <w:rPr>
                <w:rFonts w:ascii="Arial" w:eastAsia="Arial,Times New Roman" w:hAnsi="Arial" w:cs="Arial"/>
                <w:b/>
                <w:bCs/>
                <w:color w:val="365F91"/>
                <w:kern w:val="1"/>
                <w:sz w:val="16"/>
                <w:szCs w:val="16"/>
                <w:lang w:eastAsia="cs-CZ" w:bidi="hi-IN"/>
              </w:rPr>
            </w:pPr>
            <w:r w:rsidRPr="003B741B">
              <w:rPr>
                <w:rFonts w:ascii="Arial" w:eastAsia="Arial,Times New Roman" w:hAnsi="Arial" w:cs="Arial"/>
                <w:b/>
                <w:bCs/>
                <w:color w:val="365F91"/>
                <w:kern w:val="1"/>
                <w:sz w:val="16"/>
                <w:szCs w:val="16"/>
                <w:lang w:eastAsia="cs-CZ" w:bidi="hi-IN"/>
              </w:rPr>
              <w:t>Pokročilé materiály</w:t>
            </w:r>
          </w:p>
        </w:tc>
        <w:tc>
          <w:tcPr>
            <w:tcW w:w="159" w:type="pct"/>
            <w:tcBorders>
              <w:top w:val="single" w:sz="12" w:space="0" w:color="80A1B6"/>
              <w:left w:val="single" w:sz="12" w:space="0" w:color="80A1B6"/>
              <w:bottom w:val="single" w:sz="4" w:space="0" w:color="80A1B6"/>
              <w:right w:val="single" w:sz="4" w:space="0" w:color="80A1B6"/>
            </w:tcBorders>
            <w:shd w:val="clear" w:color="auto" w:fill="auto"/>
            <w:vAlign w:val="center"/>
            <w:hideMark/>
          </w:tcPr>
          <w:p w14:paraId="689F2A32"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4" w:type="pct"/>
            <w:tcBorders>
              <w:top w:val="single" w:sz="12" w:space="0" w:color="80A1B6"/>
              <w:left w:val="nil"/>
              <w:bottom w:val="single" w:sz="4" w:space="0" w:color="80A1B6"/>
              <w:right w:val="single" w:sz="4" w:space="0" w:color="80A1B6"/>
            </w:tcBorders>
            <w:shd w:val="clear" w:color="auto" w:fill="auto"/>
            <w:vAlign w:val="center"/>
            <w:hideMark/>
          </w:tcPr>
          <w:p w14:paraId="3D22AFA8"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4" w:type="pct"/>
            <w:tcBorders>
              <w:top w:val="single" w:sz="12" w:space="0" w:color="80A1B6"/>
              <w:left w:val="nil"/>
              <w:bottom w:val="single" w:sz="4" w:space="0" w:color="80A1B6"/>
              <w:right w:val="single" w:sz="12" w:space="0" w:color="80A1B6"/>
            </w:tcBorders>
            <w:shd w:val="clear" w:color="auto" w:fill="auto"/>
            <w:vAlign w:val="center"/>
            <w:hideMark/>
          </w:tcPr>
          <w:p w14:paraId="76B9A4A8"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58" w:type="pct"/>
            <w:tcBorders>
              <w:top w:val="single" w:sz="12" w:space="0" w:color="80A1B6"/>
              <w:left w:val="single" w:sz="12" w:space="0" w:color="80A1B6"/>
              <w:bottom w:val="single" w:sz="4" w:space="0" w:color="80A1B6"/>
              <w:right w:val="single" w:sz="12" w:space="0" w:color="80A1B6"/>
            </w:tcBorders>
            <w:vAlign w:val="center"/>
          </w:tcPr>
          <w:p w14:paraId="4AEEBF0F"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single" w:sz="12" w:space="0" w:color="80A1B6"/>
              <w:left w:val="single" w:sz="12" w:space="0" w:color="80A1B6"/>
              <w:bottom w:val="single" w:sz="4" w:space="0" w:color="80A1B6"/>
              <w:right w:val="single" w:sz="4" w:space="0" w:color="80A1B6"/>
            </w:tcBorders>
            <w:shd w:val="clear" w:color="auto" w:fill="auto"/>
            <w:vAlign w:val="center"/>
            <w:hideMark/>
          </w:tcPr>
          <w:p w14:paraId="4424905E"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49" w:type="pct"/>
            <w:tcBorders>
              <w:top w:val="single" w:sz="12" w:space="0" w:color="80A1B6"/>
              <w:left w:val="nil"/>
              <w:bottom w:val="single" w:sz="4" w:space="0" w:color="80A1B6"/>
              <w:right w:val="single" w:sz="12" w:space="0" w:color="80A1B6"/>
            </w:tcBorders>
            <w:shd w:val="clear" w:color="auto" w:fill="auto"/>
            <w:vAlign w:val="center"/>
            <w:hideMark/>
          </w:tcPr>
          <w:p w14:paraId="49C351E5"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5" w:type="pct"/>
            <w:tcBorders>
              <w:top w:val="single" w:sz="12" w:space="0" w:color="80A1B6"/>
              <w:left w:val="single" w:sz="12" w:space="0" w:color="80A1B6"/>
              <w:bottom w:val="single" w:sz="4" w:space="0" w:color="80A1B6"/>
              <w:right w:val="single" w:sz="4" w:space="0" w:color="80A1B6"/>
            </w:tcBorders>
            <w:shd w:val="clear" w:color="auto" w:fill="auto"/>
            <w:vAlign w:val="center"/>
            <w:hideMark/>
          </w:tcPr>
          <w:p w14:paraId="65299FAC"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6" w:type="pct"/>
            <w:tcBorders>
              <w:top w:val="single" w:sz="12" w:space="0" w:color="80A1B6"/>
              <w:left w:val="nil"/>
              <w:bottom w:val="single" w:sz="4" w:space="0" w:color="80A1B6"/>
              <w:right w:val="single" w:sz="4" w:space="0" w:color="80A1B6"/>
            </w:tcBorders>
            <w:shd w:val="clear" w:color="auto" w:fill="auto"/>
            <w:vAlign w:val="center"/>
            <w:hideMark/>
          </w:tcPr>
          <w:p w14:paraId="08DF6F6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single" w:sz="12" w:space="0" w:color="80A1B6"/>
              <w:left w:val="nil"/>
              <w:bottom w:val="single" w:sz="4" w:space="0" w:color="80A1B6"/>
              <w:right w:val="single" w:sz="12" w:space="0" w:color="80A1B6"/>
            </w:tcBorders>
            <w:shd w:val="clear" w:color="auto" w:fill="auto"/>
            <w:vAlign w:val="center"/>
            <w:hideMark/>
          </w:tcPr>
          <w:p w14:paraId="7EC10400"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434" w:type="pct"/>
            <w:tcBorders>
              <w:top w:val="single" w:sz="12" w:space="0" w:color="80A1B6"/>
              <w:left w:val="single" w:sz="12" w:space="0" w:color="80A1B6"/>
              <w:bottom w:val="single" w:sz="4" w:space="0" w:color="80A1B6"/>
              <w:right w:val="single" w:sz="12" w:space="0" w:color="80A1B6"/>
            </w:tcBorders>
            <w:shd w:val="clear" w:color="auto" w:fill="auto"/>
            <w:vAlign w:val="center"/>
            <w:hideMark/>
          </w:tcPr>
          <w:p w14:paraId="4DC36870"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single" w:sz="12" w:space="0" w:color="80A1B6"/>
              <w:left w:val="single" w:sz="12" w:space="0" w:color="80A1B6"/>
              <w:bottom w:val="single" w:sz="4" w:space="0" w:color="80A1B6"/>
              <w:right w:val="single" w:sz="4" w:space="0" w:color="80A1B6"/>
            </w:tcBorders>
            <w:shd w:val="clear" w:color="auto" w:fill="auto"/>
            <w:vAlign w:val="center"/>
            <w:hideMark/>
          </w:tcPr>
          <w:p w14:paraId="5C8A750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single" w:sz="12" w:space="0" w:color="80A1B6"/>
              <w:left w:val="nil"/>
              <w:bottom w:val="single" w:sz="4" w:space="0" w:color="80A1B6"/>
              <w:right w:val="single" w:sz="12" w:space="0" w:color="80A1B6"/>
            </w:tcBorders>
            <w:shd w:val="clear" w:color="auto" w:fill="auto"/>
            <w:vAlign w:val="center"/>
            <w:hideMark/>
          </w:tcPr>
          <w:p w14:paraId="46B7FC9C"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4" w:type="pct"/>
            <w:tcBorders>
              <w:top w:val="single" w:sz="12" w:space="0" w:color="80A1B6"/>
              <w:left w:val="single" w:sz="12" w:space="0" w:color="80A1B6"/>
              <w:bottom w:val="single" w:sz="4" w:space="0" w:color="80A1B6"/>
              <w:right w:val="single" w:sz="12" w:space="0" w:color="80A1B6"/>
            </w:tcBorders>
            <w:vAlign w:val="center"/>
          </w:tcPr>
          <w:p w14:paraId="1B62C49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5" w:type="pct"/>
            <w:tcBorders>
              <w:top w:val="single" w:sz="12" w:space="0" w:color="80A1B6"/>
              <w:left w:val="single" w:sz="12" w:space="0" w:color="80A1B6"/>
              <w:bottom w:val="single" w:sz="4" w:space="0" w:color="80A1B6"/>
              <w:right w:val="single" w:sz="12" w:space="0" w:color="80A1B6"/>
            </w:tcBorders>
            <w:vAlign w:val="center"/>
          </w:tcPr>
          <w:p w14:paraId="371BA4A0"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24" w:type="pct"/>
            <w:tcBorders>
              <w:top w:val="single" w:sz="12" w:space="0" w:color="80A1B6"/>
              <w:left w:val="single" w:sz="12" w:space="0" w:color="80A1B6"/>
              <w:bottom w:val="single" w:sz="4" w:space="0" w:color="80A1B6"/>
              <w:right w:val="single" w:sz="12" w:space="0" w:color="80A1B6"/>
            </w:tcBorders>
            <w:vAlign w:val="center"/>
          </w:tcPr>
          <w:p w14:paraId="3A875F93"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78" w:type="pct"/>
            <w:tcBorders>
              <w:top w:val="single" w:sz="12" w:space="0" w:color="80A1B6"/>
              <w:left w:val="single" w:sz="12" w:space="0" w:color="80A1B6"/>
              <w:bottom w:val="single" w:sz="4" w:space="0" w:color="80A1B6"/>
              <w:right w:val="single" w:sz="12" w:space="0" w:color="80A1B6"/>
            </w:tcBorders>
            <w:vAlign w:val="center"/>
          </w:tcPr>
          <w:p w14:paraId="766A4EE2"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single" w:sz="12" w:space="0" w:color="80A1B6"/>
              <w:left w:val="single" w:sz="12" w:space="0" w:color="80A1B6"/>
              <w:bottom w:val="single" w:sz="4" w:space="0" w:color="80A1B6"/>
              <w:right w:val="single" w:sz="12" w:space="0" w:color="80A1B6"/>
            </w:tcBorders>
            <w:vAlign w:val="center"/>
          </w:tcPr>
          <w:p w14:paraId="6761350D"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79" w:type="pct"/>
            <w:tcBorders>
              <w:top w:val="single" w:sz="12" w:space="0" w:color="80A1B6"/>
              <w:left w:val="single" w:sz="12" w:space="0" w:color="80A1B6"/>
              <w:bottom w:val="single" w:sz="4" w:space="0" w:color="80A1B6"/>
              <w:right w:val="single" w:sz="12" w:space="0" w:color="80A1B6"/>
            </w:tcBorders>
            <w:shd w:val="clear" w:color="auto" w:fill="auto"/>
            <w:vAlign w:val="center"/>
          </w:tcPr>
          <w:p w14:paraId="173D24CB"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single" w:sz="12" w:space="0" w:color="80A1B6"/>
              <w:left w:val="single" w:sz="12" w:space="0" w:color="80A1B6"/>
              <w:bottom w:val="single" w:sz="4" w:space="0" w:color="80A1B6"/>
              <w:right w:val="single" w:sz="12" w:space="0" w:color="80A1B6"/>
            </w:tcBorders>
            <w:shd w:val="clear" w:color="auto" w:fill="auto"/>
            <w:vAlign w:val="center"/>
          </w:tcPr>
          <w:p w14:paraId="1FB936E5"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216" w:type="pct"/>
            <w:tcBorders>
              <w:top w:val="single" w:sz="12" w:space="0" w:color="80A1B6"/>
              <w:left w:val="single" w:sz="12" w:space="0" w:color="80A1B6"/>
              <w:bottom w:val="single" w:sz="4" w:space="0" w:color="80A1B6"/>
              <w:right w:val="single" w:sz="12" w:space="0" w:color="80A1B6"/>
            </w:tcBorders>
            <w:shd w:val="clear" w:color="auto" w:fill="auto"/>
            <w:vAlign w:val="center"/>
          </w:tcPr>
          <w:p w14:paraId="1F7BBD0B"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181" w:type="pct"/>
            <w:tcBorders>
              <w:top w:val="single" w:sz="12" w:space="0" w:color="80A1B6"/>
              <w:left w:val="single" w:sz="12" w:space="0" w:color="80A1B6"/>
              <w:bottom w:val="single" w:sz="4" w:space="0" w:color="80A1B6"/>
              <w:right w:val="single" w:sz="12" w:space="0" w:color="80A1B6"/>
            </w:tcBorders>
            <w:shd w:val="clear" w:color="auto" w:fill="auto"/>
            <w:vAlign w:val="center"/>
          </w:tcPr>
          <w:p w14:paraId="69101E45"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highlight w:val="yellow"/>
                <w:lang w:eastAsia="cs-CZ" w:bidi="hi-IN"/>
              </w:rPr>
            </w:pPr>
            <w:r w:rsidRPr="003B741B">
              <w:rPr>
                <w:rFonts w:ascii="Arial" w:eastAsia="Arial,Times New Roman" w:hAnsi="Arial" w:cs="Arial"/>
                <w:b/>
                <w:bCs/>
                <w:color w:val="365F91"/>
                <w:kern w:val="1"/>
                <w:sz w:val="14"/>
                <w:szCs w:val="14"/>
                <w:lang w:eastAsia="cs-CZ" w:bidi="hi-IN"/>
              </w:rPr>
              <w:t>X</w:t>
            </w:r>
          </w:p>
        </w:tc>
      </w:tr>
      <w:tr w:rsidR="003B741B" w:rsidRPr="003B741B" w14:paraId="7F957494" w14:textId="77777777" w:rsidTr="009D08F2">
        <w:trPr>
          <w:trHeight w:val="567"/>
          <w:jc w:val="center"/>
        </w:trPr>
        <w:tc>
          <w:tcPr>
            <w:tcW w:w="64" w:type="pct"/>
            <w:vMerge/>
            <w:tcBorders>
              <w:left w:val="single" w:sz="12" w:space="0" w:color="80A1B6"/>
              <w:right w:val="single" w:sz="12" w:space="0" w:color="80A1B6"/>
            </w:tcBorders>
            <w:shd w:val="clear" w:color="auto" w:fill="76923C"/>
          </w:tcPr>
          <w:p w14:paraId="2A8C4851" w14:textId="77777777" w:rsidR="003B741B" w:rsidRPr="003B741B" w:rsidRDefault="003B741B" w:rsidP="003B741B">
            <w:pPr>
              <w:suppressAutoHyphens/>
              <w:spacing w:after="0" w:line="240" w:lineRule="auto"/>
              <w:rPr>
                <w:rFonts w:ascii="Arial" w:eastAsia="Times New Roman" w:hAnsi="Arial" w:cs="Arial"/>
                <w:b/>
                <w:color w:val="FFFFFF"/>
                <w:kern w:val="1"/>
                <w:sz w:val="16"/>
                <w:szCs w:val="16"/>
                <w:lang w:eastAsia="cs-CZ" w:bidi="hi-IN"/>
              </w:rPr>
            </w:pPr>
          </w:p>
        </w:tc>
        <w:tc>
          <w:tcPr>
            <w:tcW w:w="134" w:type="pct"/>
            <w:vMerge/>
            <w:tcBorders>
              <w:left w:val="single" w:sz="12" w:space="0" w:color="80A1B6"/>
              <w:right w:val="single" w:sz="12" w:space="0" w:color="80A1B6"/>
            </w:tcBorders>
            <w:shd w:val="clear" w:color="auto" w:fill="C2D69B"/>
            <w:vAlign w:val="center"/>
          </w:tcPr>
          <w:p w14:paraId="62BF0B30" w14:textId="77777777" w:rsidR="003B741B" w:rsidRPr="003B741B" w:rsidRDefault="003B741B" w:rsidP="003B741B">
            <w:pPr>
              <w:suppressAutoHyphens/>
              <w:spacing w:after="0" w:line="240" w:lineRule="auto"/>
              <w:rPr>
                <w:rFonts w:ascii="Arial" w:eastAsia="Times New Roman" w:hAnsi="Arial" w:cs="Arial"/>
                <w:b/>
                <w:bCs/>
                <w:color w:val="365F91"/>
                <w:kern w:val="1"/>
                <w:sz w:val="16"/>
                <w:szCs w:val="16"/>
                <w:lang w:eastAsia="cs-CZ" w:bidi="hi-IN"/>
              </w:rPr>
            </w:pPr>
          </w:p>
        </w:tc>
        <w:tc>
          <w:tcPr>
            <w:tcW w:w="374" w:type="pct"/>
            <w:tcBorders>
              <w:top w:val="nil"/>
              <w:left w:val="single" w:sz="12" w:space="0" w:color="80A1B6"/>
              <w:bottom w:val="single" w:sz="4" w:space="0" w:color="80A1B6"/>
              <w:right w:val="single" w:sz="12" w:space="0" w:color="80A1B6"/>
            </w:tcBorders>
            <w:shd w:val="clear" w:color="auto" w:fill="D6E3BC"/>
            <w:vAlign w:val="center"/>
          </w:tcPr>
          <w:p w14:paraId="561D2061" w14:textId="77777777" w:rsidR="003B741B" w:rsidRPr="003B741B" w:rsidRDefault="00663FF6" w:rsidP="003B741B">
            <w:pPr>
              <w:suppressAutoHyphens/>
              <w:spacing w:after="0" w:line="240" w:lineRule="auto"/>
              <w:rPr>
                <w:rFonts w:ascii="Arial" w:eastAsia="Arial,Times New Roman" w:hAnsi="Arial" w:cs="Arial"/>
                <w:b/>
                <w:bCs/>
                <w:color w:val="365F91"/>
                <w:kern w:val="1"/>
                <w:sz w:val="16"/>
                <w:szCs w:val="16"/>
                <w:lang w:eastAsia="cs-CZ" w:bidi="hi-IN"/>
              </w:rPr>
            </w:pPr>
            <w:hyperlink w:anchor="RANGE!#ODKAZ!" w:history="1">
              <w:r w:rsidR="003B741B" w:rsidRPr="003B741B">
                <w:rPr>
                  <w:rFonts w:ascii="Arial" w:eastAsia="Arial,Times New Roman" w:hAnsi="Arial" w:cs="Arial"/>
                  <w:b/>
                  <w:bCs/>
                  <w:color w:val="365F91"/>
                  <w:kern w:val="1"/>
                  <w:sz w:val="16"/>
                  <w:szCs w:val="16"/>
                  <w:lang w:eastAsia="cs-CZ" w:bidi="hi-IN"/>
                </w:rPr>
                <w:t>Nanotechnologie</w:t>
              </w:r>
            </w:hyperlink>
            <w:r w:rsidR="003B741B" w:rsidRPr="00F0049E">
              <w:rPr>
                <w:rFonts w:ascii="Arial" w:eastAsia="Arial,Times New Roman" w:hAnsi="Arial" w:cs="Arial"/>
                <w:b/>
                <w:bCs/>
                <w:color w:val="365F91"/>
                <w:kern w:val="1"/>
                <w:sz w:val="20"/>
                <w:szCs w:val="18"/>
                <w:vertAlign w:val="superscript"/>
                <w:lang w:eastAsia="cs-CZ" w:bidi="hi-IN"/>
              </w:rPr>
              <w:footnoteReference w:id="127"/>
            </w:r>
          </w:p>
        </w:tc>
        <w:tc>
          <w:tcPr>
            <w:tcW w:w="159" w:type="pct"/>
            <w:tcBorders>
              <w:top w:val="nil"/>
              <w:left w:val="single" w:sz="12" w:space="0" w:color="80A1B6"/>
              <w:bottom w:val="single" w:sz="4" w:space="0" w:color="80A1B6"/>
              <w:right w:val="single" w:sz="4" w:space="0" w:color="80A1B6"/>
            </w:tcBorders>
            <w:shd w:val="clear" w:color="auto" w:fill="auto"/>
            <w:vAlign w:val="center"/>
            <w:hideMark/>
          </w:tcPr>
          <w:p w14:paraId="3670115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4" w:type="pct"/>
            <w:tcBorders>
              <w:top w:val="single" w:sz="4" w:space="0" w:color="80A1B6"/>
              <w:left w:val="nil"/>
              <w:bottom w:val="single" w:sz="4" w:space="0" w:color="80A1B6"/>
              <w:right w:val="single" w:sz="4" w:space="0" w:color="80A1B6"/>
            </w:tcBorders>
            <w:shd w:val="clear" w:color="auto" w:fill="auto"/>
            <w:vAlign w:val="center"/>
            <w:hideMark/>
          </w:tcPr>
          <w:p w14:paraId="04550F5F"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4" w:type="pct"/>
            <w:tcBorders>
              <w:top w:val="nil"/>
              <w:left w:val="nil"/>
              <w:bottom w:val="single" w:sz="4" w:space="0" w:color="80A1B6"/>
              <w:right w:val="single" w:sz="12" w:space="0" w:color="80A1B6"/>
            </w:tcBorders>
            <w:shd w:val="clear" w:color="auto" w:fill="auto"/>
            <w:vAlign w:val="center"/>
            <w:hideMark/>
          </w:tcPr>
          <w:p w14:paraId="4E3B52CD"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58" w:type="pct"/>
            <w:tcBorders>
              <w:top w:val="nil"/>
              <w:left w:val="single" w:sz="12" w:space="0" w:color="80A1B6"/>
              <w:bottom w:val="single" w:sz="4" w:space="0" w:color="80A1B6"/>
              <w:right w:val="single" w:sz="12" w:space="0" w:color="80A1B6"/>
            </w:tcBorders>
            <w:vAlign w:val="center"/>
          </w:tcPr>
          <w:p w14:paraId="54E4718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5AE3B622"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49" w:type="pct"/>
            <w:tcBorders>
              <w:top w:val="nil"/>
              <w:left w:val="nil"/>
              <w:bottom w:val="single" w:sz="4" w:space="0" w:color="80A1B6"/>
              <w:right w:val="single" w:sz="12" w:space="0" w:color="80A1B6"/>
            </w:tcBorders>
            <w:shd w:val="clear" w:color="auto" w:fill="auto"/>
            <w:vAlign w:val="center"/>
            <w:hideMark/>
          </w:tcPr>
          <w:p w14:paraId="6CCF26BE"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5" w:type="pct"/>
            <w:tcBorders>
              <w:top w:val="nil"/>
              <w:left w:val="single" w:sz="12" w:space="0" w:color="80A1B6"/>
              <w:bottom w:val="single" w:sz="4" w:space="0" w:color="80A1B6"/>
              <w:right w:val="single" w:sz="4" w:space="0" w:color="80A1B6"/>
            </w:tcBorders>
            <w:shd w:val="clear" w:color="auto" w:fill="auto"/>
            <w:vAlign w:val="center"/>
            <w:hideMark/>
          </w:tcPr>
          <w:p w14:paraId="620E328B"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6" w:type="pct"/>
            <w:tcBorders>
              <w:top w:val="nil"/>
              <w:left w:val="nil"/>
              <w:bottom w:val="single" w:sz="4" w:space="0" w:color="80A1B6"/>
              <w:right w:val="single" w:sz="4" w:space="0" w:color="80A1B6"/>
            </w:tcBorders>
            <w:shd w:val="clear" w:color="auto" w:fill="auto"/>
            <w:vAlign w:val="center"/>
            <w:hideMark/>
          </w:tcPr>
          <w:p w14:paraId="55B5F183"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8" w:type="pct"/>
            <w:tcBorders>
              <w:top w:val="nil"/>
              <w:left w:val="nil"/>
              <w:bottom w:val="single" w:sz="4" w:space="0" w:color="80A1B6"/>
              <w:right w:val="single" w:sz="12" w:space="0" w:color="80A1B6"/>
            </w:tcBorders>
            <w:shd w:val="clear" w:color="auto" w:fill="auto"/>
            <w:vAlign w:val="center"/>
            <w:hideMark/>
          </w:tcPr>
          <w:p w14:paraId="3FFF0176"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434" w:type="pct"/>
            <w:tcBorders>
              <w:top w:val="nil"/>
              <w:left w:val="single" w:sz="12" w:space="0" w:color="80A1B6"/>
              <w:bottom w:val="single" w:sz="4" w:space="0" w:color="80A1B6"/>
              <w:right w:val="single" w:sz="12" w:space="0" w:color="80A1B6"/>
            </w:tcBorders>
            <w:shd w:val="clear" w:color="auto" w:fill="auto"/>
            <w:vAlign w:val="center"/>
            <w:hideMark/>
          </w:tcPr>
          <w:p w14:paraId="34E7E1A9"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3EC8E969"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nil"/>
              <w:left w:val="nil"/>
              <w:bottom w:val="single" w:sz="4" w:space="0" w:color="80A1B6"/>
              <w:right w:val="single" w:sz="12" w:space="0" w:color="80A1B6"/>
            </w:tcBorders>
            <w:shd w:val="clear" w:color="auto" w:fill="auto"/>
            <w:vAlign w:val="center"/>
            <w:hideMark/>
          </w:tcPr>
          <w:p w14:paraId="3CAF32E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4" w:type="pct"/>
            <w:tcBorders>
              <w:top w:val="nil"/>
              <w:left w:val="single" w:sz="12" w:space="0" w:color="80A1B6"/>
              <w:bottom w:val="single" w:sz="4" w:space="0" w:color="80A1B6"/>
              <w:right w:val="single" w:sz="12" w:space="0" w:color="80A1B6"/>
            </w:tcBorders>
            <w:vAlign w:val="center"/>
          </w:tcPr>
          <w:p w14:paraId="28403530"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5" w:type="pct"/>
            <w:tcBorders>
              <w:top w:val="nil"/>
              <w:left w:val="single" w:sz="12" w:space="0" w:color="80A1B6"/>
              <w:bottom w:val="single" w:sz="4" w:space="0" w:color="80A1B6"/>
              <w:right w:val="single" w:sz="12" w:space="0" w:color="80A1B6"/>
            </w:tcBorders>
            <w:vAlign w:val="center"/>
          </w:tcPr>
          <w:p w14:paraId="42453C8B"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24" w:type="pct"/>
            <w:tcBorders>
              <w:top w:val="nil"/>
              <w:left w:val="single" w:sz="12" w:space="0" w:color="80A1B6"/>
              <w:bottom w:val="single" w:sz="4" w:space="0" w:color="80A1B6"/>
              <w:right w:val="single" w:sz="12" w:space="0" w:color="80A1B6"/>
            </w:tcBorders>
            <w:vAlign w:val="center"/>
          </w:tcPr>
          <w:p w14:paraId="75306C9F"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78" w:type="pct"/>
            <w:tcBorders>
              <w:top w:val="nil"/>
              <w:left w:val="single" w:sz="12" w:space="0" w:color="80A1B6"/>
              <w:bottom w:val="single" w:sz="4" w:space="0" w:color="80A1B6"/>
              <w:right w:val="single" w:sz="12" w:space="0" w:color="80A1B6"/>
            </w:tcBorders>
            <w:vAlign w:val="center"/>
          </w:tcPr>
          <w:p w14:paraId="5DC3FE9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nil"/>
              <w:left w:val="single" w:sz="12" w:space="0" w:color="80A1B6"/>
              <w:bottom w:val="single" w:sz="4" w:space="0" w:color="80A1B6"/>
              <w:right w:val="single" w:sz="12" w:space="0" w:color="80A1B6"/>
            </w:tcBorders>
            <w:vAlign w:val="center"/>
          </w:tcPr>
          <w:p w14:paraId="430A667B"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79" w:type="pct"/>
            <w:tcBorders>
              <w:top w:val="nil"/>
              <w:left w:val="single" w:sz="12" w:space="0" w:color="80A1B6"/>
              <w:bottom w:val="single" w:sz="4" w:space="0" w:color="80A1B6"/>
              <w:right w:val="single" w:sz="12" w:space="0" w:color="80A1B6"/>
            </w:tcBorders>
            <w:shd w:val="clear" w:color="auto" w:fill="auto"/>
            <w:vAlign w:val="center"/>
          </w:tcPr>
          <w:p w14:paraId="010A5A0C"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nil"/>
              <w:left w:val="single" w:sz="12" w:space="0" w:color="80A1B6"/>
              <w:bottom w:val="single" w:sz="4" w:space="0" w:color="80A1B6"/>
              <w:right w:val="single" w:sz="12" w:space="0" w:color="80A1B6"/>
            </w:tcBorders>
            <w:shd w:val="clear" w:color="auto" w:fill="auto"/>
            <w:vAlign w:val="center"/>
          </w:tcPr>
          <w:p w14:paraId="052D3E47"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216" w:type="pct"/>
            <w:tcBorders>
              <w:top w:val="nil"/>
              <w:left w:val="single" w:sz="12" w:space="0" w:color="80A1B6"/>
              <w:bottom w:val="single" w:sz="4" w:space="0" w:color="80A1B6"/>
              <w:right w:val="single" w:sz="12" w:space="0" w:color="80A1B6"/>
            </w:tcBorders>
            <w:shd w:val="clear" w:color="auto" w:fill="auto"/>
            <w:vAlign w:val="center"/>
          </w:tcPr>
          <w:p w14:paraId="33BADAF3"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181" w:type="pct"/>
            <w:tcBorders>
              <w:top w:val="nil"/>
              <w:left w:val="single" w:sz="12" w:space="0" w:color="80A1B6"/>
              <w:bottom w:val="single" w:sz="4" w:space="0" w:color="80A1B6"/>
              <w:right w:val="single" w:sz="12" w:space="0" w:color="80A1B6"/>
            </w:tcBorders>
            <w:shd w:val="clear" w:color="auto" w:fill="auto"/>
            <w:vAlign w:val="center"/>
          </w:tcPr>
          <w:p w14:paraId="226E613F"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highlight w:val="yellow"/>
                <w:lang w:eastAsia="cs-CZ" w:bidi="hi-IN"/>
              </w:rPr>
            </w:pPr>
            <w:r w:rsidRPr="003B741B">
              <w:rPr>
                <w:rFonts w:ascii="Arial" w:eastAsia="Arial,Times New Roman" w:hAnsi="Arial" w:cs="Arial"/>
                <w:b/>
                <w:bCs/>
                <w:color w:val="365F91"/>
                <w:kern w:val="1"/>
                <w:sz w:val="14"/>
                <w:szCs w:val="14"/>
                <w:lang w:eastAsia="cs-CZ" w:bidi="hi-IN"/>
              </w:rPr>
              <w:t>X</w:t>
            </w:r>
          </w:p>
        </w:tc>
      </w:tr>
      <w:tr w:rsidR="003B741B" w:rsidRPr="003B741B" w14:paraId="35EE6908" w14:textId="77777777" w:rsidTr="009D08F2">
        <w:trPr>
          <w:trHeight w:val="567"/>
          <w:jc w:val="center"/>
        </w:trPr>
        <w:tc>
          <w:tcPr>
            <w:tcW w:w="64" w:type="pct"/>
            <w:vMerge/>
            <w:tcBorders>
              <w:left w:val="single" w:sz="12" w:space="0" w:color="80A1B6"/>
              <w:right w:val="single" w:sz="12" w:space="0" w:color="80A1B6"/>
            </w:tcBorders>
            <w:shd w:val="clear" w:color="auto" w:fill="76923C"/>
          </w:tcPr>
          <w:p w14:paraId="23A64D49" w14:textId="77777777" w:rsidR="003B741B" w:rsidRPr="003B741B" w:rsidRDefault="003B741B" w:rsidP="003B741B">
            <w:pPr>
              <w:suppressAutoHyphens/>
              <w:spacing w:after="0" w:line="240" w:lineRule="auto"/>
              <w:rPr>
                <w:rFonts w:ascii="Arial" w:eastAsia="Times New Roman" w:hAnsi="Arial" w:cs="Arial"/>
                <w:b/>
                <w:bCs/>
                <w:color w:val="FFFFFF"/>
                <w:kern w:val="1"/>
                <w:sz w:val="16"/>
                <w:szCs w:val="16"/>
                <w:lang w:eastAsia="cs-CZ" w:bidi="hi-IN"/>
              </w:rPr>
            </w:pPr>
          </w:p>
        </w:tc>
        <w:tc>
          <w:tcPr>
            <w:tcW w:w="134" w:type="pct"/>
            <w:vMerge/>
            <w:tcBorders>
              <w:left w:val="single" w:sz="12" w:space="0" w:color="80A1B6"/>
              <w:right w:val="single" w:sz="12" w:space="0" w:color="80A1B6"/>
            </w:tcBorders>
            <w:shd w:val="clear" w:color="auto" w:fill="C2D69B"/>
            <w:vAlign w:val="center"/>
          </w:tcPr>
          <w:p w14:paraId="3DEFC0F6" w14:textId="77777777" w:rsidR="003B741B" w:rsidRPr="003B741B" w:rsidRDefault="003B741B" w:rsidP="003B741B">
            <w:pPr>
              <w:suppressAutoHyphens/>
              <w:spacing w:after="0" w:line="240" w:lineRule="auto"/>
              <w:rPr>
                <w:rFonts w:ascii="Arial" w:eastAsia="Times New Roman" w:hAnsi="Arial" w:cs="Arial"/>
                <w:b/>
                <w:bCs/>
                <w:color w:val="365F91"/>
                <w:kern w:val="1"/>
                <w:sz w:val="16"/>
                <w:szCs w:val="16"/>
                <w:lang w:eastAsia="cs-CZ" w:bidi="hi-IN"/>
              </w:rPr>
            </w:pPr>
          </w:p>
        </w:tc>
        <w:tc>
          <w:tcPr>
            <w:tcW w:w="374" w:type="pct"/>
            <w:tcBorders>
              <w:top w:val="nil"/>
              <w:left w:val="single" w:sz="12" w:space="0" w:color="80A1B6"/>
              <w:bottom w:val="single" w:sz="4" w:space="0" w:color="80A1B6"/>
              <w:right w:val="single" w:sz="12" w:space="0" w:color="80A1B6"/>
            </w:tcBorders>
            <w:shd w:val="clear" w:color="auto" w:fill="D6E3BC"/>
            <w:vAlign w:val="center"/>
          </w:tcPr>
          <w:p w14:paraId="31CA763C" w14:textId="77777777" w:rsidR="003B741B" w:rsidRPr="003B741B" w:rsidRDefault="003B741B" w:rsidP="003B741B">
            <w:pPr>
              <w:suppressAutoHyphens/>
              <w:spacing w:after="0" w:line="240" w:lineRule="auto"/>
              <w:rPr>
                <w:rFonts w:ascii="Arial" w:eastAsia="Arial,Times New Roman" w:hAnsi="Arial" w:cs="Arial"/>
                <w:b/>
                <w:bCs/>
                <w:color w:val="365F91"/>
                <w:kern w:val="1"/>
                <w:sz w:val="16"/>
                <w:szCs w:val="16"/>
                <w:lang w:eastAsia="cs-CZ" w:bidi="hi-IN"/>
              </w:rPr>
            </w:pPr>
            <w:r w:rsidRPr="003B741B">
              <w:rPr>
                <w:rFonts w:ascii="Arial" w:eastAsia="Arial,Times New Roman" w:hAnsi="Arial" w:cs="Arial"/>
                <w:b/>
                <w:bCs/>
                <w:color w:val="365F91"/>
                <w:kern w:val="1"/>
                <w:sz w:val="16"/>
                <w:szCs w:val="16"/>
                <w:lang w:eastAsia="cs-CZ" w:bidi="hi-IN"/>
              </w:rPr>
              <w:t>Mikro a nanoelektronika</w:t>
            </w:r>
          </w:p>
        </w:tc>
        <w:tc>
          <w:tcPr>
            <w:tcW w:w="159" w:type="pct"/>
            <w:tcBorders>
              <w:top w:val="nil"/>
              <w:left w:val="single" w:sz="12" w:space="0" w:color="80A1B6"/>
              <w:bottom w:val="single" w:sz="4" w:space="0" w:color="80A1B6"/>
              <w:right w:val="single" w:sz="4" w:space="0" w:color="80A1B6"/>
            </w:tcBorders>
            <w:shd w:val="clear" w:color="auto" w:fill="auto"/>
            <w:vAlign w:val="center"/>
            <w:hideMark/>
          </w:tcPr>
          <w:p w14:paraId="3F269F9B"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4" w:type="pct"/>
            <w:tcBorders>
              <w:top w:val="single" w:sz="4" w:space="0" w:color="80A1B6"/>
              <w:left w:val="nil"/>
              <w:bottom w:val="single" w:sz="4" w:space="0" w:color="80A1B6"/>
              <w:right w:val="single" w:sz="4" w:space="0" w:color="80A1B6"/>
            </w:tcBorders>
            <w:shd w:val="clear" w:color="auto" w:fill="auto"/>
            <w:vAlign w:val="center"/>
            <w:hideMark/>
          </w:tcPr>
          <w:p w14:paraId="47C5E5E9"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54" w:type="pct"/>
            <w:tcBorders>
              <w:top w:val="nil"/>
              <w:left w:val="nil"/>
              <w:bottom w:val="single" w:sz="4" w:space="0" w:color="80A1B6"/>
              <w:right w:val="single" w:sz="12" w:space="0" w:color="80A1B6"/>
            </w:tcBorders>
            <w:shd w:val="clear" w:color="auto" w:fill="auto"/>
            <w:vAlign w:val="center"/>
            <w:hideMark/>
          </w:tcPr>
          <w:p w14:paraId="0E11E50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58" w:type="pct"/>
            <w:tcBorders>
              <w:top w:val="nil"/>
              <w:left w:val="single" w:sz="12" w:space="0" w:color="80A1B6"/>
              <w:bottom w:val="single" w:sz="4" w:space="0" w:color="80A1B6"/>
              <w:right w:val="single" w:sz="12" w:space="0" w:color="80A1B6"/>
            </w:tcBorders>
            <w:vAlign w:val="center"/>
          </w:tcPr>
          <w:p w14:paraId="5F8B042B"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732BD749"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49" w:type="pct"/>
            <w:tcBorders>
              <w:top w:val="nil"/>
              <w:left w:val="nil"/>
              <w:bottom w:val="single" w:sz="4" w:space="0" w:color="80A1B6"/>
              <w:right w:val="single" w:sz="12" w:space="0" w:color="80A1B6"/>
            </w:tcBorders>
            <w:shd w:val="clear" w:color="auto" w:fill="auto"/>
            <w:vAlign w:val="center"/>
            <w:hideMark/>
          </w:tcPr>
          <w:p w14:paraId="73EEFA69"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5" w:type="pct"/>
            <w:tcBorders>
              <w:top w:val="nil"/>
              <w:left w:val="single" w:sz="12" w:space="0" w:color="80A1B6"/>
              <w:bottom w:val="single" w:sz="4" w:space="0" w:color="80A1B6"/>
              <w:right w:val="single" w:sz="4" w:space="0" w:color="80A1B6"/>
            </w:tcBorders>
            <w:shd w:val="clear" w:color="auto" w:fill="auto"/>
            <w:vAlign w:val="center"/>
            <w:hideMark/>
          </w:tcPr>
          <w:p w14:paraId="320987C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6" w:type="pct"/>
            <w:tcBorders>
              <w:top w:val="nil"/>
              <w:left w:val="nil"/>
              <w:bottom w:val="single" w:sz="4" w:space="0" w:color="80A1B6"/>
              <w:right w:val="single" w:sz="4" w:space="0" w:color="80A1B6"/>
            </w:tcBorders>
            <w:shd w:val="clear" w:color="auto" w:fill="auto"/>
            <w:vAlign w:val="center"/>
            <w:hideMark/>
          </w:tcPr>
          <w:p w14:paraId="32A9C976"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8" w:type="pct"/>
            <w:tcBorders>
              <w:top w:val="nil"/>
              <w:left w:val="nil"/>
              <w:bottom w:val="single" w:sz="4" w:space="0" w:color="80A1B6"/>
              <w:right w:val="single" w:sz="12" w:space="0" w:color="80A1B6"/>
            </w:tcBorders>
            <w:shd w:val="clear" w:color="auto" w:fill="auto"/>
            <w:vAlign w:val="center"/>
            <w:hideMark/>
          </w:tcPr>
          <w:p w14:paraId="36A27F3F"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434" w:type="pct"/>
            <w:tcBorders>
              <w:top w:val="nil"/>
              <w:left w:val="single" w:sz="12" w:space="0" w:color="80A1B6"/>
              <w:bottom w:val="single" w:sz="4" w:space="0" w:color="80A1B6"/>
              <w:right w:val="single" w:sz="12" w:space="0" w:color="80A1B6"/>
            </w:tcBorders>
            <w:shd w:val="clear" w:color="auto" w:fill="auto"/>
            <w:vAlign w:val="center"/>
            <w:hideMark/>
          </w:tcPr>
          <w:p w14:paraId="12F8636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5E099C16"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8" w:type="pct"/>
            <w:tcBorders>
              <w:top w:val="nil"/>
              <w:left w:val="nil"/>
              <w:bottom w:val="single" w:sz="4" w:space="0" w:color="80A1B6"/>
              <w:right w:val="single" w:sz="12" w:space="0" w:color="80A1B6"/>
            </w:tcBorders>
            <w:shd w:val="clear" w:color="auto" w:fill="auto"/>
            <w:vAlign w:val="center"/>
            <w:hideMark/>
          </w:tcPr>
          <w:p w14:paraId="31B5F10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4" w:type="pct"/>
            <w:tcBorders>
              <w:top w:val="nil"/>
              <w:left w:val="single" w:sz="12" w:space="0" w:color="80A1B6"/>
              <w:bottom w:val="single" w:sz="4" w:space="0" w:color="80A1B6"/>
              <w:right w:val="single" w:sz="12" w:space="0" w:color="80A1B6"/>
            </w:tcBorders>
            <w:vAlign w:val="center"/>
          </w:tcPr>
          <w:p w14:paraId="2BEB7441"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55" w:type="pct"/>
            <w:tcBorders>
              <w:top w:val="nil"/>
              <w:left w:val="single" w:sz="12" w:space="0" w:color="80A1B6"/>
              <w:bottom w:val="single" w:sz="4" w:space="0" w:color="80A1B6"/>
              <w:right w:val="single" w:sz="12" w:space="0" w:color="80A1B6"/>
            </w:tcBorders>
            <w:vAlign w:val="center"/>
          </w:tcPr>
          <w:p w14:paraId="02D7A0A2"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24" w:type="pct"/>
            <w:tcBorders>
              <w:top w:val="nil"/>
              <w:left w:val="single" w:sz="12" w:space="0" w:color="80A1B6"/>
              <w:bottom w:val="single" w:sz="4" w:space="0" w:color="80A1B6"/>
              <w:right w:val="single" w:sz="12" w:space="0" w:color="80A1B6"/>
            </w:tcBorders>
            <w:vAlign w:val="center"/>
          </w:tcPr>
          <w:p w14:paraId="253A111D"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78" w:type="pct"/>
            <w:tcBorders>
              <w:top w:val="nil"/>
              <w:left w:val="single" w:sz="12" w:space="0" w:color="80A1B6"/>
              <w:bottom w:val="single" w:sz="4" w:space="0" w:color="80A1B6"/>
              <w:right w:val="single" w:sz="12" w:space="0" w:color="80A1B6"/>
            </w:tcBorders>
            <w:vAlign w:val="center"/>
          </w:tcPr>
          <w:p w14:paraId="3FAF4A19"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8" w:type="pct"/>
            <w:tcBorders>
              <w:top w:val="nil"/>
              <w:left w:val="single" w:sz="12" w:space="0" w:color="80A1B6"/>
              <w:bottom w:val="single" w:sz="4" w:space="0" w:color="80A1B6"/>
              <w:right w:val="single" w:sz="12" w:space="0" w:color="80A1B6"/>
            </w:tcBorders>
            <w:vAlign w:val="center"/>
          </w:tcPr>
          <w:p w14:paraId="42BA7347"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p>
        </w:tc>
        <w:tc>
          <w:tcPr>
            <w:tcW w:w="279" w:type="pct"/>
            <w:tcBorders>
              <w:top w:val="nil"/>
              <w:left w:val="single" w:sz="12" w:space="0" w:color="80A1B6"/>
              <w:bottom w:val="single" w:sz="4" w:space="0" w:color="80A1B6"/>
              <w:right w:val="single" w:sz="12" w:space="0" w:color="80A1B6"/>
            </w:tcBorders>
            <w:shd w:val="clear" w:color="auto" w:fill="auto"/>
            <w:vAlign w:val="center"/>
          </w:tcPr>
          <w:p w14:paraId="05E54E9A"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nil"/>
              <w:left w:val="single" w:sz="12" w:space="0" w:color="80A1B6"/>
              <w:bottom w:val="single" w:sz="4" w:space="0" w:color="80A1B6"/>
              <w:right w:val="single" w:sz="12" w:space="0" w:color="80A1B6"/>
            </w:tcBorders>
            <w:shd w:val="clear" w:color="auto" w:fill="auto"/>
            <w:vAlign w:val="center"/>
          </w:tcPr>
          <w:p w14:paraId="49051B53"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216" w:type="pct"/>
            <w:tcBorders>
              <w:top w:val="nil"/>
              <w:left w:val="single" w:sz="12" w:space="0" w:color="80A1B6"/>
              <w:bottom w:val="single" w:sz="4" w:space="0" w:color="80A1B6"/>
              <w:right w:val="single" w:sz="12" w:space="0" w:color="80A1B6"/>
            </w:tcBorders>
            <w:shd w:val="clear" w:color="auto" w:fill="auto"/>
            <w:vAlign w:val="center"/>
          </w:tcPr>
          <w:p w14:paraId="63F60D87"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181" w:type="pct"/>
            <w:tcBorders>
              <w:top w:val="nil"/>
              <w:left w:val="single" w:sz="12" w:space="0" w:color="80A1B6"/>
              <w:bottom w:val="single" w:sz="4" w:space="0" w:color="80A1B6"/>
              <w:right w:val="single" w:sz="12" w:space="0" w:color="80A1B6"/>
            </w:tcBorders>
            <w:shd w:val="clear" w:color="auto" w:fill="auto"/>
            <w:vAlign w:val="center"/>
          </w:tcPr>
          <w:p w14:paraId="7171CDBB"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highlight w:val="yellow"/>
                <w:lang w:eastAsia="cs-CZ" w:bidi="hi-IN"/>
              </w:rPr>
            </w:pPr>
            <w:r w:rsidRPr="003B741B">
              <w:rPr>
                <w:rFonts w:ascii="Arial" w:eastAsia="Arial,Times New Roman" w:hAnsi="Arial" w:cs="Arial"/>
                <w:b/>
                <w:bCs/>
                <w:color w:val="365F91"/>
                <w:kern w:val="1"/>
                <w:sz w:val="14"/>
                <w:szCs w:val="14"/>
                <w:lang w:eastAsia="cs-CZ" w:bidi="hi-IN"/>
              </w:rPr>
              <w:t>X</w:t>
            </w:r>
          </w:p>
        </w:tc>
      </w:tr>
      <w:tr w:rsidR="003B741B" w:rsidRPr="003B741B" w14:paraId="6CC042F7" w14:textId="77777777" w:rsidTr="009D08F2">
        <w:trPr>
          <w:trHeight w:val="567"/>
          <w:jc w:val="center"/>
        </w:trPr>
        <w:tc>
          <w:tcPr>
            <w:tcW w:w="64" w:type="pct"/>
            <w:vMerge/>
            <w:tcBorders>
              <w:left w:val="single" w:sz="12" w:space="0" w:color="80A1B6"/>
              <w:right w:val="single" w:sz="12" w:space="0" w:color="80A1B6"/>
            </w:tcBorders>
            <w:shd w:val="clear" w:color="auto" w:fill="76923C"/>
          </w:tcPr>
          <w:p w14:paraId="1640398A" w14:textId="77777777" w:rsidR="003B741B" w:rsidRPr="003B741B" w:rsidRDefault="003B741B" w:rsidP="003B741B">
            <w:pPr>
              <w:suppressAutoHyphens/>
              <w:spacing w:after="0" w:line="240" w:lineRule="auto"/>
              <w:rPr>
                <w:rFonts w:ascii="Arial" w:eastAsia="Times New Roman" w:hAnsi="Arial" w:cs="Arial"/>
                <w:b/>
                <w:bCs/>
                <w:color w:val="FFFFFF"/>
                <w:kern w:val="1"/>
                <w:sz w:val="16"/>
                <w:szCs w:val="16"/>
                <w:lang w:eastAsia="cs-CZ" w:bidi="hi-IN"/>
              </w:rPr>
            </w:pPr>
          </w:p>
        </w:tc>
        <w:tc>
          <w:tcPr>
            <w:tcW w:w="134" w:type="pct"/>
            <w:vMerge/>
            <w:tcBorders>
              <w:left w:val="single" w:sz="12" w:space="0" w:color="80A1B6"/>
              <w:right w:val="single" w:sz="12" w:space="0" w:color="80A1B6"/>
            </w:tcBorders>
            <w:shd w:val="clear" w:color="auto" w:fill="C2D69B"/>
            <w:vAlign w:val="center"/>
          </w:tcPr>
          <w:p w14:paraId="38EC309C" w14:textId="77777777" w:rsidR="003B741B" w:rsidRPr="003B741B" w:rsidRDefault="003B741B" w:rsidP="003B741B">
            <w:pPr>
              <w:suppressAutoHyphens/>
              <w:spacing w:after="0" w:line="240" w:lineRule="auto"/>
              <w:rPr>
                <w:rFonts w:ascii="Arial" w:eastAsia="Times New Roman" w:hAnsi="Arial" w:cs="Arial"/>
                <w:b/>
                <w:bCs/>
                <w:color w:val="365F91"/>
                <w:kern w:val="1"/>
                <w:sz w:val="16"/>
                <w:szCs w:val="16"/>
                <w:lang w:eastAsia="cs-CZ" w:bidi="hi-IN"/>
              </w:rPr>
            </w:pPr>
          </w:p>
        </w:tc>
        <w:tc>
          <w:tcPr>
            <w:tcW w:w="374" w:type="pct"/>
            <w:tcBorders>
              <w:top w:val="nil"/>
              <w:left w:val="single" w:sz="12" w:space="0" w:color="80A1B6"/>
              <w:bottom w:val="single" w:sz="4" w:space="0" w:color="80A1B6"/>
              <w:right w:val="single" w:sz="12" w:space="0" w:color="80A1B6"/>
            </w:tcBorders>
            <w:shd w:val="clear" w:color="auto" w:fill="D6E3BC"/>
            <w:vAlign w:val="center"/>
          </w:tcPr>
          <w:p w14:paraId="5811A377" w14:textId="77777777" w:rsidR="003B741B" w:rsidRPr="003B741B" w:rsidRDefault="003B741B" w:rsidP="003B741B">
            <w:pPr>
              <w:suppressAutoHyphens/>
              <w:spacing w:after="0" w:line="240" w:lineRule="auto"/>
              <w:rPr>
                <w:rFonts w:ascii="Arial" w:eastAsia="Arial,Times New Roman" w:hAnsi="Arial" w:cs="Arial"/>
                <w:b/>
                <w:bCs/>
                <w:color w:val="365F91"/>
                <w:kern w:val="1"/>
                <w:sz w:val="16"/>
                <w:szCs w:val="16"/>
                <w:lang w:eastAsia="cs-CZ" w:bidi="hi-IN"/>
              </w:rPr>
            </w:pPr>
            <w:r w:rsidRPr="003B741B">
              <w:rPr>
                <w:rFonts w:ascii="Arial" w:eastAsia="Arial,Times New Roman" w:hAnsi="Arial" w:cs="Arial"/>
                <w:b/>
                <w:bCs/>
                <w:color w:val="365F91"/>
                <w:kern w:val="1"/>
                <w:sz w:val="16"/>
                <w:szCs w:val="16"/>
                <w:lang w:eastAsia="cs-CZ" w:bidi="hi-IN"/>
              </w:rPr>
              <w:t>Pokročilé výrobní technologie</w:t>
            </w:r>
          </w:p>
        </w:tc>
        <w:tc>
          <w:tcPr>
            <w:tcW w:w="159" w:type="pct"/>
            <w:tcBorders>
              <w:top w:val="nil"/>
              <w:left w:val="single" w:sz="12" w:space="0" w:color="80A1B6"/>
              <w:bottom w:val="single" w:sz="4" w:space="0" w:color="80A1B6"/>
              <w:right w:val="single" w:sz="4" w:space="0" w:color="80A1B6"/>
            </w:tcBorders>
            <w:shd w:val="clear" w:color="auto" w:fill="auto"/>
            <w:vAlign w:val="center"/>
            <w:hideMark/>
          </w:tcPr>
          <w:p w14:paraId="37B9016B"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4" w:type="pct"/>
            <w:tcBorders>
              <w:top w:val="single" w:sz="4" w:space="0" w:color="80A1B6"/>
              <w:left w:val="nil"/>
              <w:bottom w:val="single" w:sz="4" w:space="0" w:color="80A1B6"/>
              <w:right w:val="single" w:sz="4" w:space="0" w:color="80A1B6"/>
            </w:tcBorders>
            <w:shd w:val="clear" w:color="auto" w:fill="auto"/>
            <w:vAlign w:val="center"/>
            <w:hideMark/>
          </w:tcPr>
          <w:p w14:paraId="4F784302"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4" w:type="pct"/>
            <w:tcBorders>
              <w:top w:val="nil"/>
              <w:left w:val="nil"/>
              <w:bottom w:val="single" w:sz="4" w:space="0" w:color="80A1B6"/>
              <w:right w:val="single" w:sz="12" w:space="0" w:color="80A1B6"/>
            </w:tcBorders>
            <w:shd w:val="clear" w:color="auto" w:fill="auto"/>
            <w:vAlign w:val="center"/>
            <w:hideMark/>
          </w:tcPr>
          <w:p w14:paraId="53AF7519"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8" w:type="pct"/>
            <w:tcBorders>
              <w:top w:val="nil"/>
              <w:left w:val="single" w:sz="12" w:space="0" w:color="80A1B6"/>
              <w:bottom w:val="single" w:sz="4" w:space="0" w:color="80A1B6"/>
              <w:right w:val="single" w:sz="12" w:space="0" w:color="80A1B6"/>
            </w:tcBorders>
            <w:vAlign w:val="center"/>
          </w:tcPr>
          <w:p w14:paraId="0D2C23F7"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716C7313"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49" w:type="pct"/>
            <w:tcBorders>
              <w:top w:val="nil"/>
              <w:left w:val="nil"/>
              <w:bottom w:val="single" w:sz="4" w:space="0" w:color="80A1B6"/>
              <w:right w:val="single" w:sz="12" w:space="0" w:color="80A1B6"/>
            </w:tcBorders>
            <w:shd w:val="clear" w:color="auto" w:fill="auto"/>
            <w:vAlign w:val="center"/>
            <w:hideMark/>
          </w:tcPr>
          <w:p w14:paraId="6887908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5" w:type="pct"/>
            <w:tcBorders>
              <w:top w:val="nil"/>
              <w:left w:val="single" w:sz="12" w:space="0" w:color="80A1B6"/>
              <w:bottom w:val="single" w:sz="4" w:space="0" w:color="80A1B6"/>
              <w:right w:val="single" w:sz="4" w:space="0" w:color="80A1B6"/>
            </w:tcBorders>
            <w:shd w:val="clear" w:color="auto" w:fill="auto"/>
            <w:vAlign w:val="center"/>
            <w:hideMark/>
          </w:tcPr>
          <w:p w14:paraId="33C01875"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6" w:type="pct"/>
            <w:tcBorders>
              <w:top w:val="nil"/>
              <w:left w:val="nil"/>
              <w:bottom w:val="single" w:sz="4" w:space="0" w:color="80A1B6"/>
              <w:right w:val="single" w:sz="4" w:space="0" w:color="80A1B6"/>
            </w:tcBorders>
            <w:shd w:val="clear" w:color="auto" w:fill="auto"/>
            <w:vAlign w:val="center"/>
            <w:hideMark/>
          </w:tcPr>
          <w:p w14:paraId="6B7707AF"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nil"/>
              <w:left w:val="nil"/>
              <w:bottom w:val="single" w:sz="4" w:space="0" w:color="80A1B6"/>
              <w:right w:val="single" w:sz="12" w:space="0" w:color="80A1B6"/>
            </w:tcBorders>
            <w:shd w:val="clear" w:color="auto" w:fill="auto"/>
            <w:vAlign w:val="center"/>
            <w:hideMark/>
          </w:tcPr>
          <w:p w14:paraId="506EB3D8"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434" w:type="pct"/>
            <w:tcBorders>
              <w:top w:val="nil"/>
              <w:left w:val="single" w:sz="12" w:space="0" w:color="80A1B6"/>
              <w:bottom w:val="single" w:sz="4" w:space="0" w:color="80A1B6"/>
              <w:right w:val="single" w:sz="12" w:space="0" w:color="80A1B6"/>
            </w:tcBorders>
            <w:shd w:val="clear" w:color="auto" w:fill="auto"/>
            <w:vAlign w:val="center"/>
            <w:hideMark/>
          </w:tcPr>
          <w:p w14:paraId="41F63545"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1D665CB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nil"/>
              <w:left w:val="nil"/>
              <w:bottom w:val="single" w:sz="4" w:space="0" w:color="80A1B6"/>
              <w:right w:val="single" w:sz="12" w:space="0" w:color="80A1B6"/>
            </w:tcBorders>
            <w:shd w:val="clear" w:color="auto" w:fill="auto"/>
            <w:vAlign w:val="center"/>
            <w:hideMark/>
          </w:tcPr>
          <w:p w14:paraId="7AFF278D"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4" w:type="pct"/>
            <w:tcBorders>
              <w:top w:val="nil"/>
              <w:left w:val="single" w:sz="12" w:space="0" w:color="80A1B6"/>
              <w:bottom w:val="single" w:sz="4" w:space="0" w:color="80A1B6"/>
              <w:right w:val="single" w:sz="12" w:space="0" w:color="80A1B6"/>
            </w:tcBorders>
            <w:vAlign w:val="center"/>
          </w:tcPr>
          <w:p w14:paraId="299D34F9"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5" w:type="pct"/>
            <w:tcBorders>
              <w:top w:val="nil"/>
              <w:left w:val="single" w:sz="12" w:space="0" w:color="80A1B6"/>
              <w:bottom w:val="single" w:sz="4" w:space="0" w:color="80A1B6"/>
              <w:right w:val="single" w:sz="12" w:space="0" w:color="80A1B6"/>
            </w:tcBorders>
            <w:vAlign w:val="center"/>
          </w:tcPr>
          <w:p w14:paraId="0F060BE7"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24" w:type="pct"/>
            <w:tcBorders>
              <w:top w:val="nil"/>
              <w:left w:val="single" w:sz="12" w:space="0" w:color="80A1B6"/>
              <w:bottom w:val="single" w:sz="4" w:space="0" w:color="80A1B6"/>
              <w:right w:val="single" w:sz="12" w:space="0" w:color="80A1B6"/>
            </w:tcBorders>
            <w:vAlign w:val="center"/>
          </w:tcPr>
          <w:p w14:paraId="76034F6B"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78" w:type="pct"/>
            <w:tcBorders>
              <w:top w:val="nil"/>
              <w:left w:val="single" w:sz="12" w:space="0" w:color="80A1B6"/>
              <w:bottom w:val="single" w:sz="4" w:space="0" w:color="80A1B6"/>
              <w:right w:val="single" w:sz="12" w:space="0" w:color="80A1B6"/>
            </w:tcBorders>
            <w:vAlign w:val="center"/>
          </w:tcPr>
          <w:p w14:paraId="780AA60B"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nil"/>
              <w:left w:val="single" w:sz="12" w:space="0" w:color="80A1B6"/>
              <w:bottom w:val="single" w:sz="4" w:space="0" w:color="80A1B6"/>
              <w:right w:val="single" w:sz="12" w:space="0" w:color="80A1B6"/>
            </w:tcBorders>
            <w:vAlign w:val="center"/>
          </w:tcPr>
          <w:p w14:paraId="4B90DCAC"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79" w:type="pct"/>
            <w:tcBorders>
              <w:top w:val="nil"/>
              <w:left w:val="single" w:sz="12" w:space="0" w:color="80A1B6"/>
              <w:bottom w:val="single" w:sz="4" w:space="0" w:color="80A1B6"/>
              <w:right w:val="single" w:sz="12" w:space="0" w:color="80A1B6"/>
            </w:tcBorders>
            <w:shd w:val="clear" w:color="auto" w:fill="auto"/>
            <w:vAlign w:val="center"/>
          </w:tcPr>
          <w:p w14:paraId="0F6E82E3"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nil"/>
              <w:left w:val="single" w:sz="12" w:space="0" w:color="80A1B6"/>
              <w:bottom w:val="single" w:sz="4" w:space="0" w:color="80A1B6"/>
              <w:right w:val="single" w:sz="12" w:space="0" w:color="80A1B6"/>
            </w:tcBorders>
            <w:shd w:val="clear" w:color="auto" w:fill="auto"/>
            <w:vAlign w:val="center"/>
          </w:tcPr>
          <w:p w14:paraId="1D9FEE1F"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216" w:type="pct"/>
            <w:tcBorders>
              <w:top w:val="nil"/>
              <w:left w:val="single" w:sz="12" w:space="0" w:color="80A1B6"/>
              <w:bottom w:val="single" w:sz="4" w:space="0" w:color="80A1B6"/>
              <w:right w:val="single" w:sz="12" w:space="0" w:color="80A1B6"/>
            </w:tcBorders>
            <w:shd w:val="clear" w:color="auto" w:fill="auto"/>
            <w:vAlign w:val="center"/>
          </w:tcPr>
          <w:p w14:paraId="1B7EE2D2"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181" w:type="pct"/>
            <w:tcBorders>
              <w:top w:val="nil"/>
              <w:left w:val="single" w:sz="12" w:space="0" w:color="80A1B6"/>
              <w:bottom w:val="single" w:sz="4" w:space="0" w:color="80A1B6"/>
              <w:right w:val="single" w:sz="12" w:space="0" w:color="80A1B6"/>
            </w:tcBorders>
            <w:shd w:val="clear" w:color="auto" w:fill="auto"/>
            <w:vAlign w:val="center"/>
          </w:tcPr>
          <w:p w14:paraId="6DD057AC"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highlight w:val="yellow"/>
                <w:lang w:eastAsia="cs-CZ" w:bidi="hi-IN"/>
              </w:rPr>
            </w:pPr>
            <w:r w:rsidRPr="003B741B">
              <w:rPr>
                <w:rFonts w:ascii="Arial" w:eastAsia="Arial,Times New Roman" w:hAnsi="Arial" w:cs="Arial"/>
                <w:b/>
                <w:bCs/>
                <w:color w:val="365F91"/>
                <w:kern w:val="1"/>
                <w:sz w:val="14"/>
                <w:szCs w:val="14"/>
                <w:lang w:eastAsia="cs-CZ" w:bidi="hi-IN"/>
              </w:rPr>
              <w:t>X</w:t>
            </w:r>
          </w:p>
        </w:tc>
      </w:tr>
      <w:tr w:rsidR="003B741B" w:rsidRPr="003B741B" w14:paraId="64BAE145" w14:textId="77777777" w:rsidTr="009D08F2">
        <w:trPr>
          <w:trHeight w:val="567"/>
          <w:jc w:val="center"/>
        </w:trPr>
        <w:tc>
          <w:tcPr>
            <w:tcW w:w="64" w:type="pct"/>
            <w:vMerge/>
            <w:tcBorders>
              <w:left w:val="single" w:sz="12" w:space="0" w:color="80A1B6"/>
              <w:right w:val="single" w:sz="12" w:space="0" w:color="80A1B6"/>
            </w:tcBorders>
            <w:shd w:val="clear" w:color="auto" w:fill="76923C"/>
          </w:tcPr>
          <w:p w14:paraId="26D5E3B6" w14:textId="77777777" w:rsidR="003B741B" w:rsidRPr="003B741B" w:rsidRDefault="003B741B" w:rsidP="003B741B">
            <w:pPr>
              <w:suppressAutoHyphens/>
              <w:spacing w:after="0" w:line="240" w:lineRule="auto"/>
              <w:rPr>
                <w:rFonts w:ascii="Arial" w:eastAsia="Times New Roman" w:hAnsi="Arial" w:cs="Arial"/>
                <w:b/>
                <w:bCs/>
                <w:color w:val="FFFFFF"/>
                <w:kern w:val="1"/>
                <w:sz w:val="16"/>
                <w:szCs w:val="16"/>
                <w:lang w:eastAsia="cs-CZ" w:bidi="hi-IN"/>
              </w:rPr>
            </w:pPr>
          </w:p>
        </w:tc>
        <w:tc>
          <w:tcPr>
            <w:tcW w:w="134" w:type="pct"/>
            <w:vMerge/>
            <w:tcBorders>
              <w:left w:val="single" w:sz="12" w:space="0" w:color="80A1B6"/>
              <w:right w:val="single" w:sz="12" w:space="0" w:color="80A1B6"/>
            </w:tcBorders>
            <w:shd w:val="clear" w:color="auto" w:fill="C2D69B"/>
            <w:vAlign w:val="center"/>
          </w:tcPr>
          <w:p w14:paraId="768D78D5" w14:textId="77777777" w:rsidR="003B741B" w:rsidRPr="003B741B" w:rsidRDefault="003B741B" w:rsidP="003B741B">
            <w:pPr>
              <w:suppressAutoHyphens/>
              <w:spacing w:after="0" w:line="240" w:lineRule="auto"/>
              <w:rPr>
                <w:rFonts w:ascii="Arial" w:eastAsia="Times New Roman" w:hAnsi="Arial" w:cs="Arial"/>
                <w:b/>
                <w:bCs/>
                <w:color w:val="365F91"/>
                <w:kern w:val="1"/>
                <w:sz w:val="16"/>
                <w:szCs w:val="16"/>
                <w:lang w:eastAsia="cs-CZ" w:bidi="hi-IN"/>
              </w:rPr>
            </w:pPr>
          </w:p>
        </w:tc>
        <w:tc>
          <w:tcPr>
            <w:tcW w:w="374" w:type="pct"/>
            <w:tcBorders>
              <w:top w:val="nil"/>
              <w:left w:val="single" w:sz="12" w:space="0" w:color="80A1B6"/>
              <w:bottom w:val="single" w:sz="4" w:space="0" w:color="80A1B6"/>
              <w:right w:val="single" w:sz="12" w:space="0" w:color="80A1B6"/>
            </w:tcBorders>
            <w:shd w:val="clear" w:color="auto" w:fill="D6E3BC"/>
            <w:vAlign w:val="center"/>
          </w:tcPr>
          <w:p w14:paraId="2C617AAB" w14:textId="77777777" w:rsidR="003B741B" w:rsidRPr="003B741B" w:rsidRDefault="003B741B" w:rsidP="003B741B">
            <w:pPr>
              <w:suppressAutoHyphens/>
              <w:spacing w:after="0" w:line="240" w:lineRule="auto"/>
              <w:rPr>
                <w:rFonts w:ascii="Arial" w:eastAsia="Arial,Times New Roman" w:hAnsi="Arial" w:cs="Arial"/>
                <w:b/>
                <w:bCs/>
                <w:color w:val="365F91"/>
                <w:kern w:val="1"/>
                <w:sz w:val="16"/>
                <w:szCs w:val="16"/>
                <w:lang w:eastAsia="cs-CZ" w:bidi="hi-IN"/>
              </w:rPr>
            </w:pPr>
            <w:r w:rsidRPr="003B741B">
              <w:rPr>
                <w:rFonts w:ascii="Arial" w:eastAsia="Arial,Times New Roman" w:hAnsi="Arial" w:cs="Arial"/>
                <w:b/>
                <w:bCs/>
                <w:color w:val="365F91"/>
                <w:kern w:val="1"/>
                <w:sz w:val="16"/>
                <w:szCs w:val="16"/>
                <w:lang w:eastAsia="cs-CZ" w:bidi="hi-IN"/>
              </w:rPr>
              <w:t>Fotonika</w:t>
            </w:r>
          </w:p>
        </w:tc>
        <w:tc>
          <w:tcPr>
            <w:tcW w:w="159" w:type="pct"/>
            <w:tcBorders>
              <w:top w:val="nil"/>
              <w:left w:val="single" w:sz="12" w:space="0" w:color="80A1B6"/>
              <w:bottom w:val="single" w:sz="4" w:space="0" w:color="80A1B6"/>
              <w:right w:val="single" w:sz="4" w:space="0" w:color="80A1B6"/>
            </w:tcBorders>
            <w:shd w:val="clear" w:color="auto" w:fill="auto"/>
            <w:vAlign w:val="center"/>
            <w:hideMark/>
          </w:tcPr>
          <w:p w14:paraId="32ABAC3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4" w:type="pct"/>
            <w:tcBorders>
              <w:top w:val="single" w:sz="4" w:space="0" w:color="80A1B6"/>
              <w:left w:val="nil"/>
              <w:bottom w:val="single" w:sz="4" w:space="0" w:color="80A1B6"/>
              <w:right w:val="single" w:sz="4" w:space="0" w:color="80A1B6"/>
            </w:tcBorders>
            <w:shd w:val="clear" w:color="auto" w:fill="auto"/>
            <w:vAlign w:val="center"/>
            <w:hideMark/>
          </w:tcPr>
          <w:p w14:paraId="7EF9A4DF"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54" w:type="pct"/>
            <w:tcBorders>
              <w:top w:val="nil"/>
              <w:left w:val="nil"/>
              <w:bottom w:val="single" w:sz="4" w:space="0" w:color="80A1B6"/>
              <w:right w:val="single" w:sz="12" w:space="0" w:color="80A1B6"/>
            </w:tcBorders>
            <w:shd w:val="clear" w:color="auto" w:fill="auto"/>
            <w:vAlign w:val="center"/>
            <w:hideMark/>
          </w:tcPr>
          <w:p w14:paraId="4A36ED6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8" w:type="pct"/>
            <w:tcBorders>
              <w:top w:val="nil"/>
              <w:left w:val="single" w:sz="12" w:space="0" w:color="80A1B6"/>
              <w:bottom w:val="single" w:sz="4" w:space="0" w:color="80A1B6"/>
              <w:right w:val="single" w:sz="12" w:space="0" w:color="80A1B6"/>
            </w:tcBorders>
            <w:vAlign w:val="center"/>
          </w:tcPr>
          <w:p w14:paraId="383D9182"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2D03F7F4"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49" w:type="pct"/>
            <w:tcBorders>
              <w:top w:val="nil"/>
              <w:left w:val="nil"/>
              <w:bottom w:val="single" w:sz="4" w:space="0" w:color="80A1B6"/>
              <w:right w:val="single" w:sz="12" w:space="0" w:color="80A1B6"/>
            </w:tcBorders>
            <w:shd w:val="clear" w:color="auto" w:fill="auto"/>
            <w:vAlign w:val="center"/>
            <w:hideMark/>
          </w:tcPr>
          <w:p w14:paraId="0C4C094F"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5" w:type="pct"/>
            <w:tcBorders>
              <w:top w:val="nil"/>
              <w:left w:val="single" w:sz="12" w:space="0" w:color="80A1B6"/>
              <w:bottom w:val="single" w:sz="4" w:space="0" w:color="80A1B6"/>
              <w:right w:val="single" w:sz="4" w:space="0" w:color="80A1B6"/>
            </w:tcBorders>
            <w:shd w:val="clear" w:color="auto" w:fill="auto"/>
            <w:vAlign w:val="center"/>
            <w:hideMark/>
          </w:tcPr>
          <w:p w14:paraId="5C0DE1FB"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6" w:type="pct"/>
            <w:tcBorders>
              <w:top w:val="nil"/>
              <w:left w:val="nil"/>
              <w:bottom w:val="single" w:sz="4" w:space="0" w:color="80A1B6"/>
              <w:right w:val="single" w:sz="4" w:space="0" w:color="80A1B6"/>
            </w:tcBorders>
            <w:shd w:val="clear" w:color="auto" w:fill="auto"/>
            <w:vAlign w:val="center"/>
            <w:hideMark/>
          </w:tcPr>
          <w:p w14:paraId="1BA34290"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8" w:type="pct"/>
            <w:tcBorders>
              <w:top w:val="nil"/>
              <w:left w:val="nil"/>
              <w:bottom w:val="single" w:sz="4" w:space="0" w:color="80A1B6"/>
              <w:right w:val="single" w:sz="12" w:space="0" w:color="80A1B6"/>
            </w:tcBorders>
            <w:shd w:val="clear" w:color="auto" w:fill="auto"/>
            <w:vAlign w:val="center"/>
            <w:hideMark/>
          </w:tcPr>
          <w:p w14:paraId="613D42C3"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434" w:type="pct"/>
            <w:tcBorders>
              <w:top w:val="nil"/>
              <w:left w:val="single" w:sz="12" w:space="0" w:color="80A1B6"/>
              <w:bottom w:val="single" w:sz="4" w:space="0" w:color="80A1B6"/>
              <w:right w:val="single" w:sz="12" w:space="0" w:color="80A1B6"/>
            </w:tcBorders>
            <w:shd w:val="clear" w:color="auto" w:fill="auto"/>
            <w:vAlign w:val="center"/>
            <w:hideMark/>
          </w:tcPr>
          <w:p w14:paraId="0637126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09C8B70F"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8" w:type="pct"/>
            <w:tcBorders>
              <w:top w:val="nil"/>
              <w:left w:val="nil"/>
              <w:bottom w:val="single" w:sz="4" w:space="0" w:color="80A1B6"/>
              <w:right w:val="single" w:sz="12" w:space="0" w:color="80A1B6"/>
            </w:tcBorders>
            <w:shd w:val="clear" w:color="auto" w:fill="auto"/>
            <w:vAlign w:val="center"/>
            <w:hideMark/>
          </w:tcPr>
          <w:p w14:paraId="7423672E"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4" w:type="pct"/>
            <w:tcBorders>
              <w:top w:val="nil"/>
              <w:left w:val="single" w:sz="12" w:space="0" w:color="80A1B6"/>
              <w:bottom w:val="single" w:sz="4" w:space="0" w:color="80A1B6"/>
              <w:right w:val="single" w:sz="12" w:space="0" w:color="80A1B6"/>
            </w:tcBorders>
            <w:vAlign w:val="center"/>
          </w:tcPr>
          <w:p w14:paraId="0D3A3A6A"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55" w:type="pct"/>
            <w:tcBorders>
              <w:top w:val="nil"/>
              <w:left w:val="single" w:sz="12" w:space="0" w:color="80A1B6"/>
              <w:bottom w:val="single" w:sz="4" w:space="0" w:color="80A1B6"/>
              <w:right w:val="single" w:sz="12" w:space="0" w:color="80A1B6"/>
            </w:tcBorders>
            <w:vAlign w:val="center"/>
          </w:tcPr>
          <w:p w14:paraId="0DDF9ACD"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24" w:type="pct"/>
            <w:tcBorders>
              <w:top w:val="nil"/>
              <w:left w:val="single" w:sz="12" w:space="0" w:color="80A1B6"/>
              <w:bottom w:val="single" w:sz="4" w:space="0" w:color="80A1B6"/>
              <w:right w:val="single" w:sz="12" w:space="0" w:color="80A1B6"/>
            </w:tcBorders>
            <w:vAlign w:val="center"/>
          </w:tcPr>
          <w:p w14:paraId="564256FB"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78" w:type="pct"/>
            <w:tcBorders>
              <w:top w:val="nil"/>
              <w:left w:val="single" w:sz="12" w:space="0" w:color="80A1B6"/>
              <w:bottom w:val="single" w:sz="4" w:space="0" w:color="80A1B6"/>
              <w:right w:val="single" w:sz="12" w:space="0" w:color="80A1B6"/>
            </w:tcBorders>
            <w:vAlign w:val="center"/>
          </w:tcPr>
          <w:p w14:paraId="4A0FB0FA"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8" w:type="pct"/>
            <w:tcBorders>
              <w:top w:val="nil"/>
              <w:left w:val="single" w:sz="12" w:space="0" w:color="80A1B6"/>
              <w:bottom w:val="single" w:sz="4" w:space="0" w:color="80A1B6"/>
              <w:right w:val="single" w:sz="12" w:space="0" w:color="80A1B6"/>
            </w:tcBorders>
            <w:vAlign w:val="center"/>
          </w:tcPr>
          <w:p w14:paraId="57053FD6"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p>
        </w:tc>
        <w:tc>
          <w:tcPr>
            <w:tcW w:w="279" w:type="pct"/>
            <w:tcBorders>
              <w:top w:val="nil"/>
              <w:left w:val="single" w:sz="12" w:space="0" w:color="80A1B6"/>
              <w:bottom w:val="single" w:sz="4" w:space="0" w:color="80A1B6"/>
              <w:right w:val="single" w:sz="12" w:space="0" w:color="80A1B6"/>
            </w:tcBorders>
            <w:shd w:val="clear" w:color="auto" w:fill="auto"/>
            <w:vAlign w:val="center"/>
          </w:tcPr>
          <w:p w14:paraId="7F6EC67C"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nil"/>
              <w:left w:val="single" w:sz="12" w:space="0" w:color="80A1B6"/>
              <w:bottom w:val="single" w:sz="4" w:space="0" w:color="80A1B6"/>
              <w:right w:val="single" w:sz="12" w:space="0" w:color="80A1B6"/>
            </w:tcBorders>
            <w:shd w:val="clear" w:color="auto" w:fill="auto"/>
            <w:vAlign w:val="center"/>
          </w:tcPr>
          <w:p w14:paraId="57C189C4"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216" w:type="pct"/>
            <w:tcBorders>
              <w:top w:val="nil"/>
              <w:left w:val="single" w:sz="12" w:space="0" w:color="80A1B6"/>
              <w:bottom w:val="single" w:sz="4" w:space="0" w:color="80A1B6"/>
              <w:right w:val="single" w:sz="12" w:space="0" w:color="80A1B6"/>
            </w:tcBorders>
            <w:shd w:val="clear" w:color="auto" w:fill="auto"/>
            <w:vAlign w:val="center"/>
          </w:tcPr>
          <w:p w14:paraId="36CF14D2"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181" w:type="pct"/>
            <w:tcBorders>
              <w:top w:val="nil"/>
              <w:left w:val="single" w:sz="12" w:space="0" w:color="80A1B6"/>
              <w:bottom w:val="single" w:sz="4" w:space="0" w:color="80A1B6"/>
              <w:right w:val="single" w:sz="12" w:space="0" w:color="80A1B6"/>
            </w:tcBorders>
            <w:shd w:val="clear" w:color="auto" w:fill="auto"/>
            <w:vAlign w:val="center"/>
          </w:tcPr>
          <w:p w14:paraId="415E965A"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highlight w:val="yellow"/>
                <w:lang w:eastAsia="cs-CZ" w:bidi="hi-IN"/>
              </w:rPr>
            </w:pPr>
            <w:r w:rsidRPr="003B741B">
              <w:rPr>
                <w:rFonts w:ascii="Arial" w:eastAsia="Arial,Times New Roman" w:hAnsi="Arial" w:cs="Arial"/>
                <w:b/>
                <w:bCs/>
                <w:color w:val="365F91"/>
                <w:kern w:val="1"/>
                <w:sz w:val="14"/>
                <w:szCs w:val="14"/>
                <w:lang w:eastAsia="cs-CZ" w:bidi="hi-IN"/>
              </w:rPr>
              <w:t>X</w:t>
            </w:r>
          </w:p>
        </w:tc>
      </w:tr>
      <w:tr w:rsidR="003B741B" w:rsidRPr="003B741B" w14:paraId="385B6280" w14:textId="77777777" w:rsidTr="009D08F2">
        <w:trPr>
          <w:trHeight w:val="480"/>
          <w:jc w:val="center"/>
        </w:trPr>
        <w:tc>
          <w:tcPr>
            <w:tcW w:w="64" w:type="pct"/>
            <w:vMerge/>
            <w:tcBorders>
              <w:left w:val="single" w:sz="12" w:space="0" w:color="80A1B6"/>
              <w:right w:val="single" w:sz="12" w:space="0" w:color="80A1B6"/>
            </w:tcBorders>
            <w:shd w:val="clear" w:color="auto" w:fill="76923C"/>
          </w:tcPr>
          <w:p w14:paraId="70610774" w14:textId="77777777" w:rsidR="003B741B" w:rsidRPr="003B741B" w:rsidRDefault="003B741B" w:rsidP="003B741B">
            <w:pPr>
              <w:suppressAutoHyphens/>
              <w:spacing w:after="0" w:line="240" w:lineRule="auto"/>
              <w:rPr>
                <w:rFonts w:ascii="Arial" w:eastAsia="Times New Roman" w:hAnsi="Arial" w:cs="Arial"/>
                <w:b/>
                <w:bCs/>
                <w:color w:val="FFFFFF"/>
                <w:kern w:val="1"/>
                <w:sz w:val="16"/>
                <w:szCs w:val="16"/>
                <w:lang w:eastAsia="cs-CZ" w:bidi="hi-IN"/>
              </w:rPr>
            </w:pPr>
          </w:p>
        </w:tc>
        <w:tc>
          <w:tcPr>
            <w:tcW w:w="134" w:type="pct"/>
            <w:vMerge/>
            <w:tcBorders>
              <w:left w:val="single" w:sz="12" w:space="0" w:color="80A1B6"/>
              <w:bottom w:val="single" w:sz="12" w:space="0" w:color="95B3D7"/>
              <w:right w:val="single" w:sz="12" w:space="0" w:color="80A1B6"/>
            </w:tcBorders>
            <w:shd w:val="clear" w:color="auto" w:fill="C2D69B"/>
            <w:vAlign w:val="center"/>
          </w:tcPr>
          <w:p w14:paraId="5567E2DA" w14:textId="77777777" w:rsidR="003B741B" w:rsidRPr="003B741B" w:rsidRDefault="003B741B" w:rsidP="003B741B">
            <w:pPr>
              <w:suppressAutoHyphens/>
              <w:spacing w:after="0" w:line="240" w:lineRule="auto"/>
              <w:rPr>
                <w:rFonts w:ascii="Arial" w:eastAsia="Times New Roman" w:hAnsi="Arial" w:cs="Arial"/>
                <w:b/>
                <w:bCs/>
                <w:color w:val="365F91"/>
                <w:kern w:val="1"/>
                <w:sz w:val="16"/>
                <w:szCs w:val="16"/>
                <w:lang w:eastAsia="cs-CZ" w:bidi="hi-IN"/>
              </w:rPr>
            </w:pPr>
          </w:p>
        </w:tc>
        <w:tc>
          <w:tcPr>
            <w:tcW w:w="374" w:type="pct"/>
            <w:tcBorders>
              <w:top w:val="nil"/>
              <w:left w:val="single" w:sz="12" w:space="0" w:color="80A1B6"/>
              <w:bottom w:val="single" w:sz="12" w:space="0" w:color="95B3D7"/>
              <w:right w:val="single" w:sz="12" w:space="0" w:color="80A1B6"/>
            </w:tcBorders>
            <w:shd w:val="clear" w:color="auto" w:fill="D6E3BC"/>
            <w:vAlign w:val="center"/>
          </w:tcPr>
          <w:p w14:paraId="0D76ACD3" w14:textId="77777777" w:rsidR="003B741B" w:rsidRPr="003B741B" w:rsidRDefault="003B741B" w:rsidP="003B741B">
            <w:pPr>
              <w:suppressAutoHyphens/>
              <w:spacing w:after="0" w:line="240" w:lineRule="auto"/>
              <w:rPr>
                <w:rFonts w:ascii="Arial" w:eastAsia="Arial,Times New Roman" w:hAnsi="Arial" w:cs="Arial"/>
                <w:b/>
                <w:bCs/>
                <w:color w:val="365F91"/>
                <w:kern w:val="1"/>
                <w:sz w:val="16"/>
                <w:szCs w:val="16"/>
                <w:lang w:eastAsia="cs-CZ" w:bidi="hi-IN"/>
              </w:rPr>
            </w:pPr>
            <w:r w:rsidRPr="003B741B">
              <w:rPr>
                <w:rFonts w:ascii="Arial" w:eastAsia="Arial,Times New Roman" w:hAnsi="Arial" w:cs="Arial"/>
                <w:b/>
                <w:bCs/>
                <w:color w:val="365F91"/>
                <w:kern w:val="1"/>
                <w:sz w:val="16"/>
                <w:szCs w:val="16"/>
                <w:lang w:eastAsia="cs-CZ" w:bidi="hi-IN"/>
              </w:rPr>
              <w:t>Průmyslové biotechnologie</w:t>
            </w:r>
          </w:p>
        </w:tc>
        <w:tc>
          <w:tcPr>
            <w:tcW w:w="159" w:type="pct"/>
            <w:tcBorders>
              <w:top w:val="nil"/>
              <w:left w:val="single" w:sz="12" w:space="0" w:color="80A1B6"/>
              <w:bottom w:val="single" w:sz="4" w:space="0" w:color="80A1B6"/>
              <w:right w:val="single" w:sz="4" w:space="0" w:color="80A1B6"/>
            </w:tcBorders>
            <w:shd w:val="clear" w:color="auto" w:fill="auto"/>
            <w:vAlign w:val="center"/>
            <w:hideMark/>
          </w:tcPr>
          <w:p w14:paraId="1CD0D626"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54" w:type="pct"/>
            <w:tcBorders>
              <w:top w:val="single" w:sz="4" w:space="0" w:color="80A1B6"/>
              <w:left w:val="nil"/>
              <w:bottom w:val="single" w:sz="4" w:space="0" w:color="80A1B6"/>
              <w:right w:val="single" w:sz="4" w:space="0" w:color="80A1B6"/>
            </w:tcBorders>
            <w:shd w:val="clear" w:color="auto" w:fill="auto"/>
            <w:vAlign w:val="center"/>
            <w:hideMark/>
          </w:tcPr>
          <w:p w14:paraId="12B42BD3"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54" w:type="pct"/>
            <w:tcBorders>
              <w:top w:val="nil"/>
              <w:left w:val="nil"/>
              <w:bottom w:val="single" w:sz="4" w:space="0" w:color="80A1B6"/>
              <w:right w:val="single" w:sz="12" w:space="0" w:color="80A1B6"/>
            </w:tcBorders>
            <w:shd w:val="clear" w:color="auto" w:fill="auto"/>
            <w:vAlign w:val="center"/>
            <w:hideMark/>
          </w:tcPr>
          <w:p w14:paraId="25020416"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58" w:type="pct"/>
            <w:tcBorders>
              <w:top w:val="nil"/>
              <w:left w:val="single" w:sz="12" w:space="0" w:color="80A1B6"/>
              <w:bottom w:val="single" w:sz="4" w:space="0" w:color="80A1B6"/>
              <w:right w:val="single" w:sz="12" w:space="0" w:color="80A1B6"/>
            </w:tcBorders>
            <w:vAlign w:val="center"/>
          </w:tcPr>
          <w:p w14:paraId="59638FF0"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5B95E31F"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49" w:type="pct"/>
            <w:tcBorders>
              <w:top w:val="nil"/>
              <w:left w:val="nil"/>
              <w:bottom w:val="single" w:sz="4" w:space="0" w:color="80A1B6"/>
              <w:right w:val="single" w:sz="12" w:space="0" w:color="80A1B6"/>
            </w:tcBorders>
            <w:shd w:val="clear" w:color="auto" w:fill="auto"/>
            <w:vAlign w:val="center"/>
            <w:hideMark/>
          </w:tcPr>
          <w:p w14:paraId="2036FC8C"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5" w:type="pct"/>
            <w:tcBorders>
              <w:top w:val="nil"/>
              <w:left w:val="single" w:sz="12" w:space="0" w:color="80A1B6"/>
              <w:bottom w:val="single" w:sz="4" w:space="0" w:color="80A1B6"/>
              <w:right w:val="single" w:sz="4" w:space="0" w:color="80A1B6"/>
            </w:tcBorders>
            <w:shd w:val="clear" w:color="auto" w:fill="auto"/>
            <w:vAlign w:val="center"/>
            <w:hideMark/>
          </w:tcPr>
          <w:p w14:paraId="788349FE"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6" w:type="pct"/>
            <w:tcBorders>
              <w:top w:val="nil"/>
              <w:left w:val="nil"/>
              <w:bottom w:val="single" w:sz="4" w:space="0" w:color="80A1B6"/>
              <w:right w:val="single" w:sz="4" w:space="0" w:color="80A1B6"/>
            </w:tcBorders>
            <w:shd w:val="clear" w:color="auto" w:fill="auto"/>
            <w:vAlign w:val="center"/>
            <w:hideMark/>
          </w:tcPr>
          <w:p w14:paraId="5FBA8BE2"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8" w:type="pct"/>
            <w:tcBorders>
              <w:top w:val="nil"/>
              <w:left w:val="nil"/>
              <w:bottom w:val="single" w:sz="4" w:space="0" w:color="80A1B6"/>
              <w:right w:val="single" w:sz="12" w:space="0" w:color="80A1B6"/>
            </w:tcBorders>
            <w:shd w:val="clear" w:color="auto" w:fill="auto"/>
            <w:vAlign w:val="center"/>
            <w:hideMark/>
          </w:tcPr>
          <w:p w14:paraId="12954BA0"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434" w:type="pct"/>
            <w:tcBorders>
              <w:top w:val="nil"/>
              <w:left w:val="single" w:sz="12" w:space="0" w:color="80A1B6"/>
              <w:bottom w:val="single" w:sz="4" w:space="0" w:color="80A1B6"/>
              <w:right w:val="single" w:sz="12" w:space="0" w:color="80A1B6"/>
            </w:tcBorders>
            <w:shd w:val="clear" w:color="auto" w:fill="auto"/>
            <w:vAlign w:val="center"/>
            <w:hideMark/>
          </w:tcPr>
          <w:p w14:paraId="0482E988"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2D45C6EC"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8" w:type="pct"/>
            <w:tcBorders>
              <w:top w:val="nil"/>
              <w:left w:val="nil"/>
              <w:bottom w:val="single" w:sz="4" w:space="0" w:color="80A1B6"/>
              <w:right w:val="single" w:sz="12" w:space="0" w:color="80A1B6"/>
            </w:tcBorders>
            <w:shd w:val="clear" w:color="auto" w:fill="auto"/>
            <w:vAlign w:val="center"/>
            <w:hideMark/>
          </w:tcPr>
          <w:p w14:paraId="68ED0E45"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84" w:type="pct"/>
            <w:tcBorders>
              <w:top w:val="nil"/>
              <w:left w:val="single" w:sz="12" w:space="0" w:color="80A1B6"/>
              <w:bottom w:val="single" w:sz="4" w:space="0" w:color="80A1B6"/>
              <w:right w:val="single" w:sz="12" w:space="0" w:color="80A1B6"/>
            </w:tcBorders>
            <w:vAlign w:val="center"/>
          </w:tcPr>
          <w:p w14:paraId="6949524B"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5" w:type="pct"/>
            <w:tcBorders>
              <w:top w:val="nil"/>
              <w:left w:val="single" w:sz="12" w:space="0" w:color="80A1B6"/>
              <w:bottom w:val="single" w:sz="4" w:space="0" w:color="80A1B6"/>
              <w:right w:val="single" w:sz="12" w:space="0" w:color="80A1B6"/>
            </w:tcBorders>
            <w:vAlign w:val="center"/>
          </w:tcPr>
          <w:p w14:paraId="3CE6F04C"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24" w:type="pct"/>
            <w:tcBorders>
              <w:top w:val="nil"/>
              <w:left w:val="single" w:sz="12" w:space="0" w:color="80A1B6"/>
              <w:bottom w:val="single" w:sz="4" w:space="0" w:color="80A1B6"/>
              <w:right w:val="single" w:sz="12" w:space="0" w:color="80A1B6"/>
            </w:tcBorders>
            <w:vAlign w:val="center"/>
          </w:tcPr>
          <w:p w14:paraId="029D606A"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78" w:type="pct"/>
            <w:tcBorders>
              <w:top w:val="nil"/>
              <w:left w:val="single" w:sz="12" w:space="0" w:color="80A1B6"/>
              <w:bottom w:val="single" w:sz="4" w:space="0" w:color="80A1B6"/>
              <w:right w:val="single" w:sz="12" w:space="0" w:color="80A1B6"/>
            </w:tcBorders>
            <w:vAlign w:val="center"/>
          </w:tcPr>
          <w:p w14:paraId="6A887CF3"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nil"/>
              <w:left w:val="single" w:sz="12" w:space="0" w:color="80A1B6"/>
              <w:bottom w:val="single" w:sz="4" w:space="0" w:color="80A1B6"/>
              <w:right w:val="single" w:sz="12" w:space="0" w:color="80A1B6"/>
            </w:tcBorders>
            <w:vAlign w:val="center"/>
          </w:tcPr>
          <w:p w14:paraId="112E6A32"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79" w:type="pct"/>
            <w:tcBorders>
              <w:top w:val="nil"/>
              <w:left w:val="single" w:sz="12" w:space="0" w:color="80A1B6"/>
              <w:bottom w:val="single" w:sz="4" w:space="0" w:color="80A1B6"/>
              <w:right w:val="single" w:sz="12" w:space="0" w:color="80A1B6"/>
            </w:tcBorders>
            <w:shd w:val="clear" w:color="auto" w:fill="auto"/>
            <w:vAlign w:val="center"/>
          </w:tcPr>
          <w:p w14:paraId="3CACCA92"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nil"/>
              <w:left w:val="single" w:sz="12" w:space="0" w:color="80A1B6"/>
              <w:bottom w:val="single" w:sz="4" w:space="0" w:color="80A1B6"/>
              <w:right w:val="single" w:sz="12" w:space="0" w:color="80A1B6"/>
            </w:tcBorders>
            <w:shd w:val="clear" w:color="auto" w:fill="auto"/>
            <w:vAlign w:val="center"/>
          </w:tcPr>
          <w:p w14:paraId="4BE404AD"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216" w:type="pct"/>
            <w:tcBorders>
              <w:top w:val="nil"/>
              <w:left w:val="single" w:sz="12" w:space="0" w:color="80A1B6"/>
              <w:bottom w:val="single" w:sz="4" w:space="0" w:color="80A1B6"/>
              <w:right w:val="single" w:sz="12" w:space="0" w:color="80A1B6"/>
            </w:tcBorders>
            <w:shd w:val="clear" w:color="auto" w:fill="auto"/>
            <w:vAlign w:val="center"/>
          </w:tcPr>
          <w:p w14:paraId="05943F30"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181" w:type="pct"/>
            <w:tcBorders>
              <w:top w:val="nil"/>
              <w:left w:val="single" w:sz="12" w:space="0" w:color="80A1B6"/>
              <w:bottom w:val="single" w:sz="4" w:space="0" w:color="80A1B6"/>
              <w:right w:val="single" w:sz="12" w:space="0" w:color="80A1B6"/>
            </w:tcBorders>
            <w:shd w:val="clear" w:color="auto" w:fill="auto"/>
            <w:vAlign w:val="center"/>
          </w:tcPr>
          <w:p w14:paraId="2348BBDA"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highlight w:val="yellow"/>
                <w:lang w:eastAsia="cs-CZ" w:bidi="hi-IN"/>
              </w:rPr>
            </w:pPr>
            <w:r w:rsidRPr="003B741B">
              <w:rPr>
                <w:rFonts w:ascii="Arial" w:eastAsia="Arial,Times New Roman" w:hAnsi="Arial" w:cs="Arial"/>
                <w:b/>
                <w:bCs/>
                <w:color w:val="365F91"/>
                <w:kern w:val="1"/>
                <w:sz w:val="14"/>
                <w:szCs w:val="14"/>
                <w:lang w:eastAsia="cs-CZ" w:bidi="hi-IN"/>
              </w:rPr>
              <w:t>X</w:t>
            </w:r>
          </w:p>
        </w:tc>
      </w:tr>
      <w:tr w:rsidR="003B741B" w:rsidRPr="003B741B" w14:paraId="545FC8E4" w14:textId="77777777" w:rsidTr="003B741B">
        <w:trPr>
          <w:trHeight w:val="751"/>
          <w:jc w:val="center"/>
        </w:trPr>
        <w:tc>
          <w:tcPr>
            <w:tcW w:w="64" w:type="pct"/>
            <w:vMerge/>
            <w:tcBorders>
              <w:left w:val="single" w:sz="12" w:space="0" w:color="80A1B6"/>
              <w:right w:val="single" w:sz="12" w:space="0" w:color="80A1B6"/>
            </w:tcBorders>
            <w:shd w:val="clear" w:color="auto" w:fill="76923C"/>
          </w:tcPr>
          <w:p w14:paraId="24DEAD35" w14:textId="77777777" w:rsidR="003B741B" w:rsidRPr="003B741B" w:rsidRDefault="003B741B" w:rsidP="003B741B">
            <w:pPr>
              <w:suppressAutoHyphens/>
              <w:spacing w:after="0" w:line="240" w:lineRule="auto"/>
              <w:rPr>
                <w:rFonts w:ascii="Arial" w:eastAsia="Times New Roman" w:hAnsi="Arial" w:cs="Arial"/>
                <w:b/>
                <w:color w:val="FFFFFF"/>
                <w:kern w:val="1"/>
                <w:sz w:val="16"/>
                <w:szCs w:val="16"/>
                <w:lang w:eastAsia="cs-CZ" w:bidi="hi-IN"/>
              </w:rPr>
            </w:pPr>
          </w:p>
        </w:tc>
        <w:tc>
          <w:tcPr>
            <w:tcW w:w="134" w:type="pct"/>
            <w:vMerge w:val="restart"/>
            <w:tcBorders>
              <w:top w:val="single" w:sz="12" w:space="0" w:color="95B3D7"/>
              <w:left w:val="single" w:sz="12" w:space="0" w:color="80A1B6"/>
              <w:right w:val="single" w:sz="12" w:space="0" w:color="80A1B6"/>
            </w:tcBorders>
            <w:shd w:val="clear" w:color="auto" w:fill="CCC0D9"/>
            <w:textDirection w:val="btLr"/>
            <w:vAlign w:val="center"/>
            <w:hideMark/>
          </w:tcPr>
          <w:p w14:paraId="0DA78287" w14:textId="77777777" w:rsidR="003B741B" w:rsidRPr="003B741B" w:rsidRDefault="003B741B" w:rsidP="003B741B">
            <w:pPr>
              <w:suppressAutoHyphens/>
              <w:spacing w:after="0" w:line="240" w:lineRule="auto"/>
              <w:ind w:left="113" w:right="113"/>
              <w:rPr>
                <w:rFonts w:ascii="Arial" w:eastAsia="Arial,Times New Roman" w:hAnsi="Arial" w:cs="Arial"/>
                <w:b/>
                <w:bCs/>
                <w:color w:val="365F91"/>
                <w:kern w:val="1"/>
                <w:sz w:val="16"/>
                <w:szCs w:val="16"/>
                <w:lang w:eastAsia="cs-CZ" w:bidi="hi-IN"/>
              </w:rPr>
            </w:pPr>
            <w:r w:rsidRPr="003B741B">
              <w:rPr>
                <w:rFonts w:ascii="Arial" w:eastAsia="Arial,Times New Roman" w:hAnsi="Arial" w:cs="Arial"/>
                <w:b/>
                <w:bCs/>
                <w:color w:val="365F91"/>
                <w:kern w:val="1"/>
                <w:sz w:val="16"/>
                <w:szCs w:val="16"/>
                <w:lang w:eastAsia="cs-CZ" w:bidi="hi-IN"/>
              </w:rPr>
              <w:t>Netechnologické znalostní domény</w:t>
            </w:r>
          </w:p>
        </w:tc>
        <w:tc>
          <w:tcPr>
            <w:tcW w:w="374" w:type="pct"/>
            <w:tcBorders>
              <w:top w:val="single" w:sz="12" w:space="0" w:color="95B3D7"/>
              <w:left w:val="single" w:sz="12" w:space="0" w:color="80A1B6"/>
              <w:right w:val="single" w:sz="12" w:space="0" w:color="80A1B6"/>
            </w:tcBorders>
            <w:shd w:val="clear" w:color="auto" w:fill="CCC0D9"/>
            <w:vAlign w:val="center"/>
          </w:tcPr>
          <w:p w14:paraId="6E473853" w14:textId="5B021DCB" w:rsidR="003B741B" w:rsidRPr="003B741B" w:rsidRDefault="003B741B" w:rsidP="00E33387">
            <w:pPr>
              <w:suppressAutoHyphens/>
              <w:spacing w:after="0" w:line="240" w:lineRule="auto"/>
              <w:rPr>
                <w:rFonts w:ascii="Arial" w:eastAsia="Arial,Times New Roman" w:hAnsi="Arial" w:cs="Arial"/>
                <w:b/>
                <w:bCs/>
                <w:color w:val="365F91"/>
                <w:kern w:val="1"/>
                <w:sz w:val="16"/>
                <w:szCs w:val="16"/>
                <w:lang w:eastAsia="cs-CZ" w:bidi="hi-IN"/>
              </w:rPr>
            </w:pPr>
            <w:r w:rsidRPr="003B741B">
              <w:rPr>
                <w:rFonts w:ascii="Arial" w:eastAsia="Arial,Times New Roman" w:hAnsi="Arial" w:cs="Arial"/>
                <w:b/>
                <w:bCs/>
                <w:color w:val="365F91"/>
                <w:kern w:val="1"/>
                <w:sz w:val="16"/>
                <w:szCs w:val="16"/>
                <w:lang w:eastAsia="cs-CZ" w:bidi="hi-IN"/>
              </w:rPr>
              <w:t xml:space="preserve">Znalosti pro digitální ekonomiku, kulturní a kreativní </w:t>
            </w:r>
            <w:r w:rsidR="00E33387">
              <w:rPr>
                <w:rFonts w:ascii="Arial" w:eastAsia="Arial,Times New Roman" w:hAnsi="Arial" w:cs="Arial"/>
                <w:b/>
                <w:bCs/>
                <w:color w:val="365F91"/>
                <w:kern w:val="1"/>
                <w:sz w:val="16"/>
                <w:szCs w:val="16"/>
                <w:lang w:eastAsia="cs-CZ" w:bidi="hi-IN"/>
              </w:rPr>
              <w:t>odvětví</w:t>
            </w:r>
            <w:r w:rsidRPr="003B741B">
              <w:rPr>
                <w:rFonts w:ascii="Arial" w:eastAsia="Arial,Times New Roman" w:hAnsi="Arial" w:cs="Arial"/>
                <w:b/>
                <w:bCs/>
                <w:color w:val="365F91"/>
                <w:kern w:val="1"/>
                <w:sz w:val="16"/>
                <w:szCs w:val="16"/>
                <w:lang w:eastAsia="cs-CZ" w:bidi="hi-IN"/>
              </w:rPr>
              <w:t>l</w:t>
            </w:r>
          </w:p>
        </w:tc>
        <w:tc>
          <w:tcPr>
            <w:tcW w:w="159" w:type="pct"/>
            <w:tcBorders>
              <w:top w:val="nil"/>
              <w:left w:val="single" w:sz="12" w:space="0" w:color="80A1B6"/>
              <w:bottom w:val="single" w:sz="4" w:space="0" w:color="80A1B6"/>
              <w:right w:val="single" w:sz="4" w:space="0" w:color="80A1B6"/>
            </w:tcBorders>
            <w:shd w:val="clear" w:color="auto" w:fill="auto"/>
            <w:vAlign w:val="center"/>
            <w:hideMark/>
          </w:tcPr>
          <w:p w14:paraId="3D48CCB3"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54" w:type="pct"/>
            <w:tcBorders>
              <w:top w:val="single" w:sz="4" w:space="0" w:color="80A1B6"/>
              <w:left w:val="single" w:sz="4" w:space="0" w:color="80A1B6"/>
              <w:bottom w:val="single" w:sz="4" w:space="0" w:color="80A1B6"/>
              <w:right w:val="single" w:sz="4" w:space="0" w:color="80A1B6"/>
            </w:tcBorders>
            <w:shd w:val="clear" w:color="auto" w:fill="auto"/>
            <w:vAlign w:val="center"/>
            <w:hideMark/>
          </w:tcPr>
          <w:p w14:paraId="2CE1D54E"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54" w:type="pct"/>
            <w:tcBorders>
              <w:top w:val="nil"/>
              <w:left w:val="single" w:sz="4" w:space="0" w:color="80A1B6"/>
              <w:bottom w:val="single" w:sz="4" w:space="0" w:color="80A1B6"/>
              <w:right w:val="single" w:sz="12" w:space="0" w:color="80A1B6"/>
            </w:tcBorders>
            <w:shd w:val="clear" w:color="auto" w:fill="auto"/>
            <w:vAlign w:val="center"/>
            <w:hideMark/>
          </w:tcPr>
          <w:p w14:paraId="6EC0E8DA"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58" w:type="pct"/>
            <w:tcBorders>
              <w:top w:val="nil"/>
              <w:left w:val="single" w:sz="12" w:space="0" w:color="80A1B6"/>
              <w:bottom w:val="single" w:sz="4" w:space="0" w:color="80A1B6"/>
              <w:right w:val="single" w:sz="12" w:space="0" w:color="80A1B6"/>
            </w:tcBorders>
            <w:vAlign w:val="center"/>
          </w:tcPr>
          <w:p w14:paraId="79B1D307"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nil"/>
              <w:left w:val="single" w:sz="12" w:space="0" w:color="80A1B6"/>
              <w:bottom w:val="single" w:sz="4" w:space="0" w:color="80A1B6"/>
              <w:right w:val="single" w:sz="4" w:space="0" w:color="80A1B6"/>
            </w:tcBorders>
            <w:shd w:val="clear" w:color="auto" w:fill="auto"/>
            <w:vAlign w:val="center"/>
            <w:hideMark/>
          </w:tcPr>
          <w:p w14:paraId="35F999AC"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49" w:type="pct"/>
            <w:tcBorders>
              <w:top w:val="nil"/>
              <w:left w:val="single" w:sz="4" w:space="0" w:color="80A1B6"/>
              <w:bottom w:val="single" w:sz="4" w:space="0" w:color="80A1B6"/>
              <w:right w:val="single" w:sz="12" w:space="0" w:color="80A1B6"/>
            </w:tcBorders>
            <w:shd w:val="clear" w:color="auto" w:fill="auto"/>
            <w:vAlign w:val="center"/>
            <w:hideMark/>
          </w:tcPr>
          <w:p w14:paraId="4389252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5" w:type="pct"/>
            <w:tcBorders>
              <w:top w:val="nil"/>
              <w:left w:val="single" w:sz="12" w:space="0" w:color="80A1B6"/>
              <w:bottom w:val="single" w:sz="4" w:space="0" w:color="80A1B6"/>
              <w:right w:val="single" w:sz="4" w:space="0" w:color="80A1B6"/>
            </w:tcBorders>
            <w:shd w:val="clear" w:color="auto" w:fill="auto"/>
            <w:vAlign w:val="center"/>
            <w:hideMark/>
          </w:tcPr>
          <w:p w14:paraId="7F629EC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6" w:type="pct"/>
            <w:tcBorders>
              <w:top w:val="nil"/>
              <w:left w:val="single" w:sz="4" w:space="0" w:color="80A1B6"/>
              <w:bottom w:val="single" w:sz="4" w:space="0" w:color="80A1B6"/>
              <w:right w:val="single" w:sz="4" w:space="0" w:color="80A1B6"/>
            </w:tcBorders>
            <w:shd w:val="clear" w:color="auto" w:fill="auto"/>
            <w:vAlign w:val="center"/>
            <w:hideMark/>
          </w:tcPr>
          <w:p w14:paraId="057159AA"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8" w:type="pct"/>
            <w:tcBorders>
              <w:top w:val="nil"/>
              <w:left w:val="single" w:sz="4" w:space="0" w:color="80A1B6"/>
              <w:right w:val="single" w:sz="12" w:space="0" w:color="80A1B6"/>
            </w:tcBorders>
            <w:shd w:val="clear" w:color="auto" w:fill="auto"/>
            <w:vAlign w:val="center"/>
            <w:hideMark/>
          </w:tcPr>
          <w:p w14:paraId="6889727F"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434" w:type="pct"/>
            <w:tcBorders>
              <w:top w:val="nil"/>
              <w:left w:val="single" w:sz="12" w:space="0" w:color="80A1B6"/>
              <w:bottom w:val="single" w:sz="4" w:space="0" w:color="80A1B6"/>
              <w:right w:val="single" w:sz="12" w:space="0" w:color="80A1B6"/>
            </w:tcBorders>
            <w:shd w:val="clear" w:color="auto" w:fill="auto"/>
            <w:vAlign w:val="center"/>
            <w:hideMark/>
          </w:tcPr>
          <w:p w14:paraId="7BFA64A0"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nil"/>
              <w:left w:val="single" w:sz="12" w:space="0" w:color="80A1B6"/>
              <w:right w:val="single" w:sz="4" w:space="0" w:color="80A1B6"/>
            </w:tcBorders>
            <w:shd w:val="clear" w:color="auto" w:fill="auto"/>
            <w:vAlign w:val="center"/>
            <w:hideMark/>
          </w:tcPr>
          <w:p w14:paraId="4FF33CF1"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8" w:type="pct"/>
            <w:tcBorders>
              <w:top w:val="nil"/>
              <w:left w:val="single" w:sz="4" w:space="0" w:color="80A1B6"/>
              <w:bottom w:val="single" w:sz="4" w:space="0" w:color="80A1B6"/>
              <w:right w:val="single" w:sz="12" w:space="0" w:color="80A1B6"/>
            </w:tcBorders>
            <w:shd w:val="clear" w:color="auto" w:fill="auto"/>
            <w:vAlign w:val="center"/>
            <w:hideMark/>
          </w:tcPr>
          <w:p w14:paraId="4175DC44"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4" w:type="pct"/>
            <w:tcBorders>
              <w:top w:val="nil"/>
              <w:left w:val="single" w:sz="12" w:space="0" w:color="80A1B6"/>
              <w:bottom w:val="single" w:sz="4" w:space="0" w:color="80A1B6"/>
              <w:right w:val="single" w:sz="12" w:space="0" w:color="80A1B6"/>
            </w:tcBorders>
          </w:tcPr>
          <w:p w14:paraId="618FFA10"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highlight w:val="green"/>
                <w:lang w:eastAsia="cs-CZ" w:bidi="hi-IN"/>
              </w:rPr>
            </w:pPr>
          </w:p>
        </w:tc>
        <w:tc>
          <w:tcPr>
            <w:tcW w:w="155" w:type="pct"/>
            <w:tcBorders>
              <w:top w:val="nil"/>
              <w:left w:val="single" w:sz="12" w:space="0" w:color="80A1B6"/>
              <w:bottom w:val="single" w:sz="4" w:space="0" w:color="80A1B6"/>
              <w:right w:val="single" w:sz="12" w:space="0" w:color="80A1B6"/>
            </w:tcBorders>
            <w:vAlign w:val="center"/>
          </w:tcPr>
          <w:p w14:paraId="6B791E16"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24" w:type="pct"/>
            <w:tcBorders>
              <w:top w:val="nil"/>
              <w:left w:val="single" w:sz="12" w:space="0" w:color="80A1B6"/>
              <w:bottom w:val="single" w:sz="4" w:space="0" w:color="80A1B6"/>
              <w:right w:val="single" w:sz="12" w:space="0" w:color="80A1B6"/>
            </w:tcBorders>
            <w:vAlign w:val="center"/>
          </w:tcPr>
          <w:p w14:paraId="20842FE0"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78" w:type="pct"/>
            <w:tcBorders>
              <w:top w:val="nil"/>
              <w:left w:val="single" w:sz="12" w:space="0" w:color="80A1B6"/>
              <w:bottom w:val="single" w:sz="4" w:space="0" w:color="80A1B6"/>
              <w:right w:val="single" w:sz="12" w:space="0" w:color="80A1B6"/>
            </w:tcBorders>
            <w:vAlign w:val="center"/>
          </w:tcPr>
          <w:p w14:paraId="0A2D5DD9"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8" w:type="pct"/>
            <w:tcBorders>
              <w:top w:val="nil"/>
              <w:left w:val="single" w:sz="12" w:space="0" w:color="80A1B6"/>
              <w:bottom w:val="single" w:sz="4" w:space="0" w:color="80A1B6"/>
              <w:right w:val="single" w:sz="12" w:space="0" w:color="80A1B6"/>
            </w:tcBorders>
            <w:vAlign w:val="center"/>
          </w:tcPr>
          <w:p w14:paraId="09760D86"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p>
        </w:tc>
        <w:tc>
          <w:tcPr>
            <w:tcW w:w="279" w:type="pct"/>
            <w:tcBorders>
              <w:top w:val="nil"/>
              <w:left w:val="single" w:sz="12" w:space="0" w:color="80A1B6"/>
              <w:bottom w:val="single" w:sz="4" w:space="0" w:color="80A1B6"/>
              <w:right w:val="single" w:sz="12" w:space="0" w:color="80A1B6"/>
            </w:tcBorders>
            <w:shd w:val="clear" w:color="auto" w:fill="auto"/>
            <w:vAlign w:val="center"/>
          </w:tcPr>
          <w:p w14:paraId="10F1904B"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nil"/>
              <w:left w:val="single" w:sz="12" w:space="0" w:color="80A1B6"/>
              <w:bottom w:val="single" w:sz="4" w:space="0" w:color="80A1B6"/>
              <w:right w:val="single" w:sz="12" w:space="0" w:color="80A1B6"/>
            </w:tcBorders>
            <w:shd w:val="clear" w:color="auto" w:fill="auto"/>
            <w:vAlign w:val="center"/>
          </w:tcPr>
          <w:p w14:paraId="1E395315"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216" w:type="pct"/>
            <w:tcBorders>
              <w:top w:val="nil"/>
              <w:left w:val="single" w:sz="12" w:space="0" w:color="80A1B6"/>
              <w:bottom w:val="single" w:sz="4" w:space="0" w:color="80A1B6"/>
              <w:right w:val="single" w:sz="12" w:space="0" w:color="80A1B6"/>
            </w:tcBorders>
            <w:shd w:val="clear" w:color="auto" w:fill="auto"/>
            <w:vAlign w:val="center"/>
          </w:tcPr>
          <w:p w14:paraId="18350B32"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181" w:type="pct"/>
            <w:tcBorders>
              <w:top w:val="nil"/>
              <w:left w:val="single" w:sz="12" w:space="0" w:color="80A1B6"/>
              <w:bottom w:val="single" w:sz="4" w:space="0" w:color="80A1B6"/>
              <w:right w:val="single" w:sz="12" w:space="0" w:color="80A1B6"/>
            </w:tcBorders>
            <w:shd w:val="clear" w:color="auto" w:fill="auto"/>
            <w:vAlign w:val="center"/>
          </w:tcPr>
          <w:p w14:paraId="45FB4A57"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highlight w:val="yellow"/>
                <w:lang w:eastAsia="cs-CZ" w:bidi="hi-IN"/>
              </w:rPr>
            </w:pPr>
            <w:r w:rsidRPr="003B741B">
              <w:rPr>
                <w:rFonts w:ascii="Arial" w:eastAsia="Arial,Times New Roman" w:hAnsi="Arial" w:cs="Arial"/>
                <w:b/>
                <w:bCs/>
                <w:color w:val="365F91"/>
                <w:kern w:val="1"/>
                <w:sz w:val="14"/>
                <w:szCs w:val="14"/>
                <w:lang w:eastAsia="cs-CZ" w:bidi="hi-IN"/>
              </w:rPr>
              <w:t>X</w:t>
            </w:r>
          </w:p>
        </w:tc>
      </w:tr>
      <w:tr w:rsidR="003B741B" w:rsidRPr="003B741B" w14:paraId="4882BA4D" w14:textId="77777777" w:rsidTr="003B741B">
        <w:trPr>
          <w:trHeight w:val="820"/>
          <w:jc w:val="center"/>
        </w:trPr>
        <w:tc>
          <w:tcPr>
            <w:tcW w:w="64" w:type="pct"/>
            <w:vMerge/>
            <w:tcBorders>
              <w:left w:val="single" w:sz="12" w:space="0" w:color="80A1B6"/>
              <w:bottom w:val="single" w:sz="12" w:space="0" w:color="80A1B6"/>
              <w:right w:val="single" w:sz="12" w:space="0" w:color="80A1B6"/>
            </w:tcBorders>
            <w:shd w:val="clear" w:color="auto" w:fill="76923C"/>
          </w:tcPr>
          <w:p w14:paraId="79AAB222" w14:textId="77777777" w:rsidR="003B741B" w:rsidRPr="003B741B" w:rsidRDefault="003B741B" w:rsidP="003B741B">
            <w:pPr>
              <w:suppressAutoHyphens/>
              <w:spacing w:after="0" w:line="240" w:lineRule="auto"/>
              <w:rPr>
                <w:rFonts w:ascii="Arial" w:eastAsia="Times New Roman" w:hAnsi="Arial" w:cs="Arial"/>
                <w:b/>
                <w:bCs/>
                <w:color w:val="000000"/>
                <w:kern w:val="1"/>
                <w:sz w:val="16"/>
                <w:szCs w:val="16"/>
                <w:lang w:eastAsia="cs-CZ" w:bidi="hi-IN"/>
              </w:rPr>
            </w:pPr>
          </w:p>
        </w:tc>
        <w:tc>
          <w:tcPr>
            <w:tcW w:w="134" w:type="pct"/>
            <w:vMerge/>
            <w:tcBorders>
              <w:left w:val="single" w:sz="12" w:space="0" w:color="80A1B6"/>
              <w:bottom w:val="single" w:sz="12" w:space="0" w:color="80A1B6"/>
              <w:right w:val="single" w:sz="12" w:space="0" w:color="80A1B6"/>
            </w:tcBorders>
            <w:shd w:val="clear" w:color="auto" w:fill="CCC0D9"/>
            <w:vAlign w:val="center"/>
            <w:hideMark/>
          </w:tcPr>
          <w:p w14:paraId="2480C45B" w14:textId="77777777" w:rsidR="003B741B" w:rsidRPr="003B741B" w:rsidRDefault="003B741B" w:rsidP="003B741B">
            <w:pPr>
              <w:suppressAutoHyphens/>
              <w:spacing w:after="0" w:line="240" w:lineRule="auto"/>
              <w:rPr>
                <w:rFonts w:ascii="Arial" w:eastAsia="Times New Roman" w:hAnsi="Arial" w:cs="Arial"/>
                <w:b/>
                <w:bCs/>
                <w:color w:val="365F91"/>
                <w:kern w:val="1"/>
                <w:sz w:val="16"/>
                <w:szCs w:val="16"/>
                <w:lang w:eastAsia="cs-CZ" w:bidi="hi-IN"/>
              </w:rPr>
            </w:pPr>
          </w:p>
        </w:tc>
        <w:tc>
          <w:tcPr>
            <w:tcW w:w="374" w:type="pct"/>
            <w:tcBorders>
              <w:top w:val="single" w:sz="4" w:space="0" w:color="80A1B6"/>
              <w:left w:val="single" w:sz="12" w:space="0" w:color="80A1B6"/>
              <w:bottom w:val="single" w:sz="12" w:space="0" w:color="80A1B6"/>
              <w:right w:val="single" w:sz="12" w:space="0" w:color="80A1B6"/>
            </w:tcBorders>
            <w:shd w:val="clear" w:color="auto" w:fill="CCC0D9"/>
            <w:vAlign w:val="center"/>
          </w:tcPr>
          <w:p w14:paraId="7AF9903A" w14:textId="77777777" w:rsidR="003B741B" w:rsidRPr="003B741B" w:rsidRDefault="003B741B" w:rsidP="003B741B">
            <w:pPr>
              <w:suppressAutoHyphens/>
              <w:spacing w:after="0" w:line="240" w:lineRule="auto"/>
              <w:rPr>
                <w:rFonts w:ascii="Arial" w:eastAsia="Arial,Times New Roman" w:hAnsi="Arial" w:cs="Arial"/>
                <w:b/>
                <w:bCs/>
                <w:color w:val="365F91"/>
                <w:kern w:val="1"/>
                <w:sz w:val="16"/>
                <w:szCs w:val="16"/>
                <w:lang w:eastAsia="cs-CZ" w:bidi="hi-IN"/>
              </w:rPr>
            </w:pPr>
            <w:r w:rsidRPr="003B741B">
              <w:rPr>
                <w:rFonts w:ascii="Arial" w:eastAsia="Arial,Times New Roman" w:hAnsi="Arial" w:cs="Arial"/>
                <w:b/>
                <w:bCs/>
                <w:color w:val="365F91"/>
                <w:kern w:val="1"/>
                <w:sz w:val="16"/>
                <w:szCs w:val="16"/>
                <w:lang w:eastAsia="cs-CZ" w:bidi="hi-IN"/>
              </w:rPr>
              <w:t>Společenskovědní znalosti pro netechnické inovace</w:t>
            </w:r>
          </w:p>
        </w:tc>
        <w:tc>
          <w:tcPr>
            <w:tcW w:w="159" w:type="pct"/>
            <w:tcBorders>
              <w:top w:val="single" w:sz="4" w:space="0" w:color="80A1B6"/>
              <w:left w:val="single" w:sz="12" w:space="0" w:color="80A1B6"/>
              <w:bottom w:val="single" w:sz="12" w:space="0" w:color="80A1B6"/>
              <w:right w:val="single" w:sz="4" w:space="0" w:color="80A1B6"/>
            </w:tcBorders>
            <w:shd w:val="clear" w:color="auto" w:fill="auto"/>
            <w:vAlign w:val="center"/>
            <w:hideMark/>
          </w:tcPr>
          <w:p w14:paraId="531EF19D"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54" w:type="pct"/>
            <w:tcBorders>
              <w:top w:val="single" w:sz="4" w:space="0" w:color="80A1B6"/>
              <w:left w:val="nil"/>
              <w:bottom w:val="single" w:sz="12" w:space="0" w:color="80A1B6"/>
              <w:right w:val="single" w:sz="4" w:space="0" w:color="80A1B6"/>
            </w:tcBorders>
            <w:shd w:val="clear" w:color="auto" w:fill="auto"/>
            <w:vAlign w:val="center"/>
            <w:hideMark/>
          </w:tcPr>
          <w:p w14:paraId="6527E747"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54" w:type="pct"/>
            <w:tcBorders>
              <w:top w:val="single" w:sz="4" w:space="0" w:color="80A1B6"/>
              <w:left w:val="nil"/>
              <w:bottom w:val="single" w:sz="12" w:space="0" w:color="80A1B6"/>
              <w:right w:val="single" w:sz="12" w:space="0" w:color="80A1B6"/>
            </w:tcBorders>
            <w:shd w:val="clear" w:color="auto" w:fill="auto"/>
            <w:vAlign w:val="center"/>
            <w:hideMark/>
          </w:tcPr>
          <w:p w14:paraId="46E0876D"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158" w:type="pct"/>
            <w:tcBorders>
              <w:top w:val="single" w:sz="4" w:space="0" w:color="80A1B6"/>
              <w:left w:val="single" w:sz="12" w:space="0" w:color="80A1B6"/>
              <w:bottom w:val="single" w:sz="12" w:space="0" w:color="80A1B6"/>
              <w:right w:val="single" w:sz="12" w:space="0" w:color="80A1B6"/>
            </w:tcBorders>
          </w:tcPr>
          <w:p w14:paraId="2EB84B5F"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p>
        </w:tc>
        <w:tc>
          <w:tcPr>
            <w:tcW w:w="217" w:type="pct"/>
            <w:tcBorders>
              <w:top w:val="single" w:sz="4" w:space="0" w:color="80A1B6"/>
              <w:left w:val="single" w:sz="12" w:space="0" w:color="80A1B6"/>
              <w:bottom w:val="single" w:sz="12" w:space="0" w:color="80A1B6"/>
              <w:right w:val="single" w:sz="4" w:space="0" w:color="80A1B6"/>
            </w:tcBorders>
            <w:shd w:val="clear" w:color="auto" w:fill="auto"/>
            <w:vAlign w:val="center"/>
            <w:hideMark/>
          </w:tcPr>
          <w:p w14:paraId="6F304F21"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49" w:type="pct"/>
            <w:tcBorders>
              <w:top w:val="single" w:sz="4" w:space="0" w:color="80A1B6"/>
              <w:left w:val="nil"/>
              <w:bottom w:val="single" w:sz="12" w:space="0" w:color="80A1B6"/>
              <w:right w:val="single" w:sz="12" w:space="0" w:color="80A1B6"/>
            </w:tcBorders>
            <w:shd w:val="clear" w:color="auto" w:fill="auto"/>
            <w:vAlign w:val="center"/>
            <w:hideMark/>
          </w:tcPr>
          <w:p w14:paraId="2B589A1A"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185" w:type="pct"/>
            <w:tcBorders>
              <w:top w:val="single" w:sz="4" w:space="0" w:color="80A1B6"/>
              <w:left w:val="single" w:sz="12" w:space="0" w:color="80A1B6"/>
              <w:bottom w:val="single" w:sz="12" w:space="0" w:color="80A1B6"/>
              <w:right w:val="single" w:sz="4" w:space="0" w:color="80A1B6"/>
            </w:tcBorders>
            <w:shd w:val="clear" w:color="auto" w:fill="auto"/>
            <w:vAlign w:val="center"/>
            <w:hideMark/>
          </w:tcPr>
          <w:p w14:paraId="011CADB1"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6" w:type="pct"/>
            <w:tcBorders>
              <w:top w:val="single" w:sz="4" w:space="0" w:color="80A1B6"/>
              <w:left w:val="nil"/>
              <w:bottom w:val="single" w:sz="12" w:space="0" w:color="80A1B6"/>
              <w:right w:val="single" w:sz="4" w:space="0" w:color="80A1B6"/>
            </w:tcBorders>
            <w:shd w:val="clear" w:color="auto" w:fill="auto"/>
            <w:vAlign w:val="center"/>
            <w:hideMark/>
          </w:tcPr>
          <w:p w14:paraId="44401566"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8" w:type="pct"/>
            <w:tcBorders>
              <w:top w:val="single" w:sz="4" w:space="0" w:color="80A1B6"/>
              <w:left w:val="nil"/>
              <w:bottom w:val="single" w:sz="12" w:space="0" w:color="80A1B6"/>
              <w:right w:val="single" w:sz="12" w:space="0" w:color="80A1B6"/>
            </w:tcBorders>
            <w:shd w:val="clear" w:color="auto" w:fill="auto"/>
            <w:vAlign w:val="center"/>
            <w:hideMark/>
          </w:tcPr>
          <w:p w14:paraId="6981C970"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434" w:type="pct"/>
            <w:tcBorders>
              <w:top w:val="single" w:sz="4" w:space="0" w:color="80A1B6"/>
              <w:left w:val="single" w:sz="12" w:space="0" w:color="80A1B6"/>
              <w:bottom w:val="single" w:sz="12" w:space="0" w:color="80A1B6"/>
              <w:right w:val="single" w:sz="12" w:space="0" w:color="80A1B6"/>
            </w:tcBorders>
            <w:shd w:val="clear" w:color="auto" w:fill="auto"/>
            <w:vAlign w:val="center"/>
            <w:hideMark/>
          </w:tcPr>
          <w:p w14:paraId="3319BBC2"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color w:val="365F91"/>
                <w:kern w:val="1"/>
                <w:sz w:val="18"/>
                <w:szCs w:val="18"/>
                <w:lang w:eastAsia="cs-CZ" w:bidi="hi-IN"/>
              </w:rPr>
              <w:t>X</w:t>
            </w:r>
          </w:p>
        </w:tc>
        <w:tc>
          <w:tcPr>
            <w:tcW w:w="217" w:type="pct"/>
            <w:tcBorders>
              <w:top w:val="single" w:sz="4" w:space="0" w:color="80A1B6"/>
              <w:left w:val="single" w:sz="12" w:space="0" w:color="80A1B6"/>
              <w:bottom w:val="single" w:sz="12" w:space="0" w:color="80A1B6"/>
              <w:right w:val="single" w:sz="4" w:space="0" w:color="80A1B6"/>
            </w:tcBorders>
            <w:shd w:val="clear" w:color="auto" w:fill="auto"/>
            <w:vAlign w:val="center"/>
            <w:hideMark/>
          </w:tcPr>
          <w:p w14:paraId="7D44D4CB" w14:textId="77777777" w:rsidR="003B741B" w:rsidRPr="003B741B" w:rsidRDefault="003B741B" w:rsidP="003B741B">
            <w:pPr>
              <w:suppressAutoHyphens/>
              <w:spacing w:after="0" w:line="240" w:lineRule="auto"/>
              <w:jc w:val="center"/>
              <w:rPr>
                <w:rFonts w:ascii="Arial" w:eastAsia="Times New Roman" w:hAnsi="Arial" w:cs="Arial"/>
                <w:b/>
                <w:color w:val="365F91"/>
                <w:kern w:val="1"/>
                <w:sz w:val="18"/>
                <w:szCs w:val="18"/>
                <w:lang w:eastAsia="cs-CZ" w:bidi="hi-IN"/>
              </w:rPr>
            </w:pPr>
          </w:p>
        </w:tc>
        <w:tc>
          <w:tcPr>
            <w:tcW w:w="218" w:type="pct"/>
            <w:tcBorders>
              <w:top w:val="single" w:sz="4" w:space="0" w:color="80A1B6"/>
              <w:left w:val="nil"/>
              <w:bottom w:val="single" w:sz="12" w:space="0" w:color="80A1B6"/>
              <w:right w:val="single" w:sz="12" w:space="0" w:color="80A1B6"/>
            </w:tcBorders>
            <w:shd w:val="clear" w:color="auto" w:fill="auto"/>
            <w:vAlign w:val="center"/>
            <w:hideMark/>
          </w:tcPr>
          <w:p w14:paraId="54A46F59" w14:textId="77777777" w:rsidR="003B741B" w:rsidRPr="003B741B" w:rsidRDefault="003B741B" w:rsidP="003B741B">
            <w:pPr>
              <w:suppressAutoHyphens/>
              <w:spacing w:after="0" w:line="240" w:lineRule="auto"/>
              <w:jc w:val="center"/>
              <w:rPr>
                <w:rFonts w:ascii="Arial" w:eastAsia="Arial,Times New Roman" w:hAnsi="Arial" w:cs="Arial"/>
                <w:b/>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84" w:type="pct"/>
            <w:tcBorders>
              <w:top w:val="single" w:sz="4" w:space="0" w:color="80A1B6"/>
              <w:left w:val="single" w:sz="12" w:space="0" w:color="80A1B6"/>
              <w:bottom w:val="single" w:sz="12" w:space="0" w:color="80A1B6"/>
              <w:right w:val="single" w:sz="12" w:space="0" w:color="80A1B6"/>
            </w:tcBorders>
            <w:vAlign w:val="center"/>
          </w:tcPr>
          <w:p w14:paraId="4350900F"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55" w:type="pct"/>
            <w:tcBorders>
              <w:top w:val="single" w:sz="4" w:space="0" w:color="80A1B6"/>
              <w:left w:val="single" w:sz="12" w:space="0" w:color="80A1B6"/>
              <w:bottom w:val="single" w:sz="12" w:space="0" w:color="80A1B6"/>
              <w:right w:val="single" w:sz="12" w:space="0" w:color="80A1B6"/>
            </w:tcBorders>
            <w:vAlign w:val="center"/>
          </w:tcPr>
          <w:p w14:paraId="04B36A6B"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124" w:type="pct"/>
            <w:tcBorders>
              <w:top w:val="single" w:sz="4" w:space="0" w:color="80A1B6"/>
              <w:left w:val="single" w:sz="12" w:space="0" w:color="80A1B6"/>
              <w:bottom w:val="single" w:sz="12" w:space="0" w:color="80A1B6"/>
              <w:right w:val="single" w:sz="12" w:space="0" w:color="80A1B6"/>
            </w:tcBorders>
            <w:vAlign w:val="center"/>
          </w:tcPr>
          <w:p w14:paraId="72062B9D"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78" w:type="pct"/>
            <w:tcBorders>
              <w:top w:val="single" w:sz="4" w:space="0" w:color="80A1B6"/>
              <w:left w:val="single" w:sz="12" w:space="0" w:color="80A1B6"/>
              <w:bottom w:val="single" w:sz="12" w:space="0" w:color="80A1B6"/>
              <w:right w:val="single" w:sz="12" w:space="0" w:color="80A1B6"/>
            </w:tcBorders>
            <w:vAlign w:val="center"/>
          </w:tcPr>
          <w:p w14:paraId="71C40E55"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8" w:type="pct"/>
            <w:tcBorders>
              <w:top w:val="single" w:sz="4" w:space="0" w:color="80A1B6"/>
              <w:left w:val="single" w:sz="12" w:space="0" w:color="80A1B6"/>
              <w:bottom w:val="single" w:sz="12" w:space="0" w:color="80A1B6"/>
              <w:right w:val="single" w:sz="12" w:space="0" w:color="80A1B6"/>
            </w:tcBorders>
            <w:vAlign w:val="center"/>
          </w:tcPr>
          <w:p w14:paraId="0966CD17"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79" w:type="pct"/>
            <w:tcBorders>
              <w:top w:val="single" w:sz="4" w:space="0" w:color="80A1B6"/>
              <w:left w:val="single" w:sz="12" w:space="0" w:color="80A1B6"/>
              <w:bottom w:val="single" w:sz="12" w:space="0" w:color="80A1B6"/>
              <w:right w:val="single" w:sz="12" w:space="0" w:color="80A1B6"/>
            </w:tcBorders>
            <w:shd w:val="clear" w:color="auto" w:fill="auto"/>
            <w:vAlign w:val="center"/>
          </w:tcPr>
          <w:p w14:paraId="47D6A8B9"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8"/>
                <w:szCs w:val="18"/>
                <w:lang w:eastAsia="cs-CZ" w:bidi="hi-IN"/>
              </w:rPr>
            </w:pPr>
            <w:r w:rsidRPr="003B741B">
              <w:rPr>
                <w:rFonts w:ascii="Arial" w:eastAsia="Arial,Times New Roman" w:hAnsi="Arial" w:cs="Arial"/>
                <w:b/>
                <w:bCs/>
                <w:color w:val="365F91"/>
                <w:kern w:val="1"/>
                <w:sz w:val="18"/>
                <w:szCs w:val="18"/>
                <w:lang w:eastAsia="cs-CZ" w:bidi="hi-IN"/>
              </w:rPr>
              <w:t>X</w:t>
            </w:r>
          </w:p>
        </w:tc>
        <w:tc>
          <w:tcPr>
            <w:tcW w:w="217" w:type="pct"/>
            <w:tcBorders>
              <w:top w:val="single" w:sz="4" w:space="0" w:color="80A1B6"/>
              <w:left w:val="single" w:sz="12" w:space="0" w:color="80A1B6"/>
              <w:bottom w:val="single" w:sz="12" w:space="0" w:color="80A1B6"/>
              <w:right w:val="single" w:sz="12" w:space="0" w:color="80A1B6"/>
            </w:tcBorders>
            <w:shd w:val="clear" w:color="auto" w:fill="auto"/>
            <w:vAlign w:val="center"/>
          </w:tcPr>
          <w:p w14:paraId="111391FC"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216" w:type="pct"/>
            <w:tcBorders>
              <w:top w:val="single" w:sz="4" w:space="0" w:color="80A1B6"/>
              <w:left w:val="single" w:sz="12" w:space="0" w:color="80A1B6"/>
              <w:bottom w:val="single" w:sz="12" w:space="0" w:color="80A1B6"/>
              <w:right w:val="single" w:sz="12" w:space="0" w:color="80A1B6"/>
            </w:tcBorders>
            <w:shd w:val="clear" w:color="auto" w:fill="auto"/>
            <w:vAlign w:val="center"/>
          </w:tcPr>
          <w:p w14:paraId="36D41CAE"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lang w:eastAsia="cs-CZ" w:bidi="hi-IN"/>
              </w:rPr>
            </w:pPr>
            <w:r w:rsidRPr="003B741B">
              <w:rPr>
                <w:rFonts w:ascii="Arial" w:eastAsia="Arial,Times New Roman" w:hAnsi="Arial" w:cs="Arial"/>
                <w:b/>
                <w:bCs/>
                <w:color w:val="365F91"/>
                <w:kern w:val="1"/>
                <w:sz w:val="14"/>
                <w:szCs w:val="14"/>
                <w:lang w:eastAsia="cs-CZ" w:bidi="hi-IN"/>
              </w:rPr>
              <w:t>X</w:t>
            </w:r>
          </w:p>
        </w:tc>
        <w:tc>
          <w:tcPr>
            <w:tcW w:w="181" w:type="pct"/>
            <w:tcBorders>
              <w:top w:val="single" w:sz="4" w:space="0" w:color="80A1B6"/>
              <w:left w:val="single" w:sz="12" w:space="0" w:color="80A1B6"/>
              <w:bottom w:val="single" w:sz="12" w:space="0" w:color="80A1B6"/>
              <w:right w:val="single" w:sz="12" w:space="0" w:color="80A1B6"/>
            </w:tcBorders>
            <w:shd w:val="clear" w:color="auto" w:fill="auto"/>
            <w:vAlign w:val="center"/>
          </w:tcPr>
          <w:p w14:paraId="025D1888" w14:textId="77777777" w:rsidR="003B741B" w:rsidRPr="003B741B" w:rsidRDefault="003B741B" w:rsidP="003B741B">
            <w:pPr>
              <w:suppressAutoHyphens/>
              <w:spacing w:after="0" w:line="240" w:lineRule="auto"/>
              <w:jc w:val="center"/>
              <w:rPr>
                <w:rFonts w:ascii="Arial" w:eastAsia="Arial,Times New Roman" w:hAnsi="Arial" w:cs="Arial"/>
                <w:b/>
                <w:bCs/>
                <w:color w:val="365F91"/>
                <w:kern w:val="1"/>
                <w:sz w:val="14"/>
                <w:szCs w:val="14"/>
                <w:highlight w:val="yellow"/>
                <w:lang w:eastAsia="cs-CZ" w:bidi="hi-IN"/>
              </w:rPr>
            </w:pPr>
            <w:r w:rsidRPr="003B741B">
              <w:rPr>
                <w:rFonts w:ascii="Arial" w:eastAsia="Arial,Times New Roman" w:hAnsi="Arial" w:cs="Arial"/>
                <w:b/>
                <w:bCs/>
                <w:color w:val="365F91"/>
                <w:kern w:val="1"/>
                <w:sz w:val="14"/>
                <w:szCs w:val="14"/>
                <w:lang w:eastAsia="cs-CZ" w:bidi="hi-IN"/>
              </w:rPr>
              <w:t>X</w:t>
            </w:r>
          </w:p>
        </w:tc>
      </w:tr>
    </w:tbl>
    <w:p w14:paraId="4162B354" w14:textId="7D12BAEE" w:rsidR="00D4344E" w:rsidRDefault="00D4344E" w:rsidP="00D4344E">
      <w:pPr>
        <w:tabs>
          <w:tab w:val="left" w:pos="15894"/>
        </w:tabs>
        <w:rPr>
          <w:lang w:eastAsia="cs-CZ"/>
        </w:rPr>
      </w:pPr>
    </w:p>
    <w:p w14:paraId="014720D2" w14:textId="77777777" w:rsidR="003B741B" w:rsidRDefault="003B741B" w:rsidP="00D4344E">
      <w:pPr>
        <w:tabs>
          <w:tab w:val="left" w:pos="15894"/>
        </w:tabs>
        <w:rPr>
          <w:lang w:eastAsia="cs-CZ"/>
        </w:rPr>
      </w:pPr>
    </w:p>
    <w:p w14:paraId="20C2C818" w14:textId="77777777" w:rsidR="003B741B" w:rsidRPr="00BA4F8E" w:rsidRDefault="003B741B" w:rsidP="00D4344E">
      <w:pPr>
        <w:tabs>
          <w:tab w:val="left" w:pos="15894"/>
        </w:tabs>
        <w:rPr>
          <w:lang w:eastAsia="cs-CZ"/>
        </w:rPr>
        <w:sectPr w:rsidR="003B741B" w:rsidRPr="00BA4F8E" w:rsidSect="00983EC1">
          <w:pgSz w:w="23814" w:h="16839" w:orient="landscape" w:code="8"/>
          <w:pgMar w:top="1417" w:right="1417" w:bottom="1417" w:left="1417" w:header="708" w:footer="708" w:gutter="0"/>
          <w:cols w:space="708"/>
          <w:docGrid w:linePitch="360"/>
        </w:sectPr>
      </w:pPr>
    </w:p>
    <w:p w14:paraId="00C35913" w14:textId="462FE694" w:rsidR="006E6688" w:rsidRPr="00EF4A38" w:rsidRDefault="00625BE7" w:rsidP="00EF4A38">
      <w:pPr>
        <w:pStyle w:val="Nadpis3"/>
      </w:pPr>
      <w:bookmarkStart w:id="177" w:name="_Toc525716252"/>
      <w:r w:rsidRPr="00EF4A38">
        <w:t>Úroveň celonárodních intervencí</w:t>
      </w:r>
      <w:r w:rsidR="006E6688" w:rsidRPr="00EF4A38">
        <w:t xml:space="preserve"> – </w:t>
      </w:r>
      <w:r w:rsidRPr="00EF4A38">
        <w:t>operační programy, národní programy podpory a rezortní programy</w:t>
      </w:r>
      <w:r w:rsidRPr="007560C5">
        <w:rPr>
          <w:rStyle w:val="Znakapoznpodarou"/>
        </w:rPr>
        <w:footnoteReference w:id="128"/>
      </w:r>
      <w:bookmarkEnd w:id="177"/>
    </w:p>
    <w:p w14:paraId="53B6C279" w14:textId="43F65811" w:rsidR="00625BE7" w:rsidRPr="00BA4F8E" w:rsidRDefault="00625BE7" w:rsidP="00906DD0">
      <w:pPr>
        <w:spacing w:before="240" w:after="0" w:line="360" w:lineRule="auto"/>
        <w:ind w:firstLine="708"/>
        <w:jc w:val="both"/>
      </w:pPr>
      <w:r w:rsidRPr="00BA4F8E">
        <w:t>Usnesením vlády ČR č. 867 ze dne 28. listopadu 2012 k přípravě programů spolufinancovaných z fondů Společného strategického rámce pro programové období 2014–2020 byly vymezeny tzv.</w:t>
      </w:r>
      <w:r w:rsidR="00523A32" w:rsidRPr="00BA4F8E">
        <w:t> </w:t>
      </w:r>
      <w:r w:rsidRPr="00BA4F8E">
        <w:rPr>
          <w:i/>
        </w:rPr>
        <w:t>operační programy</w:t>
      </w:r>
      <w:r w:rsidRPr="00BA4F8E">
        <w:t xml:space="preserve">. MŠMT bylo tímto usnesením pověřeno řízením OP VVV, řízením OP PIK bylo pověřeno MPO, řízením OP PPR bylo pověřeno hlavní město Praha. Pro vybrané prioritní osy těchto operačních programů je Národní RIS3 strategie tzv. </w:t>
      </w:r>
      <w:r w:rsidRPr="00BA4F8E">
        <w:rPr>
          <w:i/>
        </w:rPr>
        <w:t>ex ante kondicionalitou</w:t>
      </w:r>
      <w:r w:rsidRPr="00BA4F8E">
        <w:t>, soulad s ní je tedy pod přísnější kontrolou.</w:t>
      </w:r>
    </w:p>
    <w:p w14:paraId="254F793F" w14:textId="77777777" w:rsidR="00625BE7" w:rsidRPr="00BA4F8E" w:rsidRDefault="00625BE7" w:rsidP="00906DD0">
      <w:pPr>
        <w:spacing w:after="0" w:line="360" w:lineRule="auto"/>
        <w:ind w:firstLine="708"/>
        <w:jc w:val="both"/>
      </w:pPr>
      <w:r w:rsidRPr="00BA4F8E">
        <w:t>Soulad s Národní RIS3 strategií byl následně v různé míře identifikován také v další prioritní ose OP VVV a v dílčích výzvách OP Z a IROP.</w:t>
      </w:r>
    </w:p>
    <w:p w14:paraId="74EB1ED4" w14:textId="77777777" w:rsidR="00625BE7" w:rsidRPr="00BA4F8E" w:rsidRDefault="00625BE7" w:rsidP="00906DD0">
      <w:pPr>
        <w:spacing w:after="0" w:line="360" w:lineRule="auto"/>
        <w:ind w:firstLine="708"/>
        <w:jc w:val="both"/>
      </w:pPr>
      <w:r w:rsidRPr="00BA4F8E">
        <w:t>Z národních programů podpory VaVaI je Národní RIS3 strategie postupně implementována především ve vybraných programech podpory aplikovaného výzkumu TA ČR a MPO, a pilotně také v dalších rezortních programech.</w:t>
      </w:r>
    </w:p>
    <w:p w14:paraId="7B0AAD03" w14:textId="77777777" w:rsidR="00625BE7" w:rsidRPr="00BA4F8E" w:rsidRDefault="00625BE7" w:rsidP="00906DD0">
      <w:pPr>
        <w:spacing w:after="0" w:line="360" w:lineRule="auto"/>
        <w:ind w:firstLine="708"/>
        <w:jc w:val="both"/>
      </w:pPr>
      <w:r w:rsidRPr="00BA4F8E">
        <w:t xml:space="preserve">Pro plynulejší koordinaci aktivit mezi jednotlivými řídicími orgány a poskytovateli, jejichž operační programy a programy podpory jsou podřízeny (byť i částečně) RIS3 strategii byla v roce 2016 zřízena tzv. </w:t>
      </w:r>
      <w:r w:rsidRPr="00BA4F8E">
        <w:rPr>
          <w:b/>
        </w:rPr>
        <w:t xml:space="preserve">Mezirezortní analytická pracovní skupina </w:t>
      </w:r>
      <w:r w:rsidRPr="00BA4F8E">
        <w:t>(MAPS)</w:t>
      </w:r>
      <w:r w:rsidRPr="00BA4F8E">
        <w:rPr>
          <w:rStyle w:val="Znakapoznpodarou"/>
        </w:rPr>
        <w:footnoteReference w:id="129"/>
      </w:r>
      <w:r w:rsidRPr="00BA4F8E">
        <w:t>.</w:t>
      </w:r>
    </w:p>
    <w:p w14:paraId="624B7908" w14:textId="77777777" w:rsidR="00625BE7" w:rsidRPr="00BA4F8E" w:rsidRDefault="00625BE7" w:rsidP="00625BE7"/>
    <w:p w14:paraId="613CD430" w14:textId="34D0E3D1" w:rsidR="006E6688" w:rsidRPr="00EF4A38" w:rsidRDefault="006E6688" w:rsidP="00EF4A38">
      <w:pPr>
        <w:pStyle w:val="Nadpis3"/>
      </w:pPr>
      <w:bookmarkStart w:id="178" w:name="_Ref521492829"/>
      <w:bookmarkStart w:id="179" w:name="_Ref521492840"/>
      <w:bookmarkStart w:id="180" w:name="_Toc525716253"/>
      <w:r w:rsidRPr="00EF4A38">
        <w:t>Krajská úroveň</w:t>
      </w:r>
      <w:bookmarkEnd w:id="178"/>
      <w:bookmarkEnd w:id="179"/>
      <w:bookmarkEnd w:id="180"/>
    </w:p>
    <w:p w14:paraId="4D81C48C" w14:textId="77777777" w:rsidR="009C3336" w:rsidRPr="00BA4F8E" w:rsidRDefault="009C3336" w:rsidP="006E0438">
      <w:pPr>
        <w:spacing w:before="240" w:line="360" w:lineRule="auto"/>
        <w:ind w:firstLine="709"/>
        <w:jc w:val="both"/>
      </w:pPr>
      <w:r w:rsidRPr="00BA4F8E">
        <w:t>Struktura pro řízení a implementaci RIS3 strategie by měla mít ve výsledku v každém kraji obdobnou – víceúrovňovou – podobu zajišťující 6 základních funkcí:</w:t>
      </w:r>
    </w:p>
    <w:p w14:paraId="065E088D" w14:textId="77777777" w:rsidR="009C3336" w:rsidRPr="00BA4F8E" w:rsidRDefault="009C3336" w:rsidP="00543C1B">
      <w:pPr>
        <w:numPr>
          <w:ilvl w:val="0"/>
          <w:numId w:val="74"/>
        </w:numPr>
        <w:spacing w:after="120" w:line="360" w:lineRule="auto"/>
        <w:ind w:left="737" w:hanging="377"/>
        <w:jc w:val="both"/>
        <w:rPr>
          <w:rFonts w:eastAsia="MS Mincho"/>
        </w:rPr>
      </w:pPr>
      <w:r w:rsidRPr="00BA4F8E">
        <w:rPr>
          <w:rFonts w:eastAsia="MS Mincho"/>
        </w:rPr>
        <w:t xml:space="preserve">řídicí (nositelem je např. krajská rada pro inovace/konkurenceschopnost či její obdoba), </w:t>
      </w:r>
    </w:p>
    <w:p w14:paraId="607ACCF5" w14:textId="1EDC5993" w:rsidR="009C3336" w:rsidRPr="00BA4F8E" w:rsidRDefault="009C3336" w:rsidP="00543C1B">
      <w:pPr>
        <w:numPr>
          <w:ilvl w:val="0"/>
          <w:numId w:val="74"/>
        </w:numPr>
        <w:spacing w:after="120" w:line="360" w:lineRule="auto"/>
        <w:ind w:left="737" w:hanging="377"/>
        <w:jc w:val="both"/>
        <w:rPr>
          <w:rFonts w:eastAsia="MS Mincho"/>
        </w:rPr>
      </w:pPr>
      <w:r w:rsidRPr="00BA4F8E">
        <w:rPr>
          <w:rFonts w:eastAsia="MS Mincho"/>
        </w:rPr>
        <w:t>výkonnou (nositelem je implementující subjekt– ve většině případů specializovaná agentura typu regionální rozvoj</w:t>
      </w:r>
      <w:r w:rsidR="002E3D01">
        <w:rPr>
          <w:rFonts w:eastAsia="MS Mincho"/>
        </w:rPr>
        <w:t>ové agentury, inovačního centra</w:t>
      </w:r>
      <w:r w:rsidRPr="00BA4F8E">
        <w:rPr>
          <w:rFonts w:eastAsia="MS Mincho"/>
        </w:rPr>
        <w:t xml:space="preserve"> apod., popřípadě relevantní odbor krajského úřadu),</w:t>
      </w:r>
    </w:p>
    <w:p w14:paraId="6215B4A2" w14:textId="77777777" w:rsidR="009C3336" w:rsidRPr="00BA4F8E" w:rsidRDefault="009C3336" w:rsidP="00543C1B">
      <w:pPr>
        <w:numPr>
          <w:ilvl w:val="0"/>
          <w:numId w:val="74"/>
        </w:numPr>
        <w:spacing w:after="120" w:line="360" w:lineRule="auto"/>
        <w:ind w:left="737" w:hanging="377"/>
        <w:jc w:val="both"/>
        <w:rPr>
          <w:rFonts w:eastAsia="MS Mincho"/>
        </w:rPr>
      </w:pPr>
      <w:r w:rsidRPr="00BA4F8E">
        <w:rPr>
          <w:rFonts w:eastAsia="MS Mincho"/>
        </w:rPr>
        <w:t>konzultační ve smyslu EDP (nositelem jsou krajské inovační platformy sdružující klíčové aktéry ze všech sfér triple/quadruple helix, zejména však podnikatele),</w:t>
      </w:r>
    </w:p>
    <w:p w14:paraId="75BF9EB0" w14:textId="77777777" w:rsidR="009C3336" w:rsidRPr="00BA4F8E" w:rsidRDefault="009C3336" w:rsidP="00543C1B">
      <w:pPr>
        <w:numPr>
          <w:ilvl w:val="0"/>
          <w:numId w:val="74"/>
        </w:numPr>
        <w:spacing w:after="120" w:line="360" w:lineRule="auto"/>
        <w:ind w:left="737" w:hanging="377"/>
        <w:jc w:val="both"/>
        <w:rPr>
          <w:rFonts w:eastAsia="MS Mincho"/>
        </w:rPr>
      </w:pPr>
      <w:r w:rsidRPr="00BA4F8E">
        <w:rPr>
          <w:rFonts w:eastAsia="MS Mincho"/>
        </w:rPr>
        <w:t xml:space="preserve">koordinační (nositelem je Krajský RIS3 koordinátor začleněný pod relevantní odbor krajského úřadu), </w:t>
      </w:r>
    </w:p>
    <w:p w14:paraId="5337BF19" w14:textId="77777777" w:rsidR="009C3336" w:rsidRPr="00BA4F8E" w:rsidRDefault="009C3336" w:rsidP="00543C1B">
      <w:pPr>
        <w:numPr>
          <w:ilvl w:val="0"/>
          <w:numId w:val="74"/>
        </w:numPr>
        <w:spacing w:after="120" w:line="360" w:lineRule="auto"/>
        <w:ind w:left="737" w:hanging="377"/>
        <w:jc w:val="both"/>
        <w:rPr>
          <w:rFonts w:eastAsia="MS Mincho"/>
        </w:rPr>
      </w:pPr>
      <w:r w:rsidRPr="00BA4F8E">
        <w:rPr>
          <w:rFonts w:eastAsia="MS Mincho"/>
        </w:rPr>
        <w:t>monitorovací/evaluační,</w:t>
      </w:r>
    </w:p>
    <w:p w14:paraId="1CAAF0FC" w14:textId="77777777" w:rsidR="009C3336" w:rsidRPr="00BA4F8E" w:rsidRDefault="009C3336" w:rsidP="00543C1B">
      <w:pPr>
        <w:numPr>
          <w:ilvl w:val="0"/>
          <w:numId w:val="74"/>
        </w:numPr>
        <w:spacing w:after="200" w:line="360" w:lineRule="auto"/>
        <w:ind w:left="737" w:hanging="377"/>
        <w:jc w:val="both"/>
      </w:pPr>
      <w:r w:rsidRPr="00BA4F8E">
        <w:rPr>
          <w:rFonts w:eastAsia="MS Mincho"/>
        </w:rPr>
        <w:t>podpůrnou (zajišťující také pracovně právní a odměňovací rámec k efektivnímu pracovnímu výkonu při implementaci</w:t>
      </w:r>
      <w:r w:rsidRPr="00BA4F8E">
        <w:t xml:space="preserve"> RIS3 strategie v kraji).</w:t>
      </w:r>
    </w:p>
    <w:p w14:paraId="64EBB149" w14:textId="77777777" w:rsidR="009C3336" w:rsidRPr="00BA4F8E" w:rsidRDefault="009C3336" w:rsidP="009C3336">
      <w:pPr>
        <w:spacing w:line="360" w:lineRule="auto"/>
        <w:ind w:firstLine="709"/>
        <w:jc w:val="both"/>
      </w:pPr>
      <w:r w:rsidRPr="00BA4F8E">
        <w:t>Konkrétní způsob zajištění těchto funkcí a navržení zodpovědných subjektů sdružených na jednotlivých úrovních této struktury jsou již individuálně řešeny v každém kraji.</w:t>
      </w:r>
    </w:p>
    <w:p w14:paraId="4F222F44" w14:textId="77777777" w:rsidR="004A30D5" w:rsidRPr="00BA4F8E" w:rsidRDefault="004A30D5" w:rsidP="009C3336">
      <w:pPr>
        <w:spacing w:line="360" w:lineRule="auto"/>
        <w:ind w:firstLine="709"/>
        <w:jc w:val="both"/>
        <w:rPr>
          <w:b/>
          <w:i/>
        </w:rPr>
      </w:pPr>
    </w:p>
    <w:p w14:paraId="555A8899" w14:textId="02DA4B86" w:rsidR="00625BE7" w:rsidRPr="00BA4F8E" w:rsidRDefault="00B70C86" w:rsidP="004D7854">
      <w:pPr>
        <w:pStyle w:val="Nadpis4"/>
        <w:spacing w:after="240"/>
        <w:rPr>
          <w:rFonts w:asciiTheme="minorHAnsi" w:hAnsiTheme="minorHAnsi"/>
          <w:sz w:val="22"/>
        </w:rPr>
      </w:pPr>
      <w:bookmarkStart w:id="181" w:name="_Toc525716254"/>
      <w:r w:rsidRPr="00BA4F8E">
        <w:rPr>
          <w:rFonts w:asciiTheme="minorHAnsi" w:hAnsiTheme="minorHAnsi"/>
          <w:sz w:val="22"/>
        </w:rPr>
        <w:t>Krajské rady pro inovace</w:t>
      </w:r>
      <w:bookmarkEnd w:id="181"/>
    </w:p>
    <w:p w14:paraId="139E79CD" w14:textId="77777777" w:rsidR="004D7854" w:rsidRDefault="00B70C86" w:rsidP="004D7854">
      <w:pPr>
        <w:spacing w:after="0" w:line="360" w:lineRule="auto"/>
        <w:ind w:firstLine="709"/>
        <w:jc w:val="both"/>
      </w:pPr>
      <w:r w:rsidRPr="00BA4F8E">
        <w:t>Na úrovni krajů byly zřízeny řídicí orgány pro RIS3 strategii v daném kraji. Zpravidla se jedná o</w:t>
      </w:r>
      <w:r w:rsidR="002013F3" w:rsidRPr="00BA4F8E">
        <w:t> </w:t>
      </w:r>
      <w:r w:rsidRPr="00BA4F8E">
        <w:t>krajské rady pro inovace/konkurenceschopnost – jsou pojmenovány v závislosti na konkrétní situaci a</w:t>
      </w:r>
      <w:r w:rsidR="002013F3" w:rsidRPr="00BA4F8E">
        <w:t> </w:t>
      </w:r>
      <w:r w:rsidRPr="00BA4F8E">
        <w:t>zvyklostech daného kraje, neboť v některých krajích, které úspěšně realizují své regionální inovační strategie, již implementační struktury existují a role koordinačního orgánu bude svěřena jim. V krajské radě pro inovace či pro konkurenceschopnost (nebo v orgánu, který bude hrát její roli) jsou zastoupeni představitelé samosprávy (krajské a městské, zejména metropolitních území), inovačních podniků</w:t>
      </w:r>
      <w:r w:rsidR="00332709">
        <w:t>, klastrových organizací</w:t>
      </w:r>
      <w:r w:rsidRPr="00BA4F8E">
        <w:t xml:space="preserve"> a</w:t>
      </w:r>
      <w:r w:rsidR="002013F3" w:rsidRPr="00BA4F8E">
        <w:t> </w:t>
      </w:r>
      <w:r w:rsidRPr="00BA4F8E">
        <w:t xml:space="preserve">výzkumných organizací. </w:t>
      </w:r>
    </w:p>
    <w:p w14:paraId="011D5BE9" w14:textId="41B35A0E" w:rsidR="004D7854" w:rsidRDefault="004D7854" w:rsidP="004D7854">
      <w:pPr>
        <w:spacing w:after="0" w:line="360" w:lineRule="auto"/>
        <w:ind w:firstLine="709"/>
        <w:jc w:val="both"/>
      </w:pPr>
      <w:r>
        <w:t>Role krajských rad pro inovace je obdobná rolím struktur již popsaným na národní úrovni. Role krajských rad pro inovace/konkurenceschopnost se v krajích řídí místními podmínkami. Obecně se jedná o roli koordinační a doporučující, nikoliv výkonnou, ve vztahu k intervencím realizovaným v gesci či z prostředků krajských samospráv mají roli poradní. Podobně v záležitostech podpory podnikání, působnosti zákona o podpoře výzkumu, vývoje a inovací a vysokoškolského zákona je působnost krajských rad pro inovace či pro konkurenceschopnost zpravidla omezena na roli konzultačních platforem, avšak v jednotlivých krajích může být situace odlišná</w:t>
      </w:r>
      <w:r w:rsidRPr="004D7854">
        <w:footnoteReference w:id="130"/>
      </w:r>
      <w:r>
        <w:t>.</w:t>
      </w:r>
    </w:p>
    <w:p w14:paraId="6E89E3B2" w14:textId="77777777" w:rsidR="004A30D5" w:rsidRPr="00BA4F8E" w:rsidRDefault="004A30D5" w:rsidP="00B70C86">
      <w:pPr>
        <w:spacing w:before="240" w:line="360" w:lineRule="auto"/>
        <w:ind w:firstLine="345"/>
        <w:jc w:val="both"/>
      </w:pPr>
    </w:p>
    <w:p w14:paraId="62DED067" w14:textId="7116B060" w:rsidR="00785C33" w:rsidRPr="00BA4F8E" w:rsidRDefault="00785C33" w:rsidP="00785C33">
      <w:pPr>
        <w:pStyle w:val="Nadpis4"/>
        <w:rPr>
          <w:rFonts w:asciiTheme="minorHAnsi" w:hAnsiTheme="minorHAnsi"/>
          <w:sz w:val="22"/>
        </w:rPr>
      </w:pPr>
      <w:bookmarkStart w:id="182" w:name="_Ref521490908"/>
      <w:bookmarkStart w:id="183" w:name="_Ref521490931"/>
      <w:bookmarkStart w:id="184" w:name="_Toc525716255"/>
      <w:r w:rsidRPr="00BA4F8E">
        <w:rPr>
          <w:rFonts w:asciiTheme="minorHAnsi" w:hAnsiTheme="minorHAnsi"/>
          <w:sz w:val="22"/>
        </w:rPr>
        <w:t>Krajské inovační platformy – krajsky specifický EDP</w:t>
      </w:r>
      <w:bookmarkEnd w:id="182"/>
      <w:bookmarkEnd w:id="183"/>
      <w:bookmarkEnd w:id="184"/>
    </w:p>
    <w:p w14:paraId="4BD165D2" w14:textId="77777777" w:rsidR="00A935B0" w:rsidRPr="00BA4F8E" w:rsidRDefault="00A935B0" w:rsidP="00A935B0">
      <w:pPr>
        <w:spacing w:before="240" w:line="360" w:lineRule="auto"/>
        <w:ind w:firstLine="708"/>
        <w:jc w:val="both"/>
        <w:rPr>
          <w:b/>
        </w:rPr>
      </w:pPr>
      <w:r w:rsidRPr="00BA4F8E">
        <w:t>Podpůrnou roli pro formování intervencí/operací v krajích hrají krajské inovační platformy (KIP). Krajské inovační/podnikatelské platformy jsou poradním, konzultačním či pracovním orgánem Krajské rady pro inovace jednak v oborech, na které bude zaměřena krajská specializace, jednak v horizontálních tématech/oblastech změn, na které jsou zaměřeny krajské přílohy Národní RIS3 strategie.</w:t>
      </w:r>
    </w:p>
    <w:p w14:paraId="3B3C0633" w14:textId="77777777" w:rsidR="00A935B0" w:rsidRPr="00BA4F8E" w:rsidRDefault="00A935B0" w:rsidP="00A935B0">
      <w:pPr>
        <w:spacing w:before="240" w:line="360" w:lineRule="auto"/>
        <w:jc w:val="both"/>
        <w:rPr>
          <w:i/>
        </w:rPr>
      </w:pPr>
      <w:r w:rsidRPr="00BA4F8E">
        <w:rPr>
          <w:b/>
        </w:rPr>
        <w:t>Krajské specializace</w:t>
      </w:r>
    </w:p>
    <w:p w14:paraId="10B26505" w14:textId="77777777" w:rsidR="004619F6" w:rsidRDefault="00A935B0" w:rsidP="00B54776">
      <w:pPr>
        <w:spacing w:after="0" w:line="360" w:lineRule="auto"/>
        <w:ind w:firstLine="708"/>
        <w:jc w:val="both"/>
        <w:sectPr w:rsidR="004619F6" w:rsidSect="00961E93">
          <w:pgSz w:w="11906" w:h="16838"/>
          <w:pgMar w:top="1418" w:right="1418" w:bottom="1418" w:left="1418" w:header="709" w:footer="709" w:gutter="0"/>
          <w:cols w:space="708"/>
          <w:docGrid w:linePitch="360"/>
        </w:sectPr>
      </w:pPr>
      <w:r w:rsidRPr="00BA4F8E">
        <w:t>V</w:t>
      </w:r>
      <w:r w:rsidR="00B1080E">
        <w:t> rámci krajů jsou identifikovány</w:t>
      </w:r>
      <w:r w:rsidRPr="00BA4F8E">
        <w:t xml:space="preserve"> krajsk</w:t>
      </w:r>
      <w:r w:rsidR="00B1080E">
        <w:t>é domény specializace, které</w:t>
      </w:r>
      <w:r w:rsidRPr="00BA4F8E">
        <w:t xml:space="preserve"> odrážejí </w:t>
      </w:r>
      <w:r w:rsidR="00B1080E">
        <w:t xml:space="preserve">místní </w:t>
      </w:r>
      <w:r w:rsidRPr="00BA4F8E">
        <w:t xml:space="preserve">specifické podmínky rozvoje VaVaI a podnikatelských příležitostí. Významná část VaVaI témat se překrývá s tématy identifikovanými na národní úrovni a stala se předmětem EDP realizovaného prostřednictvím NIP. </w:t>
      </w:r>
      <w:r w:rsidR="00B1080E">
        <w:t>Zvláštní zřetel na národní úrovni je věnován také dalším vybraným krajským doménám specializace (viz např. textilní a sklářské odvětví).</w:t>
      </w:r>
    </w:p>
    <w:p w14:paraId="12CF70F3" w14:textId="6DDFE9D9" w:rsidR="00FD71A2" w:rsidRPr="00BA4F8E" w:rsidRDefault="00FD71A2" w:rsidP="00580DE3">
      <w:pPr>
        <w:pStyle w:val="Titulek"/>
        <w:rPr>
          <w:highlight w:val="yellow"/>
        </w:rPr>
      </w:pPr>
      <w:bookmarkStart w:id="185" w:name="_Toc524677673"/>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13</w:t>
      </w:r>
      <w:r w:rsidR="00EE7C52">
        <w:rPr>
          <w:noProof/>
        </w:rPr>
        <w:fldChar w:fldCharType="end"/>
      </w:r>
      <w:r w:rsidRPr="00BA4F8E">
        <w:t xml:space="preserve">  - </w:t>
      </w:r>
      <w:r w:rsidR="002E3334" w:rsidRPr="001C50EF">
        <w:t xml:space="preserve">Domény specializace RIS3 strategie identifikované na </w:t>
      </w:r>
      <w:r w:rsidR="002E3334">
        <w:t>krajské</w:t>
      </w:r>
      <w:r w:rsidR="002E3334" w:rsidRPr="001C50EF">
        <w:t xml:space="preserve"> úrovni</w:t>
      </w:r>
      <w:bookmarkEnd w:id="185"/>
      <w:r w:rsidR="002E3334" w:rsidRPr="00BA4F8E">
        <w:rPr>
          <w:rStyle w:val="Znakapoznpodarou"/>
          <w:highlight w:val="yellow"/>
        </w:rPr>
        <w:t xml:space="preserve"> </w:t>
      </w:r>
    </w:p>
    <w:tbl>
      <w:tblPr>
        <w:tblW w:w="145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56"/>
        <w:gridCol w:w="1869"/>
        <w:gridCol w:w="1417"/>
        <w:gridCol w:w="1482"/>
        <w:gridCol w:w="1922"/>
        <w:gridCol w:w="1701"/>
        <w:gridCol w:w="1559"/>
        <w:gridCol w:w="1563"/>
        <w:gridCol w:w="1276"/>
        <w:gridCol w:w="851"/>
      </w:tblGrid>
      <w:tr w:rsidR="002E3334" w:rsidRPr="002E3334" w14:paraId="29CBC173" w14:textId="77777777" w:rsidTr="009A1978">
        <w:trPr>
          <w:trHeight w:val="315"/>
          <w:tblHeader/>
          <w:jc w:val="center"/>
        </w:trPr>
        <w:tc>
          <w:tcPr>
            <w:tcW w:w="956" w:type="dxa"/>
            <w:shd w:val="clear" w:color="auto" w:fill="004B8D"/>
            <w:noWrap/>
            <w:hideMark/>
          </w:tcPr>
          <w:p w14:paraId="06841F72" w14:textId="77777777" w:rsidR="002E3334" w:rsidRPr="002E3334" w:rsidRDefault="002E3334" w:rsidP="002E3334">
            <w:pPr>
              <w:spacing w:after="120" w:line="276" w:lineRule="auto"/>
              <w:rPr>
                <w:b/>
                <w:sz w:val="16"/>
                <w:szCs w:val="16"/>
              </w:rPr>
            </w:pPr>
            <w:r w:rsidRPr="002E3334">
              <w:rPr>
                <w:b/>
                <w:sz w:val="16"/>
                <w:szCs w:val="16"/>
              </w:rPr>
              <w:t>Kraj</w:t>
            </w:r>
          </w:p>
        </w:tc>
        <w:tc>
          <w:tcPr>
            <w:tcW w:w="13640" w:type="dxa"/>
            <w:gridSpan w:val="9"/>
            <w:shd w:val="clear" w:color="auto" w:fill="004B8D"/>
            <w:noWrap/>
            <w:hideMark/>
          </w:tcPr>
          <w:p w14:paraId="15B70872" w14:textId="77777777" w:rsidR="002E3334" w:rsidRPr="002E3334" w:rsidRDefault="002E3334" w:rsidP="002E3334">
            <w:pPr>
              <w:spacing w:after="120" w:line="276" w:lineRule="auto"/>
              <w:jc w:val="center"/>
              <w:rPr>
                <w:b/>
                <w:sz w:val="16"/>
                <w:szCs w:val="16"/>
              </w:rPr>
            </w:pPr>
            <w:r w:rsidRPr="002E3334">
              <w:rPr>
                <w:b/>
                <w:sz w:val="16"/>
                <w:szCs w:val="16"/>
              </w:rPr>
              <w:t>Krajské domény specializace</w:t>
            </w:r>
          </w:p>
        </w:tc>
      </w:tr>
      <w:tr w:rsidR="002E3334" w:rsidRPr="002E3334" w14:paraId="6ECC836B" w14:textId="77777777" w:rsidTr="009A1978">
        <w:trPr>
          <w:trHeight w:val="496"/>
          <w:jc w:val="center"/>
        </w:trPr>
        <w:tc>
          <w:tcPr>
            <w:tcW w:w="956" w:type="dxa"/>
            <w:shd w:val="clear" w:color="000000" w:fill="004B8D"/>
            <w:hideMark/>
          </w:tcPr>
          <w:p w14:paraId="08C92FEC" w14:textId="77777777" w:rsidR="002E3334" w:rsidRPr="002E3334" w:rsidRDefault="002E3334" w:rsidP="002E3334">
            <w:pPr>
              <w:spacing w:after="120" w:line="276" w:lineRule="auto"/>
              <w:rPr>
                <w:b/>
                <w:bCs/>
                <w:sz w:val="16"/>
                <w:szCs w:val="16"/>
              </w:rPr>
            </w:pPr>
            <w:r w:rsidRPr="002E3334">
              <w:rPr>
                <w:b/>
                <w:bCs/>
                <w:sz w:val="16"/>
                <w:szCs w:val="16"/>
              </w:rPr>
              <w:t>JHČ</w:t>
            </w:r>
          </w:p>
        </w:tc>
        <w:tc>
          <w:tcPr>
            <w:tcW w:w="1869" w:type="dxa"/>
            <w:shd w:val="clear" w:color="auto" w:fill="auto"/>
            <w:hideMark/>
          </w:tcPr>
          <w:p w14:paraId="29402DBA" w14:textId="77777777" w:rsidR="002E3334" w:rsidRPr="002E3334" w:rsidRDefault="002E3334" w:rsidP="002E3334">
            <w:pPr>
              <w:spacing w:after="120" w:line="276" w:lineRule="auto"/>
              <w:rPr>
                <w:sz w:val="16"/>
                <w:szCs w:val="16"/>
              </w:rPr>
            </w:pPr>
            <w:r w:rsidRPr="002E3334">
              <w:rPr>
                <w:sz w:val="16"/>
                <w:szCs w:val="16"/>
              </w:rPr>
              <w:t>Biotechnologie pro udržitelný rozvoj společnosti</w:t>
            </w:r>
          </w:p>
        </w:tc>
        <w:tc>
          <w:tcPr>
            <w:tcW w:w="1417" w:type="dxa"/>
            <w:shd w:val="clear" w:color="auto" w:fill="auto"/>
            <w:hideMark/>
          </w:tcPr>
          <w:p w14:paraId="1E270CDE" w14:textId="77777777" w:rsidR="002E3334" w:rsidRPr="002E3334" w:rsidRDefault="002E3334" w:rsidP="002E3334">
            <w:pPr>
              <w:spacing w:after="120" w:line="276" w:lineRule="auto"/>
              <w:rPr>
                <w:sz w:val="16"/>
                <w:szCs w:val="16"/>
              </w:rPr>
            </w:pPr>
            <w:r w:rsidRPr="002E3334">
              <w:rPr>
                <w:sz w:val="16"/>
                <w:szCs w:val="16"/>
              </w:rPr>
              <w:t>Strojírenství a mechatronika</w:t>
            </w:r>
          </w:p>
        </w:tc>
        <w:tc>
          <w:tcPr>
            <w:tcW w:w="1482" w:type="dxa"/>
            <w:shd w:val="clear" w:color="auto" w:fill="auto"/>
            <w:hideMark/>
          </w:tcPr>
          <w:p w14:paraId="5B256163" w14:textId="77777777" w:rsidR="002E3334" w:rsidRPr="002E3334" w:rsidRDefault="002E3334" w:rsidP="002E3334">
            <w:pPr>
              <w:spacing w:after="120" w:line="276" w:lineRule="auto"/>
              <w:rPr>
                <w:sz w:val="16"/>
                <w:szCs w:val="16"/>
              </w:rPr>
            </w:pPr>
            <w:r w:rsidRPr="002E3334">
              <w:rPr>
                <w:sz w:val="16"/>
                <w:szCs w:val="16"/>
              </w:rPr>
              <w:t>Elektrotechnika Elektronika a IT</w:t>
            </w:r>
          </w:p>
        </w:tc>
        <w:tc>
          <w:tcPr>
            <w:tcW w:w="1922" w:type="dxa"/>
            <w:shd w:val="clear" w:color="auto" w:fill="auto"/>
            <w:hideMark/>
          </w:tcPr>
          <w:p w14:paraId="4415EA68" w14:textId="77777777" w:rsidR="002E3334" w:rsidRPr="002E3334" w:rsidRDefault="002E3334" w:rsidP="002E3334">
            <w:pPr>
              <w:spacing w:after="120" w:line="276" w:lineRule="auto"/>
              <w:rPr>
                <w:sz w:val="16"/>
                <w:szCs w:val="16"/>
              </w:rPr>
            </w:pPr>
            <w:r w:rsidRPr="002E3334">
              <w:rPr>
                <w:sz w:val="16"/>
                <w:szCs w:val="16"/>
              </w:rPr>
              <w:t>Automotive</w:t>
            </w:r>
          </w:p>
        </w:tc>
        <w:tc>
          <w:tcPr>
            <w:tcW w:w="1701" w:type="dxa"/>
            <w:shd w:val="clear" w:color="auto" w:fill="auto"/>
            <w:hideMark/>
          </w:tcPr>
          <w:p w14:paraId="17CE70A6" w14:textId="77777777" w:rsidR="002E3334" w:rsidRPr="002E3334" w:rsidRDefault="002E3334" w:rsidP="002E3334">
            <w:pPr>
              <w:spacing w:after="120" w:line="276" w:lineRule="auto"/>
              <w:rPr>
                <w:sz w:val="16"/>
                <w:szCs w:val="16"/>
              </w:rPr>
            </w:pPr>
            <w:r w:rsidRPr="002E3334">
              <w:rPr>
                <w:sz w:val="16"/>
                <w:szCs w:val="16"/>
              </w:rPr>
              <w:t>Textilní a oděvní průmysl</w:t>
            </w:r>
          </w:p>
        </w:tc>
        <w:tc>
          <w:tcPr>
            <w:tcW w:w="1559" w:type="dxa"/>
            <w:shd w:val="clear" w:color="auto" w:fill="auto"/>
            <w:hideMark/>
          </w:tcPr>
          <w:p w14:paraId="65C4541D" w14:textId="77777777" w:rsidR="002E3334" w:rsidRPr="002E3334" w:rsidRDefault="002E3334" w:rsidP="002E3334">
            <w:pPr>
              <w:spacing w:after="120" w:line="276" w:lineRule="auto"/>
              <w:rPr>
                <w:sz w:val="16"/>
                <w:szCs w:val="16"/>
              </w:rPr>
            </w:pPr>
            <w:r w:rsidRPr="002E3334">
              <w:rPr>
                <w:sz w:val="16"/>
                <w:szCs w:val="16"/>
              </w:rPr>
              <w:t> </w:t>
            </w:r>
          </w:p>
        </w:tc>
        <w:tc>
          <w:tcPr>
            <w:tcW w:w="1563" w:type="dxa"/>
            <w:shd w:val="clear" w:color="auto" w:fill="auto"/>
            <w:hideMark/>
          </w:tcPr>
          <w:p w14:paraId="37DBC523" w14:textId="77777777" w:rsidR="002E3334" w:rsidRPr="002E3334" w:rsidRDefault="002E3334" w:rsidP="002E3334">
            <w:pPr>
              <w:spacing w:after="120" w:line="276" w:lineRule="auto"/>
              <w:rPr>
                <w:sz w:val="16"/>
                <w:szCs w:val="16"/>
              </w:rPr>
            </w:pPr>
            <w:r w:rsidRPr="002E3334">
              <w:rPr>
                <w:sz w:val="16"/>
                <w:szCs w:val="16"/>
              </w:rPr>
              <w:t> </w:t>
            </w:r>
          </w:p>
        </w:tc>
        <w:tc>
          <w:tcPr>
            <w:tcW w:w="2127" w:type="dxa"/>
            <w:gridSpan w:val="2"/>
            <w:shd w:val="clear" w:color="auto" w:fill="auto"/>
            <w:hideMark/>
          </w:tcPr>
          <w:p w14:paraId="05269913" w14:textId="77777777" w:rsidR="002E3334" w:rsidRPr="002E3334" w:rsidRDefault="002E3334" w:rsidP="002E3334">
            <w:pPr>
              <w:spacing w:after="120" w:line="276" w:lineRule="auto"/>
              <w:rPr>
                <w:sz w:val="16"/>
                <w:szCs w:val="16"/>
              </w:rPr>
            </w:pPr>
            <w:r w:rsidRPr="002E3334">
              <w:rPr>
                <w:sz w:val="16"/>
                <w:szCs w:val="16"/>
              </w:rPr>
              <w:t> </w:t>
            </w:r>
          </w:p>
          <w:p w14:paraId="34CB1AB6" w14:textId="77777777" w:rsidR="002E3334" w:rsidRPr="002E3334" w:rsidRDefault="002E3334" w:rsidP="002E3334">
            <w:pPr>
              <w:spacing w:after="120" w:line="276" w:lineRule="auto"/>
              <w:rPr>
                <w:sz w:val="16"/>
                <w:szCs w:val="16"/>
              </w:rPr>
            </w:pPr>
            <w:r w:rsidRPr="002E3334">
              <w:rPr>
                <w:sz w:val="16"/>
                <w:szCs w:val="16"/>
              </w:rPr>
              <w:t> </w:t>
            </w:r>
          </w:p>
        </w:tc>
      </w:tr>
      <w:tr w:rsidR="002E3334" w:rsidRPr="002E3334" w14:paraId="27996F19" w14:textId="77777777" w:rsidTr="009A1978">
        <w:trPr>
          <w:trHeight w:val="535"/>
          <w:jc w:val="center"/>
        </w:trPr>
        <w:tc>
          <w:tcPr>
            <w:tcW w:w="956" w:type="dxa"/>
            <w:shd w:val="clear" w:color="000000" w:fill="004B8D"/>
            <w:hideMark/>
          </w:tcPr>
          <w:p w14:paraId="36DA8EC4" w14:textId="77777777" w:rsidR="002E3334" w:rsidRPr="002E3334" w:rsidRDefault="002E3334" w:rsidP="002E3334">
            <w:pPr>
              <w:spacing w:after="120" w:line="276" w:lineRule="auto"/>
              <w:rPr>
                <w:b/>
                <w:bCs/>
                <w:sz w:val="16"/>
                <w:szCs w:val="16"/>
              </w:rPr>
            </w:pPr>
            <w:r w:rsidRPr="002E3334">
              <w:rPr>
                <w:b/>
                <w:bCs/>
                <w:sz w:val="16"/>
                <w:szCs w:val="16"/>
              </w:rPr>
              <w:t>JHM</w:t>
            </w:r>
          </w:p>
        </w:tc>
        <w:tc>
          <w:tcPr>
            <w:tcW w:w="1869" w:type="dxa"/>
            <w:shd w:val="clear" w:color="auto" w:fill="auto"/>
            <w:hideMark/>
          </w:tcPr>
          <w:p w14:paraId="79A3C872" w14:textId="77777777" w:rsidR="002E3334" w:rsidRPr="002E3334" w:rsidRDefault="002E3334" w:rsidP="002E3334">
            <w:pPr>
              <w:spacing w:after="120" w:line="276" w:lineRule="auto"/>
              <w:rPr>
                <w:sz w:val="16"/>
                <w:szCs w:val="16"/>
              </w:rPr>
            </w:pPr>
            <w:r w:rsidRPr="002E3334">
              <w:rPr>
                <w:sz w:val="16"/>
                <w:szCs w:val="16"/>
              </w:rPr>
              <w:t>Pokročilé výrobní a strojírenské technologie</w:t>
            </w:r>
          </w:p>
        </w:tc>
        <w:tc>
          <w:tcPr>
            <w:tcW w:w="1417" w:type="dxa"/>
            <w:shd w:val="clear" w:color="auto" w:fill="auto"/>
            <w:hideMark/>
          </w:tcPr>
          <w:p w14:paraId="1B4DB60D" w14:textId="77777777" w:rsidR="002E3334" w:rsidRPr="002E3334" w:rsidRDefault="002E3334" w:rsidP="002E3334">
            <w:pPr>
              <w:spacing w:after="120" w:line="276" w:lineRule="auto"/>
              <w:rPr>
                <w:sz w:val="16"/>
                <w:szCs w:val="16"/>
              </w:rPr>
            </w:pPr>
            <w:r w:rsidRPr="002E3334">
              <w:rPr>
                <w:sz w:val="16"/>
                <w:szCs w:val="16"/>
              </w:rPr>
              <w:t>Přesné přístroje</w:t>
            </w:r>
          </w:p>
        </w:tc>
        <w:tc>
          <w:tcPr>
            <w:tcW w:w="1482" w:type="dxa"/>
            <w:shd w:val="clear" w:color="auto" w:fill="auto"/>
            <w:hideMark/>
          </w:tcPr>
          <w:p w14:paraId="0F4DD549" w14:textId="77777777" w:rsidR="002E3334" w:rsidRPr="002E3334" w:rsidRDefault="002E3334" w:rsidP="002E3334">
            <w:pPr>
              <w:spacing w:after="120" w:line="276" w:lineRule="auto"/>
              <w:rPr>
                <w:sz w:val="16"/>
                <w:szCs w:val="16"/>
              </w:rPr>
            </w:pPr>
            <w:r w:rsidRPr="002E3334">
              <w:rPr>
                <w:sz w:val="16"/>
                <w:szCs w:val="16"/>
              </w:rPr>
              <w:t>Vývoj SW a HW</w:t>
            </w:r>
          </w:p>
        </w:tc>
        <w:tc>
          <w:tcPr>
            <w:tcW w:w="1922" w:type="dxa"/>
            <w:shd w:val="clear" w:color="auto" w:fill="auto"/>
            <w:hideMark/>
          </w:tcPr>
          <w:p w14:paraId="37FC0CB7" w14:textId="77777777" w:rsidR="002E3334" w:rsidRPr="002E3334" w:rsidRDefault="002E3334" w:rsidP="002E3334">
            <w:pPr>
              <w:spacing w:after="120" w:line="276" w:lineRule="auto"/>
              <w:rPr>
                <w:sz w:val="16"/>
                <w:szCs w:val="16"/>
              </w:rPr>
            </w:pPr>
            <w:r w:rsidRPr="002E3334">
              <w:rPr>
                <w:sz w:val="16"/>
                <w:szCs w:val="16"/>
              </w:rPr>
              <w:t>Léčiva, lékařská péče a diagnostika</w:t>
            </w:r>
          </w:p>
        </w:tc>
        <w:tc>
          <w:tcPr>
            <w:tcW w:w="1701" w:type="dxa"/>
            <w:shd w:val="clear" w:color="auto" w:fill="auto"/>
            <w:hideMark/>
          </w:tcPr>
          <w:p w14:paraId="5B808EFD" w14:textId="77777777" w:rsidR="002E3334" w:rsidRPr="002E3334" w:rsidRDefault="002E3334" w:rsidP="002E3334">
            <w:pPr>
              <w:spacing w:after="120" w:line="276" w:lineRule="auto"/>
              <w:rPr>
                <w:sz w:val="16"/>
                <w:szCs w:val="16"/>
              </w:rPr>
            </w:pPr>
            <w:r w:rsidRPr="002E3334">
              <w:rPr>
                <w:sz w:val="16"/>
                <w:szCs w:val="16"/>
              </w:rPr>
              <w:t>Technologie pro letecký průmysl</w:t>
            </w:r>
          </w:p>
        </w:tc>
        <w:tc>
          <w:tcPr>
            <w:tcW w:w="1559" w:type="dxa"/>
            <w:shd w:val="clear" w:color="auto" w:fill="auto"/>
            <w:hideMark/>
          </w:tcPr>
          <w:p w14:paraId="6DFA56D3" w14:textId="77777777" w:rsidR="002E3334" w:rsidRPr="002E3334" w:rsidRDefault="002E3334" w:rsidP="002E3334">
            <w:pPr>
              <w:spacing w:after="120" w:line="276" w:lineRule="auto"/>
              <w:rPr>
                <w:sz w:val="16"/>
                <w:szCs w:val="16"/>
              </w:rPr>
            </w:pPr>
            <w:r w:rsidRPr="002E3334">
              <w:rPr>
                <w:sz w:val="16"/>
                <w:szCs w:val="16"/>
              </w:rPr>
              <w:t> </w:t>
            </w:r>
          </w:p>
        </w:tc>
        <w:tc>
          <w:tcPr>
            <w:tcW w:w="1563" w:type="dxa"/>
            <w:shd w:val="clear" w:color="auto" w:fill="auto"/>
            <w:hideMark/>
          </w:tcPr>
          <w:p w14:paraId="37E1D177" w14:textId="77777777" w:rsidR="002E3334" w:rsidRPr="002E3334" w:rsidRDefault="002E3334" w:rsidP="002E3334">
            <w:pPr>
              <w:spacing w:after="120" w:line="276" w:lineRule="auto"/>
              <w:rPr>
                <w:sz w:val="16"/>
                <w:szCs w:val="16"/>
              </w:rPr>
            </w:pPr>
            <w:r w:rsidRPr="002E3334">
              <w:rPr>
                <w:sz w:val="16"/>
                <w:szCs w:val="16"/>
              </w:rPr>
              <w:t> </w:t>
            </w:r>
          </w:p>
        </w:tc>
        <w:tc>
          <w:tcPr>
            <w:tcW w:w="2127" w:type="dxa"/>
            <w:gridSpan w:val="2"/>
            <w:shd w:val="clear" w:color="auto" w:fill="auto"/>
            <w:hideMark/>
          </w:tcPr>
          <w:p w14:paraId="6D2DA2F6" w14:textId="77777777" w:rsidR="002E3334" w:rsidRPr="002E3334" w:rsidRDefault="002E3334" w:rsidP="002E3334">
            <w:pPr>
              <w:spacing w:after="120" w:line="276" w:lineRule="auto"/>
              <w:rPr>
                <w:sz w:val="16"/>
                <w:szCs w:val="16"/>
              </w:rPr>
            </w:pPr>
            <w:r w:rsidRPr="002E3334">
              <w:rPr>
                <w:sz w:val="16"/>
                <w:szCs w:val="16"/>
              </w:rPr>
              <w:t> </w:t>
            </w:r>
          </w:p>
          <w:p w14:paraId="0AD1A451" w14:textId="77777777" w:rsidR="002E3334" w:rsidRPr="002E3334" w:rsidRDefault="002E3334" w:rsidP="002E3334">
            <w:pPr>
              <w:spacing w:after="120" w:line="276" w:lineRule="auto"/>
              <w:rPr>
                <w:sz w:val="16"/>
                <w:szCs w:val="16"/>
              </w:rPr>
            </w:pPr>
            <w:r w:rsidRPr="002E3334">
              <w:rPr>
                <w:sz w:val="16"/>
                <w:szCs w:val="16"/>
              </w:rPr>
              <w:t> </w:t>
            </w:r>
          </w:p>
        </w:tc>
      </w:tr>
      <w:tr w:rsidR="002E3334" w:rsidRPr="002E3334" w14:paraId="33FDC581" w14:textId="77777777" w:rsidTr="009A1978">
        <w:trPr>
          <w:trHeight w:val="657"/>
          <w:jc w:val="center"/>
        </w:trPr>
        <w:tc>
          <w:tcPr>
            <w:tcW w:w="956" w:type="dxa"/>
            <w:shd w:val="clear" w:color="000000" w:fill="004B8D"/>
            <w:hideMark/>
          </w:tcPr>
          <w:p w14:paraId="4447EA59" w14:textId="77777777" w:rsidR="002E3334" w:rsidRPr="002E3334" w:rsidRDefault="002E3334" w:rsidP="002E3334">
            <w:pPr>
              <w:spacing w:after="120" w:line="276" w:lineRule="auto"/>
              <w:rPr>
                <w:b/>
                <w:bCs/>
                <w:sz w:val="16"/>
                <w:szCs w:val="16"/>
              </w:rPr>
            </w:pPr>
            <w:r w:rsidRPr="002E3334">
              <w:rPr>
                <w:b/>
                <w:bCs/>
                <w:sz w:val="16"/>
                <w:szCs w:val="16"/>
              </w:rPr>
              <w:t>KHK</w:t>
            </w:r>
          </w:p>
        </w:tc>
        <w:tc>
          <w:tcPr>
            <w:tcW w:w="1869" w:type="dxa"/>
            <w:shd w:val="clear" w:color="auto" w:fill="auto"/>
            <w:hideMark/>
          </w:tcPr>
          <w:p w14:paraId="15F63120" w14:textId="77777777" w:rsidR="002E3334" w:rsidRPr="002E3334" w:rsidRDefault="002E3334" w:rsidP="002E3334">
            <w:pPr>
              <w:spacing w:after="120" w:line="276" w:lineRule="auto"/>
              <w:rPr>
                <w:sz w:val="16"/>
                <w:szCs w:val="16"/>
              </w:rPr>
            </w:pPr>
            <w:r w:rsidRPr="002E3334">
              <w:rPr>
                <w:sz w:val="16"/>
                <w:szCs w:val="16"/>
              </w:rPr>
              <w:t>Výroba dopravních prostředků a jejich komponent</w:t>
            </w:r>
          </w:p>
        </w:tc>
        <w:tc>
          <w:tcPr>
            <w:tcW w:w="1417" w:type="dxa"/>
            <w:shd w:val="clear" w:color="auto" w:fill="auto"/>
            <w:hideMark/>
          </w:tcPr>
          <w:p w14:paraId="20C75578" w14:textId="77777777" w:rsidR="002E3334" w:rsidRPr="002E3334" w:rsidRDefault="002E3334" w:rsidP="002E3334">
            <w:pPr>
              <w:spacing w:after="120" w:line="276" w:lineRule="auto"/>
              <w:rPr>
                <w:sz w:val="16"/>
                <w:szCs w:val="16"/>
              </w:rPr>
            </w:pPr>
            <w:r w:rsidRPr="002E3334">
              <w:rPr>
                <w:sz w:val="16"/>
                <w:szCs w:val="16"/>
              </w:rPr>
              <w:t>Strojírenství a investiční celky</w:t>
            </w:r>
          </w:p>
        </w:tc>
        <w:tc>
          <w:tcPr>
            <w:tcW w:w="1482" w:type="dxa"/>
            <w:shd w:val="clear" w:color="auto" w:fill="auto"/>
            <w:hideMark/>
          </w:tcPr>
          <w:p w14:paraId="1A26A2F4" w14:textId="77777777" w:rsidR="002E3334" w:rsidRPr="002E3334" w:rsidRDefault="002E3334" w:rsidP="002E3334">
            <w:pPr>
              <w:spacing w:after="120" w:line="276" w:lineRule="auto"/>
              <w:rPr>
                <w:sz w:val="16"/>
                <w:szCs w:val="16"/>
              </w:rPr>
            </w:pPr>
            <w:r w:rsidRPr="002E3334">
              <w:rPr>
                <w:sz w:val="16"/>
                <w:szCs w:val="16"/>
              </w:rPr>
              <w:t xml:space="preserve">Nové textilní materiály pro nové multidisciplinární aplikace </w:t>
            </w:r>
          </w:p>
        </w:tc>
        <w:tc>
          <w:tcPr>
            <w:tcW w:w="1922" w:type="dxa"/>
            <w:shd w:val="clear" w:color="auto" w:fill="auto"/>
            <w:hideMark/>
          </w:tcPr>
          <w:p w14:paraId="5746339F" w14:textId="77777777" w:rsidR="002E3334" w:rsidRPr="002E3334" w:rsidRDefault="002E3334" w:rsidP="002E3334">
            <w:pPr>
              <w:spacing w:after="120" w:line="276" w:lineRule="auto"/>
              <w:rPr>
                <w:sz w:val="16"/>
                <w:szCs w:val="16"/>
              </w:rPr>
            </w:pPr>
            <w:r w:rsidRPr="002E3334">
              <w:rPr>
                <w:sz w:val="16"/>
                <w:szCs w:val="16"/>
              </w:rPr>
              <w:t>Elektronika, optoelektronika, optika, elektrotechnika a IT</w:t>
            </w:r>
          </w:p>
        </w:tc>
        <w:tc>
          <w:tcPr>
            <w:tcW w:w="1701" w:type="dxa"/>
            <w:shd w:val="clear" w:color="auto" w:fill="auto"/>
            <w:hideMark/>
          </w:tcPr>
          <w:p w14:paraId="3B373174" w14:textId="77777777" w:rsidR="002E3334" w:rsidRPr="002E3334" w:rsidRDefault="002E3334" w:rsidP="002E3334">
            <w:pPr>
              <w:spacing w:after="120" w:line="276" w:lineRule="auto"/>
              <w:rPr>
                <w:sz w:val="16"/>
                <w:szCs w:val="16"/>
              </w:rPr>
            </w:pPr>
            <w:r w:rsidRPr="002E3334">
              <w:rPr>
                <w:sz w:val="16"/>
                <w:szCs w:val="16"/>
              </w:rPr>
              <w:t>Léčiva, zdravotnické prostředky a lékařská péče</w:t>
            </w:r>
            <w:r w:rsidRPr="002E3334">
              <w:rPr>
                <w:bCs/>
                <w:sz w:val="16"/>
                <w:szCs w:val="16"/>
              </w:rPr>
              <w:t xml:space="preserve"> a </w:t>
            </w:r>
            <w:r w:rsidRPr="002E3334">
              <w:rPr>
                <w:sz w:val="16"/>
                <w:szCs w:val="16"/>
              </w:rPr>
              <w:t>ochrana zdraví</w:t>
            </w:r>
          </w:p>
        </w:tc>
        <w:tc>
          <w:tcPr>
            <w:tcW w:w="1559" w:type="dxa"/>
            <w:shd w:val="clear" w:color="auto" w:fill="auto"/>
            <w:hideMark/>
          </w:tcPr>
          <w:p w14:paraId="4F710F0C" w14:textId="77777777" w:rsidR="002E3334" w:rsidRPr="002E3334" w:rsidRDefault="002E3334" w:rsidP="002E3334">
            <w:pPr>
              <w:spacing w:after="120" w:line="276" w:lineRule="auto"/>
              <w:rPr>
                <w:sz w:val="16"/>
                <w:szCs w:val="16"/>
              </w:rPr>
            </w:pPr>
            <w:r w:rsidRPr="002E3334">
              <w:rPr>
                <w:sz w:val="16"/>
                <w:szCs w:val="16"/>
              </w:rPr>
              <w:t>Pokročilé zemědělství a lesnictví</w:t>
            </w:r>
          </w:p>
        </w:tc>
        <w:tc>
          <w:tcPr>
            <w:tcW w:w="1563" w:type="dxa"/>
            <w:shd w:val="clear" w:color="auto" w:fill="auto"/>
            <w:hideMark/>
          </w:tcPr>
          <w:p w14:paraId="3F5B2C61" w14:textId="77777777" w:rsidR="002E3334" w:rsidRPr="002E3334" w:rsidRDefault="002E3334" w:rsidP="002E3334">
            <w:pPr>
              <w:spacing w:after="120" w:line="276" w:lineRule="auto"/>
              <w:rPr>
                <w:sz w:val="16"/>
                <w:szCs w:val="16"/>
              </w:rPr>
            </w:pPr>
            <w:r w:rsidRPr="002E3334">
              <w:rPr>
                <w:sz w:val="16"/>
                <w:szCs w:val="16"/>
              </w:rPr>
              <w:t> </w:t>
            </w:r>
          </w:p>
        </w:tc>
        <w:tc>
          <w:tcPr>
            <w:tcW w:w="2127" w:type="dxa"/>
            <w:gridSpan w:val="2"/>
            <w:shd w:val="clear" w:color="auto" w:fill="auto"/>
            <w:hideMark/>
          </w:tcPr>
          <w:p w14:paraId="27C26A18" w14:textId="77777777" w:rsidR="002E3334" w:rsidRPr="002E3334" w:rsidRDefault="002E3334" w:rsidP="002E3334">
            <w:pPr>
              <w:spacing w:after="120" w:line="276" w:lineRule="auto"/>
              <w:rPr>
                <w:sz w:val="16"/>
                <w:szCs w:val="16"/>
              </w:rPr>
            </w:pPr>
            <w:r w:rsidRPr="002E3334">
              <w:rPr>
                <w:sz w:val="16"/>
                <w:szCs w:val="16"/>
              </w:rPr>
              <w:t> </w:t>
            </w:r>
          </w:p>
          <w:p w14:paraId="686CE0ED" w14:textId="77777777" w:rsidR="002E3334" w:rsidRPr="002E3334" w:rsidRDefault="002E3334" w:rsidP="002E3334">
            <w:pPr>
              <w:spacing w:after="120" w:line="276" w:lineRule="auto"/>
              <w:rPr>
                <w:sz w:val="16"/>
                <w:szCs w:val="16"/>
              </w:rPr>
            </w:pPr>
            <w:r w:rsidRPr="002E3334">
              <w:rPr>
                <w:sz w:val="16"/>
                <w:szCs w:val="16"/>
              </w:rPr>
              <w:t> </w:t>
            </w:r>
          </w:p>
        </w:tc>
      </w:tr>
      <w:tr w:rsidR="002E3334" w:rsidRPr="002E3334" w14:paraId="7C3F5A23" w14:textId="77777777" w:rsidTr="009A1978">
        <w:trPr>
          <w:trHeight w:val="757"/>
          <w:jc w:val="center"/>
        </w:trPr>
        <w:tc>
          <w:tcPr>
            <w:tcW w:w="956" w:type="dxa"/>
            <w:shd w:val="clear" w:color="000000" w:fill="004B8D"/>
            <w:hideMark/>
          </w:tcPr>
          <w:p w14:paraId="298EC4CD" w14:textId="77777777" w:rsidR="002E3334" w:rsidRPr="002E3334" w:rsidRDefault="002E3334" w:rsidP="002E3334">
            <w:pPr>
              <w:spacing w:after="120" w:line="276" w:lineRule="auto"/>
              <w:rPr>
                <w:b/>
                <w:bCs/>
                <w:sz w:val="16"/>
                <w:szCs w:val="16"/>
              </w:rPr>
            </w:pPr>
            <w:r w:rsidRPr="002E3334">
              <w:rPr>
                <w:b/>
                <w:bCs/>
                <w:sz w:val="16"/>
                <w:szCs w:val="16"/>
              </w:rPr>
              <w:t>KVK</w:t>
            </w:r>
          </w:p>
        </w:tc>
        <w:tc>
          <w:tcPr>
            <w:tcW w:w="1869" w:type="dxa"/>
            <w:shd w:val="clear" w:color="auto" w:fill="auto"/>
            <w:hideMark/>
          </w:tcPr>
          <w:p w14:paraId="6520A544" w14:textId="77777777" w:rsidR="002E3334" w:rsidRPr="002E3334" w:rsidRDefault="002E3334" w:rsidP="002E3334">
            <w:pPr>
              <w:spacing w:after="120" w:line="276" w:lineRule="auto"/>
              <w:rPr>
                <w:sz w:val="16"/>
                <w:szCs w:val="16"/>
              </w:rPr>
            </w:pPr>
            <w:r w:rsidRPr="002E3334">
              <w:rPr>
                <w:sz w:val="16"/>
                <w:szCs w:val="16"/>
              </w:rPr>
              <w:t>Strojírenství a zakázková kovodělná výroba</w:t>
            </w:r>
          </w:p>
        </w:tc>
        <w:tc>
          <w:tcPr>
            <w:tcW w:w="1417" w:type="dxa"/>
            <w:shd w:val="clear" w:color="auto" w:fill="auto"/>
            <w:hideMark/>
          </w:tcPr>
          <w:p w14:paraId="307115C5" w14:textId="77777777" w:rsidR="002E3334" w:rsidRPr="002E3334" w:rsidRDefault="002E3334" w:rsidP="002E3334">
            <w:pPr>
              <w:spacing w:after="120" w:line="276" w:lineRule="auto"/>
              <w:rPr>
                <w:sz w:val="16"/>
                <w:szCs w:val="16"/>
              </w:rPr>
            </w:pPr>
            <w:r w:rsidRPr="002E3334">
              <w:rPr>
                <w:sz w:val="16"/>
                <w:szCs w:val="16"/>
              </w:rPr>
              <w:t>Elektrotechnika</w:t>
            </w:r>
          </w:p>
        </w:tc>
        <w:tc>
          <w:tcPr>
            <w:tcW w:w="1482" w:type="dxa"/>
            <w:shd w:val="clear" w:color="auto" w:fill="auto"/>
            <w:hideMark/>
          </w:tcPr>
          <w:p w14:paraId="7D5CE7E7" w14:textId="77777777" w:rsidR="002E3334" w:rsidRPr="002E3334" w:rsidRDefault="002E3334" w:rsidP="002E3334">
            <w:pPr>
              <w:spacing w:after="120" w:line="276" w:lineRule="auto"/>
              <w:rPr>
                <w:sz w:val="16"/>
                <w:szCs w:val="16"/>
              </w:rPr>
            </w:pPr>
            <w:r w:rsidRPr="002E3334">
              <w:rPr>
                <w:sz w:val="16"/>
                <w:szCs w:val="16"/>
              </w:rPr>
              <w:t>Automobilový průmysl</w:t>
            </w:r>
          </w:p>
        </w:tc>
        <w:tc>
          <w:tcPr>
            <w:tcW w:w="1922" w:type="dxa"/>
            <w:shd w:val="clear" w:color="auto" w:fill="auto"/>
            <w:hideMark/>
          </w:tcPr>
          <w:p w14:paraId="703971BD" w14:textId="77777777" w:rsidR="002E3334" w:rsidRPr="002E3334" w:rsidRDefault="002E3334" w:rsidP="002E3334">
            <w:pPr>
              <w:spacing w:after="120" w:line="276" w:lineRule="auto"/>
              <w:rPr>
                <w:sz w:val="16"/>
                <w:szCs w:val="16"/>
              </w:rPr>
            </w:pPr>
            <w:r w:rsidRPr="002E3334">
              <w:rPr>
                <w:sz w:val="16"/>
                <w:szCs w:val="16"/>
              </w:rPr>
              <w:t xml:space="preserve">Tradiční průmyslová odvětví – sklo, keramika, porcelán, další nekovové minerální výrobky </w:t>
            </w:r>
          </w:p>
        </w:tc>
        <w:tc>
          <w:tcPr>
            <w:tcW w:w="1701" w:type="dxa"/>
            <w:shd w:val="clear" w:color="auto" w:fill="auto"/>
            <w:hideMark/>
          </w:tcPr>
          <w:p w14:paraId="66CD645B" w14:textId="77777777" w:rsidR="002E3334" w:rsidRPr="002E3334" w:rsidRDefault="002E3334" w:rsidP="002E3334">
            <w:pPr>
              <w:spacing w:after="120" w:line="276" w:lineRule="auto"/>
              <w:rPr>
                <w:sz w:val="16"/>
                <w:szCs w:val="16"/>
              </w:rPr>
            </w:pPr>
            <w:r w:rsidRPr="002E3334">
              <w:rPr>
                <w:sz w:val="16"/>
                <w:szCs w:val="16"/>
              </w:rPr>
              <w:t>Výroba pryžových a plastových výrobků</w:t>
            </w:r>
          </w:p>
        </w:tc>
        <w:tc>
          <w:tcPr>
            <w:tcW w:w="1559" w:type="dxa"/>
            <w:shd w:val="clear" w:color="auto" w:fill="auto"/>
            <w:hideMark/>
          </w:tcPr>
          <w:p w14:paraId="708FEB45" w14:textId="77777777" w:rsidR="002E3334" w:rsidRPr="002E3334" w:rsidRDefault="002E3334" w:rsidP="002E3334">
            <w:pPr>
              <w:spacing w:after="120" w:line="276" w:lineRule="auto"/>
              <w:rPr>
                <w:sz w:val="16"/>
                <w:szCs w:val="16"/>
              </w:rPr>
            </w:pPr>
            <w:r w:rsidRPr="002E3334">
              <w:rPr>
                <w:sz w:val="16"/>
                <w:szCs w:val="16"/>
              </w:rPr>
              <w:t>Energetika a využití OZE, zpracování druhotných surovin – pokročilé technologie recyklace</w:t>
            </w:r>
          </w:p>
        </w:tc>
        <w:tc>
          <w:tcPr>
            <w:tcW w:w="1563" w:type="dxa"/>
            <w:shd w:val="clear" w:color="auto" w:fill="auto"/>
            <w:hideMark/>
          </w:tcPr>
          <w:p w14:paraId="5C41ABB4" w14:textId="77777777" w:rsidR="002E3334" w:rsidRPr="002E3334" w:rsidRDefault="002E3334" w:rsidP="002E3334">
            <w:pPr>
              <w:spacing w:after="120" w:line="276" w:lineRule="auto"/>
              <w:rPr>
                <w:sz w:val="16"/>
                <w:szCs w:val="16"/>
              </w:rPr>
            </w:pPr>
            <w:r w:rsidRPr="002E3334">
              <w:rPr>
                <w:sz w:val="16"/>
                <w:szCs w:val="16"/>
              </w:rPr>
              <w:t>Lázeňství a cestovní ruch</w:t>
            </w:r>
          </w:p>
        </w:tc>
        <w:tc>
          <w:tcPr>
            <w:tcW w:w="1276" w:type="dxa"/>
            <w:shd w:val="clear" w:color="auto" w:fill="auto"/>
            <w:hideMark/>
          </w:tcPr>
          <w:p w14:paraId="5E64F91F" w14:textId="77777777" w:rsidR="002E3334" w:rsidRPr="002E3334" w:rsidRDefault="002E3334" w:rsidP="002E3334">
            <w:pPr>
              <w:spacing w:after="120" w:line="276" w:lineRule="auto"/>
              <w:rPr>
                <w:sz w:val="16"/>
                <w:szCs w:val="16"/>
                <w:u w:val="single"/>
              </w:rPr>
            </w:pPr>
            <w:r w:rsidRPr="002E3334">
              <w:rPr>
                <w:sz w:val="16"/>
                <w:szCs w:val="16"/>
              </w:rPr>
              <w:t>Výroba nápojů</w:t>
            </w:r>
          </w:p>
        </w:tc>
        <w:tc>
          <w:tcPr>
            <w:tcW w:w="851" w:type="dxa"/>
            <w:shd w:val="clear" w:color="auto" w:fill="auto"/>
            <w:hideMark/>
          </w:tcPr>
          <w:p w14:paraId="62B60735" w14:textId="77777777" w:rsidR="002E3334" w:rsidRPr="002E3334" w:rsidRDefault="002E3334" w:rsidP="002E3334">
            <w:pPr>
              <w:spacing w:after="120" w:line="276" w:lineRule="auto"/>
              <w:rPr>
                <w:sz w:val="16"/>
                <w:szCs w:val="16"/>
              </w:rPr>
            </w:pPr>
            <w:r w:rsidRPr="002E3334">
              <w:rPr>
                <w:sz w:val="16"/>
                <w:szCs w:val="16"/>
              </w:rPr>
              <w:t>Chemie</w:t>
            </w:r>
          </w:p>
        </w:tc>
      </w:tr>
      <w:tr w:rsidR="002E3334" w:rsidRPr="002E3334" w14:paraId="7507181B" w14:textId="77777777" w:rsidTr="009A1978">
        <w:trPr>
          <w:trHeight w:val="1140"/>
          <w:jc w:val="center"/>
        </w:trPr>
        <w:tc>
          <w:tcPr>
            <w:tcW w:w="956" w:type="dxa"/>
            <w:shd w:val="clear" w:color="000000" w:fill="004B8D"/>
            <w:hideMark/>
          </w:tcPr>
          <w:p w14:paraId="2571E169" w14:textId="77777777" w:rsidR="002E3334" w:rsidRPr="002E3334" w:rsidRDefault="002E3334" w:rsidP="002E3334">
            <w:pPr>
              <w:spacing w:after="120" w:line="276" w:lineRule="auto"/>
              <w:rPr>
                <w:b/>
                <w:bCs/>
                <w:sz w:val="16"/>
                <w:szCs w:val="16"/>
              </w:rPr>
            </w:pPr>
            <w:r w:rsidRPr="002E3334">
              <w:rPr>
                <w:b/>
                <w:bCs/>
                <w:sz w:val="16"/>
                <w:szCs w:val="16"/>
              </w:rPr>
              <w:t>LBK</w:t>
            </w:r>
          </w:p>
        </w:tc>
        <w:tc>
          <w:tcPr>
            <w:tcW w:w="1869" w:type="dxa"/>
            <w:shd w:val="clear" w:color="auto" w:fill="auto"/>
            <w:hideMark/>
          </w:tcPr>
          <w:p w14:paraId="1CE133D1" w14:textId="77777777" w:rsidR="002E3334" w:rsidRPr="002E3334" w:rsidRDefault="002E3334" w:rsidP="002E3334">
            <w:pPr>
              <w:spacing w:after="120" w:line="276" w:lineRule="auto"/>
              <w:rPr>
                <w:sz w:val="16"/>
                <w:szCs w:val="16"/>
              </w:rPr>
            </w:pPr>
            <w:r w:rsidRPr="002E3334">
              <w:rPr>
                <w:sz w:val="16"/>
                <w:szCs w:val="16"/>
              </w:rPr>
              <w:t>Pokročilé strojírenství</w:t>
            </w:r>
          </w:p>
        </w:tc>
        <w:tc>
          <w:tcPr>
            <w:tcW w:w="1417" w:type="dxa"/>
            <w:shd w:val="clear" w:color="auto" w:fill="auto"/>
            <w:hideMark/>
          </w:tcPr>
          <w:p w14:paraId="068D9506" w14:textId="77777777" w:rsidR="002E3334" w:rsidRPr="002E3334" w:rsidRDefault="002E3334" w:rsidP="002E3334">
            <w:pPr>
              <w:spacing w:after="120" w:line="276" w:lineRule="auto"/>
              <w:rPr>
                <w:sz w:val="16"/>
                <w:szCs w:val="16"/>
              </w:rPr>
            </w:pPr>
            <w:r w:rsidRPr="002E3334">
              <w:rPr>
                <w:sz w:val="16"/>
                <w:szCs w:val="16"/>
              </w:rPr>
              <w:t xml:space="preserve">Optika dekorativní a užitné sklo </w:t>
            </w:r>
          </w:p>
        </w:tc>
        <w:tc>
          <w:tcPr>
            <w:tcW w:w="1482" w:type="dxa"/>
            <w:shd w:val="clear" w:color="auto" w:fill="auto"/>
            <w:hideMark/>
          </w:tcPr>
          <w:p w14:paraId="009AAE39" w14:textId="77777777" w:rsidR="002E3334" w:rsidRPr="002E3334" w:rsidRDefault="002E3334" w:rsidP="002E3334">
            <w:pPr>
              <w:spacing w:after="120" w:line="276" w:lineRule="auto"/>
              <w:rPr>
                <w:sz w:val="16"/>
                <w:szCs w:val="16"/>
              </w:rPr>
            </w:pPr>
            <w:r w:rsidRPr="002E3334">
              <w:rPr>
                <w:sz w:val="16"/>
                <w:szCs w:val="16"/>
              </w:rPr>
              <w:t>Pokročilé sanační, separační a membránové technologie</w:t>
            </w:r>
          </w:p>
        </w:tc>
        <w:tc>
          <w:tcPr>
            <w:tcW w:w="1922" w:type="dxa"/>
            <w:shd w:val="clear" w:color="auto" w:fill="auto"/>
            <w:hideMark/>
          </w:tcPr>
          <w:p w14:paraId="491A662C" w14:textId="77777777" w:rsidR="002E3334" w:rsidRPr="002E3334" w:rsidRDefault="002E3334" w:rsidP="002E3334">
            <w:pPr>
              <w:spacing w:after="120" w:line="276" w:lineRule="auto"/>
              <w:rPr>
                <w:sz w:val="16"/>
                <w:szCs w:val="16"/>
              </w:rPr>
            </w:pPr>
            <w:r w:rsidRPr="002E3334">
              <w:rPr>
                <w:sz w:val="16"/>
                <w:szCs w:val="16"/>
              </w:rPr>
              <w:t>Pokročilé materiály na bázi textilních struktur a technologie pro nové multidisciplinární aplikace</w:t>
            </w:r>
          </w:p>
        </w:tc>
        <w:tc>
          <w:tcPr>
            <w:tcW w:w="1701" w:type="dxa"/>
            <w:shd w:val="clear" w:color="auto" w:fill="auto"/>
            <w:hideMark/>
          </w:tcPr>
          <w:p w14:paraId="14CE78EF" w14:textId="77777777" w:rsidR="002E3334" w:rsidRPr="002E3334" w:rsidRDefault="002E3334" w:rsidP="002E3334">
            <w:pPr>
              <w:spacing w:after="120" w:line="276" w:lineRule="auto"/>
              <w:rPr>
                <w:sz w:val="16"/>
                <w:szCs w:val="16"/>
              </w:rPr>
            </w:pPr>
            <w:r w:rsidRPr="002E3334">
              <w:rPr>
                <w:sz w:val="16"/>
                <w:szCs w:val="16"/>
              </w:rPr>
              <w:t>Progresivní kovové kompozitní a plastové materiály a technologie jejich zpracování</w:t>
            </w:r>
          </w:p>
        </w:tc>
        <w:tc>
          <w:tcPr>
            <w:tcW w:w="1559" w:type="dxa"/>
            <w:shd w:val="clear" w:color="auto" w:fill="auto"/>
            <w:hideMark/>
          </w:tcPr>
          <w:p w14:paraId="50022AAF" w14:textId="77777777" w:rsidR="002E3334" w:rsidRPr="002E3334" w:rsidRDefault="002E3334" w:rsidP="002E3334">
            <w:pPr>
              <w:spacing w:after="120" w:line="276" w:lineRule="auto"/>
              <w:rPr>
                <w:sz w:val="16"/>
                <w:szCs w:val="16"/>
              </w:rPr>
            </w:pPr>
            <w:r w:rsidRPr="002E3334">
              <w:rPr>
                <w:sz w:val="16"/>
                <w:szCs w:val="16"/>
              </w:rPr>
              <w:t>Nanomateriály a technologie jejich výroby</w:t>
            </w:r>
          </w:p>
        </w:tc>
        <w:tc>
          <w:tcPr>
            <w:tcW w:w="1563" w:type="dxa"/>
            <w:shd w:val="clear" w:color="auto" w:fill="auto"/>
            <w:hideMark/>
          </w:tcPr>
          <w:p w14:paraId="7E2C6ECF" w14:textId="77777777" w:rsidR="002E3334" w:rsidRPr="002E3334" w:rsidRDefault="002E3334" w:rsidP="002E3334">
            <w:pPr>
              <w:spacing w:after="120" w:line="276" w:lineRule="auto"/>
              <w:rPr>
                <w:sz w:val="16"/>
                <w:szCs w:val="16"/>
              </w:rPr>
            </w:pPr>
            <w:r w:rsidRPr="002E3334">
              <w:rPr>
                <w:sz w:val="16"/>
                <w:szCs w:val="16"/>
              </w:rPr>
              <w:t>Komponenty pro dopravní zařízení</w:t>
            </w:r>
          </w:p>
        </w:tc>
        <w:tc>
          <w:tcPr>
            <w:tcW w:w="2127" w:type="dxa"/>
            <w:gridSpan w:val="2"/>
            <w:shd w:val="clear" w:color="auto" w:fill="auto"/>
            <w:hideMark/>
          </w:tcPr>
          <w:p w14:paraId="09A40958" w14:textId="77777777" w:rsidR="002E3334" w:rsidRPr="002E3334" w:rsidRDefault="002E3334" w:rsidP="002E3334">
            <w:pPr>
              <w:spacing w:after="120" w:line="276" w:lineRule="auto"/>
              <w:rPr>
                <w:sz w:val="16"/>
                <w:szCs w:val="16"/>
              </w:rPr>
            </w:pPr>
            <w:r w:rsidRPr="002E3334">
              <w:rPr>
                <w:sz w:val="16"/>
                <w:szCs w:val="16"/>
              </w:rPr>
              <w:t> Elektronika, elektrotechnika</w:t>
            </w:r>
          </w:p>
        </w:tc>
      </w:tr>
      <w:tr w:rsidR="002E3334" w:rsidRPr="002E3334" w14:paraId="7274894C" w14:textId="77777777" w:rsidTr="009A1978">
        <w:trPr>
          <w:trHeight w:val="2194"/>
          <w:jc w:val="center"/>
        </w:trPr>
        <w:tc>
          <w:tcPr>
            <w:tcW w:w="956" w:type="dxa"/>
            <w:shd w:val="clear" w:color="000000" w:fill="004B8D"/>
            <w:hideMark/>
          </w:tcPr>
          <w:p w14:paraId="2C34CB48" w14:textId="77777777" w:rsidR="002E3334" w:rsidRPr="002E3334" w:rsidRDefault="002E3334" w:rsidP="002E3334">
            <w:pPr>
              <w:spacing w:after="120" w:line="276" w:lineRule="auto"/>
              <w:rPr>
                <w:b/>
                <w:bCs/>
                <w:sz w:val="16"/>
                <w:szCs w:val="16"/>
              </w:rPr>
            </w:pPr>
            <w:r w:rsidRPr="002E3334">
              <w:rPr>
                <w:b/>
                <w:bCs/>
                <w:sz w:val="16"/>
                <w:szCs w:val="16"/>
              </w:rPr>
              <w:t>MSK</w:t>
            </w:r>
          </w:p>
        </w:tc>
        <w:tc>
          <w:tcPr>
            <w:tcW w:w="1869" w:type="dxa"/>
            <w:shd w:val="clear" w:color="auto" w:fill="auto"/>
            <w:hideMark/>
          </w:tcPr>
          <w:p w14:paraId="00674C39" w14:textId="77777777" w:rsidR="002E3334" w:rsidRPr="002E3334" w:rsidRDefault="002E3334" w:rsidP="002E3334">
            <w:pPr>
              <w:spacing w:after="120" w:line="276" w:lineRule="auto"/>
              <w:rPr>
                <w:sz w:val="16"/>
                <w:szCs w:val="16"/>
              </w:rPr>
            </w:pPr>
            <w:r w:rsidRPr="002E3334">
              <w:rPr>
                <w:sz w:val="16"/>
                <w:szCs w:val="16"/>
              </w:rPr>
              <w:t xml:space="preserve">Pokročilé materiály </w:t>
            </w:r>
            <w:r w:rsidRPr="002E3334">
              <w:rPr>
                <w:bCs/>
                <w:sz w:val="16"/>
                <w:szCs w:val="16"/>
              </w:rPr>
              <w:t>a materiály s nízkou energetickou náročností (vývoj, výroba a technologie zpracování a vzájemného spojování)</w:t>
            </w:r>
          </w:p>
        </w:tc>
        <w:tc>
          <w:tcPr>
            <w:tcW w:w="1417" w:type="dxa"/>
            <w:shd w:val="clear" w:color="auto" w:fill="auto"/>
            <w:hideMark/>
          </w:tcPr>
          <w:p w14:paraId="15E3C9A0" w14:textId="77777777" w:rsidR="002E3334" w:rsidRPr="002E3334" w:rsidRDefault="002E3334" w:rsidP="002E3334">
            <w:pPr>
              <w:spacing w:after="120" w:line="276" w:lineRule="auto"/>
              <w:rPr>
                <w:sz w:val="16"/>
                <w:szCs w:val="16"/>
              </w:rPr>
            </w:pPr>
            <w:r w:rsidRPr="002E3334">
              <w:rPr>
                <w:bCs/>
                <w:sz w:val="16"/>
                <w:szCs w:val="16"/>
              </w:rPr>
              <w:t xml:space="preserve">Speciální stroje, zařízení a technologické postupy </w:t>
            </w:r>
            <w:r w:rsidRPr="002E3334">
              <w:rPr>
                <w:sz w:val="16"/>
                <w:szCs w:val="16"/>
              </w:rPr>
              <w:t>průmyslové automatizace pro výrobu a zkušebnictv</w:t>
            </w:r>
            <w:r w:rsidRPr="002E3334">
              <w:rPr>
                <w:b/>
                <w:bCs/>
                <w:sz w:val="16"/>
                <w:szCs w:val="16"/>
              </w:rPr>
              <w:t>í</w:t>
            </w:r>
          </w:p>
        </w:tc>
        <w:tc>
          <w:tcPr>
            <w:tcW w:w="1482" w:type="dxa"/>
            <w:shd w:val="clear" w:color="auto" w:fill="auto"/>
            <w:hideMark/>
          </w:tcPr>
          <w:p w14:paraId="5EBACB54" w14:textId="77777777" w:rsidR="002E3334" w:rsidRPr="002E3334" w:rsidRDefault="002E3334" w:rsidP="002E3334">
            <w:pPr>
              <w:spacing w:after="120" w:line="276" w:lineRule="auto"/>
              <w:rPr>
                <w:sz w:val="16"/>
                <w:szCs w:val="16"/>
              </w:rPr>
            </w:pPr>
            <w:r w:rsidRPr="002E3334">
              <w:rPr>
                <w:bCs/>
                <w:sz w:val="16"/>
                <w:szCs w:val="16"/>
              </w:rPr>
              <w:t>Mechatronické systémy a zařízení</w:t>
            </w:r>
          </w:p>
        </w:tc>
        <w:tc>
          <w:tcPr>
            <w:tcW w:w="1922" w:type="dxa"/>
            <w:shd w:val="clear" w:color="auto" w:fill="auto"/>
            <w:hideMark/>
          </w:tcPr>
          <w:p w14:paraId="3F17334F" w14:textId="77777777" w:rsidR="002E3334" w:rsidRPr="002E3334" w:rsidRDefault="002E3334" w:rsidP="002E3334">
            <w:pPr>
              <w:spacing w:after="120" w:line="276" w:lineRule="auto"/>
              <w:rPr>
                <w:sz w:val="16"/>
                <w:szCs w:val="16"/>
              </w:rPr>
            </w:pPr>
            <w:r w:rsidRPr="002E3334">
              <w:rPr>
                <w:sz w:val="16"/>
                <w:szCs w:val="16"/>
              </w:rPr>
              <w:t>Regenerativní medicína, genomika a nové přístupy při analýze dat</w:t>
            </w:r>
          </w:p>
        </w:tc>
        <w:tc>
          <w:tcPr>
            <w:tcW w:w="1701" w:type="dxa"/>
            <w:shd w:val="clear" w:color="auto" w:fill="auto"/>
            <w:hideMark/>
          </w:tcPr>
          <w:p w14:paraId="781828ED" w14:textId="77777777" w:rsidR="002E3334" w:rsidRPr="002E3334" w:rsidRDefault="002E3334" w:rsidP="002E3334">
            <w:pPr>
              <w:spacing w:after="120" w:line="276" w:lineRule="auto"/>
              <w:rPr>
                <w:bCs/>
                <w:sz w:val="16"/>
                <w:szCs w:val="16"/>
              </w:rPr>
            </w:pPr>
            <w:r w:rsidRPr="002E3334">
              <w:rPr>
                <w:bCs/>
                <w:sz w:val="16"/>
                <w:szCs w:val="16"/>
              </w:rPr>
              <w:t>Z</w:t>
            </w:r>
            <w:r w:rsidRPr="002E3334">
              <w:rPr>
                <w:sz w:val="16"/>
                <w:szCs w:val="16"/>
              </w:rPr>
              <w:t>pracování a využití nerostných a druhotných surovin a odpadů vč. inovativních metod využití jejich energetického potenciálu v podmínkách ostravské aglomerace</w:t>
            </w:r>
          </w:p>
        </w:tc>
        <w:tc>
          <w:tcPr>
            <w:tcW w:w="1559" w:type="dxa"/>
            <w:shd w:val="clear" w:color="auto" w:fill="auto"/>
            <w:hideMark/>
          </w:tcPr>
          <w:p w14:paraId="51E6F406" w14:textId="77777777" w:rsidR="002E3334" w:rsidRPr="002E3334" w:rsidRDefault="002E3334" w:rsidP="002E3334">
            <w:pPr>
              <w:spacing w:after="120" w:line="276" w:lineRule="auto"/>
              <w:rPr>
                <w:sz w:val="16"/>
                <w:szCs w:val="16"/>
              </w:rPr>
            </w:pPr>
            <w:r w:rsidRPr="002E3334">
              <w:rPr>
                <w:bCs/>
                <w:sz w:val="16"/>
                <w:szCs w:val="16"/>
              </w:rPr>
              <w:t xml:space="preserve">Smart grids </w:t>
            </w:r>
            <w:r w:rsidRPr="002E3334">
              <w:rPr>
                <w:sz w:val="16"/>
                <w:szCs w:val="16"/>
              </w:rPr>
              <w:t>a smart cities s využitím specifik MSK v procesu změn jeho technologického profilu - geotermální energie, metan, kogenerace a akumulace, podzemní infrastruktura</w:t>
            </w:r>
          </w:p>
        </w:tc>
        <w:tc>
          <w:tcPr>
            <w:tcW w:w="1563" w:type="dxa"/>
            <w:shd w:val="clear" w:color="auto" w:fill="auto"/>
            <w:hideMark/>
          </w:tcPr>
          <w:p w14:paraId="242C619F" w14:textId="77777777" w:rsidR="002E3334" w:rsidRPr="002E3334" w:rsidRDefault="002E3334" w:rsidP="002E3334">
            <w:pPr>
              <w:spacing w:after="120" w:line="276" w:lineRule="auto"/>
              <w:rPr>
                <w:sz w:val="16"/>
                <w:szCs w:val="16"/>
              </w:rPr>
            </w:pPr>
            <w:r w:rsidRPr="002E3334">
              <w:rPr>
                <w:sz w:val="16"/>
                <w:szCs w:val="16"/>
              </w:rPr>
              <w:t xml:space="preserve">Integrované bezpečnostní systémy se zahrnutím prvků environmentální prevence a ochrany </w:t>
            </w:r>
          </w:p>
        </w:tc>
        <w:tc>
          <w:tcPr>
            <w:tcW w:w="2127" w:type="dxa"/>
            <w:gridSpan w:val="2"/>
            <w:shd w:val="clear" w:color="auto" w:fill="auto"/>
            <w:hideMark/>
          </w:tcPr>
          <w:p w14:paraId="55A9E9A0" w14:textId="77777777" w:rsidR="002E3334" w:rsidRPr="002E3334" w:rsidRDefault="002E3334" w:rsidP="002E3334">
            <w:pPr>
              <w:spacing w:after="120" w:line="276" w:lineRule="auto"/>
              <w:rPr>
                <w:sz w:val="16"/>
                <w:szCs w:val="16"/>
              </w:rPr>
            </w:pPr>
            <w:r w:rsidRPr="002E3334">
              <w:rPr>
                <w:sz w:val="16"/>
                <w:szCs w:val="16"/>
              </w:rPr>
              <w:t xml:space="preserve">Superpočítačové metody </w:t>
            </w:r>
            <w:r w:rsidRPr="002E3334">
              <w:rPr>
                <w:bCs/>
                <w:sz w:val="16"/>
                <w:szCs w:val="16"/>
              </w:rPr>
              <w:t>pro řešení inženýrských úloh, aplikace v přírodních a technických vědách, modelování a simulace jevů a situací s dopadem na lidskou činnost</w:t>
            </w:r>
          </w:p>
        </w:tc>
      </w:tr>
      <w:tr w:rsidR="00403990" w:rsidRPr="002E3334" w14:paraId="1DD02938" w14:textId="77777777" w:rsidTr="009A1978">
        <w:trPr>
          <w:trHeight w:val="315"/>
          <w:jc w:val="center"/>
        </w:trPr>
        <w:tc>
          <w:tcPr>
            <w:tcW w:w="956" w:type="dxa"/>
            <w:shd w:val="clear" w:color="000000" w:fill="004B8D"/>
            <w:hideMark/>
          </w:tcPr>
          <w:p w14:paraId="7BC41135" w14:textId="77777777" w:rsidR="00403990" w:rsidRPr="002E3334" w:rsidRDefault="00403990" w:rsidP="002E3334">
            <w:pPr>
              <w:spacing w:after="120" w:line="276" w:lineRule="auto"/>
              <w:rPr>
                <w:b/>
                <w:bCs/>
                <w:sz w:val="16"/>
                <w:szCs w:val="16"/>
              </w:rPr>
            </w:pPr>
            <w:r w:rsidRPr="002E3334">
              <w:rPr>
                <w:b/>
                <w:bCs/>
                <w:sz w:val="16"/>
                <w:szCs w:val="16"/>
              </w:rPr>
              <w:t>OLK</w:t>
            </w:r>
          </w:p>
        </w:tc>
        <w:tc>
          <w:tcPr>
            <w:tcW w:w="1869" w:type="dxa"/>
            <w:shd w:val="clear" w:color="auto" w:fill="auto"/>
            <w:hideMark/>
          </w:tcPr>
          <w:p w14:paraId="2BD50DF9" w14:textId="77777777" w:rsidR="00403990" w:rsidRPr="002E3334" w:rsidRDefault="00403990" w:rsidP="002E3334">
            <w:pPr>
              <w:spacing w:after="120" w:line="276" w:lineRule="auto"/>
              <w:rPr>
                <w:sz w:val="16"/>
                <w:szCs w:val="16"/>
              </w:rPr>
            </w:pPr>
            <w:r w:rsidRPr="002E3334">
              <w:rPr>
                <w:sz w:val="16"/>
                <w:szCs w:val="16"/>
              </w:rPr>
              <w:t>Strojírenství a elektrotechnický průmysl</w:t>
            </w:r>
          </w:p>
        </w:tc>
        <w:tc>
          <w:tcPr>
            <w:tcW w:w="1417" w:type="dxa"/>
            <w:shd w:val="clear" w:color="auto" w:fill="auto"/>
            <w:hideMark/>
          </w:tcPr>
          <w:p w14:paraId="2785DCB4" w14:textId="77777777" w:rsidR="00403990" w:rsidRPr="002E3334" w:rsidRDefault="00403990" w:rsidP="002E3334">
            <w:pPr>
              <w:spacing w:after="120" w:line="276" w:lineRule="auto"/>
              <w:rPr>
                <w:sz w:val="16"/>
                <w:szCs w:val="16"/>
              </w:rPr>
            </w:pPr>
            <w:r w:rsidRPr="002E3334">
              <w:rPr>
                <w:sz w:val="16"/>
                <w:szCs w:val="16"/>
              </w:rPr>
              <w:t>Optika a jemná mechanika, optoelektronika</w:t>
            </w:r>
          </w:p>
        </w:tc>
        <w:tc>
          <w:tcPr>
            <w:tcW w:w="1482" w:type="dxa"/>
            <w:shd w:val="clear" w:color="auto" w:fill="auto"/>
            <w:hideMark/>
          </w:tcPr>
          <w:p w14:paraId="5570B7A9" w14:textId="77777777" w:rsidR="00403990" w:rsidRPr="002E3334" w:rsidRDefault="00403990" w:rsidP="002E3334">
            <w:pPr>
              <w:spacing w:after="120" w:line="276" w:lineRule="auto"/>
              <w:rPr>
                <w:sz w:val="16"/>
                <w:szCs w:val="16"/>
              </w:rPr>
            </w:pPr>
            <w:r w:rsidRPr="002E3334">
              <w:rPr>
                <w:sz w:val="16"/>
                <w:szCs w:val="16"/>
              </w:rPr>
              <w:t>Průmyslová chemie</w:t>
            </w:r>
          </w:p>
        </w:tc>
        <w:tc>
          <w:tcPr>
            <w:tcW w:w="1922" w:type="dxa"/>
            <w:shd w:val="clear" w:color="auto" w:fill="auto"/>
            <w:hideMark/>
          </w:tcPr>
          <w:p w14:paraId="6042B92A" w14:textId="77777777" w:rsidR="00403990" w:rsidRPr="002E3334" w:rsidRDefault="00403990" w:rsidP="002E3334">
            <w:pPr>
              <w:spacing w:after="120" w:line="276" w:lineRule="auto"/>
              <w:rPr>
                <w:sz w:val="16"/>
                <w:szCs w:val="16"/>
              </w:rPr>
            </w:pPr>
            <w:r w:rsidRPr="002E3334">
              <w:rPr>
                <w:sz w:val="16"/>
                <w:szCs w:val="16"/>
              </w:rPr>
              <w:t>Čerpací a vodohospodářská technika</w:t>
            </w:r>
          </w:p>
        </w:tc>
        <w:tc>
          <w:tcPr>
            <w:tcW w:w="1701" w:type="dxa"/>
            <w:shd w:val="clear" w:color="auto" w:fill="auto"/>
            <w:hideMark/>
          </w:tcPr>
          <w:p w14:paraId="7AC67A3D" w14:textId="77777777" w:rsidR="00403990" w:rsidRPr="002E3334" w:rsidRDefault="00403990" w:rsidP="002E3334">
            <w:pPr>
              <w:spacing w:after="120" w:line="276" w:lineRule="auto"/>
              <w:rPr>
                <w:sz w:val="16"/>
                <w:szCs w:val="16"/>
              </w:rPr>
            </w:pPr>
            <w:r w:rsidRPr="002E3334">
              <w:rPr>
                <w:sz w:val="16"/>
                <w:szCs w:val="16"/>
              </w:rPr>
              <w:t>Biomedicína, Life Science a péče o zdraví</w:t>
            </w:r>
          </w:p>
        </w:tc>
        <w:tc>
          <w:tcPr>
            <w:tcW w:w="1559" w:type="dxa"/>
            <w:shd w:val="clear" w:color="auto" w:fill="auto"/>
          </w:tcPr>
          <w:p w14:paraId="2B4C6B46" w14:textId="77777777" w:rsidR="00403990" w:rsidRPr="002E3334" w:rsidRDefault="00403990" w:rsidP="002E3334">
            <w:pPr>
              <w:spacing w:after="120" w:line="276" w:lineRule="auto"/>
              <w:rPr>
                <w:sz w:val="16"/>
                <w:szCs w:val="16"/>
              </w:rPr>
            </w:pPr>
            <w:r w:rsidRPr="002E3334">
              <w:rPr>
                <w:sz w:val="16"/>
                <w:szCs w:val="16"/>
              </w:rPr>
              <w:t> Vývoj software</w:t>
            </w:r>
          </w:p>
        </w:tc>
        <w:tc>
          <w:tcPr>
            <w:tcW w:w="1563" w:type="dxa"/>
            <w:shd w:val="clear" w:color="auto" w:fill="auto"/>
          </w:tcPr>
          <w:p w14:paraId="2DBC32AC" w14:textId="07B0EF66" w:rsidR="00403990" w:rsidRPr="002E3334" w:rsidRDefault="006233C1" w:rsidP="006233C1">
            <w:pPr>
              <w:spacing w:after="120" w:line="276" w:lineRule="auto"/>
              <w:rPr>
                <w:sz w:val="16"/>
                <w:szCs w:val="16"/>
              </w:rPr>
            </w:pPr>
            <w:r w:rsidRPr="006233C1">
              <w:rPr>
                <w:sz w:val="16"/>
                <w:szCs w:val="16"/>
              </w:rPr>
              <w:t>Výzkum a vývoj - Pokročilé zemědělské technologie pro udržitelný rozvoj a</w:t>
            </w:r>
            <w:r>
              <w:rPr>
                <w:sz w:val="16"/>
                <w:szCs w:val="16"/>
              </w:rPr>
              <w:t> </w:t>
            </w:r>
            <w:r w:rsidRPr="006233C1">
              <w:rPr>
                <w:sz w:val="16"/>
                <w:szCs w:val="16"/>
              </w:rPr>
              <w:t>Nové materiály a</w:t>
            </w:r>
            <w:r>
              <w:rPr>
                <w:sz w:val="16"/>
                <w:szCs w:val="16"/>
              </w:rPr>
              <w:t> </w:t>
            </w:r>
            <w:r w:rsidRPr="006233C1">
              <w:rPr>
                <w:sz w:val="16"/>
                <w:szCs w:val="16"/>
              </w:rPr>
              <w:t>technologie</w:t>
            </w:r>
          </w:p>
        </w:tc>
        <w:tc>
          <w:tcPr>
            <w:tcW w:w="2127" w:type="dxa"/>
            <w:gridSpan w:val="2"/>
            <w:shd w:val="clear" w:color="auto" w:fill="auto"/>
          </w:tcPr>
          <w:p w14:paraId="5BF33F4C" w14:textId="77777777" w:rsidR="00403990" w:rsidRPr="002E3334" w:rsidRDefault="00403990" w:rsidP="002E3334">
            <w:pPr>
              <w:spacing w:after="120" w:line="276" w:lineRule="auto"/>
              <w:rPr>
                <w:sz w:val="16"/>
                <w:szCs w:val="16"/>
              </w:rPr>
            </w:pPr>
            <w:r w:rsidRPr="002E3334">
              <w:rPr>
                <w:sz w:val="16"/>
                <w:szCs w:val="16"/>
              </w:rPr>
              <w:t> </w:t>
            </w:r>
          </w:p>
        </w:tc>
      </w:tr>
      <w:tr w:rsidR="00403990" w:rsidRPr="002E3334" w14:paraId="03BD0131" w14:textId="77777777" w:rsidTr="009A1978">
        <w:trPr>
          <w:trHeight w:val="315"/>
          <w:jc w:val="center"/>
        </w:trPr>
        <w:tc>
          <w:tcPr>
            <w:tcW w:w="956" w:type="dxa"/>
            <w:shd w:val="clear" w:color="000000" w:fill="004B8D"/>
            <w:hideMark/>
          </w:tcPr>
          <w:p w14:paraId="55C9FE51" w14:textId="77777777" w:rsidR="00403990" w:rsidRPr="002E3334" w:rsidRDefault="00403990" w:rsidP="002E3334">
            <w:pPr>
              <w:spacing w:after="120" w:line="276" w:lineRule="auto"/>
              <w:rPr>
                <w:b/>
                <w:bCs/>
                <w:sz w:val="16"/>
                <w:szCs w:val="16"/>
              </w:rPr>
            </w:pPr>
            <w:r w:rsidRPr="002E3334">
              <w:rPr>
                <w:b/>
                <w:bCs/>
                <w:sz w:val="16"/>
                <w:szCs w:val="16"/>
              </w:rPr>
              <w:t>PAK</w:t>
            </w:r>
          </w:p>
        </w:tc>
        <w:tc>
          <w:tcPr>
            <w:tcW w:w="1869" w:type="dxa"/>
            <w:shd w:val="clear" w:color="auto" w:fill="auto"/>
            <w:hideMark/>
          </w:tcPr>
          <w:p w14:paraId="412E5360" w14:textId="77777777" w:rsidR="00403990" w:rsidRPr="002E3334" w:rsidRDefault="00403990" w:rsidP="002E3334">
            <w:pPr>
              <w:spacing w:after="120" w:line="276" w:lineRule="auto"/>
              <w:rPr>
                <w:sz w:val="16"/>
                <w:szCs w:val="16"/>
              </w:rPr>
            </w:pPr>
            <w:r w:rsidRPr="002E3334">
              <w:rPr>
                <w:sz w:val="16"/>
                <w:szCs w:val="16"/>
              </w:rPr>
              <w:t xml:space="preserve">Inteligentní chemie pro průmyslové a biomedicinální aplikace </w:t>
            </w:r>
          </w:p>
        </w:tc>
        <w:tc>
          <w:tcPr>
            <w:tcW w:w="1417" w:type="dxa"/>
            <w:shd w:val="clear" w:color="auto" w:fill="auto"/>
            <w:hideMark/>
          </w:tcPr>
          <w:p w14:paraId="29415D92" w14:textId="77777777" w:rsidR="00403990" w:rsidRPr="002E3334" w:rsidRDefault="00403990" w:rsidP="002E3334">
            <w:pPr>
              <w:spacing w:after="120" w:line="276" w:lineRule="auto"/>
              <w:rPr>
                <w:sz w:val="16"/>
                <w:szCs w:val="16"/>
              </w:rPr>
            </w:pPr>
            <w:r w:rsidRPr="002E3334">
              <w:rPr>
                <w:sz w:val="16"/>
                <w:szCs w:val="16"/>
              </w:rPr>
              <w:t xml:space="preserve">Textil – Pokročilé materiály na bázi textilních struktur </w:t>
            </w:r>
          </w:p>
        </w:tc>
        <w:tc>
          <w:tcPr>
            <w:tcW w:w="1482" w:type="dxa"/>
            <w:shd w:val="clear" w:color="auto" w:fill="auto"/>
            <w:hideMark/>
          </w:tcPr>
          <w:p w14:paraId="4BAF7FC2" w14:textId="77777777" w:rsidR="00403990" w:rsidRPr="002E3334" w:rsidRDefault="00403990" w:rsidP="002E3334">
            <w:pPr>
              <w:spacing w:after="120" w:line="276" w:lineRule="auto"/>
              <w:rPr>
                <w:sz w:val="16"/>
                <w:szCs w:val="16"/>
              </w:rPr>
            </w:pPr>
            <w:r w:rsidRPr="002E3334">
              <w:rPr>
                <w:sz w:val="16"/>
                <w:szCs w:val="16"/>
              </w:rPr>
              <w:t>Konkurenceschopná doprava</w:t>
            </w:r>
          </w:p>
        </w:tc>
        <w:tc>
          <w:tcPr>
            <w:tcW w:w="1922" w:type="dxa"/>
            <w:shd w:val="clear" w:color="auto" w:fill="auto"/>
            <w:hideMark/>
          </w:tcPr>
          <w:p w14:paraId="26C50786" w14:textId="77777777" w:rsidR="00403990" w:rsidRPr="002E3334" w:rsidRDefault="00403990" w:rsidP="002E3334">
            <w:pPr>
              <w:spacing w:after="120" w:line="276" w:lineRule="auto"/>
              <w:rPr>
                <w:sz w:val="16"/>
                <w:szCs w:val="16"/>
              </w:rPr>
            </w:pPr>
            <w:r w:rsidRPr="002E3334">
              <w:rPr>
                <w:sz w:val="16"/>
                <w:szCs w:val="16"/>
              </w:rPr>
              <w:t>Strojírenství</w:t>
            </w:r>
          </w:p>
        </w:tc>
        <w:tc>
          <w:tcPr>
            <w:tcW w:w="1701" w:type="dxa"/>
            <w:shd w:val="clear" w:color="auto" w:fill="auto"/>
            <w:hideMark/>
          </w:tcPr>
          <w:p w14:paraId="6FBE758C" w14:textId="77777777" w:rsidR="00403990" w:rsidRPr="002E3334" w:rsidRDefault="00403990" w:rsidP="002E3334">
            <w:pPr>
              <w:spacing w:after="120" w:line="276" w:lineRule="auto"/>
              <w:rPr>
                <w:sz w:val="16"/>
                <w:szCs w:val="16"/>
              </w:rPr>
            </w:pPr>
            <w:r w:rsidRPr="002E3334">
              <w:rPr>
                <w:sz w:val="16"/>
                <w:szCs w:val="16"/>
              </w:rPr>
              <w:t xml:space="preserve">Pokročilé aplikace elektrotechniky a informatiky </w:t>
            </w:r>
          </w:p>
        </w:tc>
        <w:tc>
          <w:tcPr>
            <w:tcW w:w="1559" w:type="dxa"/>
            <w:shd w:val="clear" w:color="auto" w:fill="auto"/>
            <w:hideMark/>
          </w:tcPr>
          <w:p w14:paraId="78B05BD7" w14:textId="77777777" w:rsidR="00403990" w:rsidRPr="002E3334" w:rsidRDefault="00403990" w:rsidP="002E3334">
            <w:pPr>
              <w:spacing w:after="120" w:line="276" w:lineRule="auto"/>
              <w:rPr>
                <w:sz w:val="16"/>
                <w:szCs w:val="16"/>
              </w:rPr>
            </w:pPr>
            <w:r w:rsidRPr="002E3334">
              <w:rPr>
                <w:sz w:val="16"/>
                <w:szCs w:val="16"/>
              </w:rPr>
              <w:t> </w:t>
            </w:r>
          </w:p>
        </w:tc>
        <w:tc>
          <w:tcPr>
            <w:tcW w:w="1563" w:type="dxa"/>
            <w:shd w:val="clear" w:color="auto" w:fill="auto"/>
            <w:hideMark/>
          </w:tcPr>
          <w:p w14:paraId="20C03B2C" w14:textId="77777777" w:rsidR="00403990" w:rsidRPr="002E3334" w:rsidRDefault="00403990" w:rsidP="002E3334">
            <w:pPr>
              <w:spacing w:after="120" w:line="276" w:lineRule="auto"/>
              <w:rPr>
                <w:sz w:val="16"/>
                <w:szCs w:val="16"/>
              </w:rPr>
            </w:pPr>
            <w:r w:rsidRPr="002E3334">
              <w:rPr>
                <w:sz w:val="16"/>
                <w:szCs w:val="16"/>
              </w:rPr>
              <w:t> </w:t>
            </w:r>
          </w:p>
        </w:tc>
        <w:tc>
          <w:tcPr>
            <w:tcW w:w="2127" w:type="dxa"/>
            <w:gridSpan w:val="2"/>
            <w:shd w:val="clear" w:color="auto" w:fill="auto"/>
            <w:hideMark/>
          </w:tcPr>
          <w:p w14:paraId="09C37A1D" w14:textId="77777777" w:rsidR="00403990" w:rsidRPr="002E3334" w:rsidRDefault="00403990" w:rsidP="002E3334">
            <w:pPr>
              <w:spacing w:after="120" w:line="276" w:lineRule="auto"/>
              <w:rPr>
                <w:sz w:val="16"/>
                <w:szCs w:val="16"/>
              </w:rPr>
            </w:pPr>
            <w:r w:rsidRPr="002E3334">
              <w:rPr>
                <w:sz w:val="16"/>
                <w:szCs w:val="16"/>
              </w:rPr>
              <w:t> </w:t>
            </w:r>
          </w:p>
          <w:p w14:paraId="77D6BA7B" w14:textId="1274112C" w:rsidR="00403990" w:rsidRPr="002E3334" w:rsidRDefault="00403990" w:rsidP="002E3334">
            <w:pPr>
              <w:spacing w:after="120" w:line="276" w:lineRule="auto"/>
              <w:rPr>
                <w:sz w:val="16"/>
                <w:szCs w:val="16"/>
              </w:rPr>
            </w:pPr>
            <w:r w:rsidRPr="002E3334">
              <w:rPr>
                <w:sz w:val="16"/>
                <w:szCs w:val="16"/>
              </w:rPr>
              <w:t> </w:t>
            </w:r>
          </w:p>
        </w:tc>
      </w:tr>
      <w:tr w:rsidR="00403990" w:rsidRPr="002E3334" w14:paraId="6B4E3B6F" w14:textId="77777777" w:rsidTr="009A1978">
        <w:trPr>
          <w:trHeight w:val="315"/>
          <w:jc w:val="center"/>
        </w:trPr>
        <w:tc>
          <w:tcPr>
            <w:tcW w:w="956" w:type="dxa"/>
            <w:shd w:val="clear" w:color="000000" w:fill="004B8D"/>
            <w:hideMark/>
          </w:tcPr>
          <w:p w14:paraId="04E355B3" w14:textId="77777777" w:rsidR="00403990" w:rsidRPr="002E3334" w:rsidRDefault="00403990" w:rsidP="002E3334">
            <w:pPr>
              <w:spacing w:after="120" w:line="276" w:lineRule="auto"/>
              <w:rPr>
                <w:b/>
                <w:bCs/>
                <w:sz w:val="16"/>
                <w:szCs w:val="16"/>
              </w:rPr>
            </w:pPr>
            <w:r w:rsidRPr="002E3334">
              <w:rPr>
                <w:b/>
                <w:bCs/>
                <w:sz w:val="16"/>
                <w:szCs w:val="16"/>
              </w:rPr>
              <w:t>PLK</w:t>
            </w:r>
          </w:p>
        </w:tc>
        <w:tc>
          <w:tcPr>
            <w:tcW w:w="1869" w:type="dxa"/>
            <w:shd w:val="clear" w:color="auto" w:fill="auto"/>
            <w:hideMark/>
          </w:tcPr>
          <w:p w14:paraId="205B5D8A" w14:textId="77777777" w:rsidR="00403990" w:rsidRPr="002E3334" w:rsidRDefault="00403990" w:rsidP="002E3334">
            <w:pPr>
              <w:spacing w:after="120" w:line="276" w:lineRule="auto"/>
              <w:rPr>
                <w:sz w:val="16"/>
                <w:szCs w:val="16"/>
              </w:rPr>
            </w:pPr>
            <w:r w:rsidRPr="002E3334">
              <w:rPr>
                <w:sz w:val="16"/>
                <w:szCs w:val="16"/>
              </w:rPr>
              <w:t>Strojírenství a mechatronika</w:t>
            </w:r>
          </w:p>
        </w:tc>
        <w:tc>
          <w:tcPr>
            <w:tcW w:w="1417" w:type="dxa"/>
            <w:shd w:val="clear" w:color="auto" w:fill="auto"/>
            <w:hideMark/>
          </w:tcPr>
          <w:p w14:paraId="6C2042BC" w14:textId="77777777" w:rsidR="00403990" w:rsidRPr="002E3334" w:rsidRDefault="00403990" w:rsidP="002E3334">
            <w:pPr>
              <w:spacing w:after="120" w:line="276" w:lineRule="auto"/>
              <w:rPr>
                <w:sz w:val="16"/>
                <w:szCs w:val="16"/>
              </w:rPr>
            </w:pPr>
            <w:r w:rsidRPr="002E3334">
              <w:rPr>
                <w:sz w:val="16"/>
                <w:szCs w:val="16"/>
              </w:rPr>
              <w:t>Průmyslová automatizace</w:t>
            </w:r>
          </w:p>
        </w:tc>
        <w:tc>
          <w:tcPr>
            <w:tcW w:w="1482" w:type="dxa"/>
            <w:shd w:val="clear" w:color="auto" w:fill="auto"/>
            <w:hideMark/>
          </w:tcPr>
          <w:p w14:paraId="2CAD0AB4" w14:textId="77777777" w:rsidR="00403990" w:rsidRPr="002E3334" w:rsidRDefault="00403990" w:rsidP="002E3334">
            <w:pPr>
              <w:spacing w:after="120" w:line="276" w:lineRule="auto"/>
              <w:rPr>
                <w:sz w:val="16"/>
                <w:szCs w:val="16"/>
              </w:rPr>
            </w:pPr>
            <w:r w:rsidRPr="002E3334">
              <w:rPr>
                <w:sz w:val="16"/>
                <w:szCs w:val="16"/>
              </w:rPr>
              <w:t>Materiálové inženýrství</w:t>
            </w:r>
          </w:p>
        </w:tc>
        <w:tc>
          <w:tcPr>
            <w:tcW w:w="1922" w:type="dxa"/>
            <w:shd w:val="clear" w:color="auto" w:fill="auto"/>
            <w:hideMark/>
          </w:tcPr>
          <w:p w14:paraId="05805E28" w14:textId="77777777" w:rsidR="00403990" w:rsidRPr="002E3334" w:rsidRDefault="00403990" w:rsidP="002E3334">
            <w:pPr>
              <w:spacing w:after="120" w:line="276" w:lineRule="auto"/>
              <w:rPr>
                <w:sz w:val="16"/>
                <w:szCs w:val="16"/>
              </w:rPr>
            </w:pPr>
            <w:r w:rsidRPr="002E3334">
              <w:rPr>
                <w:sz w:val="16"/>
                <w:szCs w:val="16"/>
              </w:rPr>
              <w:t>ICT</w:t>
            </w:r>
          </w:p>
        </w:tc>
        <w:tc>
          <w:tcPr>
            <w:tcW w:w="1701" w:type="dxa"/>
            <w:shd w:val="clear" w:color="auto" w:fill="auto"/>
            <w:hideMark/>
          </w:tcPr>
          <w:p w14:paraId="28A8D1F1" w14:textId="77777777" w:rsidR="00403990" w:rsidRPr="002E3334" w:rsidRDefault="00403990" w:rsidP="002E3334">
            <w:pPr>
              <w:spacing w:after="120" w:line="276" w:lineRule="auto"/>
              <w:rPr>
                <w:sz w:val="16"/>
                <w:szCs w:val="16"/>
              </w:rPr>
            </w:pPr>
            <w:r w:rsidRPr="002E3334">
              <w:rPr>
                <w:sz w:val="16"/>
                <w:szCs w:val="16"/>
              </w:rPr>
              <w:t>Biomedicína</w:t>
            </w:r>
          </w:p>
        </w:tc>
        <w:tc>
          <w:tcPr>
            <w:tcW w:w="1559" w:type="dxa"/>
            <w:shd w:val="clear" w:color="auto" w:fill="auto"/>
            <w:hideMark/>
          </w:tcPr>
          <w:p w14:paraId="6F8AC0DF" w14:textId="77777777" w:rsidR="00403990" w:rsidRPr="002E3334" w:rsidRDefault="00403990" w:rsidP="002E3334">
            <w:pPr>
              <w:spacing w:after="120" w:line="276" w:lineRule="auto"/>
              <w:rPr>
                <w:sz w:val="16"/>
                <w:szCs w:val="16"/>
              </w:rPr>
            </w:pPr>
            <w:r w:rsidRPr="002E3334">
              <w:rPr>
                <w:sz w:val="16"/>
                <w:szCs w:val="16"/>
              </w:rPr>
              <w:t>Elektrotechnika</w:t>
            </w:r>
          </w:p>
        </w:tc>
        <w:tc>
          <w:tcPr>
            <w:tcW w:w="1563" w:type="dxa"/>
            <w:shd w:val="clear" w:color="auto" w:fill="auto"/>
            <w:hideMark/>
          </w:tcPr>
          <w:p w14:paraId="39161F4D" w14:textId="77777777" w:rsidR="00403990" w:rsidRPr="002E3334" w:rsidRDefault="00403990" w:rsidP="002E3334">
            <w:pPr>
              <w:spacing w:after="120" w:line="276" w:lineRule="auto"/>
              <w:rPr>
                <w:sz w:val="16"/>
                <w:szCs w:val="16"/>
              </w:rPr>
            </w:pPr>
            <w:r w:rsidRPr="002E3334">
              <w:rPr>
                <w:sz w:val="16"/>
                <w:szCs w:val="16"/>
              </w:rPr>
              <w:t>Energetika</w:t>
            </w:r>
          </w:p>
        </w:tc>
        <w:tc>
          <w:tcPr>
            <w:tcW w:w="2127" w:type="dxa"/>
            <w:gridSpan w:val="2"/>
            <w:shd w:val="clear" w:color="auto" w:fill="auto"/>
            <w:hideMark/>
          </w:tcPr>
          <w:p w14:paraId="7F6D02F2" w14:textId="77777777" w:rsidR="00403990" w:rsidRPr="002E3334" w:rsidRDefault="00403990" w:rsidP="002E3334">
            <w:pPr>
              <w:spacing w:after="120" w:line="276" w:lineRule="auto"/>
              <w:rPr>
                <w:sz w:val="16"/>
                <w:szCs w:val="16"/>
              </w:rPr>
            </w:pPr>
            <w:r w:rsidRPr="002E3334">
              <w:rPr>
                <w:sz w:val="16"/>
                <w:szCs w:val="16"/>
              </w:rPr>
              <w:t> </w:t>
            </w:r>
          </w:p>
          <w:p w14:paraId="59715171" w14:textId="02CCA1EF" w:rsidR="00403990" w:rsidRPr="002E3334" w:rsidRDefault="00403990" w:rsidP="002E3334">
            <w:pPr>
              <w:spacing w:after="120" w:line="276" w:lineRule="auto"/>
              <w:rPr>
                <w:sz w:val="16"/>
                <w:szCs w:val="16"/>
              </w:rPr>
            </w:pPr>
            <w:r w:rsidRPr="002E3334">
              <w:rPr>
                <w:sz w:val="16"/>
                <w:szCs w:val="16"/>
              </w:rPr>
              <w:t> </w:t>
            </w:r>
          </w:p>
        </w:tc>
      </w:tr>
      <w:tr w:rsidR="00403990" w:rsidRPr="002E3334" w14:paraId="09DD5515" w14:textId="77777777" w:rsidTr="009A1978">
        <w:trPr>
          <w:trHeight w:val="382"/>
          <w:jc w:val="center"/>
        </w:trPr>
        <w:tc>
          <w:tcPr>
            <w:tcW w:w="956" w:type="dxa"/>
            <w:shd w:val="clear" w:color="000000" w:fill="004B8D"/>
            <w:hideMark/>
          </w:tcPr>
          <w:p w14:paraId="334AF3EE" w14:textId="77777777" w:rsidR="00403990" w:rsidRPr="002E3334" w:rsidRDefault="00403990" w:rsidP="002E3334">
            <w:pPr>
              <w:spacing w:after="120" w:line="276" w:lineRule="auto"/>
              <w:rPr>
                <w:b/>
                <w:bCs/>
                <w:sz w:val="16"/>
                <w:szCs w:val="16"/>
              </w:rPr>
            </w:pPr>
            <w:r w:rsidRPr="002E3334">
              <w:rPr>
                <w:b/>
                <w:bCs/>
                <w:sz w:val="16"/>
                <w:szCs w:val="16"/>
              </w:rPr>
              <w:t>PHA</w:t>
            </w:r>
          </w:p>
        </w:tc>
        <w:tc>
          <w:tcPr>
            <w:tcW w:w="1869" w:type="dxa"/>
            <w:shd w:val="clear" w:color="auto" w:fill="auto"/>
            <w:hideMark/>
          </w:tcPr>
          <w:p w14:paraId="5D7CCCCC" w14:textId="77777777" w:rsidR="00403990" w:rsidRPr="002E3334" w:rsidRDefault="00403990" w:rsidP="002E3334">
            <w:pPr>
              <w:spacing w:after="120" w:line="276" w:lineRule="auto"/>
              <w:rPr>
                <w:sz w:val="16"/>
                <w:szCs w:val="16"/>
              </w:rPr>
            </w:pPr>
            <w:r w:rsidRPr="002E3334">
              <w:rPr>
                <w:sz w:val="16"/>
                <w:szCs w:val="16"/>
              </w:rPr>
              <w:t>Vybrané obory Life Sciences</w:t>
            </w:r>
          </w:p>
        </w:tc>
        <w:tc>
          <w:tcPr>
            <w:tcW w:w="1417" w:type="dxa"/>
            <w:shd w:val="clear" w:color="auto" w:fill="auto"/>
            <w:hideMark/>
          </w:tcPr>
          <w:p w14:paraId="17C99810" w14:textId="77777777" w:rsidR="00403990" w:rsidRPr="002E3334" w:rsidRDefault="00403990" w:rsidP="002E3334">
            <w:pPr>
              <w:spacing w:after="120" w:line="276" w:lineRule="auto"/>
              <w:rPr>
                <w:sz w:val="16"/>
                <w:szCs w:val="16"/>
              </w:rPr>
            </w:pPr>
            <w:r w:rsidRPr="002E3334">
              <w:rPr>
                <w:sz w:val="16"/>
                <w:szCs w:val="16"/>
              </w:rPr>
              <w:t>Vybraná kreativní odvětví</w:t>
            </w:r>
          </w:p>
        </w:tc>
        <w:tc>
          <w:tcPr>
            <w:tcW w:w="1482" w:type="dxa"/>
            <w:shd w:val="clear" w:color="auto" w:fill="auto"/>
            <w:hideMark/>
          </w:tcPr>
          <w:p w14:paraId="2BDB4B25" w14:textId="77777777" w:rsidR="00403990" w:rsidRPr="002E3334" w:rsidRDefault="00403990" w:rsidP="002E3334">
            <w:pPr>
              <w:spacing w:after="120" w:line="276" w:lineRule="auto"/>
              <w:rPr>
                <w:sz w:val="16"/>
                <w:szCs w:val="16"/>
              </w:rPr>
            </w:pPr>
            <w:r w:rsidRPr="002E3334">
              <w:rPr>
                <w:sz w:val="16"/>
                <w:szCs w:val="16"/>
              </w:rPr>
              <w:t>Vybrané „Emerging Technologies“</w:t>
            </w:r>
          </w:p>
        </w:tc>
        <w:tc>
          <w:tcPr>
            <w:tcW w:w="1922" w:type="dxa"/>
            <w:shd w:val="clear" w:color="auto" w:fill="auto"/>
            <w:hideMark/>
          </w:tcPr>
          <w:p w14:paraId="16DEA02A" w14:textId="77777777" w:rsidR="00403990" w:rsidRPr="002E3334" w:rsidRDefault="00403990" w:rsidP="002E3334">
            <w:pPr>
              <w:spacing w:after="120" w:line="276" w:lineRule="auto"/>
              <w:rPr>
                <w:sz w:val="16"/>
                <w:szCs w:val="16"/>
              </w:rPr>
            </w:pPr>
            <w:r w:rsidRPr="002E3334">
              <w:rPr>
                <w:sz w:val="16"/>
                <w:szCs w:val="16"/>
              </w:rPr>
              <w:t>Služby pro podniky založené na znalostech</w:t>
            </w:r>
          </w:p>
        </w:tc>
        <w:tc>
          <w:tcPr>
            <w:tcW w:w="1701" w:type="dxa"/>
            <w:shd w:val="clear" w:color="auto" w:fill="auto"/>
            <w:hideMark/>
          </w:tcPr>
          <w:p w14:paraId="75B316F0" w14:textId="77777777" w:rsidR="00403990" w:rsidRPr="002E3334" w:rsidRDefault="00403990" w:rsidP="002E3334">
            <w:pPr>
              <w:spacing w:after="120" w:line="276" w:lineRule="auto"/>
              <w:rPr>
                <w:sz w:val="16"/>
                <w:szCs w:val="16"/>
              </w:rPr>
            </w:pPr>
            <w:r w:rsidRPr="002E3334">
              <w:rPr>
                <w:sz w:val="16"/>
                <w:szCs w:val="16"/>
              </w:rPr>
              <w:t> </w:t>
            </w:r>
          </w:p>
        </w:tc>
        <w:tc>
          <w:tcPr>
            <w:tcW w:w="1559" w:type="dxa"/>
            <w:shd w:val="clear" w:color="auto" w:fill="auto"/>
            <w:hideMark/>
          </w:tcPr>
          <w:p w14:paraId="7283F16A" w14:textId="77777777" w:rsidR="00403990" w:rsidRPr="002E3334" w:rsidRDefault="00403990" w:rsidP="002E3334">
            <w:pPr>
              <w:spacing w:after="120" w:line="276" w:lineRule="auto"/>
              <w:rPr>
                <w:sz w:val="16"/>
                <w:szCs w:val="16"/>
              </w:rPr>
            </w:pPr>
            <w:r w:rsidRPr="002E3334">
              <w:rPr>
                <w:sz w:val="16"/>
                <w:szCs w:val="16"/>
              </w:rPr>
              <w:t> </w:t>
            </w:r>
          </w:p>
        </w:tc>
        <w:tc>
          <w:tcPr>
            <w:tcW w:w="1563" w:type="dxa"/>
            <w:shd w:val="clear" w:color="auto" w:fill="auto"/>
            <w:hideMark/>
          </w:tcPr>
          <w:p w14:paraId="4AD17601" w14:textId="77777777" w:rsidR="00403990" w:rsidRPr="002E3334" w:rsidRDefault="00403990" w:rsidP="002E3334">
            <w:pPr>
              <w:spacing w:after="120" w:line="276" w:lineRule="auto"/>
              <w:rPr>
                <w:sz w:val="16"/>
                <w:szCs w:val="16"/>
              </w:rPr>
            </w:pPr>
            <w:r w:rsidRPr="002E3334">
              <w:rPr>
                <w:sz w:val="16"/>
                <w:szCs w:val="16"/>
              </w:rPr>
              <w:t> </w:t>
            </w:r>
          </w:p>
        </w:tc>
        <w:tc>
          <w:tcPr>
            <w:tcW w:w="2127" w:type="dxa"/>
            <w:gridSpan w:val="2"/>
            <w:shd w:val="clear" w:color="auto" w:fill="auto"/>
            <w:hideMark/>
          </w:tcPr>
          <w:p w14:paraId="44D639AF" w14:textId="77777777" w:rsidR="00403990" w:rsidRPr="002E3334" w:rsidRDefault="00403990" w:rsidP="002E3334">
            <w:pPr>
              <w:spacing w:after="120" w:line="276" w:lineRule="auto"/>
              <w:rPr>
                <w:sz w:val="16"/>
                <w:szCs w:val="16"/>
              </w:rPr>
            </w:pPr>
            <w:r w:rsidRPr="002E3334">
              <w:rPr>
                <w:sz w:val="16"/>
                <w:szCs w:val="16"/>
              </w:rPr>
              <w:t> </w:t>
            </w:r>
          </w:p>
          <w:p w14:paraId="49A63F75" w14:textId="022AF3C3" w:rsidR="00403990" w:rsidRPr="002E3334" w:rsidRDefault="00403990" w:rsidP="002E3334">
            <w:pPr>
              <w:spacing w:after="120" w:line="276" w:lineRule="auto"/>
              <w:rPr>
                <w:sz w:val="16"/>
                <w:szCs w:val="16"/>
              </w:rPr>
            </w:pPr>
            <w:r w:rsidRPr="002E3334">
              <w:rPr>
                <w:sz w:val="16"/>
                <w:szCs w:val="16"/>
              </w:rPr>
              <w:t> </w:t>
            </w:r>
          </w:p>
        </w:tc>
      </w:tr>
      <w:tr w:rsidR="00403990" w:rsidRPr="002E3334" w14:paraId="793715B1" w14:textId="77777777" w:rsidTr="009A1978">
        <w:trPr>
          <w:trHeight w:val="315"/>
          <w:jc w:val="center"/>
        </w:trPr>
        <w:tc>
          <w:tcPr>
            <w:tcW w:w="956" w:type="dxa"/>
            <w:shd w:val="clear" w:color="000000" w:fill="004B8D"/>
            <w:hideMark/>
          </w:tcPr>
          <w:p w14:paraId="0B15B77C" w14:textId="77777777" w:rsidR="00403990" w:rsidRPr="002E3334" w:rsidRDefault="00403990" w:rsidP="002E3334">
            <w:pPr>
              <w:spacing w:after="120" w:line="276" w:lineRule="auto"/>
              <w:rPr>
                <w:b/>
                <w:bCs/>
                <w:sz w:val="16"/>
                <w:szCs w:val="16"/>
              </w:rPr>
            </w:pPr>
            <w:r w:rsidRPr="002E3334">
              <w:rPr>
                <w:b/>
                <w:bCs/>
                <w:sz w:val="16"/>
                <w:szCs w:val="16"/>
              </w:rPr>
              <w:t>STČ</w:t>
            </w:r>
          </w:p>
        </w:tc>
        <w:tc>
          <w:tcPr>
            <w:tcW w:w="1869" w:type="dxa"/>
            <w:shd w:val="clear" w:color="auto" w:fill="auto"/>
            <w:hideMark/>
          </w:tcPr>
          <w:p w14:paraId="5B2CD401" w14:textId="77777777" w:rsidR="00403990" w:rsidRPr="002E3334" w:rsidRDefault="00403990" w:rsidP="002E3334">
            <w:pPr>
              <w:spacing w:after="120" w:line="276" w:lineRule="auto"/>
              <w:rPr>
                <w:sz w:val="16"/>
                <w:szCs w:val="16"/>
              </w:rPr>
            </w:pPr>
            <w:r w:rsidRPr="002E3334">
              <w:rPr>
                <w:sz w:val="16"/>
                <w:szCs w:val="16"/>
              </w:rPr>
              <w:t>Výroba dopravních prostředků</w:t>
            </w:r>
          </w:p>
        </w:tc>
        <w:tc>
          <w:tcPr>
            <w:tcW w:w="1417" w:type="dxa"/>
            <w:shd w:val="clear" w:color="auto" w:fill="auto"/>
            <w:hideMark/>
          </w:tcPr>
          <w:p w14:paraId="61CE20E6" w14:textId="77777777" w:rsidR="00403990" w:rsidRPr="002E3334" w:rsidRDefault="00403990" w:rsidP="002E3334">
            <w:pPr>
              <w:spacing w:after="120" w:line="276" w:lineRule="auto"/>
              <w:rPr>
                <w:sz w:val="16"/>
                <w:szCs w:val="16"/>
              </w:rPr>
            </w:pPr>
            <w:r w:rsidRPr="002E3334">
              <w:rPr>
                <w:sz w:val="16"/>
                <w:szCs w:val="16"/>
              </w:rPr>
              <w:t>Elektronika a elektrotechnika</w:t>
            </w:r>
          </w:p>
        </w:tc>
        <w:tc>
          <w:tcPr>
            <w:tcW w:w="1482" w:type="dxa"/>
            <w:shd w:val="clear" w:color="auto" w:fill="auto"/>
            <w:hideMark/>
          </w:tcPr>
          <w:p w14:paraId="3BD0FF08" w14:textId="77777777" w:rsidR="00403990" w:rsidRPr="002E3334" w:rsidRDefault="00403990" w:rsidP="002E3334">
            <w:pPr>
              <w:spacing w:after="120" w:line="276" w:lineRule="auto"/>
              <w:rPr>
                <w:sz w:val="16"/>
                <w:szCs w:val="16"/>
              </w:rPr>
            </w:pPr>
            <w:r w:rsidRPr="002E3334">
              <w:rPr>
                <w:sz w:val="16"/>
                <w:szCs w:val="16"/>
              </w:rPr>
              <w:t>Biotechnologie/Life-sciences</w:t>
            </w:r>
          </w:p>
        </w:tc>
        <w:tc>
          <w:tcPr>
            <w:tcW w:w="1922" w:type="dxa"/>
            <w:shd w:val="clear" w:color="auto" w:fill="auto"/>
            <w:hideMark/>
          </w:tcPr>
          <w:p w14:paraId="5BD4A9D3" w14:textId="77777777" w:rsidR="00403990" w:rsidRPr="002E3334" w:rsidRDefault="00403990" w:rsidP="002E3334">
            <w:pPr>
              <w:spacing w:after="120" w:line="276" w:lineRule="auto"/>
              <w:rPr>
                <w:sz w:val="16"/>
                <w:szCs w:val="16"/>
              </w:rPr>
            </w:pPr>
            <w:r w:rsidRPr="002E3334">
              <w:rPr>
                <w:sz w:val="16"/>
                <w:szCs w:val="16"/>
              </w:rPr>
              <w:t>Chemický průmysl (bez farmacie)</w:t>
            </w:r>
          </w:p>
        </w:tc>
        <w:tc>
          <w:tcPr>
            <w:tcW w:w="1701" w:type="dxa"/>
            <w:shd w:val="clear" w:color="auto" w:fill="auto"/>
            <w:hideMark/>
          </w:tcPr>
          <w:p w14:paraId="0883EE47" w14:textId="77777777" w:rsidR="00403990" w:rsidRPr="002E3334" w:rsidRDefault="00403990" w:rsidP="002E3334">
            <w:pPr>
              <w:spacing w:after="120" w:line="276" w:lineRule="auto"/>
              <w:rPr>
                <w:sz w:val="16"/>
                <w:szCs w:val="16"/>
              </w:rPr>
            </w:pPr>
            <w:r w:rsidRPr="002E3334">
              <w:rPr>
                <w:sz w:val="16"/>
                <w:szCs w:val="16"/>
              </w:rPr>
              <w:t>Strojírenství a zpracování kovů</w:t>
            </w:r>
          </w:p>
        </w:tc>
        <w:tc>
          <w:tcPr>
            <w:tcW w:w="1559" w:type="dxa"/>
            <w:shd w:val="clear" w:color="auto" w:fill="auto"/>
            <w:hideMark/>
          </w:tcPr>
          <w:p w14:paraId="4858DF7A" w14:textId="77777777" w:rsidR="00403990" w:rsidRPr="002E3334" w:rsidRDefault="00403990" w:rsidP="002E3334">
            <w:pPr>
              <w:spacing w:after="120" w:line="276" w:lineRule="auto"/>
              <w:rPr>
                <w:sz w:val="16"/>
                <w:szCs w:val="16"/>
              </w:rPr>
            </w:pPr>
            <w:r w:rsidRPr="002E3334">
              <w:rPr>
                <w:bCs/>
                <w:sz w:val="16"/>
                <w:szCs w:val="16"/>
              </w:rPr>
              <w:t>Potravinářství</w:t>
            </w:r>
          </w:p>
        </w:tc>
        <w:tc>
          <w:tcPr>
            <w:tcW w:w="1563" w:type="dxa"/>
            <w:shd w:val="clear" w:color="auto" w:fill="auto"/>
            <w:hideMark/>
          </w:tcPr>
          <w:p w14:paraId="14822251" w14:textId="77777777" w:rsidR="00403990" w:rsidRPr="002E3334" w:rsidRDefault="00403990" w:rsidP="002E3334">
            <w:pPr>
              <w:spacing w:after="120" w:line="276" w:lineRule="auto"/>
              <w:rPr>
                <w:sz w:val="16"/>
                <w:szCs w:val="16"/>
              </w:rPr>
            </w:pPr>
            <w:r w:rsidRPr="002E3334">
              <w:rPr>
                <w:sz w:val="16"/>
                <w:szCs w:val="16"/>
              </w:rPr>
              <w:t>Výzkum a vývoj (oblasti přírodních a technických věd)</w:t>
            </w:r>
          </w:p>
        </w:tc>
        <w:tc>
          <w:tcPr>
            <w:tcW w:w="2127" w:type="dxa"/>
            <w:gridSpan w:val="2"/>
            <w:shd w:val="clear" w:color="auto" w:fill="auto"/>
            <w:hideMark/>
          </w:tcPr>
          <w:p w14:paraId="2D964739" w14:textId="77777777" w:rsidR="00403990" w:rsidRPr="002E3334" w:rsidRDefault="00403990" w:rsidP="002E3334">
            <w:pPr>
              <w:spacing w:after="120" w:line="276" w:lineRule="auto"/>
              <w:rPr>
                <w:sz w:val="16"/>
                <w:szCs w:val="16"/>
              </w:rPr>
            </w:pPr>
            <w:r w:rsidRPr="002E3334">
              <w:rPr>
                <w:sz w:val="16"/>
                <w:szCs w:val="16"/>
              </w:rPr>
              <w:t> </w:t>
            </w:r>
          </w:p>
        </w:tc>
      </w:tr>
      <w:tr w:rsidR="00403990" w:rsidRPr="002E3334" w14:paraId="053F23FA" w14:textId="77777777" w:rsidTr="009A1978">
        <w:trPr>
          <w:trHeight w:val="699"/>
          <w:jc w:val="center"/>
        </w:trPr>
        <w:tc>
          <w:tcPr>
            <w:tcW w:w="956" w:type="dxa"/>
            <w:shd w:val="clear" w:color="000000" w:fill="004B8D"/>
            <w:hideMark/>
          </w:tcPr>
          <w:p w14:paraId="51482C26" w14:textId="77777777" w:rsidR="00403990" w:rsidRPr="002E3334" w:rsidRDefault="00403990" w:rsidP="002E3334">
            <w:pPr>
              <w:spacing w:after="120" w:line="276" w:lineRule="auto"/>
              <w:rPr>
                <w:b/>
                <w:bCs/>
                <w:sz w:val="16"/>
                <w:szCs w:val="16"/>
              </w:rPr>
            </w:pPr>
            <w:r w:rsidRPr="002E3334">
              <w:rPr>
                <w:b/>
                <w:bCs/>
                <w:sz w:val="16"/>
                <w:szCs w:val="16"/>
              </w:rPr>
              <w:t>ULK</w:t>
            </w:r>
          </w:p>
        </w:tc>
        <w:tc>
          <w:tcPr>
            <w:tcW w:w="1869" w:type="dxa"/>
            <w:shd w:val="clear" w:color="auto" w:fill="auto"/>
            <w:hideMark/>
          </w:tcPr>
          <w:p w14:paraId="58D28997" w14:textId="77777777" w:rsidR="00403990" w:rsidRPr="002E3334" w:rsidRDefault="00403990" w:rsidP="002E3334">
            <w:pPr>
              <w:spacing w:after="120" w:line="276" w:lineRule="auto"/>
              <w:rPr>
                <w:sz w:val="16"/>
                <w:szCs w:val="16"/>
              </w:rPr>
            </w:pPr>
            <w:r w:rsidRPr="002E3334">
              <w:rPr>
                <w:sz w:val="16"/>
                <w:szCs w:val="16"/>
              </w:rPr>
              <w:t>Produktový cyklus těžba a využití uhlí, energetika, dodavatelské obory a rekultivace</w:t>
            </w:r>
          </w:p>
        </w:tc>
        <w:tc>
          <w:tcPr>
            <w:tcW w:w="1417" w:type="dxa"/>
            <w:shd w:val="clear" w:color="auto" w:fill="auto"/>
            <w:hideMark/>
          </w:tcPr>
          <w:p w14:paraId="1FF55341" w14:textId="77777777" w:rsidR="00403990" w:rsidRPr="002E3334" w:rsidRDefault="00403990" w:rsidP="002E3334">
            <w:pPr>
              <w:spacing w:after="120" w:line="276" w:lineRule="auto"/>
              <w:rPr>
                <w:sz w:val="16"/>
                <w:szCs w:val="16"/>
              </w:rPr>
            </w:pPr>
            <w:r w:rsidRPr="002E3334">
              <w:rPr>
                <w:sz w:val="16"/>
                <w:szCs w:val="16"/>
              </w:rPr>
              <w:t>Organická a anorganická chemie</w:t>
            </w:r>
          </w:p>
        </w:tc>
        <w:tc>
          <w:tcPr>
            <w:tcW w:w="1482" w:type="dxa"/>
            <w:shd w:val="clear" w:color="auto" w:fill="auto"/>
            <w:hideMark/>
          </w:tcPr>
          <w:p w14:paraId="21879F96" w14:textId="77777777" w:rsidR="00403990" w:rsidRPr="002E3334" w:rsidRDefault="00403990" w:rsidP="002E3334">
            <w:pPr>
              <w:spacing w:after="120" w:line="276" w:lineRule="auto"/>
              <w:rPr>
                <w:sz w:val="16"/>
                <w:szCs w:val="16"/>
              </w:rPr>
            </w:pPr>
            <w:r w:rsidRPr="002E3334">
              <w:rPr>
                <w:sz w:val="16"/>
                <w:szCs w:val="16"/>
              </w:rPr>
              <w:t>Výroba skla a porcelánu</w:t>
            </w:r>
          </w:p>
        </w:tc>
        <w:tc>
          <w:tcPr>
            <w:tcW w:w="1922" w:type="dxa"/>
            <w:shd w:val="clear" w:color="auto" w:fill="auto"/>
            <w:hideMark/>
          </w:tcPr>
          <w:p w14:paraId="6B01EF18" w14:textId="77777777" w:rsidR="00403990" w:rsidRPr="002E3334" w:rsidRDefault="00403990" w:rsidP="002E3334">
            <w:pPr>
              <w:spacing w:after="120" w:line="276" w:lineRule="auto"/>
              <w:rPr>
                <w:sz w:val="16"/>
                <w:szCs w:val="16"/>
              </w:rPr>
            </w:pPr>
            <w:r w:rsidRPr="002E3334">
              <w:rPr>
                <w:sz w:val="16"/>
                <w:szCs w:val="16"/>
              </w:rPr>
              <w:t> </w:t>
            </w:r>
          </w:p>
        </w:tc>
        <w:tc>
          <w:tcPr>
            <w:tcW w:w="1701" w:type="dxa"/>
            <w:shd w:val="clear" w:color="auto" w:fill="auto"/>
            <w:hideMark/>
          </w:tcPr>
          <w:p w14:paraId="443E4F00" w14:textId="77777777" w:rsidR="00403990" w:rsidRPr="002E3334" w:rsidRDefault="00403990" w:rsidP="002E3334">
            <w:pPr>
              <w:spacing w:after="120" w:line="276" w:lineRule="auto"/>
              <w:rPr>
                <w:sz w:val="16"/>
                <w:szCs w:val="16"/>
              </w:rPr>
            </w:pPr>
            <w:r w:rsidRPr="002E3334">
              <w:rPr>
                <w:sz w:val="16"/>
                <w:szCs w:val="16"/>
              </w:rPr>
              <w:t> </w:t>
            </w:r>
          </w:p>
        </w:tc>
        <w:tc>
          <w:tcPr>
            <w:tcW w:w="1559" w:type="dxa"/>
            <w:shd w:val="clear" w:color="auto" w:fill="auto"/>
            <w:hideMark/>
          </w:tcPr>
          <w:p w14:paraId="25698067" w14:textId="77777777" w:rsidR="00403990" w:rsidRPr="002E3334" w:rsidRDefault="00403990" w:rsidP="002E3334">
            <w:pPr>
              <w:spacing w:after="120" w:line="276" w:lineRule="auto"/>
              <w:rPr>
                <w:sz w:val="16"/>
                <w:szCs w:val="16"/>
              </w:rPr>
            </w:pPr>
            <w:r w:rsidRPr="002E3334">
              <w:rPr>
                <w:sz w:val="16"/>
                <w:szCs w:val="16"/>
              </w:rPr>
              <w:t> </w:t>
            </w:r>
          </w:p>
        </w:tc>
        <w:tc>
          <w:tcPr>
            <w:tcW w:w="1563" w:type="dxa"/>
            <w:shd w:val="clear" w:color="auto" w:fill="auto"/>
            <w:hideMark/>
          </w:tcPr>
          <w:p w14:paraId="5B6FBB3E" w14:textId="77777777" w:rsidR="00403990" w:rsidRPr="002E3334" w:rsidRDefault="00403990" w:rsidP="002E3334">
            <w:pPr>
              <w:spacing w:after="120" w:line="276" w:lineRule="auto"/>
              <w:rPr>
                <w:sz w:val="16"/>
                <w:szCs w:val="16"/>
              </w:rPr>
            </w:pPr>
            <w:r w:rsidRPr="002E3334">
              <w:rPr>
                <w:sz w:val="16"/>
                <w:szCs w:val="16"/>
              </w:rPr>
              <w:t> </w:t>
            </w:r>
          </w:p>
        </w:tc>
        <w:tc>
          <w:tcPr>
            <w:tcW w:w="2127" w:type="dxa"/>
            <w:gridSpan w:val="2"/>
            <w:shd w:val="clear" w:color="auto" w:fill="auto"/>
            <w:hideMark/>
          </w:tcPr>
          <w:p w14:paraId="4B3E9F53" w14:textId="77777777" w:rsidR="00403990" w:rsidRPr="002E3334" w:rsidRDefault="00403990" w:rsidP="002E3334">
            <w:pPr>
              <w:spacing w:after="120" w:line="276" w:lineRule="auto"/>
              <w:rPr>
                <w:sz w:val="16"/>
                <w:szCs w:val="16"/>
              </w:rPr>
            </w:pPr>
            <w:r w:rsidRPr="002E3334">
              <w:rPr>
                <w:sz w:val="16"/>
                <w:szCs w:val="16"/>
              </w:rPr>
              <w:t> </w:t>
            </w:r>
          </w:p>
          <w:p w14:paraId="0CFDF225" w14:textId="1809CE5E" w:rsidR="00403990" w:rsidRPr="002E3334" w:rsidRDefault="00403990" w:rsidP="002E3334">
            <w:pPr>
              <w:spacing w:after="120" w:line="276" w:lineRule="auto"/>
              <w:rPr>
                <w:sz w:val="16"/>
                <w:szCs w:val="16"/>
              </w:rPr>
            </w:pPr>
            <w:r w:rsidRPr="002E3334">
              <w:rPr>
                <w:sz w:val="16"/>
                <w:szCs w:val="16"/>
              </w:rPr>
              <w:t> </w:t>
            </w:r>
          </w:p>
        </w:tc>
      </w:tr>
      <w:tr w:rsidR="00403990" w:rsidRPr="002E3334" w14:paraId="2A00BE9E" w14:textId="77777777" w:rsidTr="009A1978">
        <w:trPr>
          <w:trHeight w:val="515"/>
          <w:jc w:val="center"/>
        </w:trPr>
        <w:tc>
          <w:tcPr>
            <w:tcW w:w="956" w:type="dxa"/>
            <w:shd w:val="clear" w:color="000000" w:fill="004B8D"/>
            <w:hideMark/>
          </w:tcPr>
          <w:p w14:paraId="6253D994" w14:textId="77777777" w:rsidR="00403990" w:rsidRPr="002E3334" w:rsidRDefault="00403990" w:rsidP="002E3334">
            <w:pPr>
              <w:spacing w:after="120" w:line="276" w:lineRule="auto"/>
              <w:rPr>
                <w:b/>
                <w:bCs/>
                <w:sz w:val="16"/>
                <w:szCs w:val="16"/>
              </w:rPr>
            </w:pPr>
            <w:r w:rsidRPr="002E3334">
              <w:rPr>
                <w:b/>
                <w:bCs/>
                <w:sz w:val="16"/>
                <w:szCs w:val="16"/>
              </w:rPr>
              <w:t>VYS</w:t>
            </w:r>
          </w:p>
        </w:tc>
        <w:tc>
          <w:tcPr>
            <w:tcW w:w="1869" w:type="dxa"/>
            <w:shd w:val="clear" w:color="auto" w:fill="auto"/>
            <w:hideMark/>
          </w:tcPr>
          <w:p w14:paraId="45CEDF9A" w14:textId="77777777" w:rsidR="00403990" w:rsidRPr="002E3334" w:rsidRDefault="00403990" w:rsidP="002E3334">
            <w:pPr>
              <w:spacing w:after="120" w:line="276" w:lineRule="auto"/>
              <w:rPr>
                <w:sz w:val="16"/>
                <w:szCs w:val="16"/>
              </w:rPr>
            </w:pPr>
            <w:r w:rsidRPr="002E3334">
              <w:rPr>
                <w:sz w:val="16"/>
                <w:szCs w:val="16"/>
              </w:rPr>
              <w:t xml:space="preserve"> Automobilový průmysl</w:t>
            </w:r>
          </w:p>
        </w:tc>
        <w:tc>
          <w:tcPr>
            <w:tcW w:w="1417" w:type="dxa"/>
            <w:shd w:val="clear" w:color="auto" w:fill="auto"/>
            <w:hideMark/>
          </w:tcPr>
          <w:p w14:paraId="2C64F2CF" w14:textId="77777777" w:rsidR="00403990" w:rsidRPr="002E3334" w:rsidRDefault="00403990" w:rsidP="002E3334">
            <w:pPr>
              <w:spacing w:after="120" w:line="276" w:lineRule="auto"/>
              <w:rPr>
                <w:sz w:val="16"/>
                <w:szCs w:val="16"/>
              </w:rPr>
            </w:pPr>
            <w:r w:rsidRPr="002E3334">
              <w:rPr>
                <w:sz w:val="16"/>
                <w:szCs w:val="16"/>
              </w:rPr>
              <w:t xml:space="preserve">Strojírenství a kovozpracující průmysl </w:t>
            </w:r>
          </w:p>
        </w:tc>
        <w:tc>
          <w:tcPr>
            <w:tcW w:w="1482" w:type="dxa"/>
            <w:shd w:val="clear" w:color="auto" w:fill="auto"/>
            <w:hideMark/>
          </w:tcPr>
          <w:p w14:paraId="37C3BD33" w14:textId="77777777" w:rsidR="00403990" w:rsidRPr="002E3334" w:rsidRDefault="00403990" w:rsidP="002E3334">
            <w:pPr>
              <w:spacing w:after="120" w:line="276" w:lineRule="auto"/>
              <w:rPr>
                <w:sz w:val="16"/>
                <w:szCs w:val="16"/>
              </w:rPr>
            </w:pPr>
            <w:r w:rsidRPr="002E3334">
              <w:rPr>
                <w:sz w:val="16"/>
                <w:szCs w:val="16"/>
              </w:rPr>
              <w:t>Elektrotechnický průmysl</w:t>
            </w:r>
          </w:p>
        </w:tc>
        <w:tc>
          <w:tcPr>
            <w:tcW w:w="1922" w:type="dxa"/>
            <w:shd w:val="clear" w:color="auto" w:fill="auto"/>
            <w:hideMark/>
          </w:tcPr>
          <w:p w14:paraId="6B3E2ABC" w14:textId="77777777" w:rsidR="00403990" w:rsidRPr="002E3334" w:rsidRDefault="00403990" w:rsidP="002E3334">
            <w:pPr>
              <w:spacing w:after="120" w:line="276" w:lineRule="auto"/>
              <w:rPr>
                <w:sz w:val="16"/>
                <w:szCs w:val="16"/>
              </w:rPr>
            </w:pPr>
            <w:r w:rsidRPr="002E3334">
              <w:rPr>
                <w:sz w:val="16"/>
                <w:szCs w:val="16"/>
              </w:rPr>
              <w:t xml:space="preserve">Energetika </w:t>
            </w:r>
          </w:p>
        </w:tc>
        <w:tc>
          <w:tcPr>
            <w:tcW w:w="1701" w:type="dxa"/>
            <w:shd w:val="clear" w:color="auto" w:fill="auto"/>
            <w:hideMark/>
          </w:tcPr>
          <w:p w14:paraId="4AFA6D00" w14:textId="77777777" w:rsidR="00403990" w:rsidRPr="002E3334" w:rsidRDefault="00403990" w:rsidP="002E3334">
            <w:pPr>
              <w:spacing w:after="120" w:line="276" w:lineRule="auto"/>
              <w:rPr>
                <w:sz w:val="16"/>
                <w:szCs w:val="16"/>
              </w:rPr>
            </w:pPr>
            <w:r w:rsidRPr="002E3334">
              <w:rPr>
                <w:sz w:val="16"/>
                <w:szCs w:val="16"/>
              </w:rPr>
              <w:t> </w:t>
            </w:r>
          </w:p>
        </w:tc>
        <w:tc>
          <w:tcPr>
            <w:tcW w:w="1559" w:type="dxa"/>
            <w:shd w:val="clear" w:color="auto" w:fill="auto"/>
            <w:hideMark/>
          </w:tcPr>
          <w:p w14:paraId="043478D6" w14:textId="77777777" w:rsidR="00403990" w:rsidRPr="002E3334" w:rsidRDefault="00403990" w:rsidP="002E3334">
            <w:pPr>
              <w:spacing w:after="120" w:line="276" w:lineRule="auto"/>
              <w:rPr>
                <w:sz w:val="16"/>
                <w:szCs w:val="16"/>
              </w:rPr>
            </w:pPr>
            <w:r w:rsidRPr="002E3334">
              <w:rPr>
                <w:sz w:val="16"/>
                <w:szCs w:val="16"/>
              </w:rPr>
              <w:t> </w:t>
            </w:r>
          </w:p>
        </w:tc>
        <w:tc>
          <w:tcPr>
            <w:tcW w:w="1563" w:type="dxa"/>
            <w:shd w:val="clear" w:color="auto" w:fill="auto"/>
            <w:hideMark/>
          </w:tcPr>
          <w:p w14:paraId="6C0C696E" w14:textId="77777777" w:rsidR="00403990" w:rsidRPr="002E3334" w:rsidRDefault="00403990" w:rsidP="002E3334">
            <w:pPr>
              <w:spacing w:after="120" w:line="276" w:lineRule="auto"/>
              <w:rPr>
                <w:sz w:val="16"/>
                <w:szCs w:val="16"/>
              </w:rPr>
            </w:pPr>
            <w:r w:rsidRPr="002E3334">
              <w:rPr>
                <w:sz w:val="16"/>
                <w:szCs w:val="16"/>
              </w:rPr>
              <w:t> </w:t>
            </w:r>
          </w:p>
        </w:tc>
        <w:tc>
          <w:tcPr>
            <w:tcW w:w="2127" w:type="dxa"/>
            <w:gridSpan w:val="2"/>
            <w:shd w:val="clear" w:color="auto" w:fill="auto"/>
            <w:hideMark/>
          </w:tcPr>
          <w:p w14:paraId="686F9E40" w14:textId="77777777" w:rsidR="00403990" w:rsidRPr="002E3334" w:rsidRDefault="00403990" w:rsidP="002E3334">
            <w:pPr>
              <w:spacing w:after="120" w:line="276" w:lineRule="auto"/>
              <w:rPr>
                <w:sz w:val="16"/>
                <w:szCs w:val="16"/>
              </w:rPr>
            </w:pPr>
            <w:r w:rsidRPr="002E3334">
              <w:rPr>
                <w:sz w:val="16"/>
                <w:szCs w:val="16"/>
              </w:rPr>
              <w:t> </w:t>
            </w:r>
          </w:p>
          <w:p w14:paraId="27F98219" w14:textId="00B63082" w:rsidR="00403990" w:rsidRPr="002E3334" w:rsidRDefault="00403990" w:rsidP="002E3334">
            <w:pPr>
              <w:spacing w:after="120" w:line="276" w:lineRule="auto"/>
              <w:rPr>
                <w:sz w:val="16"/>
                <w:szCs w:val="16"/>
              </w:rPr>
            </w:pPr>
            <w:r w:rsidRPr="002E3334">
              <w:rPr>
                <w:sz w:val="16"/>
                <w:szCs w:val="16"/>
              </w:rPr>
              <w:t> </w:t>
            </w:r>
          </w:p>
        </w:tc>
      </w:tr>
      <w:tr w:rsidR="00403990" w:rsidRPr="002E3334" w14:paraId="26570A14" w14:textId="77777777" w:rsidTr="009A1978">
        <w:trPr>
          <w:trHeight w:val="315"/>
          <w:jc w:val="center"/>
        </w:trPr>
        <w:tc>
          <w:tcPr>
            <w:tcW w:w="956" w:type="dxa"/>
            <w:tcBorders>
              <w:bottom w:val="single" w:sz="4" w:space="0" w:color="auto"/>
            </w:tcBorders>
            <w:shd w:val="clear" w:color="000000" w:fill="004B8D"/>
            <w:hideMark/>
          </w:tcPr>
          <w:p w14:paraId="799D7C73" w14:textId="77777777" w:rsidR="00403990" w:rsidRPr="002E3334" w:rsidRDefault="00403990" w:rsidP="002E3334">
            <w:pPr>
              <w:spacing w:after="120" w:line="276" w:lineRule="auto"/>
              <w:rPr>
                <w:b/>
                <w:bCs/>
                <w:sz w:val="16"/>
                <w:szCs w:val="16"/>
              </w:rPr>
            </w:pPr>
            <w:r w:rsidRPr="002E3334">
              <w:rPr>
                <w:b/>
                <w:bCs/>
                <w:sz w:val="16"/>
                <w:szCs w:val="16"/>
              </w:rPr>
              <w:t>ZLK</w:t>
            </w:r>
          </w:p>
        </w:tc>
        <w:tc>
          <w:tcPr>
            <w:tcW w:w="1869" w:type="dxa"/>
            <w:tcBorders>
              <w:bottom w:val="single" w:sz="4" w:space="0" w:color="auto"/>
            </w:tcBorders>
            <w:shd w:val="clear" w:color="auto" w:fill="auto"/>
            <w:hideMark/>
          </w:tcPr>
          <w:p w14:paraId="29BC4BCD" w14:textId="77777777" w:rsidR="00403990" w:rsidRPr="002E3334" w:rsidRDefault="00403990" w:rsidP="002E3334">
            <w:pPr>
              <w:spacing w:after="120" w:line="276" w:lineRule="auto"/>
              <w:rPr>
                <w:sz w:val="16"/>
                <w:szCs w:val="16"/>
              </w:rPr>
            </w:pPr>
            <w:r w:rsidRPr="002E3334">
              <w:rPr>
                <w:sz w:val="16"/>
                <w:szCs w:val="16"/>
              </w:rPr>
              <w:t>Inovativní aplikace polymerů</w:t>
            </w:r>
          </w:p>
        </w:tc>
        <w:tc>
          <w:tcPr>
            <w:tcW w:w="1417" w:type="dxa"/>
            <w:tcBorders>
              <w:bottom w:val="single" w:sz="4" w:space="0" w:color="auto"/>
            </w:tcBorders>
            <w:shd w:val="clear" w:color="auto" w:fill="auto"/>
            <w:hideMark/>
          </w:tcPr>
          <w:p w14:paraId="37B4D369" w14:textId="77777777" w:rsidR="00403990" w:rsidRPr="002E3334" w:rsidRDefault="00403990" w:rsidP="002E3334">
            <w:pPr>
              <w:spacing w:after="120" w:line="276" w:lineRule="auto"/>
              <w:rPr>
                <w:sz w:val="16"/>
                <w:szCs w:val="16"/>
              </w:rPr>
            </w:pPr>
            <w:r w:rsidRPr="002E3334">
              <w:rPr>
                <w:sz w:val="16"/>
                <w:szCs w:val="16"/>
              </w:rPr>
              <w:t>Inovace v konstrukčních činnostech</w:t>
            </w:r>
          </w:p>
        </w:tc>
        <w:tc>
          <w:tcPr>
            <w:tcW w:w="1482" w:type="dxa"/>
            <w:tcBorders>
              <w:bottom w:val="single" w:sz="4" w:space="0" w:color="auto"/>
            </w:tcBorders>
            <w:shd w:val="clear" w:color="auto" w:fill="auto"/>
            <w:hideMark/>
          </w:tcPr>
          <w:p w14:paraId="2F1F381D" w14:textId="77777777" w:rsidR="00403990" w:rsidRPr="002E3334" w:rsidRDefault="00403990" w:rsidP="002E3334">
            <w:pPr>
              <w:spacing w:after="120" w:line="276" w:lineRule="auto"/>
              <w:rPr>
                <w:sz w:val="16"/>
                <w:szCs w:val="16"/>
              </w:rPr>
            </w:pPr>
            <w:r w:rsidRPr="002E3334">
              <w:rPr>
                <w:sz w:val="16"/>
                <w:szCs w:val="16"/>
              </w:rPr>
              <w:t>Inteligentní a úsporné elektronické systémy</w:t>
            </w:r>
          </w:p>
        </w:tc>
        <w:tc>
          <w:tcPr>
            <w:tcW w:w="1922" w:type="dxa"/>
            <w:tcBorders>
              <w:bottom w:val="single" w:sz="4" w:space="0" w:color="auto"/>
            </w:tcBorders>
            <w:shd w:val="clear" w:color="auto" w:fill="auto"/>
            <w:hideMark/>
          </w:tcPr>
          <w:p w14:paraId="5BB889A0" w14:textId="77777777" w:rsidR="00403990" w:rsidRPr="002E3334" w:rsidRDefault="00403990" w:rsidP="002E3334">
            <w:pPr>
              <w:spacing w:after="120" w:line="276" w:lineRule="auto"/>
              <w:rPr>
                <w:sz w:val="16"/>
                <w:szCs w:val="16"/>
              </w:rPr>
            </w:pPr>
            <w:r w:rsidRPr="002E3334">
              <w:rPr>
                <w:sz w:val="16"/>
                <w:szCs w:val="16"/>
              </w:rPr>
              <w:t> </w:t>
            </w:r>
          </w:p>
        </w:tc>
        <w:tc>
          <w:tcPr>
            <w:tcW w:w="1701" w:type="dxa"/>
            <w:tcBorders>
              <w:bottom w:val="single" w:sz="4" w:space="0" w:color="auto"/>
            </w:tcBorders>
            <w:shd w:val="clear" w:color="auto" w:fill="auto"/>
            <w:hideMark/>
          </w:tcPr>
          <w:p w14:paraId="518497D7" w14:textId="77777777" w:rsidR="00403990" w:rsidRPr="002E3334" w:rsidRDefault="00403990" w:rsidP="002E3334">
            <w:pPr>
              <w:spacing w:after="120" w:line="276" w:lineRule="auto"/>
              <w:rPr>
                <w:sz w:val="16"/>
                <w:szCs w:val="16"/>
              </w:rPr>
            </w:pPr>
            <w:r w:rsidRPr="002E3334">
              <w:rPr>
                <w:sz w:val="16"/>
                <w:szCs w:val="16"/>
              </w:rPr>
              <w:t> </w:t>
            </w:r>
          </w:p>
        </w:tc>
        <w:tc>
          <w:tcPr>
            <w:tcW w:w="1559" w:type="dxa"/>
            <w:tcBorders>
              <w:bottom w:val="single" w:sz="4" w:space="0" w:color="auto"/>
            </w:tcBorders>
            <w:shd w:val="clear" w:color="auto" w:fill="auto"/>
            <w:hideMark/>
          </w:tcPr>
          <w:p w14:paraId="66C1EF57" w14:textId="77777777" w:rsidR="00403990" w:rsidRPr="002E3334" w:rsidRDefault="00403990" w:rsidP="002E3334">
            <w:pPr>
              <w:spacing w:after="120" w:line="276" w:lineRule="auto"/>
              <w:rPr>
                <w:sz w:val="16"/>
                <w:szCs w:val="16"/>
              </w:rPr>
            </w:pPr>
            <w:r w:rsidRPr="002E3334">
              <w:rPr>
                <w:sz w:val="16"/>
                <w:szCs w:val="16"/>
              </w:rPr>
              <w:t> </w:t>
            </w:r>
          </w:p>
        </w:tc>
        <w:tc>
          <w:tcPr>
            <w:tcW w:w="1563" w:type="dxa"/>
            <w:tcBorders>
              <w:bottom w:val="single" w:sz="4" w:space="0" w:color="auto"/>
            </w:tcBorders>
            <w:shd w:val="clear" w:color="auto" w:fill="auto"/>
            <w:hideMark/>
          </w:tcPr>
          <w:p w14:paraId="3907CD73" w14:textId="77777777" w:rsidR="00403990" w:rsidRPr="002E3334" w:rsidRDefault="00403990" w:rsidP="002E3334">
            <w:pPr>
              <w:spacing w:after="120" w:line="276" w:lineRule="auto"/>
              <w:rPr>
                <w:sz w:val="16"/>
                <w:szCs w:val="16"/>
              </w:rPr>
            </w:pPr>
            <w:r w:rsidRPr="002E3334">
              <w:rPr>
                <w:sz w:val="16"/>
                <w:szCs w:val="16"/>
              </w:rPr>
              <w:t> </w:t>
            </w:r>
          </w:p>
        </w:tc>
        <w:tc>
          <w:tcPr>
            <w:tcW w:w="2127" w:type="dxa"/>
            <w:gridSpan w:val="2"/>
            <w:tcBorders>
              <w:bottom w:val="single" w:sz="4" w:space="0" w:color="auto"/>
            </w:tcBorders>
            <w:shd w:val="clear" w:color="auto" w:fill="auto"/>
            <w:hideMark/>
          </w:tcPr>
          <w:p w14:paraId="06D3FE5B" w14:textId="77777777" w:rsidR="00403990" w:rsidRPr="002E3334" w:rsidRDefault="00403990" w:rsidP="002E3334">
            <w:pPr>
              <w:spacing w:after="120" w:line="276" w:lineRule="auto"/>
              <w:rPr>
                <w:sz w:val="16"/>
                <w:szCs w:val="16"/>
              </w:rPr>
            </w:pPr>
            <w:r w:rsidRPr="002E3334">
              <w:rPr>
                <w:sz w:val="16"/>
                <w:szCs w:val="16"/>
              </w:rPr>
              <w:t> </w:t>
            </w:r>
          </w:p>
          <w:p w14:paraId="6613F2D0" w14:textId="5DCC6F3A" w:rsidR="00403990" w:rsidRPr="002E3334" w:rsidRDefault="00403990" w:rsidP="002E3334">
            <w:pPr>
              <w:spacing w:after="120" w:line="276" w:lineRule="auto"/>
              <w:rPr>
                <w:sz w:val="16"/>
                <w:szCs w:val="16"/>
              </w:rPr>
            </w:pPr>
            <w:r w:rsidRPr="002E3334">
              <w:rPr>
                <w:sz w:val="16"/>
                <w:szCs w:val="16"/>
              </w:rPr>
              <w:t> </w:t>
            </w:r>
          </w:p>
        </w:tc>
      </w:tr>
      <w:tr w:rsidR="002E3334" w:rsidRPr="002E3334" w14:paraId="1999D0D3" w14:textId="77777777" w:rsidTr="009A1978">
        <w:trPr>
          <w:trHeight w:val="315"/>
          <w:jc w:val="center"/>
        </w:trPr>
        <w:tc>
          <w:tcPr>
            <w:tcW w:w="14596" w:type="dxa"/>
            <w:gridSpan w:val="10"/>
            <w:tcBorders>
              <w:left w:val="nil"/>
              <w:bottom w:val="nil"/>
              <w:right w:val="nil"/>
            </w:tcBorders>
            <w:shd w:val="clear" w:color="auto" w:fill="auto"/>
            <w:vAlign w:val="center"/>
          </w:tcPr>
          <w:p w14:paraId="742A660C" w14:textId="77777777" w:rsidR="002E3334" w:rsidRPr="002E3334" w:rsidRDefault="002E3334" w:rsidP="002E3334">
            <w:pPr>
              <w:spacing w:after="120" w:line="276" w:lineRule="auto"/>
              <w:rPr>
                <w:sz w:val="16"/>
                <w:szCs w:val="16"/>
              </w:rPr>
            </w:pPr>
            <w:r w:rsidRPr="002E3334">
              <w:rPr>
                <w:sz w:val="16"/>
                <w:szCs w:val="16"/>
              </w:rPr>
              <w:t>Zdroj: Kraje ČR</w:t>
            </w:r>
          </w:p>
        </w:tc>
      </w:tr>
    </w:tbl>
    <w:p w14:paraId="5AE99FD4" w14:textId="77777777" w:rsidR="004619F6" w:rsidRDefault="004619F6" w:rsidP="00FD71A2">
      <w:pPr>
        <w:rPr>
          <w:highlight w:val="yellow"/>
        </w:rPr>
        <w:sectPr w:rsidR="004619F6" w:rsidSect="004619F6">
          <w:pgSz w:w="16838" w:h="11906" w:orient="landscape"/>
          <w:pgMar w:top="1417" w:right="1417" w:bottom="1417" w:left="1417" w:header="708" w:footer="708" w:gutter="0"/>
          <w:cols w:space="708"/>
          <w:docGrid w:linePitch="360"/>
        </w:sectPr>
      </w:pPr>
    </w:p>
    <w:p w14:paraId="0ED1CB88" w14:textId="54F2076E" w:rsidR="009740D8" w:rsidRPr="00D22F9F" w:rsidRDefault="00E54A3B" w:rsidP="00D22F9F">
      <w:pPr>
        <w:pStyle w:val="Nadpis4"/>
      </w:pPr>
      <w:bookmarkStart w:id="186" w:name="_Toc525716256"/>
      <w:r w:rsidRPr="00D22F9F">
        <w:t>Krajská samospráva</w:t>
      </w:r>
      <w:bookmarkEnd w:id="186"/>
    </w:p>
    <w:p w14:paraId="151E1A47" w14:textId="77777777" w:rsidR="00E54A3B" w:rsidRPr="00BA4F8E" w:rsidRDefault="00E54A3B" w:rsidP="003E7B59">
      <w:pPr>
        <w:spacing w:before="240" w:after="0" w:line="360" w:lineRule="auto"/>
        <w:ind w:firstLine="709"/>
        <w:jc w:val="both"/>
      </w:pPr>
      <w:r w:rsidRPr="00BA4F8E">
        <w:t>Jelikož zdrojem financování krajských intervencí v oblasti VaVaI jsou (kromě relevantních operačních programů) také krajské rozpočty, je krajská samospráva jedním z důležitých hráčů. Finanční prostředky či projekty, jejichž příjemcem je krajská samospráva, nejsou v Národní RIS3 strategii nebo operačním programu dopředu určeny nebo dokonce zaručeny. V souladu s pravidly na ochranu hospodářské soutěže může krajská samospráva realizací příslušných intervencí pověřit další organizaci – např. rozvojovou agenturu, inovační centrum, apod. Projekty mohou být realizovány také z rozpočtů jiných aktérů v kraji, krajská samospráva se nemusí nutně podílet na všech intervencích RIS3 realizovaných z krajské úrovně.</w:t>
      </w:r>
    </w:p>
    <w:p w14:paraId="3EE2CE11" w14:textId="2B76C402" w:rsidR="00E54A3B" w:rsidRPr="00BA4F8E" w:rsidRDefault="00E54A3B" w:rsidP="003E7B59">
      <w:pPr>
        <w:spacing w:after="0" w:line="360" w:lineRule="auto"/>
        <w:ind w:firstLine="708"/>
        <w:jc w:val="both"/>
      </w:pPr>
      <w:r w:rsidRPr="00BA4F8E">
        <w:t>Specificky v oblasti vzdělávání platí mechanismus, navržený v Dohodě o partnerství</w:t>
      </w:r>
      <w:r w:rsidRPr="00BA4F8E">
        <w:rPr>
          <w:rStyle w:val="Znakapoznpodarou"/>
        </w:rPr>
        <w:footnoteReference w:id="131"/>
      </w:r>
      <w:r w:rsidRPr="00BA4F8E">
        <w:t>, že: „</w:t>
      </w:r>
      <w:r w:rsidRPr="00BA4F8E">
        <w:rPr>
          <w:bCs/>
        </w:rPr>
        <w:t>V oblasti regionálního školství</w:t>
      </w:r>
      <w:r w:rsidRPr="00BA4F8E">
        <w:rPr>
          <w:b/>
          <w:bCs/>
        </w:rPr>
        <w:t xml:space="preserve"> </w:t>
      </w:r>
      <w:r w:rsidRPr="00BA4F8E">
        <w:t>bude velká část intervencí zajištěna prostřednictvím sběru a vyhodnocení specifických potřeb na regionální a místní úrovni. Tyto potřeby budou zahrnuty ve spolupráci s partnery v území do krajských a místních akčních plánů rozvoje vzdělávání, které budou sloužit pro koordinaci a zacílení výzev v OP VVV (PO 3), IROP (PO 2) a OP PPR (PO 4) a posílení územní koncentrace investic. Prostřednictvím akčních plánů bude řízena synergie OP VVV, IROP a OP PPR.“</w:t>
      </w:r>
    </w:p>
    <w:p w14:paraId="174C4070" w14:textId="77777777" w:rsidR="00F75F20" w:rsidRPr="00BA4F8E" w:rsidRDefault="00F75F20" w:rsidP="00F75F20">
      <w:pPr>
        <w:spacing w:before="240" w:line="360" w:lineRule="auto"/>
        <w:ind w:firstLine="708"/>
        <w:jc w:val="both"/>
      </w:pPr>
    </w:p>
    <w:p w14:paraId="198C2F64" w14:textId="77943F1F" w:rsidR="00F75F20" w:rsidRPr="00D22F9F" w:rsidRDefault="00F75F20" w:rsidP="00D22F9F">
      <w:pPr>
        <w:pStyle w:val="Nadpis4"/>
      </w:pPr>
      <w:bookmarkStart w:id="187" w:name="_Toc525716257"/>
      <w:r w:rsidRPr="00D22F9F">
        <w:t>Krajský RIS3 manažer</w:t>
      </w:r>
      <w:bookmarkEnd w:id="187"/>
    </w:p>
    <w:p w14:paraId="5CB7EEAD" w14:textId="77777777" w:rsidR="00F75F20" w:rsidRDefault="00F75F20" w:rsidP="00F75F20">
      <w:pPr>
        <w:spacing w:before="240" w:line="360" w:lineRule="auto"/>
        <w:ind w:firstLine="345"/>
        <w:jc w:val="both"/>
      </w:pPr>
      <w:r w:rsidRPr="00BA4F8E">
        <w:t>Hlavním úkolem krajského RIS3 manažera je koordinace příprav krajské přílohy Národní RIS3 strategie, a dále její implementace. Jeho role spočívá v podpoře krajských struktur, v budování krajských partnerství a podpoře spolupráce na úrovni kraje. Krajský RIS3 manažer plní roli tajemníka krajské rady pro inovace/konkurenceschopnost.</w:t>
      </w:r>
    </w:p>
    <w:p w14:paraId="73419B94" w14:textId="77777777" w:rsidR="00904C06" w:rsidRDefault="00904C06" w:rsidP="00F75F20">
      <w:pPr>
        <w:spacing w:before="240" w:line="360" w:lineRule="auto"/>
        <w:ind w:firstLine="345"/>
        <w:jc w:val="both"/>
      </w:pPr>
    </w:p>
    <w:p w14:paraId="2E8804CE" w14:textId="660C06C2" w:rsidR="00904C06" w:rsidRPr="00D22F9F" w:rsidRDefault="00904C06" w:rsidP="00D22F9F">
      <w:pPr>
        <w:pStyle w:val="Nadpis4"/>
      </w:pPr>
      <w:bookmarkStart w:id="188" w:name="_Toc525716258"/>
      <w:r w:rsidRPr="00D22F9F">
        <w:t>Krajský RIS3 koordinátor</w:t>
      </w:r>
      <w:bookmarkEnd w:id="188"/>
    </w:p>
    <w:p w14:paraId="15FE6664" w14:textId="77777777" w:rsidR="00904C06" w:rsidRDefault="00904C06" w:rsidP="00904C06">
      <w:pPr>
        <w:spacing w:before="240" w:line="360" w:lineRule="auto"/>
        <w:ind w:firstLine="345"/>
        <w:jc w:val="both"/>
      </w:pPr>
      <w:r w:rsidRPr="00904C06">
        <w:t xml:space="preserve">Hlavním úkolem krajského RIS3 koordinátora je komunikace mezi národní a krajskou úrovní RIS3 strategie, tj. primárně s MPO – oddělením S3 (zejména s Národním RIS3 manažerem), a dále též s dotčenými útvary MPO, MŠMT, TA ČR a Magistrátu hl. města Prahy, které jsou správci relevantních dotačních programů. Zajišťuje z úrovně krajského úřadu informační a analytický servis. Jeho zařazení na krajském úřadu zajistí implementaci regionálního rozvoje kraje prostřednictvím progresivních forem založených na využití výsledků výzkumu a vývoje v aplikační sféře v podobě inovací. </w:t>
      </w:r>
    </w:p>
    <w:p w14:paraId="7A0CC720" w14:textId="3618E2B7" w:rsidR="006F534A" w:rsidRPr="00D22F9F" w:rsidRDefault="006F534A" w:rsidP="00D22F9F">
      <w:pPr>
        <w:pStyle w:val="Nadpis4"/>
      </w:pPr>
      <w:bookmarkStart w:id="189" w:name="_Toc525716259"/>
      <w:r w:rsidRPr="00D22F9F">
        <w:t>Krajské přílohy Národní RIS3 strategie</w:t>
      </w:r>
      <w:bookmarkEnd w:id="189"/>
    </w:p>
    <w:p w14:paraId="45426A51" w14:textId="77777777" w:rsidR="006F534A" w:rsidRPr="00BA4F8E" w:rsidRDefault="006F534A" w:rsidP="006F534A">
      <w:pPr>
        <w:spacing w:before="240" w:line="360" w:lineRule="auto"/>
        <w:ind w:firstLine="345"/>
        <w:jc w:val="both"/>
      </w:pPr>
      <w:r w:rsidRPr="00BA4F8E">
        <w:t xml:space="preserve">K Národní RIS3 strategii byly v krajích vypracovány tzv. krajské přílohy Národní RIS3 strategie. Tyto přílohy slouží k: </w:t>
      </w:r>
    </w:p>
    <w:p w14:paraId="1FF5809E" w14:textId="77777777" w:rsidR="006F534A" w:rsidRPr="00BA4F8E" w:rsidRDefault="006F534A" w:rsidP="00543C1B">
      <w:pPr>
        <w:numPr>
          <w:ilvl w:val="0"/>
          <w:numId w:val="70"/>
        </w:numPr>
        <w:spacing w:before="240" w:after="120" w:line="360" w:lineRule="auto"/>
        <w:ind w:left="737" w:hanging="377"/>
        <w:jc w:val="both"/>
        <w:rPr>
          <w:rFonts w:eastAsia="MS Mincho"/>
        </w:rPr>
      </w:pPr>
      <w:r w:rsidRPr="00BA4F8E">
        <w:rPr>
          <w:rFonts w:eastAsia="MS Mincho"/>
        </w:rPr>
        <w:t xml:space="preserve">dotváření inovačního systému na krajské úrovni (stimulování partnerství v triple/quadruple helix a podnícení aktivity krajských hráčů), </w:t>
      </w:r>
    </w:p>
    <w:p w14:paraId="2853E30D" w14:textId="77777777" w:rsidR="006F534A" w:rsidRPr="00BA4F8E" w:rsidRDefault="006F534A" w:rsidP="00543C1B">
      <w:pPr>
        <w:numPr>
          <w:ilvl w:val="0"/>
          <w:numId w:val="70"/>
        </w:numPr>
        <w:spacing w:before="240" w:after="120" w:line="360" w:lineRule="auto"/>
        <w:ind w:left="737" w:hanging="377"/>
        <w:jc w:val="both"/>
        <w:rPr>
          <w:rFonts w:eastAsia="MS Mincho"/>
        </w:rPr>
      </w:pPr>
      <w:r w:rsidRPr="00BA4F8E">
        <w:rPr>
          <w:rFonts w:eastAsia="MS Mincho"/>
        </w:rPr>
        <w:t>nastavování krajsky specifických aplikačních odvětví,</w:t>
      </w:r>
    </w:p>
    <w:p w14:paraId="353A1F4C" w14:textId="77777777" w:rsidR="006F534A" w:rsidRPr="00BA4F8E" w:rsidRDefault="006F534A" w:rsidP="00543C1B">
      <w:pPr>
        <w:numPr>
          <w:ilvl w:val="0"/>
          <w:numId w:val="70"/>
        </w:numPr>
        <w:spacing w:before="240" w:after="200" w:line="360" w:lineRule="auto"/>
        <w:ind w:left="737" w:hanging="377"/>
        <w:jc w:val="both"/>
        <w:rPr>
          <w:rFonts w:eastAsia="MS Mincho"/>
        </w:rPr>
      </w:pPr>
      <w:r w:rsidRPr="00BA4F8E">
        <w:rPr>
          <w:rFonts w:eastAsia="MS Mincho"/>
        </w:rPr>
        <w:t xml:space="preserve">identifikaci krajských intervencí/projektů reagujících na místní podmínky. </w:t>
      </w:r>
    </w:p>
    <w:p w14:paraId="11CF7B95" w14:textId="1A8CF88E" w:rsidR="006F534A" w:rsidRPr="00BA4F8E" w:rsidRDefault="006F534A" w:rsidP="006F534A">
      <w:pPr>
        <w:spacing w:before="240" w:line="360" w:lineRule="auto"/>
        <w:ind w:firstLine="360"/>
        <w:jc w:val="both"/>
      </w:pPr>
      <w:r w:rsidRPr="00BA4F8E">
        <w:t>Krajské</w:t>
      </w:r>
      <w:r w:rsidRPr="00104E23">
        <w:t xml:space="preserve"> přílohy Národní RIS3 strategie podléhají schvalování na krajské úrovni. Krajské přílohy Národní RIS3 strategie jsou pravid</w:t>
      </w:r>
      <w:r w:rsidRPr="006D0A08">
        <w:t>elně aktu</w:t>
      </w:r>
      <w:r w:rsidRPr="009B44CC">
        <w:t xml:space="preserve">alizovány (viz kap. </w:t>
      </w:r>
      <w:r w:rsidR="004B61F7" w:rsidRPr="009B44CC">
        <w:fldChar w:fldCharType="begin"/>
      </w:r>
      <w:r w:rsidR="004B61F7" w:rsidRPr="009B44CC">
        <w:instrText xml:space="preserve"> REF _Ref521492371 \r \h  \* MERGEFORMAT </w:instrText>
      </w:r>
      <w:r w:rsidR="004B61F7" w:rsidRPr="009B44CC">
        <w:fldChar w:fldCharType="separate"/>
      </w:r>
      <w:r w:rsidR="00DE40D4">
        <w:t>7.4.3</w:t>
      </w:r>
      <w:r w:rsidR="004B61F7" w:rsidRPr="009B44CC">
        <w:fldChar w:fldCharType="end"/>
      </w:r>
      <w:r w:rsidR="007048C1" w:rsidRPr="009B44CC">
        <w:t xml:space="preserve"> </w:t>
      </w:r>
      <w:r w:rsidR="004B61F7" w:rsidRPr="009B44CC">
        <w:rPr>
          <w:highlight w:val="yellow"/>
        </w:rPr>
        <w:fldChar w:fldCharType="begin"/>
      </w:r>
      <w:r w:rsidR="004B61F7" w:rsidRPr="009B44CC">
        <w:rPr>
          <w:highlight w:val="yellow"/>
        </w:rPr>
        <w:instrText xml:space="preserve"> REF _Ref521492357 \h </w:instrText>
      </w:r>
      <w:r w:rsidR="004B61F7" w:rsidRPr="009B44CC">
        <w:rPr>
          <w:highlight w:val="yellow"/>
        </w:rPr>
      </w:r>
      <w:r w:rsidR="004B61F7" w:rsidRPr="009B44CC">
        <w:rPr>
          <w:highlight w:val="yellow"/>
        </w:rPr>
        <w:fldChar w:fldCharType="separate"/>
      </w:r>
      <w:r w:rsidR="00DE40D4" w:rsidRPr="00EF4A38">
        <w:t>Aktualizace Národní RIS3 strategie</w:t>
      </w:r>
      <w:r w:rsidR="004B61F7" w:rsidRPr="009B44CC">
        <w:rPr>
          <w:highlight w:val="yellow"/>
        </w:rPr>
        <w:fldChar w:fldCharType="end"/>
      </w:r>
      <w:r w:rsidRPr="009B44CC">
        <w:t>)</w:t>
      </w:r>
      <w:r w:rsidR="00A85A75" w:rsidRPr="009B44CC">
        <w:t xml:space="preserve"> </w:t>
      </w:r>
      <w:r w:rsidRPr="009B44CC">
        <w:t>a doplňovány o krajské akční plány navrhující konkrétní intervence/opatření implementující RIS3 strategii pro nadcházející rok.</w:t>
      </w:r>
    </w:p>
    <w:p w14:paraId="7AB4B670" w14:textId="77777777" w:rsidR="00282D09" w:rsidRPr="00BA4F8E" w:rsidRDefault="00282D09" w:rsidP="006F534A">
      <w:pPr>
        <w:spacing w:before="240" w:line="360" w:lineRule="auto"/>
        <w:ind w:firstLine="360"/>
        <w:jc w:val="both"/>
      </w:pPr>
    </w:p>
    <w:p w14:paraId="66BD4E5D" w14:textId="7F839AB5" w:rsidR="00A85A75" w:rsidRPr="00BA4F8E" w:rsidRDefault="00A85A75" w:rsidP="00A85A75">
      <w:pPr>
        <w:pStyle w:val="Nadpis4"/>
        <w:rPr>
          <w:rFonts w:asciiTheme="minorHAnsi" w:hAnsiTheme="minorHAnsi"/>
          <w:sz w:val="22"/>
        </w:rPr>
      </w:pPr>
      <w:bookmarkStart w:id="190" w:name="_Ref521501172"/>
      <w:bookmarkStart w:id="191" w:name="_Ref521501216"/>
      <w:bookmarkStart w:id="192" w:name="_Toc525716260"/>
      <w:r w:rsidRPr="00BA4F8E">
        <w:rPr>
          <w:rFonts w:asciiTheme="minorHAnsi" w:hAnsiTheme="minorHAnsi"/>
          <w:sz w:val="22"/>
        </w:rPr>
        <w:t>Smart Akcelerátor – nástroj pro rozvoj krajských inovačních systémů</w:t>
      </w:r>
      <w:bookmarkEnd w:id="190"/>
      <w:bookmarkEnd w:id="191"/>
      <w:bookmarkEnd w:id="192"/>
    </w:p>
    <w:p w14:paraId="098907DF" w14:textId="77777777" w:rsidR="00A85A75" w:rsidRPr="00BA4F8E" w:rsidRDefault="00A85A75" w:rsidP="00A85A75">
      <w:pPr>
        <w:spacing w:before="240" w:line="360" w:lineRule="auto"/>
        <w:ind w:firstLine="709"/>
        <w:jc w:val="both"/>
      </w:pPr>
      <w:r w:rsidRPr="00BA4F8E">
        <w:t xml:space="preserve">Cílem výzvy OP VVV </w:t>
      </w:r>
      <w:r w:rsidRPr="00BA4F8E">
        <w:rPr>
          <w:i/>
        </w:rPr>
        <w:t>Smart Akcelerátor</w:t>
      </w:r>
      <w:r w:rsidRPr="00BA4F8E">
        <w:t xml:space="preserve"> (prioritní osa 2, specifický cíl 5)</w:t>
      </w:r>
      <w:r w:rsidRPr="00BA4F8E">
        <w:rPr>
          <w:i/>
          <w:vertAlign w:val="superscript"/>
        </w:rPr>
        <w:t xml:space="preserve"> </w:t>
      </w:r>
      <w:r w:rsidRPr="00BA4F8E">
        <w:rPr>
          <w:i/>
          <w:vertAlign w:val="superscript"/>
        </w:rPr>
        <w:footnoteReference w:id="132"/>
      </w:r>
      <w:r w:rsidRPr="00BA4F8E">
        <w:t xml:space="preserve">, jejímž gestorem je MŠMT a příjemci krajské úřady, je umožnit v jednotlivých krajích České republiky rozvoj inovačního prostředí v souladu s Národní RIS3 strategií a jejími krajskými přílohami. Výzva </w:t>
      </w:r>
      <w:r w:rsidRPr="00BA4F8E">
        <w:rPr>
          <w:i/>
        </w:rPr>
        <w:t>Smart Akcelerátor</w:t>
      </w:r>
      <w:r w:rsidRPr="00BA4F8E">
        <w:t xml:space="preserve"> je zaměřena na podporu budování a rozvoje kapacit, organizačních struktur a know-how na úrovni jednotlivých krajů pro rozvoj VaVaI a pro kvalitní řízení EDP.</w:t>
      </w:r>
    </w:p>
    <w:p w14:paraId="68FFAE48" w14:textId="77777777" w:rsidR="00A85A75" w:rsidRPr="00BA4F8E" w:rsidRDefault="00A85A75" w:rsidP="00A85A75">
      <w:pPr>
        <w:spacing w:before="240" w:line="360" w:lineRule="auto"/>
        <w:jc w:val="both"/>
      </w:pPr>
      <w:r w:rsidRPr="00494191">
        <w:rPr>
          <w:b/>
        </w:rPr>
        <w:t>Povinné aktivity</w:t>
      </w:r>
      <w:r w:rsidRPr="00BA4F8E">
        <w:t xml:space="preserve"> výzvy </w:t>
      </w:r>
      <w:r w:rsidRPr="00BA4F8E">
        <w:rPr>
          <w:i/>
        </w:rPr>
        <w:t>Smart Akcelerátor</w:t>
      </w:r>
      <w:r w:rsidRPr="00BA4F8E">
        <w:t xml:space="preserve"> jsou:</w:t>
      </w:r>
    </w:p>
    <w:p w14:paraId="782B5EA5" w14:textId="77777777" w:rsidR="00D662FB" w:rsidRPr="00494191" w:rsidRDefault="00D662FB" w:rsidP="00543C1B">
      <w:pPr>
        <w:pStyle w:val="Odstavecseseznamem"/>
        <w:numPr>
          <w:ilvl w:val="0"/>
          <w:numId w:val="230"/>
        </w:numPr>
        <w:autoSpaceDE w:val="0"/>
        <w:autoSpaceDN w:val="0"/>
        <w:adjustRightInd w:val="0"/>
        <w:spacing w:after="0" w:line="360" w:lineRule="auto"/>
        <w:jc w:val="both"/>
        <w:rPr>
          <w:rFonts w:asciiTheme="majorHAnsi" w:hAnsiTheme="majorHAnsi" w:cs="Calibri"/>
        </w:rPr>
      </w:pPr>
      <w:r w:rsidRPr="00494191">
        <w:rPr>
          <w:rFonts w:asciiTheme="majorHAnsi" w:hAnsiTheme="majorHAnsi" w:cs="Calibri,Bold"/>
          <w:bCs/>
          <w:i/>
        </w:rPr>
        <w:t>Aktivita č. 1: Řízení projektu</w:t>
      </w:r>
      <w:r w:rsidRPr="00494191">
        <w:rPr>
          <w:rFonts w:asciiTheme="majorHAnsi" w:hAnsiTheme="majorHAnsi" w:cs="Calibri,Bold"/>
          <w:b/>
          <w:bCs/>
        </w:rPr>
        <w:t xml:space="preserve"> </w:t>
      </w:r>
      <w:r w:rsidRPr="00494191">
        <w:rPr>
          <w:rFonts w:asciiTheme="majorHAnsi" w:hAnsiTheme="majorHAnsi" w:cs="Calibri"/>
        </w:rPr>
        <w:t>– popis obsahu této aktivity je uveden v kapitole 5.2.4 Pravidel pro žadatele a příjemce – obecná část.</w:t>
      </w:r>
      <w:r w:rsidRPr="00494191">
        <w:rPr>
          <w:rFonts w:asciiTheme="majorHAnsi" w:hAnsiTheme="majorHAnsi"/>
        </w:rPr>
        <w:t xml:space="preserve"> </w:t>
      </w:r>
    </w:p>
    <w:p w14:paraId="598B652C" w14:textId="250414B9" w:rsidR="00D662FB" w:rsidRPr="00494191" w:rsidRDefault="00D662FB" w:rsidP="00543C1B">
      <w:pPr>
        <w:pStyle w:val="Odstavecseseznamem"/>
        <w:numPr>
          <w:ilvl w:val="0"/>
          <w:numId w:val="230"/>
        </w:numPr>
        <w:autoSpaceDE w:val="0"/>
        <w:autoSpaceDN w:val="0"/>
        <w:adjustRightInd w:val="0"/>
        <w:spacing w:after="0" w:line="360" w:lineRule="auto"/>
        <w:jc w:val="both"/>
        <w:rPr>
          <w:rFonts w:asciiTheme="majorHAnsi" w:hAnsiTheme="majorHAnsi" w:cs="Calibri"/>
        </w:rPr>
      </w:pPr>
      <w:r w:rsidRPr="00494191">
        <w:rPr>
          <w:rFonts w:asciiTheme="majorHAnsi" w:hAnsiTheme="majorHAnsi" w:cs="Calibri,Bold"/>
          <w:bCs/>
          <w:i/>
        </w:rPr>
        <w:t>Aktivita č. 2</w:t>
      </w:r>
      <w:r w:rsidRPr="00494191">
        <w:rPr>
          <w:rFonts w:asciiTheme="majorHAnsi" w:hAnsiTheme="majorHAnsi" w:cs="Calibri"/>
          <w:i/>
        </w:rPr>
        <w:t xml:space="preserve">: </w:t>
      </w:r>
      <w:r w:rsidRPr="00494191">
        <w:rPr>
          <w:rFonts w:asciiTheme="majorHAnsi" w:hAnsiTheme="majorHAnsi" w:cs="Calibri,Bold"/>
          <w:bCs/>
          <w:i/>
        </w:rPr>
        <w:t>Základní tým</w:t>
      </w:r>
      <w:r w:rsidRPr="00494191">
        <w:rPr>
          <w:rFonts w:asciiTheme="majorHAnsi" w:hAnsiTheme="majorHAnsi" w:cs="Calibri,Bold"/>
          <w:b/>
          <w:bCs/>
        </w:rPr>
        <w:t xml:space="preserve"> </w:t>
      </w:r>
      <w:r w:rsidRPr="00494191">
        <w:rPr>
          <w:rFonts w:asciiTheme="majorHAnsi" w:hAnsiTheme="majorHAnsi" w:cs="Calibri"/>
        </w:rPr>
        <w:t>– cílem aktivity je zajistit kapacitu a klíčové kompetence ke koordinaci a implementaci agendy RIS3 především prostřednictvím výkonné jednotky, zajistit stabilizaci a postupný rozvoj této výkonné jednotky dle vývoje inovačního prostředí v kraji. Výkonná jednotka je buď nedílnou součástí instituce příjemce, nebo případně partnera projektu.</w:t>
      </w:r>
    </w:p>
    <w:p w14:paraId="6D36B551" w14:textId="5A0EAFB6" w:rsidR="00494191" w:rsidRPr="00543C1B" w:rsidRDefault="00494191" w:rsidP="002826AA">
      <w:pPr>
        <w:autoSpaceDE w:val="0"/>
        <w:autoSpaceDN w:val="0"/>
        <w:adjustRightInd w:val="0"/>
        <w:spacing w:after="0" w:line="360" w:lineRule="auto"/>
        <w:ind w:left="708"/>
        <w:jc w:val="both"/>
        <w:rPr>
          <w:rFonts w:asciiTheme="majorHAnsi" w:hAnsiTheme="majorHAnsi" w:cs="Calibri"/>
        </w:rPr>
      </w:pPr>
      <w:r w:rsidRPr="00494191">
        <w:rPr>
          <w:rFonts w:asciiTheme="majorHAnsi" w:hAnsiTheme="majorHAnsi" w:cs="Calibri"/>
        </w:rPr>
        <w:t>Výkonná jednotka bude prostřednictvím základního týmu zajišťovat komplexní podporu rozvoje inovačního prostředí v kraji s využitím RIS3 strategie, komunikaci mezi klíčovými stakeholdery v kraji, síťování aktérů inovačního prostředí a podporu vzniku nových kontaktů a</w:t>
      </w:r>
      <w:r w:rsidR="00543C1B">
        <w:rPr>
          <w:rFonts w:asciiTheme="majorHAnsi" w:hAnsiTheme="majorHAnsi" w:cs="Calibri"/>
        </w:rPr>
        <w:t> </w:t>
      </w:r>
      <w:r w:rsidRPr="00494191">
        <w:rPr>
          <w:rFonts w:asciiTheme="majorHAnsi" w:hAnsiTheme="majorHAnsi" w:cs="Calibri"/>
        </w:rPr>
        <w:t xml:space="preserve"> projektů spolupráce, aktualizaci a projednání krajské RIS3 strategie a Akčního plánu krajské RIS3 strategie, fungování krajských inovačních platforem a Krajské rady pro inovace/konkurenceschopnost (či obdobné rady daného kraje s danou funkcí), přípravu strategických projektů/intervencí a hledání zdrojů pro jejich realizaci, komunikační a</w:t>
      </w:r>
      <w:r w:rsidR="00543C1B">
        <w:rPr>
          <w:rFonts w:asciiTheme="majorHAnsi" w:hAnsiTheme="majorHAnsi" w:cs="Calibri"/>
        </w:rPr>
        <w:t> </w:t>
      </w:r>
      <w:r w:rsidRPr="00494191">
        <w:rPr>
          <w:rFonts w:asciiTheme="majorHAnsi" w:hAnsiTheme="majorHAnsi" w:cs="Calibri"/>
        </w:rPr>
        <w:t xml:space="preserve"> informační servis krajské RIS3 strategie vůči národnímu gestorovi Národní RIS3 strategie (tj.</w:t>
      </w:r>
      <w:r w:rsidR="00543C1B">
        <w:rPr>
          <w:rFonts w:asciiTheme="majorHAnsi" w:hAnsiTheme="majorHAnsi" w:cs="Calibri"/>
        </w:rPr>
        <w:t> </w:t>
      </w:r>
      <w:r w:rsidRPr="00494191">
        <w:rPr>
          <w:rFonts w:asciiTheme="majorHAnsi" w:hAnsiTheme="majorHAnsi" w:cs="Calibri"/>
        </w:rPr>
        <w:t xml:space="preserve"> Národnímu RIS3 manažerovi) a další relevantní aktivity v kraji.</w:t>
      </w:r>
    </w:p>
    <w:p w14:paraId="4B1CE7E3" w14:textId="589EDCE8" w:rsidR="00194AAA" w:rsidRPr="00543C1B" w:rsidRDefault="00494191" w:rsidP="00543C1B">
      <w:pPr>
        <w:pStyle w:val="Odstavecseseznamem"/>
        <w:numPr>
          <w:ilvl w:val="0"/>
          <w:numId w:val="231"/>
        </w:numPr>
        <w:autoSpaceDE w:val="0"/>
        <w:autoSpaceDN w:val="0"/>
        <w:adjustRightInd w:val="0"/>
        <w:spacing w:after="0" w:line="360" w:lineRule="auto"/>
        <w:jc w:val="both"/>
        <w:rPr>
          <w:rFonts w:asciiTheme="majorHAnsi" w:hAnsiTheme="majorHAnsi" w:cs="Calibri"/>
        </w:rPr>
      </w:pPr>
      <w:r w:rsidRPr="002826AA">
        <w:rPr>
          <w:rFonts w:asciiTheme="majorHAnsi" w:hAnsiTheme="majorHAnsi" w:cs="Calibri,Bold"/>
          <w:bCs/>
          <w:i/>
          <w:color w:val="000000"/>
        </w:rPr>
        <w:t>Aktivita č. 3: Vzdělávání a rozvoj kompetencí</w:t>
      </w:r>
      <w:r w:rsidRPr="00543C1B">
        <w:rPr>
          <w:rFonts w:asciiTheme="majorHAnsi" w:hAnsiTheme="majorHAnsi" w:cs="Calibri,Bold"/>
          <w:b/>
          <w:bCs/>
          <w:color w:val="000000"/>
        </w:rPr>
        <w:t xml:space="preserve"> </w:t>
      </w:r>
      <w:r w:rsidRPr="00543C1B">
        <w:rPr>
          <w:rFonts w:asciiTheme="majorHAnsi" w:hAnsiTheme="majorHAnsi" w:cs="Calibri"/>
          <w:color w:val="00339A"/>
        </w:rPr>
        <w:t xml:space="preserve">– </w:t>
      </w:r>
      <w:r w:rsidRPr="00543C1B">
        <w:rPr>
          <w:rFonts w:asciiTheme="majorHAnsi" w:hAnsiTheme="majorHAnsi" w:cs="Calibri"/>
          <w:color w:val="000000"/>
        </w:rPr>
        <w:t>cílem aktivity je vzdělávat členy realizačního týmu a dále rozvíjet kompetence odborníků z organizací (včetně veřejné správy), kteří jsou zapojeni do krajského partnerství pro řízení Národní a krajské RIS3 strategie a pro podporu rozvoje inovačního prostředí v kraji nebo kteří jsou zapojeni do přípravy a/nebo realizace strategických intervencí/projektů naplňujících RIS3 strategii v kraji, a dále také pracovníků veřejné správy v kraji, kteří se podílejí na schvalování a implementaci krajské RIS3 strategie. V</w:t>
      </w:r>
      <w:r w:rsidR="00543C1B">
        <w:rPr>
          <w:rFonts w:asciiTheme="majorHAnsi" w:hAnsiTheme="majorHAnsi" w:cs="Calibri"/>
          <w:color w:val="000000"/>
        </w:rPr>
        <w:t> </w:t>
      </w:r>
      <w:r w:rsidRPr="00543C1B">
        <w:rPr>
          <w:rFonts w:asciiTheme="majorHAnsi" w:hAnsiTheme="majorHAnsi" w:cs="Calibri"/>
          <w:color w:val="000000"/>
        </w:rPr>
        <w:t>rámci aktivity lze absolvovat studijní cesty na školení, workshopy, konference apod., a to v</w:t>
      </w:r>
      <w:r w:rsidR="007E51B6">
        <w:rPr>
          <w:rFonts w:asciiTheme="majorHAnsi" w:hAnsiTheme="majorHAnsi" w:cs="Calibri"/>
          <w:color w:val="000000"/>
        </w:rPr>
        <w:t> </w:t>
      </w:r>
      <w:r w:rsidRPr="00543C1B">
        <w:rPr>
          <w:rFonts w:asciiTheme="majorHAnsi" w:hAnsiTheme="majorHAnsi" w:cs="Calibri"/>
          <w:color w:val="000000"/>
        </w:rPr>
        <w:t>ČR i v zahraničí – v rámci zemí Evropského výzkumného prostoru (dále jen „ERA“)</w:t>
      </w:r>
      <w:r w:rsidRPr="00543C1B">
        <w:rPr>
          <w:rStyle w:val="Znakapoznpodarou"/>
          <w:rFonts w:asciiTheme="majorHAnsi" w:hAnsiTheme="majorHAnsi" w:cs="Calibri"/>
          <w:color w:val="000000"/>
        </w:rPr>
        <w:footnoteReference w:id="133"/>
      </w:r>
      <w:r w:rsidR="00194AAA" w:rsidRPr="00543C1B">
        <w:rPr>
          <w:rFonts w:asciiTheme="majorHAnsi" w:hAnsiTheme="majorHAnsi" w:cs="Calibri"/>
          <w:color w:val="000000"/>
        </w:rPr>
        <w:t>.</w:t>
      </w:r>
    </w:p>
    <w:p w14:paraId="229A68D8" w14:textId="2EF8DD76" w:rsidR="00194AAA" w:rsidRPr="00194AAA" w:rsidRDefault="00194AAA" w:rsidP="00543C1B">
      <w:pPr>
        <w:pStyle w:val="Odstavecseseznamem"/>
        <w:numPr>
          <w:ilvl w:val="0"/>
          <w:numId w:val="231"/>
        </w:numPr>
        <w:autoSpaceDE w:val="0"/>
        <w:autoSpaceDN w:val="0"/>
        <w:adjustRightInd w:val="0"/>
        <w:spacing w:after="0" w:line="360" w:lineRule="auto"/>
        <w:jc w:val="both"/>
        <w:rPr>
          <w:rFonts w:asciiTheme="majorHAnsi" w:hAnsiTheme="majorHAnsi" w:cs="Calibri"/>
        </w:rPr>
      </w:pPr>
      <w:r w:rsidRPr="002826AA">
        <w:rPr>
          <w:rFonts w:asciiTheme="majorHAnsi" w:hAnsiTheme="majorHAnsi" w:cs="Calibri,Bold"/>
          <w:bCs/>
          <w:i/>
        </w:rPr>
        <w:t>Aktivita č. 4: Mapování a analýzy</w:t>
      </w:r>
      <w:r w:rsidRPr="00194AAA">
        <w:rPr>
          <w:rFonts w:asciiTheme="majorHAnsi" w:hAnsiTheme="majorHAnsi" w:cs="Calibri,Bold"/>
          <w:b/>
          <w:bCs/>
        </w:rPr>
        <w:t xml:space="preserve"> </w:t>
      </w:r>
      <w:r w:rsidRPr="00194AAA">
        <w:rPr>
          <w:rFonts w:asciiTheme="majorHAnsi" w:hAnsiTheme="majorHAnsi" w:cs="Calibri"/>
        </w:rPr>
        <w:t>– cílem aktivity je mapovat, sledovat a vyhodnocovat změny a vývoj inovačního prostředí v kraji a zjišťovat jeho potřeby a potenciál.</w:t>
      </w:r>
    </w:p>
    <w:p w14:paraId="5C0A63BD" w14:textId="788BFB17" w:rsidR="00A85A75" w:rsidRPr="00BA4F8E" w:rsidRDefault="00543C1B" w:rsidP="00A85A75">
      <w:pPr>
        <w:spacing w:before="240" w:line="360" w:lineRule="auto"/>
        <w:jc w:val="both"/>
      </w:pPr>
      <w:r w:rsidRPr="00543C1B">
        <w:rPr>
          <w:b/>
        </w:rPr>
        <w:t>Volitelné aktivity</w:t>
      </w:r>
      <w:r w:rsidR="00A85A75" w:rsidRPr="00BA4F8E">
        <w:t xml:space="preserve"> výzvy </w:t>
      </w:r>
      <w:r w:rsidR="00A85A75" w:rsidRPr="00BA4F8E">
        <w:rPr>
          <w:i/>
        </w:rPr>
        <w:t>Smart Akcelerátor</w:t>
      </w:r>
      <w:r w:rsidR="00A85A75" w:rsidRPr="00BA4F8E">
        <w:t xml:space="preserve"> jsou:</w:t>
      </w:r>
    </w:p>
    <w:p w14:paraId="37C05E03" w14:textId="77777777" w:rsidR="00E861FB" w:rsidRDefault="00543C1B" w:rsidP="00E861FB">
      <w:pPr>
        <w:pStyle w:val="Odstavecseseznamem"/>
        <w:numPr>
          <w:ilvl w:val="0"/>
          <w:numId w:val="231"/>
        </w:numPr>
        <w:autoSpaceDE w:val="0"/>
        <w:autoSpaceDN w:val="0"/>
        <w:adjustRightInd w:val="0"/>
        <w:spacing w:after="0" w:line="360" w:lineRule="auto"/>
        <w:jc w:val="both"/>
        <w:rPr>
          <w:rFonts w:asciiTheme="majorHAnsi" w:hAnsiTheme="majorHAnsi" w:cs="Calibri"/>
          <w:color w:val="000000"/>
        </w:rPr>
      </w:pPr>
      <w:r w:rsidRPr="002826AA">
        <w:rPr>
          <w:rFonts w:asciiTheme="majorHAnsi" w:hAnsiTheme="majorHAnsi" w:cs="Calibri"/>
          <w:i/>
          <w:color w:val="000000"/>
        </w:rPr>
        <w:t>Aktivita č. 5: Asistence</w:t>
      </w:r>
      <w:r w:rsidRPr="002826AA">
        <w:rPr>
          <w:rFonts w:asciiTheme="majorHAnsi" w:hAnsiTheme="majorHAnsi" w:cs="Calibri"/>
          <w:color w:val="000000"/>
        </w:rPr>
        <w:t xml:space="preserve"> – cílem aktivity je podpořit přípravu strategických projektových záměrů/strategických intervencí v kraji tak, aby byly v souladu s Krajskou přílohou RIS3 strategie případně Národní RIS3 strategií a projektové žádosti mohly být podány do relevantní výzvy vhodného programu podpory financovaného z národních či jiných prostředků, případně byly připraveny k realizaci z jiných zdrojů mimo projekt Smart Akcelerátor II (např. místní rozpočty, vlastní prostředky nositele apod.). </w:t>
      </w:r>
    </w:p>
    <w:p w14:paraId="7C0B23D5" w14:textId="77777777" w:rsidR="00EE14AA" w:rsidRPr="00EE14AA" w:rsidRDefault="00E861FB" w:rsidP="00EE14AA">
      <w:pPr>
        <w:pStyle w:val="Odstavecseseznamem"/>
        <w:numPr>
          <w:ilvl w:val="0"/>
          <w:numId w:val="231"/>
        </w:numPr>
        <w:autoSpaceDE w:val="0"/>
        <w:autoSpaceDN w:val="0"/>
        <w:adjustRightInd w:val="0"/>
        <w:spacing w:after="0" w:line="360" w:lineRule="auto"/>
        <w:jc w:val="both"/>
        <w:rPr>
          <w:rFonts w:asciiTheme="majorHAnsi" w:hAnsiTheme="majorHAnsi" w:cs="Calibri"/>
          <w:color w:val="000000"/>
        </w:rPr>
      </w:pPr>
      <w:r w:rsidRPr="00E861FB">
        <w:rPr>
          <w:rFonts w:asciiTheme="majorHAnsi" w:hAnsiTheme="majorHAnsi" w:cs="Calibri,Bold"/>
          <w:bCs/>
          <w:i/>
        </w:rPr>
        <w:t>Aktivita č. 6: Twinning</w:t>
      </w:r>
      <w:r w:rsidRPr="00E861FB">
        <w:rPr>
          <w:rFonts w:ascii="Calibri,Bold" w:hAnsi="Calibri,Bold" w:cs="Calibri,Bold"/>
          <w:b/>
          <w:bCs/>
        </w:rPr>
        <w:t xml:space="preserve"> – </w:t>
      </w:r>
      <w:r w:rsidRPr="00E861FB">
        <w:rPr>
          <w:rFonts w:ascii="Calibri" w:hAnsi="Calibri" w:cs="Calibri"/>
        </w:rPr>
        <w:t>cílem aktivity je umožnit prostřednictvím spolupráce s</w:t>
      </w:r>
      <w:r>
        <w:rPr>
          <w:rFonts w:ascii="Calibri" w:hAnsi="Calibri" w:cs="Calibri"/>
        </w:rPr>
        <w:t> </w:t>
      </w:r>
      <w:r w:rsidRPr="00E861FB">
        <w:rPr>
          <w:rFonts w:ascii="Calibri" w:hAnsi="Calibri" w:cs="Calibri"/>
        </w:rPr>
        <w:t>vybraným</w:t>
      </w:r>
      <w:r>
        <w:rPr>
          <w:rFonts w:ascii="Calibri" w:hAnsi="Calibri" w:cs="Calibri"/>
        </w:rPr>
        <w:t xml:space="preserve"> </w:t>
      </w:r>
      <w:r w:rsidRPr="00E861FB">
        <w:rPr>
          <w:rFonts w:ascii="Calibri" w:hAnsi="Calibri" w:cs="Calibri"/>
        </w:rPr>
        <w:t>zahraničním zkušeným subjektem</w:t>
      </w:r>
      <w:r w:rsidR="00BC07CC">
        <w:rPr>
          <w:rStyle w:val="Znakapoznpodarou"/>
          <w:rFonts w:ascii="Calibri" w:hAnsi="Calibri" w:cs="Calibri"/>
        </w:rPr>
        <w:footnoteReference w:id="134"/>
      </w:r>
      <w:r w:rsidRPr="00E861FB">
        <w:rPr>
          <w:rFonts w:ascii="Calibri" w:hAnsi="Calibri" w:cs="Calibri"/>
          <w:sz w:val="13"/>
          <w:szCs w:val="13"/>
        </w:rPr>
        <w:t xml:space="preserve"> </w:t>
      </w:r>
      <w:r w:rsidRPr="00E861FB">
        <w:rPr>
          <w:rFonts w:ascii="Calibri" w:hAnsi="Calibri" w:cs="Calibri"/>
        </w:rPr>
        <w:t>v rámci zemí ERA, detailní seznámení s</w:t>
      </w:r>
      <w:r>
        <w:rPr>
          <w:rFonts w:ascii="Calibri" w:hAnsi="Calibri" w:cs="Calibri"/>
        </w:rPr>
        <w:t> </w:t>
      </w:r>
      <w:r w:rsidRPr="00E861FB">
        <w:rPr>
          <w:rFonts w:ascii="Calibri" w:hAnsi="Calibri" w:cs="Calibri"/>
        </w:rPr>
        <w:t>aktivitami</w:t>
      </w:r>
      <w:r>
        <w:rPr>
          <w:rFonts w:ascii="Calibri" w:hAnsi="Calibri" w:cs="Calibri"/>
        </w:rPr>
        <w:t xml:space="preserve"> </w:t>
      </w:r>
      <w:r w:rsidRPr="00E861FB">
        <w:rPr>
          <w:rFonts w:ascii="Calibri" w:hAnsi="Calibri" w:cs="Calibri"/>
        </w:rPr>
        <w:t>a</w:t>
      </w:r>
      <w:r>
        <w:rPr>
          <w:rFonts w:ascii="Calibri" w:hAnsi="Calibri" w:cs="Calibri"/>
        </w:rPr>
        <w:t> </w:t>
      </w:r>
      <w:r w:rsidRPr="00E861FB">
        <w:rPr>
          <w:rFonts w:ascii="Calibri" w:hAnsi="Calibri" w:cs="Calibri"/>
        </w:rPr>
        <w:t>zkušenostmi daného zahraničního subjektu a pomocí společných aktivit zajistit osvojení</w:t>
      </w:r>
      <w:r>
        <w:rPr>
          <w:rFonts w:ascii="Calibri" w:hAnsi="Calibri" w:cs="Calibri"/>
        </w:rPr>
        <w:t xml:space="preserve"> </w:t>
      </w:r>
      <w:r w:rsidRPr="00E861FB">
        <w:rPr>
          <w:rFonts w:ascii="Calibri" w:hAnsi="Calibri" w:cs="Calibri"/>
        </w:rPr>
        <w:t>konkrétního podpůrného nástroje tak, aby mohl být využit v podmínkách kraje/krajů ČR. Nebudou</w:t>
      </w:r>
      <w:r>
        <w:rPr>
          <w:rFonts w:ascii="Calibri" w:hAnsi="Calibri" w:cs="Calibri"/>
        </w:rPr>
        <w:t xml:space="preserve"> </w:t>
      </w:r>
      <w:r w:rsidRPr="00E861FB">
        <w:rPr>
          <w:rFonts w:ascii="Calibri" w:hAnsi="Calibri" w:cs="Calibri"/>
        </w:rPr>
        <w:t>podporovány nástroje, které již uspokojivě fungují na regionální úrovni v ČR, je však možné</w:t>
      </w:r>
      <w:r>
        <w:rPr>
          <w:rFonts w:ascii="Calibri" w:hAnsi="Calibri" w:cs="Calibri"/>
        </w:rPr>
        <w:t xml:space="preserve"> </w:t>
      </w:r>
      <w:r w:rsidRPr="00E861FB">
        <w:rPr>
          <w:rFonts w:ascii="Calibri" w:hAnsi="Calibri" w:cs="Calibri"/>
        </w:rPr>
        <w:t>podpořit jejich zásadní vylepšení. Tato aktivita umožní výměnu zkušeností mezi pracovníky</w:t>
      </w:r>
      <w:r>
        <w:rPr>
          <w:rFonts w:ascii="Calibri" w:hAnsi="Calibri" w:cs="Calibri"/>
        </w:rPr>
        <w:t xml:space="preserve"> </w:t>
      </w:r>
      <w:r w:rsidRPr="00E861FB">
        <w:rPr>
          <w:rFonts w:ascii="Calibri" w:hAnsi="Calibri" w:cs="Calibri"/>
        </w:rPr>
        <w:t>veřejného sektoru v kraji, kteří jsou zapojeni do řízení a implementace Národní a</w:t>
      </w:r>
      <w:r>
        <w:rPr>
          <w:rFonts w:ascii="Calibri" w:hAnsi="Calibri" w:cs="Calibri"/>
        </w:rPr>
        <w:t> </w:t>
      </w:r>
      <w:r w:rsidRPr="00E861FB">
        <w:rPr>
          <w:rFonts w:ascii="Calibri" w:hAnsi="Calibri" w:cs="Calibri"/>
        </w:rPr>
        <w:t>krajské RIS3</w:t>
      </w:r>
      <w:r>
        <w:rPr>
          <w:rFonts w:ascii="Calibri" w:hAnsi="Calibri" w:cs="Calibri"/>
        </w:rPr>
        <w:t xml:space="preserve"> </w:t>
      </w:r>
      <w:r w:rsidRPr="00E861FB">
        <w:rPr>
          <w:rFonts w:ascii="Calibri" w:hAnsi="Calibri" w:cs="Calibri"/>
        </w:rPr>
        <w:t>strategie, a pracovníky zkušeného zahraničního subjektu odpovědného za implementaci</w:t>
      </w:r>
      <w:r>
        <w:rPr>
          <w:rFonts w:ascii="Calibri" w:hAnsi="Calibri" w:cs="Calibri"/>
        </w:rPr>
        <w:t xml:space="preserve"> </w:t>
      </w:r>
      <w:r w:rsidRPr="00E861FB">
        <w:rPr>
          <w:rFonts w:ascii="Calibri" w:hAnsi="Calibri" w:cs="Calibri"/>
        </w:rPr>
        <w:t>konkrétního nástroje/nástrojů formou strukturovaných studijních cest.</w:t>
      </w:r>
    </w:p>
    <w:p w14:paraId="78D2244A" w14:textId="77777777" w:rsidR="00483585" w:rsidRPr="00483585" w:rsidRDefault="00EE14AA" w:rsidP="00483585">
      <w:pPr>
        <w:pStyle w:val="Odstavecseseznamem"/>
        <w:numPr>
          <w:ilvl w:val="0"/>
          <w:numId w:val="231"/>
        </w:numPr>
        <w:autoSpaceDE w:val="0"/>
        <w:autoSpaceDN w:val="0"/>
        <w:adjustRightInd w:val="0"/>
        <w:spacing w:after="0" w:line="360" w:lineRule="auto"/>
        <w:jc w:val="both"/>
        <w:rPr>
          <w:rFonts w:asciiTheme="majorHAnsi" w:hAnsiTheme="majorHAnsi" w:cs="Calibri"/>
          <w:color w:val="000000"/>
        </w:rPr>
      </w:pPr>
      <w:r w:rsidRPr="00EE14AA">
        <w:rPr>
          <w:rFonts w:asciiTheme="majorHAnsi" w:hAnsiTheme="majorHAnsi" w:cs="Calibri,Bold"/>
          <w:bCs/>
          <w:i/>
        </w:rPr>
        <w:t xml:space="preserve">Aktivita č. 7: Pilotní ověření </w:t>
      </w:r>
      <w:r w:rsidRPr="00EE14AA">
        <w:rPr>
          <w:rFonts w:ascii="Calibri" w:hAnsi="Calibri" w:cs="Calibri"/>
        </w:rPr>
        <w:t>– cílem aktivity je ověřit, zda intervence/podpůrný nástroj</w:t>
      </w:r>
      <w:r>
        <w:rPr>
          <w:rFonts w:ascii="Calibri" w:hAnsi="Calibri" w:cs="Calibri"/>
        </w:rPr>
        <w:t xml:space="preserve"> </w:t>
      </w:r>
      <w:r w:rsidRPr="00EE14AA">
        <w:rPr>
          <w:rFonts w:ascii="Calibri" w:hAnsi="Calibri" w:cs="Calibri"/>
        </w:rPr>
        <w:t>a</w:t>
      </w:r>
      <w:r>
        <w:rPr>
          <w:rFonts w:ascii="Calibri" w:hAnsi="Calibri" w:cs="Calibri"/>
        </w:rPr>
        <w:t> </w:t>
      </w:r>
      <w:r w:rsidRPr="00EE14AA">
        <w:rPr>
          <w:rFonts w:ascii="Calibri" w:hAnsi="Calibri" w:cs="Calibri"/>
        </w:rPr>
        <w:t>související nastavení podmínek a pravidel bude funkční, včetně ověření rolí jednotlivých</w:t>
      </w:r>
      <w:r>
        <w:rPr>
          <w:rFonts w:ascii="Calibri" w:hAnsi="Calibri" w:cs="Calibri"/>
        </w:rPr>
        <w:t xml:space="preserve"> </w:t>
      </w:r>
      <w:r w:rsidRPr="00EE14AA">
        <w:rPr>
          <w:rFonts w:ascii="Calibri" w:hAnsi="Calibri" w:cs="Calibri"/>
        </w:rPr>
        <w:t>subjektů zapojených do realizace intervence/podpůrného nástroje a ověření zájmu cílové skupiny</w:t>
      </w:r>
      <w:r>
        <w:rPr>
          <w:rFonts w:ascii="Calibri" w:hAnsi="Calibri" w:cs="Calibri"/>
        </w:rPr>
        <w:t xml:space="preserve"> </w:t>
      </w:r>
      <w:r w:rsidRPr="00EE14AA">
        <w:rPr>
          <w:rFonts w:ascii="Calibri" w:hAnsi="Calibri" w:cs="Calibri"/>
        </w:rPr>
        <w:t>o intervenci/podpůrný nástroj. Pilotně lze ověřit takové nástroje, které svým zaměřením věcně</w:t>
      </w:r>
      <w:r>
        <w:rPr>
          <w:rFonts w:ascii="Calibri" w:hAnsi="Calibri" w:cs="Calibri"/>
        </w:rPr>
        <w:t xml:space="preserve"> </w:t>
      </w:r>
      <w:r w:rsidRPr="00EE14AA">
        <w:rPr>
          <w:rFonts w:ascii="Calibri" w:hAnsi="Calibri" w:cs="Calibri"/>
        </w:rPr>
        <w:t>spadají do specifických cílů OP VVV (a neinterferují se zaměřením výzev jiných operačních</w:t>
      </w:r>
      <w:r>
        <w:rPr>
          <w:rFonts w:ascii="Calibri" w:hAnsi="Calibri" w:cs="Calibri"/>
        </w:rPr>
        <w:t xml:space="preserve"> </w:t>
      </w:r>
      <w:r w:rsidRPr="00EE14AA">
        <w:rPr>
          <w:rFonts w:ascii="Calibri" w:hAnsi="Calibri" w:cs="Calibri"/>
        </w:rPr>
        <w:t>programů ESIF) a zároveň platí, že v daném kraji dosud nebyly realizovány.</w:t>
      </w:r>
    </w:p>
    <w:p w14:paraId="3FA43DE7" w14:textId="298F31B6" w:rsidR="00483585" w:rsidRPr="00483585" w:rsidRDefault="00483585" w:rsidP="00483585">
      <w:pPr>
        <w:pStyle w:val="Odstavecseseznamem"/>
        <w:numPr>
          <w:ilvl w:val="0"/>
          <w:numId w:val="231"/>
        </w:numPr>
        <w:autoSpaceDE w:val="0"/>
        <w:autoSpaceDN w:val="0"/>
        <w:adjustRightInd w:val="0"/>
        <w:spacing w:after="0" w:line="360" w:lineRule="auto"/>
        <w:jc w:val="both"/>
        <w:rPr>
          <w:rFonts w:asciiTheme="majorHAnsi" w:hAnsiTheme="majorHAnsi" w:cs="Calibri"/>
          <w:color w:val="000000"/>
        </w:rPr>
      </w:pPr>
      <w:r w:rsidRPr="005A08EC">
        <w:rPr>
          <w:rFonts w:asciiTheme="majorHAnsi" w:hAnsiTheme="majorHAnsi" w:cs="Calibri,Bold"/>
          <w:bCs/>
          <w:i/>
        </w:rPr>
        <w:t>Aktivita č. 8</w:t>
      </w:r>
      <w:r w:rsidRPr="005A08EC">
        <w:rPr>
          <w:rFonts w:asciiTheme="majorHAnsi" w:hAnsiTheme="majorHAnsi" w:cs="Calibri"/>
          <w:i/>
        </w:rPr>
        <w:t xml:space="preserve">: </w:t>
      </w:r>
      <w:r w:rsidRPr="005A08EC">
        <w:rPr>
          <w:rFonts w:asciiTheme="majorHAnsi" w:hAnsiTheme="majorHAnsi" w:cs="Calibri,Bold"/>
          <w:bCs/>
          <w:i/>
        </w:rPr>
        <w:t>Marketingová a komunikační strategie kraje</w:t>
      </w:r>
      <w:r w:rsidRPr="00483585">
        <w:rPr>
          <w:rFonts w:ascii="Calibri,Bold" w:hAnsi="Calibri,Bold" w:cs="Calibri,Bold"/>
          <w:b/>
          <w:bCs/>
        </w:rPr>
        <w:t xml:space="preserve"> </w:t>
      </w:r>
      <w:r w:rsidRPr="00483585">
        <w:rPr>
          <w:rFonts w:ascii="Calibri" w:hAnsi="Calibri" w:cs="Calibri"/>
        </w:rPr>
        <w:t>– cílem aktivity je posílení komunikace</w:t>
      </w:r>
      <w:r>
        <w:rPr>
          <w:rFonts w:ascii="Calibri" w:hAnsi="Calibri" w:cs="Calibri"/>
        </w:rPr>
        <w:t xml:space="preserve"> </w:t>
      </w:r>
      <w:r w:rsidRPr="00483585">
        <w:rPr>
          <w:rFonts w:ascii="Calibri" w:hAnsi="Calibri" w:cs="Calibri"/>
        </w:rPr>
        <w:t>a marketingu inovačního systému kraje směrem dovnitř i vně daného regionu včetně zahraničí,</w:t>
      </w:r>
      <w:r>
        <w:rPr>
          <w:rFonts w:ascii="Calibri" w:hAnsi="Calibri" w:cs="Calibri"/>
        </w:rPr>
        <w:t xml:space="preserve"> </w:t>
      </w:r>
      <w:r w:rsidRPr="00483585">
        <w:rPr>
          <w:rFonts w:ascii="Calibri" w:hAnsi="Calibri" w:cs="Calibri"/>
        </w:rPr>
        <w:t>a to nastavením místního modelu řízení marketingových a komunikačních aktivit, vydefinováním</w:t>
      </w:r>
      <w:r>
        <w:rPr>
          <w:rFonts w:ascii="Calibri" w:hAnsi="Calibri" w:cs="Calibri"/>
        </w:rPr>
        <w:t xml:space="preserve"> </w:t>
      </w:r>
      <w:r w:rsidRPr="00483585">
        <w:rPr>
          <w:rFonts w:ascii="Calibri" w:hAnsi="Calibri" w:cs="Calibri"/>
        </w:rPr>
        <w:t>sdílené vize a ambicí, přípravou či aktualizací marketingové strategie a</w:t>
      </w:r>
      <w:r>
        <w:rPr>
          <w:rFonts w:ascii="Calibri" w:hAnsi="Calibri" w:cs="Calibri"/>
        </w:rPr>
        <w:t> </w:t>
      </w:r>
      <w:r w:rsidRPr="00483585">
        <w:rPr>
          <w:rFonts w:ascii="Calibri" w:hAnsi="Calibri" w:cs="Calibri"/>
        </w:rPr>
        <w:t>marketingového plánu</w:t>
      </w:r>
      <w:r>
        <w:rPr>
          <w:rFonts w:ascii="Calibri" w:hAnsi="Calibri" w:cs="Calibri"/>
        </w:rPr>
        <w:t xml:space="preserve"> </w:t>
      </w:r>
      <w:r w:rsidRPr="00483585">
        <w:rPr>
          <w:rFonts w:ascii="Calibri" w:hAnsi="Calibri" w:cs="Calibri"/>
        </w:rPr>
        <w:t>inovačního systému kraje a jeho realizací, včetně realizace marketingové strategie</w:t>
      </w:r>
      <w:r>
        <w:rPr>
          <w:rFonts w:ascii="Calibri" w:hAnsi="Calibri" w:cs="Calibri"/>
        </w:rPr>
        <w:t xml:space="preserve"> </w:t>
      </w:r>
      <w:r w:rsidRPr="00483585">
        <w:rPr>
          <w:rFonts w:ascii="Calibri" w:hAnsi="Calibri" w:cs="Calibri"/>
        </w:rPr>
        <w:t>a komunikačního plánu, které byly připraveny v rámci předcházející výzvy č. 02_15_004 Smart</w:t>
      </w:r>
      <w:r>
        <w:rPr>
          <w:rFonts w:ascii="Calibri" w:hAnsi="Calibri" w:cs="Calibri"/>
        </w:rPr>
        <w:t xml:space="preserve">  </w:t>
      </w:r>
      <w:r w:rsidRPr="00483585">
        <w:rPr>
          <w:rFonts w:ascii="Calibri" w:hAnsi="Calibri" w:cs="Calibri"/>
        </w:rPr>
        <w:t>Akcelerátor.</w:t>
      </w:r>
    </w:p>
    <w:p w14:paraId="67AA2EA1" w14:textId="78EBD9BF" w:rsidR="00483585" w:rsidRDefault="00483585" w:rsidP="00483585">
      <w:pPr>
        <w:pStyle w:val="Odstavecseseznamem"/>
        <w:autoSpaceDE w:val="0"/>
        <w:autoSpaceDN w:val="0"/>
        <w:adjustRightInd w:val="0"/>
        <w:spacing w:after="0" w:line="360" w:lineRule="auto"/>
        <w:jc w:val="both"/>
        <w:rPr>
          <w:rFonts w:ascii="Calibri" w:hAnsi="Calibri" w:cs="Calibri"/>
        </w:rPr>
      </w:pPr>
      <w:r w:rsidRPr="00483585">
        <w:rPr>
          <w:rFonts w:ascii="Calibri" w:hAnsi="Calibri" w:cs="Calibri"/>
        </w:rPr>
        <w:t>Bude podpořena příprava či aktualizace marketingové strategie a marketingového plánu</w:t>
      </w:r>
      <w:r>
        <w:rPr>
          <w:rFonts w:ascii="Calibri" w:hAnsi="Calibri" w:cs="Calibri"/>
        </w:rPr>
        <w:t xml:space="preserve"> </w:t>
      </w:r>
      <w:r w:rsidRPr="00483585">
        <w:rPr>
          <w:rFonts w:ascii="Calibri" w:hAnsi="Calibri" w:cs="Calibri"/>
        </w:rPr>
        <w:t>inovačního systému kraje a jeho realizace.</w:t>
      </w:r>
    </w:p>
    <w:p w14:paraId="549056D4" w14:textId="77777777" w:rsidR="00991370" w:rsidRPr="00483585" w:rsidRDefault="00991370" w:rsidP="00483585">
      <w:pPr>
        <w:pStyle w:val="Odstavecseseznamem"/>
        <w:autoSpaceDE w:val="0"/>
        <w:autoSpaceDN w:val="0"/>
        <w:adjustRightInd w:val="0"/>
        <w:spacing w:after="0" w:line="360" w:lineRule="auto"/>
        <w:jc w:val="both"/>
        <w:rPr>
          <w:rFonts w:ascii="Calibri" w:hAnsi="Calibri" w:cs="Calibri"/>
        </w:rPr>
      </w:pPr>
    </w:p>
    <w:p w14:paraId="75A52EAB" w14:textId="3BEA26E6" w:rsidR="006E6688" w:rsidRPr="00EF4A38" w:rsidRDefault="00336002" w:rsidP="00EF4A38">
      <w:pPr>
        <w:pStyle w:val="Nadpis2"/>
      </w:pPr>
      <w:bookmarkStart w:id="193" w:name="_Toc525716261"/>
      <w:r w:rsidRPr="00EF4A38">
        <w:t>Monitoring, evaluace a aktualizace Národní RIS3 strategie</w:t>
      </w:r>
      <w:bookmarkEnd w:id="193"/>
    </w:p>
    <w:p w14:paraId="19A093A0" w14:textId="066668A0" w:rsidR="00F23425" w:rsidRPr="00EF4A38" w:rsidRDefault="00F23425" w:rsidP="00EF4A38">
      <w:pPr>
        <w:pStyle w:val="Nadpis3"/>
      </w:pPr>
      <w:bookmarkStart w:id="194" w:name="_Ref521397146"/>
      <w:bookmarkStart w:id="195" w:name="_Ref521397153"/>
      <w:bookmarkStart w:id="196" w:name="_Ref521397170"/>
      <w:bookmarkStart w:id="197" w:name="_Toc525716262"/>
      <w:r w:rsidRPr="00EF4A38">
        <w:t>Monitoring Národní RIS3 strategie</w:t>
      </w:r>
      <w:bookmarkEnd w:id="194"/>
      <w:bookmarkEnd w:id="195"/>
      <w:bookmarkEnd w:id="196"/>
      <w:bookmarkEnd w:id="197"/>
    </w:p>
    <w:p w14:paraId="638F8E9E" w14:textId="3A34ACA8" w:rsidR="00F23425" w:rsidRPr="00BA4F8E" w:rsidRDefault="00F23425" w:rsidP="006C67B0">
      <w:pPr>
        <w:spacing w:before="240" w:line="360" w:lineRule="auto"/>
        <w:ind w:firstLine="709"/>
        <w:jc w:val="both"/>
      </w:pPr>
      <w:r w:rsidRPr="00BA4F8E">
        <w:t xml:space="preserve">Monitorování intervencí, jimiž se naplňuje Národní RIS3 strategie, se děje prostřednictvím monitorovacích zpráv, tj. </w:t>
      </w:r>
      <w:r w:rsidRPr="00BA4F8E">
        <w:rPr>
          <w:i/>
          <w:u w:val="single"/>
        </w:rPr>
        <w:t>Zpráv o realizaci Národní RIS3 strategie</w:t>
      </w:r>
      <w:r w:rsidRPr="00BA4F8E">
        <w:t xml:space="preserve">, zpracovávaných 1x ročně k datu 30.  6.  příslušného kalendářního roku. Její obsah tvoří zejména: </w:t>
      </w:r>
    </w:p>
    <w:p w14:paraId="155F203D" w14:textId="35B79D1C" w:rsidR="00F23425" w:rsidRPr="00BA4F8E" w:rsidRDefault="00F23425" w:rsidP="00543C1B">
      <w:pPr>
        <w:numPr>
          <w:ilvl w:val="0"/>
          <w:numId w:val="55"/>
        </w:numPr>
        <w:spacing w:before="240" w:after="120" w:line="360" w:lineRule="auto"/>
        <w:ind w:left="737" w:hanging="377"/>
        <w:jc w:val="both"/>
        <w:rPr>
          <w:rFonts w:eastAsia="MS Mincho"/>
        </w:rPr>
      </w:pPr>
      <w:r w:rsidRPr="00BA4F8E">
        <w:rPr>
          <w:rFonts w:eastAsia="MS Mincho"/>
        </w:rPr>
        <w:t>přehled čerpání prostředků a realizovaných intervencí v členění podle cílů Národní RIS3 strategie, a to na základě:</w:t>
      </w:r>
    </w:p>
    <w:p w14:paraId="7D6479A8" w14:textId="77777777" w:rsidR="00F23425" w:rsidRPr="00BA4F8E" w:rsidRDefault="00F23425" w:rsidP="00543C1B">
      <w:pPr>
        <w:numPr>
          <w:ilvl w:val="1"/>
          <w:numId w:val="56"/>
        </w:numPr>
        <w:spacing w:before="240" w:after="120" w:line="360" w:lineRule="auto"/>
        <w:jc w:val="both"/>
        <w:rPr>
          <w:rFonts w:eastAsia="MS Mincho"/>
        </w:rPr>
      </w:pPr>
      <w:r w:rsidRPr="00BA4F8E">
        <w:rPr>
          <w:rFonts w:eastAsia="MS Mincho"/>
        </w:rPr>
        <w:t>programů ESIF na operace, jimiž se realizuje Národní RIS3 strategie</w:t>
      </w:r>
    </w:p>
    <w:p w14:paraId="129C1666" w14:textId="77777777" w:rsidR="00F23425" w:rsidRPr="00BA4F8E" w:rsidRDefault="00F23425" w:rsidP="00543C1B">
      <w:pPr>
        <w:numPr>
          <w:ilvl w:val="1"/>
          <w:numId w:val="56"/>
        </w:numPr>
        <w:spacing w:before="240" w:after="120" w:line="360" w:lineRule="auto"/>
        <w:jc w:val="both"/>
        <w:rPr>
          <w:rFonts w:eastAsia="MS Mincho"/>
        </w:rPr>
      </w:pPr>
      <w:r w:rsidRPr="00BA4F8E">
        <w:rPr>
          <w:rFonts w:eastAsia="MS Mincho"/>
        </w:rPr>
        <w:t>národních programů podpory VaVaI implementovaných do Národní RIS3 strategie</w:t>
      </w:r>
    </w:p>
    <w:p w14:paraId="0913FDFB" w14:textId="3035A53A" w:rsidR="00F23425" w:rsidRPr="00BA4F8E" w:rsidRDefault="00F23425" w:rsidP="00543C1B">
      <w:pPr>
        <w:numPr>
          <w:ilvl w:val="1"/>
          <w:numId w:val="56"/>
        </w:numPr>
        <w:spacing w:before="240" w:after="120" w:line="360" w:lineRule="auto"/>
        <w:jc w:val="both"/>
        <w:rPr>
          <w:rFonts w:eastAsia="MS Mincho"/>
        </w:rPr>
      </w:pPr>
      <w:r w:rsidRPr="00BA4F8E">
        <w:rPr>
          <w:rFonts w:eastAsia="MS Mincho"/>
        </w:rPr>
        <w:t>prostředků krajských rozpočtů zaměřených na podporu Národní RIS3 strategie a</w:t>
      </w:r>
      <w:r w:rsidR="00D21B5F">
        <w:rPr>
          <w:rFonts w:eastAsia="MS Mincho"/>
        </w:rPr>
        <w:t> </w:t>
      </w:r>
      <w:r w:rsidRPr="00BA4F8E">
        <w:rPr>
          <w:rFonts w:eastAsia="MS Mincho"/>
        </w:rPr>
        <w:t>krajských RIS3 strategií,</w:t>
      </w:r>
    </w:p>
    <w:p w14:paraId="5F033F21" w14:textId="2FF93EA9" w:rsidR="00F23425" w:rsidRPr="00BA4F8E" w:rsidRDefault="00F23425" w:rsidP="00543C1B">
      <w:pPr>
        <w:numPr>
          <w:ilvl w:val="0"/>
          <w:numId w:val="55"/>
        </w:numPr>
        <w:spacing w:before="240" w:after="120" w:line="360" w:lineRule="auto"/>
        <w:ind w:left="737" w:hanging="377"/>
        <w:jc w:val="both"/>
        <w:rPr>
          <w:rFonts w:eastAsia="MS Mincho"/>
        </w:rPr>
      </w:pPr>
      <w:r w:rsidRPr="00BA4F8E">
        <w:rPr>
          <w:rFonts w:eastAsia="MS Mincho"/>
        </w:rPr>
        <w:t>přehled naplňování indikátorů Národní RIS3 strategie s využitím indikátorů příslušných operačních programů a národních programů podpory, v členění podle strategických cílů a</w:t>
      </w:r>
      <w:r w:rsidR="00D21B5F">
        <w:rPr>
          <w:rFonts w:eastAsia="MS Mincho"/>
        </w:rPr>
        <w:t> </w:t>
      </w:r>
      <w:r w:rsidRPr="00BA4F8E">
        <w:rPr>
          <w:rFonts w:eastAsia="MS Mincho"/>
        </w:rPr>
        <w:t>specifických cílů,</w:t>
      </w:r>
    </w:p>
    <w:p w14:paraId="1A99B0A1" w14:textId="77777777" w:rsidR="00F23425" w:rsidRPr="00BA4F8E" w:rsidRDefault="00F23425" w:rsidP="00543C1B">
      <w:pPr>
        <w:numPr>
          <w:ilvl w:val="0"/>
          <w:numId w:val="55"/>
        </w:numPr>
        <w:spacing w:before="240" w:after="120" w:line="360" w:lineRule="auto"/>
        <w:ind w:left="737" w:hanging="377"/>
        <w:jc w:val="both"/>
        <w:rPr>
          <w:rFonts w:eastAsia="MS Mincho"/>
        </w:rPr>
      </w:pPr>
      <w:r w:rsidRPr="00BA4F8E">
        <w:rPr>
          <w:rFonts w:eastAsia="MS Mincho"/>
        </w:rPr>
        <w:t>informace o postupu realizace Národní RIS3 strategie a o postupu naplňování cílů Národní RIS3 strategie a krajských RIS3 strategií,</w:t>
      </w:r>
    </w:p>
    <w:p w14:paraId="1519C996" w14:textId="77777777" w:rsidR="00F23425" w:rsidRPr="00BA4F8E" w:rsidRDefault="00F23425" w:rsidP="00543C1B">
      <w:pPr>
        <w:numPr>
          <w:ilvl w:val="0"/>
          <w:numId w:val="55"/>
        </w:numPr>
        <w:spacing w:before="240" w:after="200" w:line="360" w:lineRule="auto"/>
        <w:ind w:left="737" w:hanging="377"/>
        <w:jc w:val="both"/>
        <w:rPr>
          <w:rFonts w:eastAsia="MS Mincho"/>
        </w:rPr>
      </w:pPr>
      <w:r w:rsidRPr="00BA4F8E">
        <w:rPr>
          <w:rFonts w:eastAsia="MS Mincho"/>
        </w:rPr>
        <w:t>informace o jednání Národních inovačních platforem a jejich návrhy pro zaměření intervencí,</w:t>
      </w:r>
    </w:p>
    <w:p w14:paraId="195742B5" w14:textId="77777777" w:rsidR="00F23425" w:rsidRPr="00BA4F8E" w:rsidRDefault="00F23425" w:rsidP="00543C1B">
      <w:pPr>
        <w:numPr>
          <w:ilvl w:val="0"/>
          <w:numId w:val="55"/>
        </w:numPr>
        <w:spacing w:before="240" w:after="200" w:line="360" w:lineRule="auto"/>
        <w:ind w:left="737" w:hanging="377"/>
        <w:jc w:val="both"/>
        <w:rPr>
          <w:rFonts w:eastAsia="MS Mincho"/>
        </w:rPr>
      </w:pPr>
      <w:r w:rsidRPr="00BA4F8E">
        <w:rPr>
          <w:rFonts w:eastAsia="MS Mincho"/>
        </w:rPr>
        <w:t>přehled koordinačních činností a výstupů ve vztahu k plnění krajských RIS3 strategií,</w:t>
      </w:r>
    </w:p>
    <w:p w14:paraId="43A6CA9B" w14:textId="77777777" w:rsidR="00F23425" w:rsidRPr="00BA4F8E" w:rsidRDefault="00F23425" w:rsidP="00543C1B">
      <w:pPr>
        <w:numPr>
          <w:ilvl w:val="0"/>
          <w:numId w:val="55"/>
        </w:numPr>
        <w:spacing w:before="240" w:after="200" w:line="360" w:lineRule="auto"/>
        <w:ind w:left="737" w:hanging="377"/>
        <w:jc w:val="both"/>
        <w:rPr>
          <w:rFonts w:eastAsia="MS Mincho"/>
        </w:rPr>
      </w:pPr>
      <w:r w:rsidRPr="00BA4F8E">
        <w:rPr>
          <w:rFonts w:eastAsia="MS Mincho"/>
        </w:rPr>
        <w:t xml:space="preserve">další souhrnné informace (např. o evaluačních aktivitách). </w:t>
      </w:r>
    </w:p>
    <w:p w14:paraId="70B786A1" w14:textId="77777777" w:rsidR="00F23425" w:rsidRPr="00BA4F8E" w:rsidRDefault="00F23425" w:rsidP="00F23425">
      <w:pPr>
        <w:spacing w:before="240" w:line="360" w:lineRule="auto"/>
        <w:ind w:firstLine="709"/>
        <w:jc w:val="both"/>
      </w:pPr>
      <w:r w:rsidRPr="00BA4F8E">
        <w:rPr>
          <w:rFonts w:eastAsia="MS Mincho"/>
        </w:rPr>
        <w:t xml:space="preserve">S monitorovací zprávou úzce souvisí implementační plán, tj. </w:t>
      </w:r>
      <w:r w:rsidRPr="00BA4F8E">
        <w:rPr>
          <w:rFonts w:eastAsia="MS Mincho"/>
          <w:i/>
          <w:u w:val="single"/>
        </w:rPr>
        <w:t xml:space="preserve">Plán implementace </w:t>
      </w:r>
      <w:r w:rsidRPr="00BA4F8E">
        <w:rPr>
          <w:i/>
          <w:u w:val="single"/>
        </w:rPr>
        <w:t>Národní RIS3 strategie</w:t>
      </w:r>
      <w:r w:rsidRPr="00BA4F8E">
        <w:t xml:space="preserve">, který je rovněž zpracováván 1x ročně k datu 30. 6. příslušného kalendářního roku. </w:t>
      </w:r>
      <w:r w:rsidRPr="00BA4F8E">
        <w:rPr>
          <w:rFonts w:eastAsia="MS Mincho"/>
          <w:i/>
        </w:rPr>
        <w:t xml:space="preserve">Plán implementace </w:t>
      </w:r>
      <w:r w:rsidRPr="00BA4F8E">
        <w:rPr>
          <w:i/>
        </w:rPr>
        <w:t>Národní RIS3 strategie</w:t>
      </w:r>
      <w:r w:rsidRPr="00BA4F8E">
        <w:t xml:space="preserve"> zahrnuje seznam připravovaných intervencí na dobu nejméně jednoho roku, a to v následujícím rozsahu:</w:t>
      </w:r>
    </w:p>
    <w:p w14:paraId="4BB4C506" w14:textId="77777777" w:rsidR="00F23425" w:rsidRPr="00BA4F8E" w:rsidRDefault="00F23425" w:rsidP="00543C1B">
      <w:pPr>
        <w:numPr>
          <w:ilvl w:val="0"/>
          <w:numId w:val="57"/>
        </w:numPr>
        <w:spacing w:before="240" w:after="120" w:line="360" w:lineRule="auto"/>
        <w:ind w:left="737" w:hanging="377"/>
        <w:jc w:val="both"/>
        <w:rPr>
          <w:rFonts w:eastAsia="MS Mincho"/>
        </w:rPr>
      </w:pPr>
      <w:r w:rsidRPr="00BA4F8E">
        <w:rPr>
          <w:rFonts w:eastAsia="MS Mincho"/>
        </w:rPr>
        <w:t>názvu a stručného popisu intervence a jejích cílů,</w:t>
      </w:r>
    </w:p>
    <w:p w14:paraId="70F75ECE" w14:textId="77777777" w:rsidR="00F23425" w:rsidRPr="00BA4F8E" w:rsidRDefault="00F23425" w:rsidP="00543C1B">
      <w:pPr>
        <w:numPr>
          <w:ilvl w:val="0"/>
          <w:numId w:val="57"/>
        </w:numPr>
        <w:spacing w:before="240" w:after="120" w:line="360" w:lineRule="auto"/>
        <w:ind w:left="737" w:hanging="377"/>
        <w:jc w:val="both"/>
        <w:rPr>
          <w:rFonts w:eastAsia="MS Mincho"/>
        </w:rPr>
      </w:pPr>
      <w:r w:rsidRPr="00BA4F8E">
        <w:rPr>
          <w:rFonts w:eastAsia="MS Mincho"/>
        </w:rPr>
        <w:t>gestora/organizace zodpovědné za přípravu a řízení intervence,</w:t>
      </w:r>
    </w:p>
    <w:p w14:paraId="5CFCE6B1" w14:textId="77777777" w:rsidR="00F23425" w:rsidRPr="00BA4F8E" w:rsidRDefault="00F23425" w:rsidP="00543C1B">
      <w:pPr>
        <w:numPr>
          <w:ilvl w:val="0"/>
          <w:numId w:val="57"/>
        </w:numPr>
        <w:spacing w:before="240" w:after="120" w:line="360" w:lineRule="auto"/>
        <w:ind w:left="737" w:hanging="377"/>
        <w:jc w:val="both"/>
        <w:rPr>
          <w:rFonts w:eastAsia="MS Mincho"/>
        </w:rPr>
      </w:pPr>
      <w:r w:rsidRPr="00BA4F8E">
        <w:rPr>
          <w:rFonts w:eastAsia="MS Mincho"/>
        </w:rPr>
        <w:t>finančního odhadu intervence s uvedením zdroje, v případě využití fondů ESIF pak v indikativním členění na národní a evropské prostředky (a to včetně finančního plánu krajských RIS3 strategií),</w:t>
      </w:r>
    </w:p>
    <w:p w14:paraId="6D2AF6D4" w14:textId="77777777" w:rsidR="00F23425" w:rsidRPr="00BA4F8E" w:rsidRDefault="00F23425" w:rsidP="00543C1B">
      <w:pPr>
        <w:numPr>
          <w:ilvl w:val="0"/>
          <w:numId w:val="57"/>
        </w:numPr>
        <w:spacing w:before="240" w:after="120" w:line="360" w:lineRule="auto"/>
        <w:ind w:left="737" w:hanging="377"/>
        <w:jc w:val="both"/>
        <w:rPr>
          <w:rFonts w:eastAsia="MS Mincho"/>
        </w:rPr>
      </w:pPr>
      <w:r w:rsidRPr="00BA4F8E">
        <w:rPr>
          <w:rFonts w:eastAsia="MS Mincho"/>
        </w:rPr>
        <w:t>očekávaných výsledků intervence, způsobu a míry jejich přispění k cílům RIS3 strategie,</w:t>
      </w:r>
    </w:p>
    <w:p w14:paraId="244C1DC0" w14:textId="77777777" w:rsidR="00F23425" w:rsidRPr="00BA4F8E" w:rsidRDefault="00F23425" w:rsidP="00543C1B">
      <w:pPr>
        <w:numPr>
          <w:ilvl w:val="0"/>
          <w:numId w:val="57"/>
        </w:numPr>
        <w:spacing w:before="240" w:after="200" w:line="360" w:lineRule="auto"/>
        <w:ind w:left="737" w:hanging="377"/>
        <w:jc w:val="both"/>
      </w:pPr>
      <w:r w:rsidRPr="00BA4F8E">
        <w:rPr>
          <w:rFonts w:eastAsia="MS Mincho"/>
        </w:rPr>
        <w:t>orientačního časového plánu intervence.</w:t>
      </w:r>
    </w:p>
    <w:p w14:paraId="171E169C" w14:textId="77777777" w:rsidR="00F23425" w:rsidRPr="00BA4F8E" w:rsidRDefault="00F23425" w:rsidP="00F23425">
      <w:pPr>
        <w:spacing w:before="240" w:after="200" w:line="360" w:lineRule="auto"/>
        <w:jc w:val="both"/>
      </w:pPr>
      <w:r w:rsidRPr="00BA4F8E">
        <w:rPr>
          <w:rFonts w:eastAsia="MS Mincho"/>
        </w:rPr>
        <w:t xml:space="preserve">Kromě plánovaných intervencí obsahuje </w:t>
      </w:r>
      <w:r w:rsidRPr="00BA4F8E">
        <w:rPr>
          <w:rFonts w:eastAsia="MS Mincho"/>
          <w:i/>
        </w:rPr>
        <w:t xml:space="preserve">Plán implementace </w:t>
      </w:r>
      <w:r w:rsidRPr="00BA4F8E">
        <w:rPr>
          <w:i/>
        </w:rPr>
        <w:t xml:space="preserve">Národní RIS3 strategie </w:t>
      </w:r>
      <w:r w:rsidRPr="00BA4F8E">
        <w:t>přehled dalších důležitých strategických aktivit.</w:t>
      </w:r>
    </w:p>
    <w:p w14:paraId="78561990" w14:textId="3B27C38A" w:rsidR="00F23425" w:rsidRDefault="00F23425" w:rsidP="00F23425">
      <w:pPr>
        <w:spacing w:before="240" w:line="360" w:lineRule="auto"/>
        <w:ind w:firstLine="708"/>
        <w:jc w:val="both"/>
      </w:pPr>
      <w:r w:rsidRPr="00BA4F8E">
        <w:rPr>
          <w:i/>
        </w:rPr>
        <w:t>Zprávy o realizaci Národní RIS3 strategie</w:t>
      </w:r>
      <w:r w:rsidRPr="00BA4F8E">
        <w:t xml:space="preserve"> a </w:t>
      </w:r>
      <w:r w:rsidRPr="00BA4F8E">
        <w:rPr>
          <w:rFonts w:eastAsia="MS Mincho"/>
          <w:i/>
        </w:rPr>
        <w:t>Plán</w:t>
      </w:r>
      <w:r w:rsidR="006C67B0">
        <w:rPr>
          <w:rFonts w:eastAsia="MS Mincho"/>
          <w:i/>
        </w:rPr>
        <w:t>y</w:t>
      </w:r>
      <w:r w:rsidRPr="00BA4F8E">
        <w:rPr>
          <w:rFonts w:eastAsia="MS Mincho"/>
          <w:i/>
        </w:rPr>
        <w:t xml:space="preserve"> implementace </w:t>
      </w:r>
      <w:r w:rsidRPr="00BA4F8E">
        <w:rPr>
          <w:i/>
        </w:rPr>
        <w:t xml:space="preserve">Národní RIS3 strategie </w:t>
      </w:r>
      <w:r w:rsidRPr="00BA4F8E">
        <w:t>projednává a</w:t>
      </w:r>
      <w:r w:rsidR="008C7CE3" w:rsidRPr="00BA4F8E">
        <w:t> </w:t>
      </w:r>
      <w:r w:rsidRPr="00BA4F8E">
        <w:t xml:space="preserve">schvaluje Řídicí výbor RIS3, následně jsou </w:t>
      </w:r>
      <w:r w:rsidR="006C67B0">
        <w:t>publikovány</w:t>
      </w:r>
      <w:r w:rsidR="006C67B0">
        <w:rPr>
          <w:rStyle w:val="Znakapoznpodarou"/>
        </w:rPr>
        <w:footnoteReference w:id="135"/>
      </w:r>
      <w:r w:rsidRPr="00BA4F8E">
        <w:t xml:space="preserve">. </w:t>
      </w:r>
    </w:p>
    <w:p w14:paraId="0C1DC641" w14:textId="55BD16CD" w:rsidR="008C7CE3" w:rsidRPr="00CC3066" w:rsidRDefault="008C7CE3" w:rsidP="00CC3066">
      <w:pPr>
        <w:pStyle w:val="Nadpis4"/>
      </w:pPr>
      <w:bookmarkStart w:id="198" w:name="_Toc525716263"/>
      <w:r w:rsidRPr="00CC3066">
        <w:t>Součinnost správních úřadů při monitoringu Národní RIS3 strategie</w:t>
      </w:r>
      <w:bookmarkEnd w:id="198"/>
    </w:p>
    <w:p w14:paraId="51E06888" w14:textId="5BA0A1E0" w:rsidR="008C7CE3" w:rsidRPr="00BA4F8E" w:rsidRDefault="006C67B0" w:rsidP="008C7CE3">
      <w:pPr>
        <w:pStyle w:val="slovanseznam4"/>
        <w:numPr>
          <w:ilvl w:val="0"/>
          <w:numId w:val="0"/>
        </w:numPr>
        <w:tabs>
          <w:tab w:val="left" w:pos="708"/>
        </w:tabs>
        <w:spacing w:before="240" w:line="360" w:lineRule="auto"/>
        <w:jc w:val="both"/>
        <w:rPr>
          <w:b/>
        </w:rPr>
      </w:pPr>
      <w:r>
        <w:rPr>
          <w:b/>
        </w:rPr>
        <w:t>Řídi</w:t>
      </w:r>
      <w:r w:rsidR="008C7CE3" w:rsidRPr="00BA4F8E">
        <w:rPr>
          <w:b/>
        </w:rPr>
        <w:t>cí orgány operačních programů</w:t>
      </w:r>
    </w:p>
    <w:p w14:paraId="2916F90F" w14:textId="11D30099" w:rsidR="008C7CE3" w:rsidRPr="00BA4F8E" w:rsidRDefault="008C7CE3" w:rsidP="00AE6A70">
      <w:pPr>
        <w:spacing w:line="360" w:lineRule="auto"/>
        <w:ind w:firstLine="709"/>
        <w:jc w:val="both"/>
        <w:rPr>
          <w:rFonts w:eastAsia="MS Mincho"/>
        </w:rPr>
      </w:pPr>
      <w:r w:rsidRPr="00BA4F8E">
        <w:rPr>
          <w:rFonts w:eastAsia="MS Mincho"/>
        </w:rPr>
        <w:t>Řídicí orgány operačních programů poskytují Národnímu RIS3 manažerovi informace o</w:t>
      </w:r>
      <w:r w:rsidR="00D51365">
        <w:rPr>
          <w:rFonts w:eastAsia="MS Mincho"/>
        </w:rPr>
        <w:t> </w:t>
      </w:r>
      <w:r w:rsidRPr="00BA4F8E">
        <w:rPr>
          <w:rFonts w:eastAsia="MS Mincho"/>
        </w:rPr>
        <w:t xml:space="preserve">relevantních realizovaných a </w:t>
      </w:r>
      <w:r w:rsidR="00346EFC">
        <w:rPr>
          <w:rFonts w:eastAsia="MS Mincho"/>
        </w:rPr>
        <w:t>podaných</w:t>
      </w:r>
      <w:r w:rsidRPr="00BA4F8E">
        <w:rPr>
          <w:rFonts w:eastAsia="MS Mincho"/>
        </w:rPr>
        <w:t xml:space="preserve"> projektech v následující datové struktuře:</w:t>
      </w:r>
    </w:p>
    <w:p w14:paraId="715D6B25"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Prioritní osa,</w:t>
      </w:r>
    </w:p>
    <w:p w14:paraId="27E45B36"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Specifický cíl operačního programu,</w:t>
      </w:r>
    </w:p>
    <w:p w14:paraId="7E8BE853"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Specifický cíl Národní RIS3 strategie,</w:t>
      </w:r>
    </w:p>
    <w:p w14:paraId="585CC3D1"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Název výzvy,</w:t>
      </w:r>
    </w:p>
    <w:p w14:paraId="79D118F1"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Kód, název, stav a anotace projektu,</w:t>
      </w:r>
    </w:p>
    <w:p w14:paraId="65B6C498"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Hlavní CZ NACE (hlavní obor) projektu,</w:t>
      </w:r>
    </w:p>
    <w:p w14:paraId="2FA0DC8D"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Kraj (místo realizace projektu),</w:t>
      </w:r>
    </w:p>
    <w:p w14:paraId="4939E530"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IČO, název žadatele,</w:t>
      </w:r>
    </w:p>
    <w:p w14:paraId="4D1A45B8" w14:textId="77C0B708"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Velikost podniku – žadatele</w:t>
      </w:r>
      <w:r w:rsidR="00346EFC">
        <w:rPr>
          <w:rFonts w:eastAsia="MS Mincho"/>
        </w:rPr>
        <w:t xml:space="preserve"> (je-li relevantní)</w:t>
      </w:r>
      <w:r w:rsidRPr="00BA4F8E">
        <w:rPr>
          <w:rFonts w:eastAsia="MS Mincho"/>
        </w:rPr>
        <w:t>,</w:t>
      </w:r>
    </w:p>
    <w:p w14:paraId="03F1712C"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Výše podpory EU,</w:t>
      </w:r>
    </w:p>
    <w:p w14:paraId="608F69D8"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Celkové způsobilé výdaje,</w:t>
      </w:r>
    </w:p>
    <w:p w14:paraId="78DC5A88"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Úroveň zacílení/vertikalizace,</w:t>
      </w:r>
    </w:p>
    <w:p w14:paraId="388A1628"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Hlavní aplikační odvětví projektu,</w:t>
      </w:r>
    </w:p>
    <w:p w14:paraId="2480D506"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Hlavní znalostní doména projektu,</w:t>
      </w:r>
    </w:p>
    <w:p w14:paraId="7D790E82" w14:textId="77777777" w:rsidR="008C7CE3" w:rsidRPr="00BA4F8E" w:rsidRDefault="008C7CE3" w:rsidP="00543C1B">
      <w:pPr>
        <w:pStyle w:val="Odstavecseseznamem"/>
        <w:numPr>
          <w:ilvl w:val="0"/>
          <w:numId w:val="58"/>
        </w:numPr>
        <w:spacing w:after="120" w:line="360" w:lineRule="auto"/>
        <w:jc w:val="both"/>
        <w:rPr>
          <w:rFonts w:eastAsia="MS Mincho"/>
        </w:rPr>
      </w:pPr>
      <w:r w:rsidRPr="00BA4F8E">
        <w:rPr>
          <w:rFonts w:eastAsia="MS Mincho"/>
        </w:rPr>
        <w:t>Kód, název a hodnota indikátoru.</w:t>
      </w:r>
    </w:p>
    <w:p w14:paraId="282E8E6F" w14:textId="77777777" w:rsidR="008C7CE3" w:rsidRPr="00BA4F8E" w:rsidRDefault="008C7CE3" w:rsidP="002F0014">
      <w:pPr>
        <w:spacing w:line="360" w:lineRule="auto"/>
        <w:ind w:firstLine="708"/>
        <w:jc w:val="both"/>
        <w:rPr>
          <w:rFonts w:eastAsia="MS Mincho"/>
        </w:rPr>
      </w:pPr>
      <w:r w:rsidRPr="00BA4F8E">
        <w:rPr>
          <w:rFonts w:eastAsia="MS Mincho"/>
        </w:rPr>
        <w:t xml:space="preserve">Národní RIS3 manažer může pro účely monitoringu pracovat s přímými výstupy z monitorovacího systému MS2014+. </w:t>
      </w:r>
    </w:p>
    <w:p w14:paraId="14F81EF6" w14:textId="77777777" w:rsidR="006D1CFF" w:rsidRDefault="006D1CFF" w:rsidP="008C7CE3">
      <w:pPr>
        <w:spacing w:line="360" w:lineRule="auto"/>
        <w:jc w:val="both"/>
        <w:rPr>
          <w:rFonts w:eastAsia="MS Mincho"/>
          <w:b/>
        </w:rPr>
      </w:pPr>
    </w:p>
    <w:p w14:paraId="1D1AFFE2" w14:textId="77777777" w:rsidR="008C7CE3" w:rsidRPr="00BA4F8E" w:rsidRDefault="008C7CE3" w:rsidP="008C7CE3">
      <w:pPr>
        <w:spacing w:line="360" w:lineRule="auto"/>
        <w:jc w:val="both"/>
        <w:rPr>
          <w:rFonts w:eastAsia="MS Mincho"/>
          <w:b/>
        </w:rPr>
      </w:pPr>
      <w:r w:rsidRPr="00BA4F8E">
        <w:rPr>
          <w:rFonts w:eastAsia="MS Mincho"/>
          <w:b/>
        </w:rPr>
        <w:t>Další správní orgány zodpovědné za VaVaI</w:t>
      </w:r>
    </w:p>
    <w:p w14:paraId="2FD7467D" w14:textId="56DDB09D" w:rsidR="008C7CE3" w:rsidRPr="00BA4F8E" w:rsidRDefault="008C7CE3" w:rsidP="008C7CE3">
      <w:pPr>
        <w:spacing w:line="360" w:lineRule="auto"/>
        <w:ind w:firstLine="708"/>
        <w:jc w:val="both"/>
        <w:rPr>
          <w:rFonts w:eastAsia="MS Mincho"/>
        </w:rPr>
      </w:pPr>
      <w:r w:rsidRPr="00BA4F8E">
        <w:rPr>
          <w:rFonts w:eastAsia="MS Mincho"/>
        </w:rPr>
        <w:t>Pro účely monitorování intervencí, podporovaných z národních programů podpory VaVaI získává Národní RIS3 manažer a jeho analytický tým informace o programech a projektech, které svým věcným zaměřením spadají pod Národní RIS3 strategii, z informačního systému</w:t>
      </w:r>
      <w:r w:rsidR="008326CD">
        <w:rPr>
          <w:rFonts w:eastAsia="MS Mincho"/>
        </w:rPr>
        <w:t xml:space="preserve"> výzkumu, vývoje a inovací</w:t>
      </w:r>
      <w:r w:rsidRPr="00BA4F8E">
        <w:rPr>
          <w:rFonts w:eastAsia="MS Mincho"/>
        </w:rPr>
        <w:t xml:space="preserve"> </w:t>
      </w:r>
      <w:r w:rsidR="008326CD">
        <w:rPr>
          <w:rFonts w:eastAsia="MS Mincho"/>
        </w:rPr>
        <w:t>(</w:t>
      </w:r>
      <w:r w:rsidRPr="00BA4F8E">
        <w:rPr>
          <w:rFonts w:eastAsia="MS Mincho"/>
        </w:rPr>
        <w:t>IS VaVaI</w:t>
      </w:r>
      <w:r w:rsidR="008326CD">
        <w:rPr>
          <w:rFonts w:eastAsia="MS Mincho"/>
        </w:rPr>
        <w:t>)</w:t>
      </w:r>
      <w:r w:rsidRPr="00BA4F8E">
        <w:rPr>
          <w:rFonts w:eastAsia="MS Mincho"/>
        </w:rPr>
        <w:t xml:space="preserve"> spravovaného </w:t>
      </w:r>
      <w:r w:rsidR="005C7F1D">
        <w:rPr>
          <w:rFonts w:eastAsia="MS Mincho"/>
        </w:rPr>
        <w:t>ÚV</w:t>
      </w:r>
      <w:r w:rsidRPr="00BA4F8E">
        <w:rPr>
          <w:rFonts w:eastAsia="MS Mincho"/>
        </w:rPr>
        <w:t> ČR. Doplňková data získává přímo od poskytovatelů relevantní podpory VaVaI.</w:t>
      </w:r>
    </w:p>
    <w:p w14:paraId="1E60CF0A" w14:textId="77777777" w:rsidR="00AE6A70" w:rsidRPr="00BA4F8E" w:rsidRDefault="00AE6A70" w:rsidP="008C7CE3">
      <w:pPr>
        <w:spacing w:line="360" w:lineRule="auto"/>
        <w:ind w:firstLine="708"/>
        <w:jc w:val="both"/>
        <w:rPr>
          <w:rFonts w:eastAsia="MS Mincho"/>
        </w:rPr>
      </w:pPr>
    </w:p>
    <w:p w14:paraId="70B7E487" w14:textId="5D06BC96" w:rsidR="008C7CE3" w:rsidRPr="00CC3066" w:rsidRDefault="008C7CE3" w:rsidP="00BA7F32">
      <w:pPr>
        <w:pStyle w:val="Nadpis4"/>
        <w:spacing w:after="240"/>
      </w:pPr>
      <w:bookmarkStart w:id="199" w:name="_Toc525716264"/>
      <w:r w:rsidRPr="00CC3066">
        <w:t>Základní údaje o databázi Národní RIS3 strategie</w:t>
      </w:r>
      <w:bookmarkEnd w:id="199"/>
    </w:p>
    <w:p w14:paraId="59C6F4F2" w14:textId="77777777" w:rsidR="008C7CE3" w:rsidRPr="00BA4F8E" w:rsidRDefault="008C7CE3" w:rsidP="006E6F21">
      <w:pPr>
        <w:spacing w:after="0" w:line="360" w:lineRule="auto"/>
        <w:ind w:firstLine="708"/>
        <w:jc w:val="both"/>
        <w:rPr>
          <w:rFonts w:eastAsia="MS Mincho"/>
        </w:rPr>
      </w:pPr>
      <w:r w:rsidRPr="00BA4F8E">
        <w:rPr>
          <w:rFonts w:eastAsia="MS Mincho"/>
        </w:rPr>
        <w:t>Období pro monitoring dat bylo pro operační programy stanoveno od 1. 1. 2015 vždy do data aktuálního sběru požadovaných dat (31. 5. a 31. 10. příslušného kalendářního roku). Datum 1. 1. 2015 vychází z předpokladu, že shromážděná data budou dostatečně a reprezentativně zohledňovat náběh implementace Národní RIS3 strategie v jednotlivých operačních programech. U národních programů podpory byl tento náběh opožděn, proto bylo jako výchozí datum pro sběr dat stanoveno 1. 1. 2016.</w:t>
      </w:r>
    </w:p>
    <w:p w14:paraId="40AFC2F4" w14:textId="77777777" w:rsidR="008C7CE3" w:rsidRPr="00BA4F8E" w:rsidRDefault="008C7CE3" w:rsidP="006E6F21">
      <w:pPr>
        <w:spacing w:after="0" w:line="360" w:lineRule="auto"/>
        <w:ind w:firstLine="708"/>
        <w:jc w:val="both"/>
        <w:rPr>
          <w:rFonts w:eastAsia="MS Mincho"/>
        </w:rPr>
      </w:pPr>
      <w:r w:rsidRPr="00BA4F8E">
        <w:rPr>
          <w:rFonts w:eastAsia="MS Mincho"/>
        </w:rPr>
        <w:t>Dalším ze základních kritérií pro tvorbu databáze Národní RIS3 strategie byl stav projektů, tedy v jaké realizační fázi se sledované projekty (projektové žádosti) nacházejí. Pro operační programy i pro národní programy podpory VaVaI bylo stanoveno, že budou sledovány projekty (projektové žádosti) ve stavu vydaní právního aktu o poskytnutí podpory a ve stavech následných.</w:t>
      </w:r>
    </w:p>
    <w:p w14:paraId="31D6D8B8" w14:textId="21645645" w:rsidR="008C7CE3" w:rsidRPr="00BA4F8E" w:rsidRDefault="008C7CE3" w:rsidP="006E6F21">
      <w:pPr>
        <w:spacing w:after="0" w:line="360" w:lineRule="auto"/>
        <w:ind w:firstLine="708"/>
        <w:jc w:val="both"/>
        <w:rPr>
          <w:rFonts w:eastAsia="MS Mincho"/>
        </w:rPr>
      </w:pPr>
      <w:r w:rsidRPr="00BA4F8E">
        <w:rPr>
          <w:rFonts w:eastAsia="MS Mincho"/>
        </w:rPr>
        <w:t>Co se týká sledovaných výdajů, u projektů realizovaných v rámci operačních programů, se jedná o celkové způsobilé výdaje, tedy finanční prostředky, které jsou stanoveny (plánovány) a</w:t>
      </w:r>
      <w:r w:rsidR="008D5E66">
        <w:rPr>
          <w:rFonts w:eastAsia="MS Mincho"/>
        </w:rPr>
        <w:t> </w:t>
      </w:r>
      <w:r w:rsidRPr="00BA4F8E">
        <w:rPr>
          <w:rFonts w:eastAsia="MS Mincho"/>
        </w:rPr>
        <w:t>evidovány v systému MS2014+ na celou dobu trvání projektu. Oproti tomu u národních programů podpory jsou finance v systému IS VaVaI pro jednotlivé projekty rozděleny po jednotlivých letech a</w:t>
      </w:r>
      <w:r w:rsidR="008D5E66">
        <w:rPr>
          <w:rFonts w:eastAsia="MS Mincho"/>
        </w:rPr>
        <w:t> </w:t>
      </w:r>
      <w:r w:rsidRPr="00BA4F8E">
        <w:rPr>
          <w:rFonts w:eastAsia="MS Mincho"/>
        </w:rPr>
        <w:t>jedná se o celkové projektové náklady čerpané nebo plánované v průběhu sledovaného období.</w:t>
      </w:r>
    </w:p>
    <w:p w14:paraId="1A44C8AA" w14:textId="39660885" w:rsidR="008C7CE3" w:rsidRPr="00BA4F8E" w:rsidRDefault="008C7CE3" w:rsidP="00C20D1B">
      <w:pPr>
        <w:spacing w:after="0" w:line="360" w:lineRule="auto"/>
        <w:ind w:firstLine="708"/>
        <w:jc w:val="both"/>
        <w:rPr>
          <w:rFonts w:eastAsia="MS Mincho"/>
        </w:rPr>
      </w:pPr>
      <w:r w:rsidRPr="00BA4F8E">
        <w:rPr>
          <w:rFonts w:eastAsia="MS Mincho"/>
        </w:rPr>
        <w:t xml:space="preserve">Postup určení domén specializace (aplikačních odvětví a znalostních domén) u jednotlivých </w:t>
      </w:r>
      <w:r w:rsidRPr="00632622">
        <w:rPr>
          <w:rFonts w:eastAsia="MS Mincho"/>
        </w:rPr>
        <w:t>projektů se řídí výzkumnými tématy a vztahy ke klasifikaci CZ NACE podrobně popsanými v kap.</w:t>
      </w:r>
      <w:r w:rsidR="00C54AAA">
        <w:rPr>
          <w:rFonts w:eastAsia="MS Mincho"/>
        </w:rPr>
        <w:t> </w:t>
      </w:r>
      <w:r w:rsidR="00D06694" w:rsidRPr="00632622">
        <w:rPr>
          <w:rFonts w:eastAsia="MS Mincho"/>
        </w:rPr>
        <w:fldChar w:fldCharType="begin"/>
      </w:r>
      <w:r w:rsidR="00D06694" w:rsidRPr="00632622">
        <w:rPr>
          <w:rFonts w:eastAsia="MS Mincho"/>
        </w:rPr>
        <w:instrText xml:space="preserve"> REF _Ref521492615 \r \h  \* MERGEFORMAT </w:instrText>
      </w:r>
      <w:r w:rsidR="00D06694" w:rsidRPr="00632622">
        <w:rPr>
          <w:rFonts w:eastAsia="MS Mincho"/>
        </w:rPr>
      </w:r>
      <w:r w:rsidR="00D06694" w:rsidRPr="00632622">
        <w:rPr>
          <w:rFonts w:eastAsia="MS Mincho"/>
        </w:rPr>
        <w:fldChar w:fldCharType="separate"/>
      </w:r>
      <w:r w:rsidR="00DE40D4">
        <w:rPr>
          <w:rFonts w:eastAsia="MS Mincho"/>
        </w:rPr>
        <w:t>9.2</w:t>
      </w:r>
      <w:r w:rsidR="00D06694" w:rsidRPr="00632622">
        <w:rPr>
          <w:rFonts w:eastAsia="MS Mincho"/>
        </w:rPr>
        <w:fldChar w:fldCharType="end"/>
      </w:r>
      <w:r w:rsidR="00104E23">
        <w:rPr>
          <w:rFonts w:eastAsia="MS Mincho"/>
        </w:rPr>
        <w:t> </w:t>
      </w:r>
      <w:r w:rsidRPr="00632622">
        <w:rPr>
          <w:rFonts w:eastAsia="MS Mincho"/>
        </w:rPr>
        <w:t>(</w:t>
      </w:r>
      <w:r w:rsidR="00D06694" w:rsidRPr="00632622">
        <w:rPr>
          <w:rFonts w:eastAsia="MS Mincho"/>
        </w:rPr>
        <w:fldChar w:fldCharType="begin"/>
      </w:r>
      <w:r w:rsidR="00D06694" w:rsidRPr="00632622">
        <w:rPr>
          <w:rFonts w:eastAsia="MS Mincho"/>
        </w:rPr>
        <w:instrText xml:space="preserve"> REF _Ref521492604 \h  \* MERGEFORMAT </w:instrText>
      </w:r>
      <w:r w:rsidR="00D06694" w:rsidRPr="00632622">
        <w:rPr>
          <w:rFonts w:eastAsia="MS Mincho"/>
        </w:rPr>
      </w:r>
      <w:r w:rsidR="00D06694" w:rsidRPr="00632622">
        <w:rPr>
          <w:rFonts w:eastAsia="MS Mincho"/>
        </w:rPr>
        <w:fldChar w:fldCharType="separate"/>
      </w:r>
      <w:r w:rsidR="00DE40D4" w:rsidRPr="00EF4A38">
        <w:t>Priority výzkumu, vývoje a inovací zjištěné prostřednictvím EDP v rámci Národních inovačních platforem</w:t>
      </w:r>
      <w:r w:rsidR="00D06694" w:rsidRPr="00632622">
        <w:rPr>
          <w:rFonts w:eastAsia="MS Mincho"/>
        </w:rPr>
        <w:fldChar w:fldCharType="end"/>
      </w:r>
      <w:r w:rsidRPr="00632622">
        <w:rPr>
          <w:rFonts w:eastAsia="MS Mincho"/>
        </w:rPr>
        <w:t xml:space="preserve">) a </w:t>
      </w:r>
      <w:r w:rsidRPr="00BA4F8E">
        <w:rPr>
          <w:rFonts w:eastAsia="MS Mincho"/>
        </w:rPr>
        <w:t>dále vazbami podrobně rozepsanými v doprovodném podkladovém analytickém materiálu</w:t>
      </w:r>
      <w:r w:rsidRPr="00BA4F8E">
        <w:rPr>
          <w:rStyle w:val="Znakapoznpodarou"/>
          <w:rFonts w:eastAsia="MS Mincho"/>
        </w:rPr>
        <w:footnoteReference w:id="136"/>
      </w:r>
      <w:r w:rsidRPr="00BA4F8E">
        <w:rPr>
          <w:rFonts w:eastAsia="MS Mincho"/>
        </w:rPr>
        <w:t xml:space="preserve">. </w:t>
      </w:r>
    </w:p>
    <w:p w14:paraId="5BD2CF9D" w14:textId="1C94D697" w:rsidR="008C7CE3" w:rsidRPr="00BA4F8E" w:rsidRDefault="008C7CE3" w:rsidP="00C20D1B">
      <w:pPr>
        <w:spacing w:after="0" w:line="360" w:lineRule="auto"/>
        <w:ind w:firstLine="708"/>
        <w:jc w:val="both"/>
        <w:rPr>
          <w:rFonts w:eastAsia="MS Mincho"/>
        </w:rPr>
      </w:pPr>
      <w:r w:rsidRPr="00BA4F8E">
        <w:rPr>
          <w:rFonts w:eastAsia="MS Mincho"/>
        </w:rPr>
        <w:t xml:space="preserve">Konkrétní postupy sběru dat a technické požadavky na jednotlivé operační programy a národní programy podpory VaVaI jsou projednávány se zástupci řídicích orgánů těchto programů na pravidelných pracovních jednáních MAPS.  </w:t>
      </w:r>
    </w:p>
    <w:p w14:paraId="34F3A1E3" w14:textId="77777777" w:rsidR="00C20D1B" w:rsidRDefault="00C20D1B" w:rsidP="008C7CE3">
      <w:pPr>
        <w:spacing w:line="360" w:lineRule="auto"/>
        <w:jc w:val="both"/>
        <w:rPr>
          <w:rFonts w:eastAsia="MS Mincho"/>
          <w:b/>
        </w:rPr>
      </w:pPr>
      <w:bookmarkStart w:id="200" w:name="_Toc514997482"/>
      <w:bookmarkStart w:id="201" w:name="_Ref512513474"/>
    </w:p>
    <w:p w14:paraId="41739A2B" w14:textId="77777777" w:rsidR="008C7CE3" w:rsidRPr="00BA4F8E" w:rsidRDefault="008C7CE3" w:rsidP="008C7CE3">
      <w:pPr>
        <w:spacing w:line="360" w:lineRule="auto"/>
        <w:jc w:val="both"/>
        <w:rPr>
          <w:rFonts w:eastAsia="MS Mincho"/>
          <w:b/>
        </w:rPr>
      </w:pPr>
      <w:r w:rsidRPr="00BA4F8E">
        <w:rPr>
          <w:rFonts w:eastAsia="MS Mincho"/>
          <w:b/>
        </w:rPr>
        <w:t>Postup sledování a zpracování indikátorů</w:t>
      </w:r>
      <w:bookmarkEnd w:id="200"/>
      <w:bookmarkEnd w:id="201"/>
    </w:p>
    <w:p w14:paraId="0AEE3F30" w14:textId="502AA72B" w:rsidR="008C7CE3" w:rsidRPr="00BA4F8E" w:rsidRDefault="008C7CE3" w:rsidP="006C67B0">
      <w:pPr>
        <w:spacing w:after="0" w:line="360" w:lineRule="auto"/>
        <w:ind w:firstLine="708"/>
        <w:jc w:val="both"/>
        <w:rPr>
          <w:rFonts w:cs="Times New Roman"/>
          <w:lang w:eastAsia="cs-CZ"/>
        </w:rPr>
      </w:pPr>
      <w:r w:rsidRPr="00BA4F8E">
        <w:rPr>
          <w:rFonts w:eastAsia="MS Mincho"/>
        </w:rPr>
        <w:t>V průběhu roku 2017</w:t>
      </w:r>
      <w:r w:rsidRPr="00BA4F8E">
        <w:rPr>
          <w:rStyle w:val="Znakapoznpodarou"/>
          <w:rFonts w:eastAsia="MS Mincho"/>
        </w:rPr>
        <w:footnoteReference w:id="137"/>
      </w:r>
      <w:r w:rsidRPr="00BA4F8E">
        <w:rPr>
          <w:rFonts w:eastAsia="MS Mincho"/>
        </w:rPr>
        <w:t xml:space="preserve"> byla aktualizována a zrevidována monitorovací sestava kontextových indikátorů a indikátorů strategických a specifických cílů Národní RIS3 strategie. Doplněny byly výchozí i cílové hodnoty, pokud jsou k dispozici v oficiální dokumentaci dotčených programů. Indikátory operačních programů byly dále rozděleny v hierarchii prioritní osa – investiční priorita – specifický cíl – výzva, analogicky k monitoringu MS2014+ a indikátory národních programů podpory VaVaI detailněji propojeny s příslušnými specifickými cíli. Aktu</w:t>
      </w:r>
      <w:r w:rsidRPr="00632622">
        <w:rPr>
          <w:rFonts w:eastAsia="MS Mincho"/>
        </w:rPr>
        <w:t xml:space="preserve">ální indikátory jsou přehledově uvedeny v kap. </w:t>
      </w:r>
      <w:r w:rsidR="00B30BE9" w:rsidRPr="00632622">
        <w:rPr>
          <w:rFonts w:eastAsia="MS Mincho"/>
        </w:rPr>
        <w:fldChar w:fldCharType="begin"/>
      </w:r>
      <w:r w:rsidR="00B30BE9" w:rsidRPr="00632622">
        <w:rPr>
          <w:rFonts w:eastAsia="MS Mincho"/>
        </w:rPr>
        <w:instrText xml:space="preserve"> REF _Ref521492720 \r \h  \* MERGEFORMAT </w:instrText>
      </w:r>
      <w:r w:rsidR="00B30BE9" w:rsidRPr="00632622">
        <w:rPr>
          <w:rFonts w:eastAsia="MS Mincho"/>
        </w:rPr>
      </w:r>
      <w:r w:rsidR="00B30BE9" w:rsidRPr="00632622">
        <w:rPr>
          <w:rFonts w:eastAsia="MS Mincho"/>
        </w:rPr>
        <w:fldChar w:fldCharType="separate"/>
      </w:r>
      <w:r w:rsidR="00DE40D4">
        <w:rPr>
          <w:rFonts w:eastAsia="MS Mincho"/>
        </w:rPr>
        <w:t>6</w:t>
      </w:r>
      <w:r w:rsidR="00B30BE9" w:rsidRPr="00632622">
        <w:rPr>
          <w:rFonts w:eastAsia="MS Mincho"/>
        </w:rPr>
        <w:fldChar w:fldCharType="end"/>
      </w:r>
      <w:r w:rsidRPr="00632622">
        <w:rPr>
          <w:rFonts w:eastAsia="MS Mincho"/>
        </w:rPr>
        <w:t xml:space="preserve"> (</w:t>
      </w:r>
      <w:r w:rsidR="00B30BE9" w:rsidRPr="00632622">
        <w:rPr>
          <w:rFonts w:eastAsia="MS Mincho"/>
        </w:rPr>
        <w:fldChar w:fldCharType="begin"/>
      </w:r>
      <w:r w:rsidR="00B30BE9" w:rsidRPr="00632622">
        <w:rPr>
          <w:rFonts w:eastAsia="MS Mincho"/>
        </w:rPr>
        <w:instrText xml:space="preserve"> REF _Ref521492712 \h  \* MERGEFORMAT </w:instrText>
      </w:r>
      <w:r w:rsidR="00B30BE9" w:rsidRPr="00632622">
        <w:rPr>
          <w:rFonts w:eastAsia="MS Mincho"/>
        </w:rPr>
      </w:r>
      <w:r w:rsidR="00B30BE9" w:rsidRPr="00632622">
        <w:rPr>
          <w:rFonts w:eastAsia="MS Mincho"/>
        </w:rPr>
        <w:fldChar w:fldCharType="separate"/>
      </w:r>
      <w:r w:rsidR="00DE40D4" w:rsidRPr="00F76546">
        <w:t>Klíčové oblasti změn</w:t>
      </w:r>
      <w:r w:rsidR="00B30BE9" w:rsidRPr="00632622">
        <w:rPr>
          <w:rFonts w:eastAsia="MS Mincho"/>
        </w:rPr>
        <w:fldChar w:fldCharType="end"/>
      </w:r>
      <w:r w:rsidRPr="00632622">
        <w:rPr>
          <w:rFonts w:eastAsia="MS Mincho"/>
        </w:rPr>
        <w:t>) v tabulce vždy u příslušných cílů.</w:t>
      </w:r>
      <w:r w:rsidRPr="00632622">
        <w:rPr>
          <w:rFonts w:cs="Times New Roman"/>
          <w:lang w:eastAsia="cs-CZ"/>
        </w:rPr>
        <w:t xml:space="preserve"> </w:t>
      </w:r>
    </w:p>
    <w:p w14:paraId="250102B8" w14:textId="77777777" w:rsidR="008C7CE3" w:rsidRPr="00BA4F8E" w:rsidRDefault="008C7CE3" w:rsidP="008C7CE3"/>
    <w:p w14:paraId="58507361" w14:textId="4A7DCB04" w:rsidR="00F23425" w:rsidRPr="00CC3066" w:rsidRDefault="006D3CE9" w:rsidP="00CC3066">
      <w:pPr>
        <w:pStyle w:val="Nadpis4"/>
      </w:pPr>
      <w:bookmarkStart w:id="202" w:name="_Ref524508375"/>
      <w:bookmarkStart w:id="203" w:name="_Ref524508404"/>
      <w:bookmarkStart w:id="204" w:name="_Toc525716265"/>
      <w:r w:rsidRPr="00CC3066">
        <w:t>Spolupráce s krajskou úrovní při monitoringu Národní RIS3 strategie</w:t>
      </w:r>
      <w:bookmarkEnd w:id="202"/>
      <w:bookmarkEnd w:id="203"/>
      <w:bookmarkEnd w:id="204"/>
    </w:p>
    <w:p w14:paraId="54B51B0B" w14:textId="77777777" w:rsidR="008861D3" w:rsidRPr="00BA4F8E" w:rsidRDefault="008861D3" w:rsidP="006C67B0">
      <w:pPr>
        <w:spacing w:before="240" w:line="360" w:lineRule="auto"/>
        <w:ind w:firstLine="709"/>
        <w:jc w:val="both"/>
        <w:rPr>
          <w:rFonts w:eastAsia="MS Mincho"/>
        </w:rPr>
      </w:pPr>
      <w:r w:rsidRPr="00BA4F8E">
        <w:rPr>
          <w:rFonts w:eastAsia="MS Mincho"/>
        </w:rPr>
        <w:t xml:space="preserve">Pro potřeby Národního RIS3 manažera je v každém kraji zpracovávána s koncem pololetí kalendářního roku </w:t>
      </w:r>
      <w:r w:rsidRPr="00BA4F8E">
        <w:rPr>
          <w:rFonts w:eastAsia="MS Mincho"/>
          <w:i/>
          <w:u w:val="single"/>
        </w:rPr>
        <w:t>Zpráva o realizaci RIS3 strategie v kraji</w:t>
      </w:r>
      <w:r w:rsidRPr="00BA4F8E">
        <w:rPr>
          <w:rFonts w:eastAsia="MS Mincho"/>
        </w:rPr>
        <w:t xml:space="preserve"> (předkládána nejpozději do dvou měsíců od ukončení pololetí), a dále je v každém kraji jednou ročně (vždy dle stavu k datu 31. 12. daného kalendářního roku) zpracováván </w:t>
      </w:r>
      <w:r w:rsidRPr="00BA4F8E">
        <w:rPr>
          <w:rFonts w:eastAsia="MS Mincho"/>
          <w:i/>
          <w:u w:val="single"/>
        </w:rPr>
        <w:t>Přehled financování krajské RIS3 strategie</w:t>
      </w:r>
      <w:r w:rsidRPr="00BA4F8E">
        <w:rPr>
          <w:rFonts w:eastAsia="MS Mincho"/>
        </w:rPr>
        <w:t xml:space="preserve"> (předkládán nejpozději do 16. 3. následujícího roku). Krajský RIS3 koordinátor a Krajský RIS3 manažer zajišťují touto formou přenos informací a případných doporučení mezi krajskou a národní úrovní. Informace z krajské úrovně Národní RIS3 strategie zahrnují především: </w:t>
      </w:r>
    </w:p>
    <w:p w14:paraId="42DB46AB" w14:textId="2A751B4F" w:rsidR="008861D3" w:rsidRPr="00BA4F8E" w:rsidRDefault="008861D3" w:rsidP="00543C1B">
      <w:pPr>
        <w:pStyle w:val="Odstavecseseznamem"/>
        <w:numPr>
          <w:ilvl w:val="0"/>
          <w:numId w:val="59"/>
        </w:numPr>
        <w:spacing w:after="120" w:line="360" w:lineRule="auto"/>
        <w:ind w:left="737" w:hanging="377"/>
        <w:jc w:val="both"/>
        <w:rPr>
          <w:rFonts w:eastAsia="MS Mincho"/>
        </w:rPr>
      </w:pPr>
      <w:r w:rsidRPr="00BA4F8E">
        <w:rPr>
          <w:rFonts w:eastAsia="MS Mincho"/>
        </w:rPr>
        <w:t>informace o relevantních projektech a intervencích v  členění podle strategických a</w:t>
      </w:r>
      <w:r w:rsidR="00C361E8">
        <w:rPr>
          <w:rFonts w:eastAsia="MS Mincho"/>
        </w:rPr>
        <w:t> </w:t>
      </w:r>
      <w:r w:rsidRPr="00BA4F8E">
        <w:rPr>
          <w:rFonts w:eastAsia="MS Mincho"/>
        </w:rPr>
        <w:t>specifických cílů a zdrojů financování,</w:t>
      </w:r>
    </w:p>
    <w:p w14:paraId="7132E782" w14:textId="77777777" w:rsidR="008861D3" w:rsidRPr="00BA4F8E" w:rsidRDefault="008861D3" w:rsidP="00543C1B">
      <w:pPr>
        <w:pStyle w:val="Odstavecseseznamem"/>
        <w:numPr>
          <w:ilvl w:val="0"/>
          <w:numId w:val="59"/>
        </w:numPr>
        <w:spacing w:after="120" w:line="360" w:lineRule="auto"/>
        <w:ind w:left="737" w:hanging="377"/>
        <w:jc w:val="both"/>
        <w:rPr>
          <w:rFonts w:eastAsia="MS Mincho"/>
        </w:rPr>
      </w:pPr>
      <w:r w:rsidRPr="00BA4F8E">
        <w:rPr>
          <w:rFonts w:eastAsia="MS Mincho"/>
        </w:rPr>
        <w:t>informace o implementaci krajské RIS3 strategie směrem do struktury krajského úřadu, krajských inovačních rad, krajských inovačních platforem apod.,</w:t>
      </w:r>
    </w:p>
    <w:p w14:paraId="48E85AD1" w14:textId="77777777" w:rsidR="008861D3" w:rsidRPr="00BA4F8E" w:rsidRDefault="008861D3" w:rsidP="00543C1B">
      <w:pPr>
        <w:numPr>
          <w:ilvl w:val="0"/>
          <w:numId w:val="59"/>
        </w:numPr>
        <w:spacing w:after="120" w:line="360" w:lineRule="auto"/>
        <w:ind w:left="737" w:hanging="377"/>
        <w:jc w:val="both"/>
        <w:rPr>
          <w:rFonts w:eastAsia="MS Mincho"/>
        </w:rPr>
      </w:pPr>
      <w:r w:rsidRPr="00BA4F8E">
        <w:rPr>
          <w:rFonts w:eastAsia="MS Mincho"/>
        </w:rPr>
        <w:t>informace ohledně aktivit, které jsou zaměřené na rozvoj inovačního prostředí v kraji,</w:t>
      </w:r>
    </w:p>
    <w:p w14:paraId="14F0CFAE" w14:textId="77777777" w:rsidR="008861D3" w:rsidRPr="00BA4F8E" w:rsidRDefault="008861D3" w:rsidP="00543C1B">
      <w:pPr>
        <w:numPr>
          <w:ilvl w:val="0"/>
          <w:numId w:val="59"/>
        </w:numPr>
        <w:spacing w:after="120" w:line="360" w:lineRule="auto"/>
        <w:ind w:left="737" w:hanging="377"/>
        <w:jc w:val="both"/>
        <w:rPr>
          <w:rFonts w:eastAsia="MS Mincho"/>
        </w:rPr>
      </w:pPr>
      <w:r w:rsidRPr="00BA4F8E">
        <w:rPr>
          <w:rFonts w:eastAsia="MS Mincho"/>
        </w:rPr>
        <w:t>další související strategické aktivity a plány.</w:t>
      </w:r>
    </w:p>
    <w:p w14:paraId="504135AA" w14:textId="77777777" w:rsidR="008603E4" w:rsidRPr="00BA4F8E" w:rsidRDefault="008603E4" w:rsidP="006C67B0">
      <w:pPr>
        <w:spacing w:after="120" w:line="360" w:lineRule="auto"/>
        <w:jc w:val="both"/>
        <w:rPr>
          <w:rFonts w:eastAsia="MS Mincho"/>
        </w:rPr>
      </w:pPr>
    </w:p>
    <w:p w14:paraId="31E19B0F" w14:textId="19E59E4A" w:rsidR="002F0014" w:rsidRPr="00EF4A38" w:rsidRDefault="002F0014" w:rsidP="00EF4A38">
      <w:pPr>
        <w:pStyle w:val="Nadpis3"/>
      </w:pPr>
      <w:bookmarkStart w:id="205" w:name="_Toc525716266"/>
      <w:r w:rsidRPr="00EF4A38">
        <w:t>Evaluace Národní RIS3 strategie</w:t>
      </w:r>
      <w:bookmarkEnd w:id="205"/>
    </w:p>
    <w:p w14:paraId="3C85A4F1" w14:textId="77777777" w:rsidR="002F0014" w:rsidRPr="00BA4F8E" w:rsidRDefault="002F0014" w:rsidP="00252492">
      <w:pPr>
        <w:spacing w:before="240" w:after="0" w:line="360" w:lineRule="auto"/>
        <w:ind w:firstLine="708"/>
        <w:jc w:val="both"/>
      </w:pPr>
      <w:r w:rsidRPr="00BA4F8E">
        <w:t>Evaluací se ve vztahu k Národní RIS3 strategii rozumí zpracování informací získaných v rámci monitoringu i mimo něj, interpretace informací a formulace závěrů a doporučení ke zlepšení implementace a celkového strategického nastavení. Dodržována jsou základní pravidla stanovená Etickým kodexem evaluátora a Formálními standardy provádění evaluací deklarovaných Českou evaluační společnosti. Na základě věcné souvislosti je přihlíženo k evropské legislativě pro programy realizované s podporou ESIF v průběhu programovacího období 2014 – 2020 a Metodickému pokynu pro evaluace programovacího období 2014 - 2020, zpracovaném a aktualizovaném Ministerstvem pro místní rozvoj. Dále jsou respektovány závěry evaluací všech relevantních poskytovatelů podpory VaVaI.</w:t>
      </w:r>
    </w:p>
    <w:p w14:paraId="6E15744F" w14:textId="0B5C9B84" w:rsidR="002F0014" w:rsidRPr="00BA4F8E" w:rsidRDefault="002F0014" w:rsidP="00252492">
      <w:pPr>
        <w:spacing w:after="0" w:line="360" w:lineRule="auto"/>
        <w:ind w:firstLine="708"/>
        <w:jc w:val="both"/>
        <w:rPr>
          <w:rFonts w:eastAsia="MS Mincho"/>
        </w:rPr>
      </w:pPr>
      <w:r w:rsidRPr="00BA4F8E">
        <w:t>Hodnocení Národní RIS3 strategie nebo jejích dílčích částí, jednotlivých intervencí nebo jejich skupin a hodnocení různých aspektů realizace Národní RIS3 strategie se zpracovává dle potřeby, nejméně však jednou za dva roky. Hodnocení zpracovává Národní RIS3 manažer buď dle vlastního uvážení nebo z rozhodnutí Řídicího výboru RIS3. Hodnotící zprávy jsou zpracovány buď analytickým týmem, nebo externími hodnotiteli, možná je i kombinace těchto metod. Hodnotící zprávy zpracované v období mezi aktualizacemi RIS3 strategie jsou jedním ze vstupů pro</w:t>
      </w:r>
      <w:r w:rsidRPr="00BA4F8E">
        <w:rPr>
          <w:rFonts w:eastAsia="MS Mincho"/>
        </w:rPr>
        <w:t xml:space="preserve"> návrh aktualizace Národní RIS3 strategie.  </w:t>
      </w:r>
    </w:p>
    <w:p w14:paraId="481BF4D5" w14:textId="1425847D" w:rsidR="002F0014" w:rsidRDefault="002F0014" w:rsidP="00252492">
      <w:pPr>
        <w:spacing w:after="0" w:line="360" w:lineRule="auto"/>
        <w:ind w:firstLine="708"/>
        <w:jc w:val="both"/>
        <w:rPr>
          <w:rFonts w:eastAsia="MS Mincho"/>
        </w:rPr>
      </w:pPr>
      <w:r w:rsidRPr="00BA4F8E">
        <w:rPr>
          <w:rFonts w:eastAsia="MS Mincho"/>
        </w:rPr>
        <w:t>Evaluační činnosti Národní RIS3 strategie předpokládají součinnost všech článků její implementační a</w:t>
      </w:r>
      <w:r w:rsidR="002933A7" w:rsidRPr="00BA4F8E">
        <w:rPr>
          <w:rFonts w:eastAsia="MS Mincho"/>
        </w:rPr>
        <w:t> </w:t>
      </w:r>
      <w:r w:rsidRPr="00BA4F8E">
        <w:rPr>
          <w:rFonts w:eastAsia="MS Mincho"/>
        </w:rPr>
        <w:t>řídicí struktury.</w:t>
      </w:r>
    </w:p>
    <w:p w14:paraId="226B3C91" w14:textId="0DD4174F" w:rsidR="002A5AF0" w:rsidRPr="00BA4F8E" w:rsidRDefault="002A5AF0" w:rsidP="00252492">
      <w:pPr>
        <w:spacing w:after="0" w:line="360" w:lineRule="auto"/>
        <w:ind w:firstLine="708"/>
        <w:jc w:val="both"/>
        <w:rPr>
          <w:rFonts w:eastAsia="MS Mincho"/>
        </w:rPr>
      </w:pPr>
      <w:r w:rsidRPr="002A5AF0">
        <w:t>Evaluační zprávy Národní RIS3 strategie</w:t>
      </w:r>
      <w:r>
        <w:rPr>
          <w:i/>
        </w:rPr>
        <w:t xml:space="preserve"> </w:t>
      </w:r>
      <w:r w:rsidRPr="00BA4F8E">
        <w:t>projednává a schvaluje Řídicí výbor RIS3, následně jsou předloženy RVVI a</w:t>
      </w:r>
      <w:r>
        <w:t xml:space="preserve"> </w:t>
      </w:r>
      <w:r w:rsidRPr="00BA4F8E">
        <w:t>Vládě ČR, a to k datu 30. 6. příslušného kalendářního roku.</w:t>
      </w:r>
    </w:p>
    <w:p w14:paraId="738C6C36" w14:textId="77777777" w:rsidR="002F0014" w:rsidRPr="00BA4F8E" w:rsidRDefault="002F0014" w:rsidP="00252492">
      <w:pPr>
        <w:spacing w:after="0" w:line="360" w:lineRule="auto"/>
        <w:ind w:firstLine="708"/>
        <w:jc w:val="both"/>
        <w:rPr>
          <w:rFonts w:eastAsia="MS Mincho"/>
        </w:rPr>
      </w:pPr>
      <w:r w:rsidRPr="00BA4F8E">
        <w:rPr>
          <w:rFonts w:eastAsia="MS Mincho"/>
        </w:rPr>
        <w:t>Krajští RIS3 manažeři zpracovávají vlastní hodnocení krajských příloh Národní RIS3 strategie dle vlastního uvážení nebo na žádost Národního RIS3 manažera. Výstupy krajských hodnocení (hodnotící zprávy) poskytují Krajští RIS3 koordinátoři Národnímu RIS3 manažerovi.</w:t>
      </w:r>
    </w:p>
    <w:p w14:paraId="592097BA" w14:textId="77777777" w:rsidR="002F0014" w:rsidRPr="00BA4F8E" w:rsidRDefault="002F0014" w:rsidP="002F0014"/>
    <w:p w14:paraId="38355F1F" w14:textId="7DBFECD6" w:rsidR="008861D3" w:rsidRPr="00EF4A38" w:rsidRDefault="006F66B0" w:rsidP="00EF4A38">
      <w:pPr>
        <w:pStyle w:val="Nadpis3"/>
      </w:pPr>
      <w:bookmarkStart w:id="206" w:name="_Ref521492357"/>
      <w:bookmarkStart w:id="207" w:name="_Ref521492363"/>
      <w:bookmarkStart w:id="208" w:name="_Ref521492371"/>
      <w:bookmarkStart w:id="209" w:name="_Toc525716267"/>
      <w:r w:rsidRPr="00EF4A38">
        <w:t>Aktualizace Národní RIS3 strategie</w:t>
      </w:r>
      <w:bookmarkEnd w:id="206"/>
      <w:bookmarkEnd w:id="207"/>
      <w:bookmarkEnd w:id="208"/>
      <w:bookmarkEnd w:id="209"/>
    </w:p>
    <w:p w14:paraId="04571202" w14:textId="77777777" w:rsidR="006F66B0" w:rsidRPr="00BA4F8E" w:rsidRDefault="006F66B0" w:rsidP="006F66B0">
      <w:pPr>
        <w:spacing w:before="240" w:line="360" w:lineRule="auto"/>
        <w:ind w:firstLine="709"/>
        <w:jc w:val="both"/>
        <w:rPr>
          <w:rFonts w:eastAsia="MS Mincho"/>
        </w:rPr>
      </w:pPr>
      <w:r w:rsidRPr="00BA4F8E">
        <w:rPr>
          <w:rFonts w:eastAsia="MS Mincho"/>
        </w:rPr>
        <w:t xml:space="preserve">Národní RIS3 strategie se aktualizuje každé 2 roky vždy ke konci kalendářního roku (prosinec). Podklady pro aktualizaci Národní RIS3 strategie připravuje Národní RIS3 manažer za podpory analytického týmu a předkládá je Řídicímu výboru RIS3. Řídicí výbor RIS3 návrhy aktualizace projednává a schvaluje, a dále je aktualizace předkládána RVVI a Vládě ČR, která ji schvaluje. Aktualizace Národní RIS3 strategie se zpracovává zejména z pohledu: </w:t>
      </w:r>
    </w:p>
    <w:p w14:paraId="1B5A7B38" w14:textId="77777777" w:rsidR="006F66B0" w:rsidRPr="00BA4F8E" w:rsidRDefault="006F66B0" w:rsidP="00543C1B">
      <w:pPr>
        <w:pStyle w:val="Odstavecseseznamem"/>
        <w:numPr>
          <w:ilvl w:val="0"/>
          <w:numId w:val="60"/>
        </w:numPr>
        <w:spacing w:before="240" w:after="120" w:line="360" w:lineRule="auto"/>
        <w:jc w:val="both"/>
        <w:rPr>
          <w:rFonts w:eastAsia="MS Mincho"/>
        </w:rPr>
      </w:pPr>
      <w:r w:rsidRPr="00BA4F8E">
        <w:rPr>
          <w:rFonts w:eastAsia="MS Mincho"/>
        </w:rPr>
        <w:t>změn v průběhu a nastavení intervencí,</w:t>
      </w:r>
    </w:p>
    <w:p w14:paraId="7935D86D" w14:textId="77777777" w:rsidR="006F66B0" w:rsidRPr="00BA4F8E" w:rsidRDefault="006F66B0" w:rsidP="00543C1B">
      <w:pPr>
        <w:numPr>
          <w:ilvl w:val="0"/>
          <w:numId w:val="55"/>
        </w:numPr>
        <w:spacing w:before="240" w:after="120" w:line="360" w:lineRule="auto"/>
        <w:ind w:left="737" w:hanging="377"/>
        <w:jc w:val="both"/>
        <w:rPr>
          <w:rFonts w:eastAsia="MS Mincho"/>
        </w:rPr>
      </w:pPr>
      <w:r w:rsidRPr="00BA4F8E">
        <w:rPr>
          <w:rFonts w:eastAsia="MS Mincho"/>
        </w:rPr>
        <w:t>změn prostředí, tedy popisu a analýzy problémů a jejich příčin, identifikovaných v Národní RIS3 strategii (změn vztahující se k analytické části Národní RIS3 strategie),</w:t>
      </w:r>
    </w:p>
    <w:p w14:paraId="21BCB992" w14:textId="77777777" w:rsidR="006F66B0" w:rsidRPr="00BA4F8E" w:rsidRDefault="006F66B0" w:rsidP="00543C1B">
      <w:pPr>
        <w:numPr>
          <w:ilvl w:val="0"/>
          <w:numId w:val="55"/>
        </w:numPr>
        <w:spacing w:before="240" w:after="120" w:line="360" w:lineRule="auto"/>
        <w:ind w:left="737" w:hanging="377"/>
        <w:jc w:val="both"/>
        <w:rPr>
          <w:rFonts w:eastAsia="MS Mincho"/>
        </w:rPr>
      </w:pPr>
      <w:r w:rsidRPr="00BA4F8E">
        <w:rPr>
          <w:rFonts w:eastAsia="MS Mincho"/>
        </w:rPr>
        <w:t>doporučení NIP specificky zaměřených na rozvíjení vybraných domén specializace (aplikační odvětví a znalostní domény) a na identifikaci nových domén specializace,</w:t>
      </w:r>
    </w:p>
    <w:p w14:paraId="6027E623" w14:textId="77777777" w:rsidR="006F66B0" w:rsidRPr="00BA4F8E" w:rsidRDefault="006F66B0" w:rsidP="00543C1B">
      <w:pPr>
        <w:numPr>
          <w:ilvl w:val="0"/>
          <w:numId w:val="55"/>
        </w:numPr>
        <w:spacing w:before="240" w:after="200" w:line="360" w:lineRule="auto"/>
        <w:ind w:left="737" w:hanging="377"/>
        <w:jc w:val="both"/>
        <w:rPr>
          <w:rFonts w:eastAsia="MS Mincho"/>
        </w:rPr>
      </w:pPr>
      <w:r w:rsidRPr="00BA4F8E">
        <w:rPr>
          <w:rFonts w:eastAsia="MS Mincho"/>
        </w:rPr>
        <w:t xml:space="preserve">analýzy bariér realizace a úspěšnosti návrhů na jejich odstranění. </w:t>
      </w:r>
    </w:p>
    <w:p w14:paraId="3DF11CF6" w14:textId="77777777" w:rsidR="00CB16C8" w:rsidRDefault="006F66B0" w:rsidP="00CB16C8">
      <w:pPr>
        <w:spacing w:after="0" w:line="360" w:lineRule="auto"/>
        <w:ind w:firstLine="708"/>
        <w:jc w:val="both"/>
        <w:rPr>
          <w:rFonts w:eastAsia="MS Mincho"/>
        </w:rPr>
      </w:pPr>
      <w:r w:rsidRPr="00BA4F8E">
        <w:rPr>
          <w:rFonts w:eastAsia="MS Mincho"/>
        </w:rPr>
        <w:t>Změna zaměření domén (aplikační odvětví a znalostní domény), jejich zaostření či případná transformace nebo vytvoření nové domény jsou možné především v kontextu debaty s partnery v</w:t>
      </w:r>
      <w:r w:rsidR="00283C64">
        <w:rPr>
          <w:rFonts w:eastAsia="MS Mincho"/>
        </w:rPr>
        <w:t> </w:t>
      </w:r>
      <w:r w:rsidRPr="00BA4F8E">
        <w:rPr>
          <w:rFonts w:eastAsia="MS Mincho"/>
        </w:rPr>
        <w:t xml:space="preserve">rámci EDP; návrhy budou podloženy analytickými podklady a studiemi. Případně podněty vyplývají z reflexe aktuálních trendů. Pro změnu domény je zásadní stanovisko členů NIP. </w:t>
      </w:r>
    </w:p>
    <w:p w14:paraId="2F663BC0" w14:textId="65F0E0E2" w:rsidR="006F66B0" w:rsidRPr="00BA4F8E" w:rsidRDefault="006F66B0" w:rsidP="00CB16C8">
      <w:pPr>
        <w:spacing w:after="0" w:line="360" w:lineRule="auto"/>
        <w:ind w:firstLine="708"/>
        <w:jc w:val="both"/>
        <w:rPr>
          <w:rFonts w:eastAsia="MS Mincho"/>
        </w:rPr>
      </w:pPr>
      <w:r w:rsidRPr="00BA4F8E">
        <w:rPr>
          <w:rFonts w:eastAsia="MS Mincho"/>
        </w:rPr>
        <w:t xml:space="preserve">Profilování stávajících domén specializace – tj. jejich zúžení a zacílení – se nepovažuje za aktualizaci Národní RIS3 strategie a probíhá průběžně jako součást EDP.  </w:t>
      </w:r>
    </w:p>
    <w:p w14:paraId="000EF8B7" w14:textId="75639966" w:rsidR="006F66B0" w:rsidRPr="00BA4F8E" w:rsidRDefault="00B92AF5" w:rsidP="00CB16C8">
      <w:pPr>
        <w:spacing w:after="0" w:line="360" w:lineRule="auto"/>
        <w:ind w:firstLine="708"/>
        <w:jc w:val="both"/>
        <w:rPr>
          <w:rFonts w:eastAsia="MS Mincho"/>
          <w:b/>
          <w:i/>
        </w:rPr>
      </w:pPr>
      <w:r>
        <w:rPr>
          <w:rFonts w:eastAsia="MS Mincho"/>
        </w:rPr>
        <w:t xml:space="preserve">Aktualizace probíhá v návaznosti na evaluační činnosti Národní RIS3 strategie (viz kap. výše). </w:t>
      </w:r>
      <w:r w:rsidR="006F66B0" w:rsidRPr="00BA4F8E">
        <w:rPr>
          <w:rFonts w:eastAsia="MS Mincho"/>
        </w:rPr>
        <w:t>Pokud hodnocení nepřinesou požadavky na změny, pak se zásadní aktualizace neuskuteční</w:t>
      </w:r>
      <w:r>
        <w:rPr>
          <w:rFonts w:eastAsia="MS Mincho"/>
        </w:rPr>
        <w:t>. Řídicí výbor RIS3, a také</w:t>
      </w:r>
      <w:r w:rsidR="006F66B0" w:rsidRPr="00BA4F8E">
        <w:rPr>
          <w:rFonts w:eastAsia="MS Mincho"/>
        </w:rPr>
        <w:t xml:space="preserve"> vláda</w:t>
      </w:r>
      <w:r>
        <w:rPr>
          <w:rFonts w:eastAsia="MS Mincho"/>
        </w:rPr>
        <w:t xml:space="preserve"> ČR, js</w:t>
      </w:r>
      <w:r w:rsidR="006F66B0" w:rsidRPr="00BA4F8E">
        <w:rPr>
          <w:rFonts w:eastAsia="MS Mincho"/>
        </w:rPr>
        <w:t>o</w:t>
      </w:r>
      <w:r w:rsidR="00CA3E6C">
        <w:rPr>
          <w:rFonts w:eastAsia="MS Mincho"/>
        </w:rPr>
        <w:t>u o této skutečnosti informovány</w:t>
      </w:r>
      <w:r w:rsidR="006F66B0" w:rsidRPr="00BA4F8E">
        <w:rPr>
          <w:rFonts w:eastAsia="MS Mincho"/>
        </w:rPr>
        <w:t xml:space="preserve">.  </w:t>
      </w:r>
    </w:p>
    <w:p w14:paraId="59682E4A" w14:textId="77777777" w:rsidR="006F66B0" w:rsidRPr="00BA4F8E" w:rsidRDefault="006F66B0" w:rsidP="006F66B0">
      <w:pPr>
        <w:spacing w:before="240" w:line="360" w:lineRule="auto"/>
        <w:jc w:val="both"/>
        <w:rPr>
          <w:b/>
        </w:rPr>
      </w:pPr>
      <w:r w:rsidRPr="00BA4F8E">
        <w:rPr>
          <w:b/>
        </w:rPr>
        <w:t xml:space="preserve">Spolupráce s Krajskými RIS3 manažery při aktualizaci Národní RIS3 strategie </w:t>
      </w:r>
    </w:p>
    <w:p w14:paraId="0CC4B45D" w14:textId="77777777" w:rsidR="006F66B0" w:rsidRPr="00BA4F8E" w:rsidRDefault="006F66B0" w:rsidP="0014021D">
      <w:pPr>
        <w:spacing w:after="0" w:line="360" w:lineRule="auto"/>
        <w:ind w:firstLine="708"/>
        <w:jc w:val="both"/>
        <w:rPr>
          <w:rFonts w:eastAsia="MS Mincho"/>
        </w:rPr>
      </w:pPr>
      <w:r w:rsidRPr="00BA4F8E">
        <w:rPr>
          <w:rFonts w:eastAsia="MS Mincho"/>
        </w:rPr>
        <w:t>Krajské přílohy RIS3 strategie se aktualizují 6 měsíců před aktualizací Národní RIS3 strategie. Postupy a průběh aktualizace krajských příloh RIS3 strategie se řídí podobnými postupy, jako vlastní příprava krajských příloh a na základě obdobných informací, jako je uvedeno výše pro aktualizaci Národní RIS3 strategie, s omezením na informace relevantní pro danou krajskou přílohu</w:t>
      </w:r>
      <w:r w:rsidRPr="00BA4F8E">
        <w:rPr>
          <w:vertAlign w:val="superscript"/>
        </w:rPr>
        <w:footnoteReference w:id="138"/>
      </w:r>
      <w:r w:rsidRPr="00BA4F8E">
        <w:rPr>
          <w:rFonts w:eastAsia="MS Mincho"/>
        </w:rPr>
        <w:t>. Aktualizované krajské přílohy RIS3 strategie jsou vstupem pro aktualizaci Národní RIS3 strategie. Aktualizace Národní RIS3 strategie není agregací aktualizací krajských příloh RIS3 strategie, ale využívá jejich informací pro úpravu vlastního dokumentu.</w:t>
      </w:r>
    </w:p>
    <w:p w14:paraId="71480EFA" w14:textId="77777777" w:rsidR="006F66B0" w:rsidRPr="00BA4F8E" w:rsidRDefault="006F66B0" w:rsidP="0014021D">
      <w:pPr>
        <w:autoSpaceDE w:val="0"/>
        <w:autoSpaceDN w:val="0"/>
        <w:adjustRightInd w:val="0"/>
        <w:spacing w:after="0" w:line="360" w:lineRule="auto"/>
        <w:ind w:firstLine="360"/>
        <w:jc w:val="both"/>
      </w:pPr>
      <w:r w:rsidRPr="00BA4F8E">
        <w:t>Aktualizace krajských příloh RIS3 strategie není nutná v případě: zpřesnění obsahu aplikačního odvětví, dílčího doplnění aplikačního odvětví, změny indikátorů či jejich doplnění, apod. Aktualizace krajských příloh RIS3 strategie je nutná v případě: zásadních změn v zaměření a obsahu krajské RIS3 strategie, velkých změn v zaměření aplikačních odvětví (přidání nového aplikačního odvětví, zrušení stávajícího aplikačního odvětví).</w:t>
      </w:r>
    </w:p>
    <w:p w14:paraId="747379B0" w14:textId="776F84FF" w:rsidR="006F66B0" w:rsidRPr="00BA4F8E" w:rsidRDefault="006F66B0" w:rsidP="0014021D">
      <w:pPr>
        <w:autoSpaceDE w:val="0"/>
        <w:autoSpaceDN w:val="0"/>
        <w:adjustRightInd w:val="0"/>
        <w:spacing w:after="240" w:line="360" w:lineRule="auto"/>
        <w:ind w:firstLine="360"/>
        <w:jc w:val="both"/>
      </w:pPr>
      <w:r w:rsidRPr="00BA4F8E">
        <w:t xml:space="preserve">Rozhodnutí o ne/aktualizaci strategie závisí na nastavení pravomocí každé konkrétní Krajské rady pro inovace. Pokud do jejích kompetencí spadá i aktualizace, pak stačí jen její schválení. Jinak je potřeba, aby ne/aktualizaci schválil orgán, který schvaloval původní krajskou RIS3, tj. obvykle zastupitelstvo kraje. Partnerem pro komunikaci s Národním RIS3 manažerem je Krajský RIS3 koordinátor </w:t>
      </w:r>
      <w:r w:rsidRPr="00283C64">
        <w:t>(viz kap.</w:t>
      </w:r>
      <w:r w:rsidRPr="00283C64">
        <w:rPr>
          <w:color w:val="1682C2" w:themeColor="background2" w:themeShade="80"/>
        </w:rPr>
        <w:t xml:space="preserve"> </w:t>
      </w:r>
      <w:r w:rsidR="00283C64" w:rsidRPr="00ED067C">
        <w:fldChar w:fldCharType="begin"/>
      </w:r>
      <w:r w:rsidR="00283C64" w:rsidRPr="00ED067C">
        <w:instrText xml:space="preserve"> REF _Ref521492840 \r \h  \* MERGEFORMAT </w:instrText>
      </w:r>
      <w:r w:rsidR="00283C64" w:rsidRPr="00ED067C">
        <w:fldChar w:fldCharType="separate"/>
      </w:r>
      <w:r w:rsidR="00DE40D4">
        <w:t>7.3.3</w:t>
      </w:r>
      <w:r w:rsidR="00283C64" w:rsidRPr="00ED067C">
        <w:fldChar w:fldCharType="end"/>
      </w:r>
      <w:r w:rsidRPr="00ED067C">
        <w:t xml:space="preserve"> </w:t>
      </w:r>
      <w:r w:rsidR="00283C64" w:rsidRPr="00ED067C">
        <w:fldChar w:fldCharType="begin"/>
      </w:r>
      <w:r w:rsidR="00283C64" w:rsidRPr="00ED067C">
        <w:instrText xml:space="preserve"> REF _Ref521492829 \h  \* MERGEFORMAT </w:instrText>
      </w:r>
      <w:r w:rsidR="00283C64" w:rsidRPr="00ED067C">
        <w:fldChar w:fldCharType="separate"/>
      </w:r>
      <w:r w:rsidR="00DE40D4" w:rsidRPr="00EF4A38">
        <w:t>Krajská úroveň</w:t>
      </w:r>
      <w:r w:rsidR="00283C64" w:rsidRPr="00ED067C">
        <w:fldChar w:fldCharType="end"/>
      </w:r>
      <w:r w:rsidRPr="00283C64">
        <w:t>)</w:t>
      </w:r>
      <w:r w:rsidRPr="00BA4F8E">
        <w:t>. Krajský RIS3 koordinátor tedy zasílá Národnímu RIS3 manažerovi veškeré dokumenty související s ne/aktualizací krajské RIS3.</w:t>
      </w:r>
    </w:p>
    <w:p w14:paraId="0D10524C" w14:textId="77777777" w:rsidR="006F66B0" w:rsidRPr="00BA4F8E" w:rsidRDefault="006F66B0" w:rsidP="006F66B0">
      <w:pPr>
        <w:ind w:firstLine="708"/>
        <w:rPr>
          <w:rFonts w:eastAsia="MS Mincho"/>
        </w:rPr>
      </w:pPr>
      <w:r w:rsidRPr="00BA4F8E">
        <w:rPr>
          <w:rFonts w:eastAsia="MS Mincho"/>
        </w:rPr>
        <w:t xml:space="preserve">  </w:t>
      </w:r>
    </w:p>
    <w:p w14:paraId="4631DCBD" w14:textId="5AC1B22D" w:rsidR="00F571ED" w:rsidRPr="00BA4F8E" w:rsidRDefault="00F571ED">
      <w:pPr>
        <w:spacing w:after="200" w:line="276" w:lineRule="auto"/>
      </w:pPr>
      <w:r w:rsidRPr="00BA4F8E">
        <w:br w:type="page"/>
      </w:r>
    </w:p>
    <w:p w14:paraId="5CFC5DBD" w14:textId="6B2FFCF7" w:rsidR="006E6688" w:rsidRDefault="006E6688" w:rsidP="00EF4A38">
      <w:pPr>
        <w:pStyle w:val="Nadpis1"/>
      </w:pPr>
      <w:bookmarkStart w:id="210" w:name="_Ref521492077"/>
      <w:bookmarkStart w:id="211" w:name="_Ref521492106"/>
      <w:bookmarkStart w:id="212" w:name="_Toc525716268"/>
      <w:r w:rsidRPr="00EF4A38">
        <w:t>Financování Národní RIS3 strategie</w:t>
      </w:r>
      <w:bookmarkEnd w:id="210"/>
      <w:bookmarkEnd w:id="211"/>
      <w:bookmarkEnd w:id="212"/>
    </w:p>
    <w:p w14:paraId="47D223DA" w14:textId="34AD225F" w:rsidR="009A5408" w:rsidRPr="009A5408" w:rsidRDefault="009A5408" w:rsidP="009A5408">
      <w:pPr>
        <w:pStyle w:val="Nadpis2"/>
      </w:pPr>
      <w:bookmarkStart w:id="213" w:name="_Toc525716269"/>
      <w:r>
        <w:t>Operační programy</w:t>
      </w:r>
      <w:bookmarkEnd w:id="213"/>
    </w:p>
    <w:p w14:paraId="010F08C6" w14:textId="62939442" w:rsidR="001D4B99" w:rsidRDefault="00E2504C" w:rsidP="00E2504C">
      <w:pPr>
        <w:spacing w:before="120" w:after="200" w:line="360" w:lineRule="auto"/>
        <w:ind w:firstLine="432"/>
        <w:jc w:val="both"/>
      </w:pPr>
      <w:r w:rsidRPr="00E2504C">
        <w:t>Alokace finanční podpory vyčleněné na podporu a rozvoj Národní RIS3 strategie v operačních programech jsou vyčíslené</w:t>
      </w:r>
      <w:r w:rsidRPr="00B635BD">
        <w:t xml:space="preserve"> v </w:t>
      </w:r>
      <w:r w:rsidR="0000058C" w:rsidRPr="00B635BD">
        <w:rPr>
          <w:highlight w:val="yellow"/>
        </w:rPr>
        <w:fldChar w:fldCharType="begin"/>
      </w:r>
      <w:r w:rsidR="0000058C" w:rsidRPr="00B635BD">
        <w:instrText xml:space="preserve"> REF _Ref521484481 \h </w:instrText>
      </w:r>
      <w:r w:rsidR="0000058C" w:rsidRPr="00B635BD">
        <w:rPr>
          <w:highlight w:val="yellow"/>
        </w:rPr>
      </w:r>
      <w:r w:rsidR="0000058C" w:rsidRPr="00B635BD">
        <w:rPr>
          <w:highlight w:val="yellow"/>
        </w:rPr>
        <w:fldChar w:fldCharType="separate"/>
      </w:r>
      <w:r w:rsidR="00950CA7">
        <w:t>Tabulce</w:t>
      </w:r>
      <w:r w:rsidR="00DE40D4">
        <w:t xml:space="preserve"> </w:t>
      </w:r>
      <w:r w:rsidR="00DE40D4">
        <w:rPr>
          <w:noProof/>
        </w:rPr>
        <w:t>14</w:t>
      </w:r>
      <w:r w:rsidR="0000058C" w:rsidRPr="00B635BD">
        <w:rPr>
          <w:highlight w:val="yellow"/>
        </w:rPr>
        <w:fldChar w:fldCharType="end"/>
      </w:r>
      <w:r w:rsidRPr="00B635BD">
        <w:t>.</w:t>
      </w:r>
      <w:r w:rsidRPr="00E2504C">
        <w:t xml:space="preserve"> Výše přičleněných finančních prostředků byla ověřena u příslušných rezortů a aktualizována k 31. 7. 2018</w:t>
      </w:r>
      <w:r w:rsidRPr="00E2504C">
        <w:rPr>
          <w:rStyle w:val="Znakapoznpodarou"/>
        </w:rPr>
        <w:footnoteReference w:id="139"/>
      </w:r>
      <w:r w:rsidRPr="00E2504C">
        <w:t>. Financování Národní RIS3 strategie vychází z návrhu alokací operačních programů.</w:t>
      </w:r>
      <w:r w:rsidRPr="00E2504C">
        <w:rPr>
          <w:b/>
        </w:rPr>
        <w:t xml:space="preserve"> </w:t>
      </w:r>
      <w:r w:rsidRPr="00DC248F">
        <w:t xml:space="preserve">Pro </w:t>
      </w:r>
      <w:r w:rsidR="00D30F8B">
        <w:t xml:space="preserve">operační program </w:t>
      </w:r>
      <w:r w:rsidRPr="00DC248F">
        <w:t xml:space="preserve">OP PIK je stanoveno nulové spolufinancování podnikatelských subjektů z veřejných zdrojů. </w:t>
      </w:r>
      <w:r w:rsidR="00DC248F">
        <w:t>U operačního programu OP VVV platí, že n</w:t>
      </w:r>
      <w:r w:rsidR="00DC248F" w:rsidRPr="00DC248F">
        <w:t>a rozdíl od výzev v PO1 a v SC5 IP1 PO2, pro něž je RIS3 strategie ex-ante kondicionalitou, pro výzvy OP VVV v PO3 a</w:t>
      </w:r>
      <w:r w:rsidR="00DC248F">
        <w:t> </w:t>
      </w:r>
      <w:r w:rsidR="00DC248F" w:rsidRPr="00DC248F">
        <w:t>SC1-SC4 IP1 a celá IP2 PO2 není RIS3 strategie ex-ante kondicionalitou, jejich příspěvek k cílům RIS3 je pouze dílčí a z uváděné celkové alokace na výzvu je podíl alokace s relevancí pro RIS3 stanoven na základě kvalifikovaného odhadu.</w:t>
      </w:r>
    </w:p>
    <w:p w14:paraId="7701F3AF" w14:textId="77777777" w:rsidR="001731F5" w:rsidRDefault="001731F5" w:rsidP="00E2504C">
      <w:pPr>
        <w:spacing w:before="120" w:after="200" w:line="360" w:lineRule="auto"/>
        <w:ind w:firstLine="432"/>
        <w:jc w:val="both"/>
      </w:pPr>
    </w:p>
    <w:p w14:paraId="06D4C888" w14:textId="417F3496" w:rsidR="0000058C" w:rsidRDefault="0000058C" w:rsidP="00580DE3">
      <w:pPr>
        <w:pStyle w:val="Titulek"/>
      </w:pPr>
      <w:bookmarkStart w:id="214" w:name="_Ref521484481"/>
      <w:bookmarkStart w:id="215" w:name="_Toc524677674"/>
      <w:r>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14</w:t>
      </w:r>
      <w:r w:rsidR="00EE7C52">
        <w:rPr>
          <w:noProof/>
        </w:rPr>
        <w:fldChar w:fldCharType="end"/>
      </w:r>
      <w:bookmarkEnd w:id="214"/>
      <w:r>
        <w:t xml:space="preserve"> - </w:t>
      </w:r>
      <w:r w:rsidRPr="00A0641C">
        <w:t>Indikativní přičlenění finančních prostředků</w:t>
      </w:r>
      <w:r>
        <w:rPr>
          <w:rStyle w:val="Znakapoznpodarou"/>
        </w:rPr>
        <w:footnoteReference w:id="140"/>
      </w:r>
      <w:r w:rsidRPr="00A0641C">
        <w:t xml:space="preserve"> operačních programů ke klíčovým oblastem změn </w:t>
      </w:r>
      <w:r>
        <w:t xml:space="preserve">Národní </w:t>
      </w:r>
      <w:r w:rsidRPr="00A0641C">
        <w:t>RIS3</w:t>
      </w:r>
      <w:r>
        <w:t xml:space="preserve"> strategie</w:t>
      </w:r>
      <w:bookmarkEnd w:id="215"/>
    </w:p>
    <w:tbl>
      <w:tblPr>
        <w:tblpPr w:leftFromText="141" w:rightFromText="141" w:vertAnchor="text" w:tblpXSpec="center" w:tblpY="1"/>
        <w:tblOverlap w:val="never"/>
        <w:tblW w:w="5073" w:type="pct"/>
        <w:tblBorders>
          <w:top w:val="single" w:sz="8" w:space="0" w:color="80A1B6"/>
          <w:left w:val="single" w:sz="8" w:space="0" w:color="80A1B6"/>
          <w:bottom w:val="single" w:sz="8" w:space="0" w:color="80A1B6"/>
          <w:right w:val="single" w:sz="8" w:space="0" w:color="80A1B6"/>
          <w:insideH w:val="single" w:sz="8" w:space="0" w:color="80A1B6"/>
          <w:insideV w:val="single" w:sz="8" w:space="0" w:color="80A1B6"/>
        </w:tblBorders>
        <w:tblCellMar>
          <w:left w:w="70" w:type="dxa"/>
          <w:right w:w="70" w:type="dxa"/>
        </w:tblCellMar>
        <w:tblLook w:val="01E0" w:firstRow="1" w:lastRow="1" w:firstColumn="1" w:lastColumn="1" w:noHBand="0" w:noVBand="0"/>
      </w:tblPr>
      <w:tblGrid>
        <w:gridCol w:w="3594"/>
        <w:gridCol w:w="505"/>
        <w:gridCol w:w="689"/>
        <w:gridCol w:w="1400"/>
        <w:gridCol w:w="1820"/>
        <w:gridCol w:w="1176"/>
      </w:tblGrid>
      <w:tr w:rsidR="0000058C" w:rsidRPr="003C6B99" w14:paraId="0C40AD19" w14:textId="77777777" w:rsidTr="001731F5">
        <w:trPr>
          <w:trHeight w:val="962"/>
        </w:trPr>
        <w:tc>
          <w:tcPr>
            <w:tcW w:w="1957" w:type="pct"/>
            <w:shd w:val="clear" w:color="auto" w:fill="004B8D"/>
            <w:vAlign w:val="center"/>
            <w:hideMark/>
          </w:tcPr>
          <w:p w14:paraId="1161470D" w14:textId="77777777" w:rsidR="0000058C" w:rsidRPr="00443699" w:rsidRDefault="0000058C" w:rsidP="009E1480">
            <w:pPr>
              <w:rPr>
                <w:b/>
                <w:bCs/>
                <w:color w:val="FFFFFF"/>
                <w:sz w:val="18"/>
                <w:szCs w:val="18"/>
              </w:rPr>
            </w:pPr>
            <w:r w:rsidRPr="00443699">
              <w:rPr>
                <w:b/>
                <w:bCs/>
                <w:color w:val="FFFFFF"/>
                <w:sz w:val="18"/>
                <w:szCs w:val="18"/>
              </w:rPr>
              <w:t>Klíčová oblast změn</w:t>
            </w:r>
          </w:p>
        </w:tc>
        <w:tc>
          <w:tcPr>
            <w:tcW w:w="275" w:type="pct"/>
            <w:shd w:val="clear" w:color="auto" w:fill="004B8D"/>
            <w:vAlign w:val="center"/>
            <w:hideMark/>
          </w:tcPr>
          <w:p w14:paraId="5BEF7D2F" w14:textId="77777777" w:rsidR="0000058C" w:rsidRPr="00443699" w:rsidRDefault="0000058C" w:rsidP="009E1480">
            <w:pPr>
              <w:rPr>
                <w:b/>
                <w:bCs/>
                <w:color w:val="FFFFFF"/>
                <w:sz w:val="18"/>
                <w:szCs w:val="18"/>
              </w:rPr>
            </w:pPr>
            <w:r w:rsidRPr="00443699">
              <w:rPr>
                <w:b/>
                <w:bCs/>
                <w:color w:val="FFFFFF"/>
                <w:sz w:val="18"/>
                <w:szCs w:val="18"/>
              </w:rPr>
              <w:t>OP</w:t>
            </w:r>
          </w:p>
        </w:tc>
        <w:tc>
          <w:tcPr>
            <w:tcW w:w="375" w:type="pct"/>
            <w:shd w:val="clear" w:color="auto" w:fill="004B8D"/>
            <w:vAlign w:val="center"/>
            <w:hideMark/>
          </w:tcPr>
          <w:p w14:paraId="0DA26E83" w14:textId="77777777" w:rsidR="0000058C" w:rsidRPr="00443699" w:rsidRDefault="0000058C" w:rsidP="009E1480">
            <w:pPr>
              <w:rPr>
                <w:b/>
                <w:bCs/>
                <w:color w:val="FFFFFF"/>
                <w:sz w:val="18"/>
                <w:szCs w:val="18"/>
              </w:rPr>
            </w:pPr>
            <w:r w:rsidRPr="00443699">
              <w:rPr>
                <w:b/>
                <w:bCs/>
                <w:color w:val="FFFFFF"/>
                <w:sz w:val="18"/>
                <w:szCs w:val="18"/>
              </w:rPr>
              <w:t>SC OP</w:t>
            </w:r>
          </w:p>
        </w:tc>
        <w:tc>
          <w:tcPr>
            <w:tcW w:w="762" w:type="pct"/>
            <w:shd w:val="clear" w:color="auto" w:fill="004B8D"/>
            <w:vAlign w:val="center"/>
            <w:hideMark/>
          </w:tcPr>
          <w:p w14:paraId="2B76436D" w14:textId="77777777" w:rsidR="0000058C" w:rsidRPr="00443699" w:rsidRDefault="0000058C" w:rsidP="009E1480">
            <w:pPr>
              <w:rPr>
                <w:b/>
                <w:bCs/>
                <w:color w:val="FFFFFF"/>
                <w:sz w:val="18"/>
                <w:szCs w:val="18"/>
              </w:rPr>
            </w:pPr>
            <w:r w:rsidRPr="00443699">
              <w:rPr>
                <w:b/>
                <w:bCs/>
                <w:color w:val="FFFFFF"/>
                <w:sz w:val="18"/>
                <w:szCs w:val="18"/>
              </w:rPr>
              <w:t xml:space="preserve">Příspěvek ESIF </w:t>
            </w:r>
          </w:p>
          <w:p w14:paraId="73056A09" w14:textId="77777777" w:rsidR="0000058C" w:rsidRPr="00443699" w:rsidRDefault="0000058C" w:rsidP="009E1480">
            <w:pPr>
              <w:rPr>
                <w:b/>
                <w:bCs/>
                <w:color w:val="FFFFFF"/>
                <w:sz w:val="18"/>
                <w:szCs w:val="18"/>
              </w:rPr>
            </w:pPr>
            <w:r w:rsidRPr="00443699">
              <w:rPr>
                <w:b/>
                <w:color w:val="FFFFFF"/>
                <w:sz w:val="18"/>
                <w:szCs w:val="18"/>
              </w:rPr>
              <w:t>(v EUR)</w:t>
            </w:r>
          </w:p>
        </w:tc>
        <w:tc>
          <w:tcPr>
            <w:tcW w:w="991" w:type="pct"/>
            <w:shd w:val="clear" w:color="auto" w:fill="004B8D"/>
            <w:vAlign w:val="center"/>
            <w:hideMark/>
          </w:tcPr>
          <w:p w14:paraId="31C1D960" w14:textId="77777777" w:rsidR="0000058C" w:rsidRPr="00443699" w:rsidRDefault="0000058C" w:rsidP="009E1480">
            <w:pPr>
              <w:rPr>
                <w:b/>
                <w:bCs/>
                <w:color w:val="FFFFFF"/>
                <w:sz w:val="18"/>
                <w:szCs w:val="18"/>
              </w:rPr>
            </w:pPr>
            <w:r w:rsidRPr="00443699">
              <w:rPr>
                <w:b/>
                <w:bCs/>
                <w:color w:val="FFFFFF"/>
                <w:sz w:val="18"/>
                <w:szCs w:val="18"/>
              </w:rPr>
              <w:t xml:space="preserve">Národní spolufinancování (veřejné a neveřejné) </w:t>
            </w:r>
          </w:p>
          <w:p w14:paraId="74BD0652" w14:textId="77777777" w:rsidR="0000058C" w:rsidRPr="00443699" w:rsidRDefault="0000058C" w:rsidP="009E1480">
            <w:pPr>
              <w:rPr>
                <w:b/>
                <w:bCs/>
                <w:color w:val="FFFFFF"/>
                <w:sz w:val="18"/>
                <w:szCs w:val="18"/>
              </w:rPr>
            </w:pPr>
            <w:r w:rsidRPr="00443699">
              <w:rPr>
                <w:b/>
                <w:color w:val="FFFFFF"/>
                <w:sz w:val="18"/>
                <w:szCs w:val="18"/>
              </w:rPr>
              <w:t>(v EUR)</w:t>
            </w:r>
          </w:p>
        </w:tc>
        <w:tc>
          <w:tcPr>
            <w:tcW w:w="640" w:type="pct"/>
            <w:shd w:val="clear" w:color="auto" w:fill="004B8D"/>
            <w:vAlign w:val="center"/>
            <w:hideMark/>
          </w:tcPr>
          <w:p w14:paraId="12A87ED0" w14:textId="77777777" w:rsidR="0000058C" w:rsidRPr="00443699" w:rsidRDefault="0000058C" w:rsidP="009E1480">
            <w:pPr>
              <w:rPr>
                <w:b/>
                <w:bCs/>
                <w:color w:val="FFFFFF"/>
                <w:sz w:val="18"/>
                <w:szCs w:val="18"/>
              </w:rPr>
            </w:pPr>
            <w:r w:rsidRPr="00443699">
              <w:rPr>
                <w:b/>
                <w:bCs/>
                <w:color w:val="FFFFFF"/>
                <w:sz w:val="18"/>
                <w:szCs w:val="18"/>
              </w:rPr>
              <w:t xml:space="preserve">Celkem </w:t>
            </w:r>
          </w:p>
          <w:p w14:paraId="6515B153" w14:textId="77777777" w:rsidR="0000058C" w:rsidRPr="00443699" w:rsidRDefault="0000058C" w:rsidP="009E1480">
            <w:pPr>
              <w:rPr>
                <w:b/>
                <w:bCs/>
                <w:color w:val="FFFFFF"/>
                <w:sz w:val="18"/>
                <w:szCs w:val="18"/>
              </w:rPr>
            </w:pPr>
            <w:r w:rsidRPr="00443699">
              <w:rPr>
                <w:b/>
                <w:color w:val="FFFFFF"/>
                <w:sz w:val="18"/>
                <w:szCs w:val="18"/>
              </w:rPr>
              <w:t>(v EUR)</w:t>
            </w:r>
          </w:p>
        </w:tc>
      </w:tr>
      <w:tr w:rsidR="0000058C" w:rsidRPr="003C6B99" w14:paraId="75E8166D" w14:textId="77777777" w:rsidTr="001731F5">
        <w:trPr>
          <w:trHeight w:val="456"/>
        </w:trPr>
        <w:tc>
          <w:tcPr>
            <w:tcW w:w="1957" w:type="pct"/>
            <w:vMerge w:val="restart"/>
            <w:shd w:val="clear" w:color="auto" w:fill="CFF0FB" w:themeFill="accent6" w:themeFillTint="33"/>
            <w:vAlign w:val="center"/>
            <w:hideMark/>
          </w:tcPr>
          <w:p w14:paraId="283D59CC"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A: Vyšší inovační výkonnost firem</w:t>
            </w:r>
          </w:p>
        </w:tc>
        <w:tc>
          <w:tcPr>
            <w:tcW w:w="275" w:type="pct"/>
            <w:vMerge w:val="restart"/>
            <w:shd w:val="clear" w:color="auto" w:fill="CFF0FB" w:themeFill="accent6" w:themeFillTint="33"/>
            <w:textDirection w:val="btLr"/>
            <w:vAlign w:val="center"/>
            <w:hideMark/>
          </w:tcPr>
          <w:p w14:paraId="54AAA60C" w14:textId="77777777" w:rsidR="0000058C" w:rsidRPr="003C6B99" w:rsidRDefault="0000058C" w:rsidP="009E1480">
            <w:pPr>
              <w:spacing w:after="0" w:line="240" w:lineRule="auto"/>
              <w:ind w:left="113" w:right="113"/>
              <w:jc w:val="center"/>
              <w:rPr>
                <w:rFonts w:eastAsia="Times New Roman" w:cs="Times New Roman"/>
                <w:b/>
                <w:bCs/>
                <w:color w:val="000000"/>
                <w:sz w:val="18"/>
                <w:szCs w:val="18"/>
                <w:lang w:eastAsia="cs-CZ"/>
              </w:rPr>
            </w:pPr>
            <w:r w:rsidRPr="003C6B99">
              <w:rPr>
                <w:rFonts w:eastAsia="Times New Roman" w:cs="Times New Roman"/>
                <w:b/>
                <w:bCs/>
                <w:color w:val="000000" w:themeColor="text1"/>
                <w:sz w:val="18"/>
                <w:szCs w:val="18"/>
                <w:lang w:eastAsia="cs-CZ"/>
              </w:rPr>
              <w:t>OP PIK</w:t>
            </w:r>
          </w:p>
        </w:tc>
        <w:tc>
          <w:tcPr>
            <w:tcW w:w="375" w:type="pct"/>
            <w:shd w:val="clear" w:color="auto" w:fill="CFF0FB" w:themeFill="accent6" w:themeFillTint="33"/>
            <w:vAlign w:val="center"/>
            <w:hideMark/>
          </w:tcPr>
          <w:p w14:paraId="31B10A61"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SC 1.1</w:t>
            </w:r>
          </w:p>
        </w:tc>
        <w:tc>
          <w:tcPr>
            <w:tcW w:w="762" w:type="pct"/>
            <w:shd w:val="clear" w:color="auto" w:fill="CFF0FB" w:themeFill="accent6" w:themeFillTint="33"/>
            <w:noWrap/>
            <w:vAlign w:val="center"/>
            <w:hideMark/>
          </w:tcPr>
          <w:p w14:paraId="6FE7F3EB"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1 074 358 932</w:t>
            </w:r>
          </w:p>
        </w:tc>
        <w:tc>
          <w:tcPr>
            <w:tcW w:w="991" w:type="pct"/>
            <w:shd w:val="clear" w:color="auto" w:fill="CFF0FB" w:themeFill="accent6" w:themeFillTint="33"/>
            <w:noWrap/>
            <w:vAlign w:val="center"/>
            <w:hideMark/>
          </w:tcPr>
          <w:p w14:paraId="30855F8E"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1 135 688 781</w:t>
            </w:r>
          </w:p>
        </w:tc>
        <w:tc>
          <w:tcPr>
            <w:tcW w:w="640" w:type="pct"/>
            <w:shd w:val="clear" w:color="auto" w:fill="CFF0FB" w:themeFill="accent6" w:themeFillTint="33"/>
            <w:noWrap/>
            <w:vAlign w:val="center"/>
            <w:hideMark/>
          </w:tcPr>
          <w:p w14:paraId="07AF94B2"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2 210 047 713</w:t>
            </w:r>
          </w:p>
        </w:tc>
      </w:tr>
      <w:tr w:rsidR="0000058C" w:rsidRPr="003C6B99" w14:paraId="1F53E66A" w14:textId="77777777" w:rsidTr="001731F5">
        <w:trPr>
          <w:trHeight w:val="456"/>
        </w:trPr>
        <w:tc>
          <w:tcPr>
            <w:tcW w:w="1957" w:type="pct"/>
            <w:vMerge/>
            <w:shd w:val="clear" w:color="auto" w:fill="CFF0FB" w:themeFill="accent6" w:themeFillTint="33"/>
            <w:vAlign w:val="center"/>
            <w:hideMark/>
          </w:tcPr>
          <w:p w14:paraId="63B1426A"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275" w:type="pct"/>
            <w:vMerge/>
            <w:shd w:val="clear" w:color="auto" w:fill="CFF0FB" w:themeFill="accent6" w:themeFillTint="33"/>
            <w:vAlign w:val="center"/>
            <w:hideMark/>
          </w:tcPr>
          <w:p w14:paraId="224DCF3A"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375" w:type="pct"/>
            <w:shd w:val="clear" w:color="auto" w:fill="CFF0FB" w:themeFill="accent6" w:themeFillTint="33"/>
            <w:vAlign w:val="center"/>
            <w:hideMark/>
          </w:tcPr>
          <w:p w14:paraId="1E139B12"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SC 1.2</w:t>
            </w:r>
          </w:p>
        </w:tc>
        <w:tc>
          <w:tcPr>
            <w:tcW w:w="762" w:type="pct"/>
            <w:shd w:val="clear" w:color="auto" w:fill="CFF0FB" w:themeFill="accent6" w:themeFillTint="33"/>
            <w:vAlign w:val="center"/>
            <w:hideMark/>
          </w:tcPr>
          <w:p w14:paraId="7130C173"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245 136 519</w:t>
            </w:r>
          </w:p>
        </w:tc>
        <w:tc>
          <w:tcPr>
            <w:tcW w:w="991" w:type="pct"/>
            <w:shd w:val="clear" w:color="auto" w:fill="CFF0FB" w:themeFill="accent6" w:themeFillTint="33"/>
            <w:vAlign w:val="center"/>
            <w:hideMark/>
          </w:tcPr>
          <w:p w14:paraId="767A56A7"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259 130 153</w:t>
            </w:r>
          </w:p>
        </w:tc>
        <w:tc>
          <w:tcPr>
            <w:tcW w:w="640" w:type="pct"/>
            <w:shd w:val="clear" w:color="auto" w:fill="CFF0FB" w:themeFill="accent6" w:themeFillTint="33"/>
            <w:vAlign w:val="center"/>
            <w:hideMark/>
          </w:tcPr>
          <w:p w14:paraId="4E5B4ADD"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504 266 672</w:t>
            </w:r>
          </w:p>
        </w:tc>
      </w:tr>
      <w:tr w:rsidR="0000058C" w:rsidRPr="003C6B99" w14:paraId="18CC90CB" w14:textId="77777777" w:rsidTr="001731F5">
        <w:trPr>
          <w:trHeight w:val="456"/>
        </w:trPr>
        <w:tc>
          <w:tcPr>
            <w:tcW w:w="1957" w:type="pct"/>
            <w:vMerge/>
            <w:shd w:val="clear" w:color="auto" w:fill="CFF0FB" w:themeFill="accent6" w:themeFillTint="33"/>
            <w:vAlign w:val="center"/>
            <w:hideMark/>
          </w:tcPr>
          <w:p w14:paraId="70BB3A16"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275" w:type="pct"/>
            <w:vMerge/>
            <w:shd w:val="clear" w:color="auto" w:fill="CFF0FB" w:themeFill="accent6" w:themeFillTint="33"/>
            <w:vAlign w:val="center"/>
            <w:hideMark/>
          </w:tcPr>
          <w:p w14:paraId="59B04611"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375" w:type="pct"/>
            <w:shd w:val="clear" w:color="auto" w:fill="CFF0FB" w:themeFill="accent6" w:themeFillTint="33"/>
            <w:vAlign w:val="center"/>
            <w:hideMark/>
          </w:tcPr>
          <w:p w14:paraId="5A7CDF8D"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SC 2.1</w:t>
            </w:r>
            <w:r w:rsidRPr="003C6B99">
              <w:rPr>
                <w:rStyle w:val="Znakapoznpodarou"/>
                <w:rFonts w:eastAsia="Times New Roman" w:cs="Times New Roman"/>
                <w:bCs/>
                <w:color w:val="000000"/>
                <w:sz w:val="18"/>
                <w:szCs w:val="18"/>
                <w:lang w:eastAsia="cs-CZ"/>
              </w:rPr>
              <w:footnoteReference w:id="141"/>
            </w:r>
          </w:p>
        </w:tc>
        <w:tc>
          <w:tcPr>
            <w:tcW w:w="762" w:type="pct"/>
            <w:shd w:val="clear" w:color="auto" w:fill="CFF0FB" w:themeFill="accent6" w:themeFillTint="33"/>
            <w:noWrap/>
            <w:vAlign w:val="center"/>
            <w:hideMark/>
          </w:tcPr>
          <w:p w14:paraId="03991B36"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609 428 042</w:t>
            </w:r>
          </w:p>
        </w:tc>
        <w:tc>
          <w:tcPr>
            <w:tcW w:w="991" w:type="pct"/>
            <w:shd w:val="clear" w:color="auto" w:fill="CFF0FB" w:themeFill="accent6" w:themeFillTint="33"/>
            <w:noWrap/>
            <w:vAlign w:val="center"/>
            <w:hideMark/>
          </w:tcPr>
          <w:p w14:paraId="23B5AB2E"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293 096 703</w:t>
            </w:r>
          </w:p>
        </w:tc>
        <w:tc>
          <w:tcPr>
            <w:tcW w:w="640" w:type="pct"/>
            <w:shd w:val="clear" w:color="auto" w:fill="CFF0FB" w:themeFill="accent6" w:themeFillTint="33"/>
            <w:noWrap/>
            <w:vAlign w:val="center"/>
            <w:hideMark/>
          </w:tcPr>
          <w:p w14:paraId="0B74BEE8"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902 524 745</w:t>
            </w:r>
          </w:p>
        </w:tc>
      </w:tr>
      <w:tr w:rsidR="0000058C" w:rsidRPr="003C6B99" w14:paraId="70B3DD3B" w14:textId="77777777" w:rsidTr="001731F5">
        <w:trPr>
          <w:trHeight w:val="479"/>
        </w:trPr>
        <w:tc>
          <w:tcPr>
            <w:tcW w:w="1957" w:type="pct"/>
            <w:vMerge/>
            <w:shd w:val="clear" w:color="auto" w:fill="CFF0FB" w:themeFill="accent6" w:themeFillTint="33"/>
            <w:vAlign w:val="center"/>
            <w:hideMark/>
          </w:tcPr>
          <w:p w14:paraId="7ADB6C4C"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275" w:type="pct"/>
            <w:vMerge/>
            <w:shd w:val="clear" w:color="auto" w:fill="CFF0FB" w:themeFill="accent6" w:themeFillTint="33"/>
            <w:vAlign w:val="center"/>
            <w:hideMark/>
          </w:tcPr>
          <w:p w14:paraId="4ED6946C"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375" w:type="pct"/>
            <w:shd w:val="clear" w:color="auto" w:fill="CFF0FB" w:themeFill="accent6" w:themeFillTint="33"/>
            <w:vAlign w:val="center"/>
            <w:hideMark/>
          </w:tcPr>
          <w:p w14:paraId="1908D3F8"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SC 2.2</w:t>
            </w:r>
          </w:p>
        </w:tc>
        <w:tc>
          <w:tcPr>
            <w:tcW w:w="762" w:type="pct"/>
            <w:shd w:val="clear" w:color="auto" w:fill="CFF0FB" w:themeFill="accent6" w:themeFillTint="33"/>
            <w:noWrap/>
            <w:vAlign w:val="center"/>
            <w:hideMark/>
          </w:tcPr>
          <w:p w14:paraId="02B897AE"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56 540 420</w:t>
            </w:r>
          </w:p>
        </w:tc>
        <w:tc>
          <w:tcPr>
            <w:tcW w:w="991" w:type="pct"/>
            <w:shd w:val="clear" w:color="auto" w:fill="CFF0FB" w:themeFill="accent6" w:themeFillTint="33"/>
            <w:noWrap/>
            <w:vAlign w:val="center"/>
            <w:hideMark/>
          </w:tcPr>
          <w:p w14:paraId="7E9FA5BB"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27 192 400</w:t>
            </w:r>
          </w:p>
        </w:tc>
        <w:tc>
          <w:tcPr>
            <w:tcW w:w="640" w:type="pct"/>
            <w:shd w:val="clear" w:color="auto" w:fill="CFF0FB" w:themeFill="accent6" w:themeFillTint="33"/>
            <w:noWrap/>
            <w:vAlign w:val="center"/>
            <w:hideMark/>
          </w:tcPr>
          <w:p w14:paraId="4DA5E7A1"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83 732 820</w:t>
            </w:r>
          </w:p>
        </w:tc>
      </w:tr>
      <w:tr w:rsidR="0000058C" w:rsidRPr="003C6B99" w14:paraId="20A67B7E" w14:textId="77777777" w:rsidTr="001731F5">
        <w:trPr>
          <w:trHeight w:val="343"/>
        </w:trPr>
        <w:tc>
          <w:tcPr>
            <w:tcW w:w="1957" w:type="pct"/>
            <w:shd w:val="clear" w:color="auto" w:fill="CFF0FB" w:themeFill="accent6" w:themeFillTint="33"/>
            <w:vAlign w:val="center"/>
            <w:hideMark/>
          </w:tcPr>
          <w:p w14:paraId="3F3B2728"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C: Zvýšení ekonomických přínosů veřejného výzkumu</w:t>
            </w:r>
          </w:p>
        </w:tc>
        <w:tc>
          <w:tcPr>
            <w:tcW w:w="275" w:type="pct"/>
            <w:vMerge/>
            <w:shd w:val="clear" w:color="auto" w:fill="CFF0FB" w:themeFill="accent6" w:themeFillTint="33"/>
            <w:vAlign w:val="center"/>
            <w:hideMark/>
          </w:tcPr>
          <w:p w14:paraId="5B59F3C9"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375" w:type="pct"/>
            <w:shd w:val="clear" w:color="auto" w:fill="CFF0FB" w:themeFill="accent6" w:themeFillTint="33"/>
            <w:vAlign w:val="center"/>
            <w:hideMark/>
          </w:tcPr>
          <w:p w14:paraId="24EA4016"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SC 1.2</w:t>
            </w:r>
          </w:p>
        </w:tc>
        <w:tc>
          <w:tcPr>
            <w:tcW w:w="762" w:type="pct"/>
            <w:shd w:val="clear" w:color="auto" w:fill="CFF0FB" w:themeFill="accent6" w:themeFillTint="33"/>
            <w:vAlign w:val="center"/>
            <w:hideMark/>
          </w:tcPr>
          <w:p w14:paraId="49A94C35"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33 048 960</w:t>
            </w:r>
          </w:p>
        </w:tc>
        <w:tc>
          <w:tcPr>
            <w:tcW w:w="991" w:type="pct"/>
            <w:shd w:val="clear" w:color="auto" w:fill="CFF0FB" w:themeFill="accent6" w:themeFillTint="33"/>
            <w:vAlign w:val="center"/>
            <w:hideMark/>
          </w:tcPr>
          <w:p w14:paraId="7EDD5A47"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34 935 562</w:t>
            </w:r>
          </w:p>
        </w:tc>
        <w:tc>
          <w:tcPr>
            <w:tcW w:w="640" w:type="pct"/>
            <w:shd w:val="clear" w:color="auto" w:fill="CFF0FB" w:themeFill="accent6" w:themeFillTint="33"/>
            <w:vAlign w:val="center"/>
            <w:hideMark/>
          </w:tcPr>
          <w:p w14:paraId="0CDD4B82"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67 984 522</w:t>
            </w:r>
          </w:p>
        </w:tc>
      </w:tr>
      <w:tr w:rsidR="0000058C" w:rsidRPr="003C6B99" w14:paraId="322BA15C" w14:textId="77777777" w:rsidTr="001731F5">
        <w:trPr>
          <w:trHeight w:val="308"/>
        </w:trPr>
        <w:tc>
          <w:tcPr>
            <w:tcW w:w="1957" w:type="pct"/>
            <w:vMerge w:val="restart"/>
            <w:shd w:val="clear" w:color="auto" w:fill="CFF0FB" w:themeFill="accent6" w:themeFillTint="33"/>
            <w:vAlign w:val="center"/>
            <w:hideMark/>
          </w:tcPr>
          <w:p w14:paraId="2DDC4C45"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 xml:space="preserve">E: Rozvoj eGovernmentu a eBusinessu pro zvýšení konkurenceschopnosti </w:t>
            </w:r>
          </w:p>
          <w:p w14:paraId="7766AF15"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(rozvoj ICT a digitální agenda)</w:t>
            </w:r>
          </w:p>
        </w:tc>
        <w:tc>
          <w:tcPr>
            <w:tcW w:w="275" w:type="pct"/>
            <w:vMerge/>
            <w:shd w:val="clear" w:color="auto" w:fill="CFF0FB" w:themeFill="accent6" w:themeFillTint="33"/>
            <w:vAlign w:val="center"/>
            <w:hideMark/>
          </w:tcPr>
          <w:p w14:paraId="3957A56D"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375" w:type="pct"/>
            <w:shd w:val="clear" w:color="auto" w:fill="CFF0FB" w:themeFill="accent6" w:themeFillTint="33"/>
            <w:vAlign w:val="center"/>
            <w:hideMark/>
          </w:tcPr>
          <w:p w14:paraId="7272168B"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SC 4.1</w:t>
            </w:r>
          </w:p>
        </w:tc>
        <w:tc>
          <w:tcPr>
            <w:tcW w:w="762" w:type="pct"/>
            <w:shd w:val="clear" w:color="auto" w:fill="CFF0FB" w:themeFill="accent6" w:themeFillTint="33"/>
            <w:noWrap/>
            <w:vAlign w:val="center"/>
            <w:hideMark/>
          </w:tcPr>
          <w:p w14:paraId="1DD7CB6F"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521 380 364</w:t>
            </w:r>
          </w:p>
        </w:tc>
        <w:tc>
          <w:tcPr>
            <w:tcW w:w="991" w:type="pct"/>
            <w:shd w:val="clear" w:color="auto" w:fill="CFF0FB" w:themeFill="accent6" w:themeFillTint="33"/>
            <w:noWrap/>
            <w:vAlign w:val="center"/>
            <w:hideMark/>
          </w:tcPr>
          <w:p w14:paraId="7AA41B64"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471 203 877</w:t>
            </w:r>
          </w:p>
        </w:tc>
        <w:tc>
          <w:tcPr>
            <w:tcW w:w="640" w:type="pct"/>
            <w:shd w:val="clear" w:color="auto" w:fill="CFF0FB" w:themeFill="accent6" w:themeFillTint="33"/>
            <w:noWrap/>
            <w:vAlign w:val="center"/>
            <w:hideMark/>
          </w:tcPr>
          <w:p w14:paraId="04BBC2C5"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992 584 241</w:t>
            </w:r>
          </w:p>
        </w:tc>
      </w:tr>
      <w:tr w:rsidR="0000058C" w:rsidRPr="003C6B99" w14:paraId="0B8D848B" w14:textId="77777777" w:rsidTr="001731F5">
        <w:trPr>
          <w:trHeight w:val="270"/>
        </w:trPr>
        <w:tc>
          <w:tcPr>
            <w:tcW w:w="1957" w:type="pct"/>
            <w:vMerge/>
            <w:shd w:val="clear" w:color="auto" w:fill="CFF0FB" w:themeFill="accent6" w:themeFillTint="33"/>
            <w:vAlign w:val="center"/>
            <w:hideMark/>
          </w:tcPr>
          <w:p w14:paraId="4EDA1D30"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275" w:type="pct"/>
            <w:vMerge/>
            <w:shd w:val="clear" w:color="auto" w:fill="CFF0FB" w:themeFill="accent6" w:themeFillTint="33"/>
            <w:vAlign w:val="center"/>
            <w:hideMark/>
          </w:tcPr>
          <w:p w14:paraId="209EA151" w14:textId="77777777" w:rsidR="0000058C" w:rsidRPr="003C6B99" w:rsidRDefault="0000058C" w:rsidP="009E1480">
            <w:pPr>
              <w:spacing w:after="0" w:line="240" w:lineRule="auto"/>
              <w:rPr>
                <w:rFonts w:eastAsia="Times New Roman" w:cs="Times New Roman"/>
                <w:bCs/>
                <w:color w:val="000000"/>
                <w:sz w:val="18"/>
                <w:szCs w:val="18"/>
                <w:lang w:eastAsia="cs-CZ"/>
              </w:rPr>
            </w:pPr>
          </w:p>
        </w:tc>
        <w:tc>
          <w:tcPr>
            <w:tcW w:w="375" w:type="pct"/>
            <w:shd w:val="clear" w:color="auto" w:fill="CFF0FB" w:themeFill="accent6" w:themeFillTint="33"/>
            <w:vAlign w:val="center"/>
            <w:hideMark/>
          </w:tcPr>
          <w:p w14:paraId="009F62F7" w14:textId="77777777" w:rsidR="0000058C" w:rsidRPr="003C6B99" w:rsidRDefault="0000058C" w:rsidP="009E1480">
            <w:pPr>
              <w:spacing w:after="0" w:line="240" w:lineRule="auto"/>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SC 4.2</w:t>
            </w:r>
          </w:p>
        </w:tc>
        <w:tc>
          <w:tcPr>
            <w:tcW w:w="762" w:type="pct"/>
            <w:shd w:val="clear" w:color="auto" w:fill="CFF0FB" w:themeFill="accent6" w:themeFillTint="33"/>
            <w:noWrap/>
            <w:vAlign w:val="center"/>
            <w:hideMark/>
          </w:tcPr>
          <w:p w14:paraId="7DA45C98"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222 277 225</w:t>
            </w:r>
          </w:p>
        </w:tc>
        <w:tc>
          <w:tcPr>
            <w:tcW w:w="991" w:type="pct"/>
            <w:shd w:val="clear" w:color="auto" w:fill="CFF0FB" w:themeFill="accent6" w:themeFillTint="33"/>
            <w:noWrap/>
            <w:vAlign w:val="center"/>
            <w:hideMark/>
          </w:tcPr>
          <w:p w14:paraId="25811C45"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200 885 759</w:t>
            </w:r>
          </w:p>
        </w:tc>
        <w:tc>
          <w:tcPr>
            <w:tcW w:w="640" w:type="pct"/>
            <w:shd w:val="clear" w:color="auto" w:fill="CFF0FB" w:themeFill="accent6" w:themeFillTint="33"/>
            <w:noWrap/>
            <w:vAlign w:val="center"/>
            <w:hideMark/>
          </w:tcPr>
          <w:p w14:paraId="65265B68" w14:textId="77777777" w:rsidR="0000058C" w:rsidRPr="003C6B99" w:rsidRDefault="0000058C" w:rsidP="009E1480">
            <w:pPr>
              <w:spacing w:after="0" w:line="240" w:lineRule="auto"/>
              <w:jc w:val="right"/>
              <w:rPr>
                <w:rFonts w:eastAsia="Times New Roman" w:cs="Times New Roman"/>
                <w:bCs/>
                <w:color w:val="000000"/>
                <w:sz w:val="18"/>
                <w:szCs w:val="18"/>
                <w:lang w:eastAsia="cs-CZ"/>
              </w:rPr>
            </w:pPr>
            <w:r w:rsidRPr="003C6B99">
              <w:rPr>
                <w:rFonts w:eastAsia="Times New Roman" w:cs="Times New Roman"/>
                <w:bCs/>
                <w:color w:val="000000"/>
                <w:sz w:val="18"/>
                <w:szCs w:val="18"/>
                <w:lang w:eastAsia="cs-CZ"/>
              </w:rPr>
              <w:t>423 162 984</w:t>
            </w:r>
          </w:p>
        </w:tc>
      </w:tr>
      <w:tr w:rsidR="0000058C" w:rsidRPr="003C6B99" w14:paraId="3EFA77C2" w14:textId="77777777" w:rsidTr="001731F5">
        <w:trPr>
          <w:trHeight w:val="393"/>
        </w:trPr>
        <w:tc>
          <w:tcPr>
            <w:tcW w:w="2607" w:type="pct"/>
            <w:gridSpan w:val="3"/>
            <w:shd w:val="clear" w:color="auto" w:fill="CFF0FB" w:themeFill="accent6" w:themeFillTint="33"/>
            <w:vAlign w:val="center"/>
            <w:hideMark/>
          </w:tcPr>
          <w:p w14:paraId="4F228137" w14:textId="77777777" w:rsidR="0000058C" w:rsidRPr="003C6B99" w:rsidRDefault="0000058C" w:rsidP="009E1480">
            <w:pPr>
              <w:spacing w:after="0" w:line="240" w:lineRule="auto"/>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 OP PIK celkem </w:t>
            </w:r>
          </w:p>
        </w:tc>
        <w:tc>
          <w:tcPr>
            <w:tcW w:w="762" w:type="pct"/>
            <w:shd w:val="clear" w:color="auto" w:fill="CFF0FB" w:themeFill="accent6" w:themeFillTint="33"/>
            <w:vAlign w:val="center"/>
            <w:hideMark/>
          </w:tcPr>
          <w:p w14:paraId="79C40813"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2 762 170 462</w:t>
            </w:r>
          </w:p>
        </w:tc>
        <w:tc>
          <w:tcPr>
            <w:tcW w:w="991" w:type="pct"/>
            <w:shd w:val="clear" w:color="auto" w:fill="CFF0FB" w:themeFill="accent6" w:themeFillTint="33"/>
            <w:vAlign w:val="center"/>
            <w:hideMark/>
          </w:tcPr>
          <w:p w14:paraId="7076ACB9"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2 422 133 235</w:t>
            </w:r>
          </w:p>
        </w:tc>
        <w:tc>
          <w:tcPr>
            <w:tcW w:w="640" w:type="pct"/>
            <w:shd w:val="clear" w:color="auto" w:fill="CFF0FB" w:themeFill="accent6" w:themeFillTint="33"/>
            <w:vAlign w:val="center"/>
            <w:hideMark/>
          </w:tcPr>
          <w:p w14:paraId="13CD1DBC"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5 184 303 697</w:t>
            </w:r>
          </w:p>
        </w:tc>
      </w:tr>
      <w:tr w:rsidR="00DC248F" w:rsidRPr="003C6B99" w14:paraId="080EF846" w14:textId="77777777" w:rsidTr="001731F5">
        <w:trPr>
          <w:trHeight w:val="465"/>
        </w:trPr>
        <w:tc>
          <w:tcPr>
            <w:tcW w:w="1957" w:type="pct"/>
            <w:vMerge w:val="restart"/>
            <w:shd w:val="clear" w:color="auto" w:fill="9FE1F7" w:themeFill="accent6" w:themeFillTint="66"/>
            <w:vAlign w:val="center"/>
          </w:tcPr>
          <w:p w14:paraId="29D12BBD"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B: Zvýšení kvality výzkumu</w:t>
            </w:r>
          </w:p>
        </w:tc>
        <w:tc>
          <w:tcPr>
            <w:tcW w:w="275" w:type="pct"/>
            <w:vMerge w:val="restart"/>
            <w:shd w:val="clear" w:color="auto" w:fill="9FE1F7" w:themeFill="accent6" w:themeFillTint="66"/>
            <w:textDirection w:val="btLr"/>
            <w:vAlign w:val="center"/>
          </w:tcPr>
          <w:p w14:paraId="5887B877" w14:textId="77777777" w:rsidR="0000058C" w:rsidRPr="003C6B99" w:rsidRDefault="0000058C" w:rsidP="00DC248F">
            <w:pPr>
              <w:spacing w:after="0" w:line="240" w:lineRule="auto"/>
              <w:ind w:left="113" w:right="113"/>
              <w:jc w:val="center"/>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OP VVV</w:t>
            </w:r>
            <w:r w:rsidRPr="003C6B99">
              <w:rPr>
                <w:rStyle w:val="Znakapoznpodarou"/>
                <w:rFonts w:eastAsia="Times New Roman" w:cs="Times New Roman"/>
                <w:b/>
                <w:bCs/>
                <w:color w:val="000000" w:themeColor="text1"/>
                <w:sz w:val="18"/>
                <w:szCs w:val="18"/>
                <w:lang w:eastAsia="cs-CZ"/>
              </w:rPr>
              <w:footnoteReference w:id="142"/>
            </w:r>
          </w:p>
        </w:tc>
        <w:tc>
          <w:tcPr>
            <w:tcW w:w="375" w:type="pct"/>
            <w:shd w:val="clear" w:color="auto" w:fill="9FE1F7" w:themeFill="accent6" w:themeFillTint="66"/>
            <w:vAlign w:val="center"/>
          </w:tcPr>
          <w:p w14:paraId="69BCA005"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PO1 IP1 SC1</w:t>
            </w:r>
          </w:p>
        </w:tc>
        <w:tc>
          <w:tcPr>
            <w:tcW w:w="762" w:type="pct"/>
            <w:shd w:val="clear" w:color="auto" w:fill="9FE1F7" w:themeFill="accent6" w:themeFillTint="66"/>
            <w:vAlign w:val="center"/>
          </w:tcPr>
          <w:p w14:paraId="0453C426"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864 462 615</w:t>
            </w:r>
          </w:p>
        </w:tc>
        <w:tc>
          <w:tcPr>
            <w:tcW w:w="991" w:type="pct"/>
            <w:shd w:val="clear" w:color="auto" w:fill="9FE1F7" w:themeFill="accent6" w:themeFillTint="66"/>
            <w:vAlign w:val="center"/>
          </w:tcPr>
          <w:p w14:paraId="1C98A19A"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230 197 577</w:t>
            </w:r>
          </w:p>
        </w:tc>
        <w:tc>
          <w:tcPr>
            <w:tcW w:w="640" w:type="pct"/>
            <w:shd w:val="clear" w:color="auto" w:fill="9FE1F7" w:themeFill="accent6" w:themeFillTint="66"/>
            <w:vAlign w:val="center"/>
          </w:tcPr>
          <w:p w14:paraId="267C427A"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1 094 660 192</w:t>
            </w:r>
          </w:p>
        </w:tc>
      </w:tr>
      <w:tr w:rsidR="0000058C" w:rsidRPr="003C6B99" w14:paraId="6009959A" w14:textId="77777777" w:rsidTr="001731F5">
        <w:trPr>
          <w:trHeight w:val="290"/>
        </w:trPr>
        <w:tc>
          <w:tcPr>
            <w:tcW w:w="1957" w:type="pct"/>
            <w:vMerge/>
            <w:shd w:val="clear" w:color="auto" w:fill="9FE1F7" w:themeFill="accent6" w:themeFillTint="66"/>
            <w:vAlign w:val="center"/>
          </w:tcPr>
          <w:p w14:paraId="41574084"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textDirection w:val="btLr"/>
            <w:vAlign w:val="center"/>
          </w:tcPr>
          <w:p w14:paraId="4B52CC70" w14:textId="77777777" w:rsidR="0000058C" w:rsidRPr="003C6B99" w:rsidRDefault="0000058C" w:rsidP="009E1480">
            <w:pPr>
              <w:spacing w:after="0" w:line="240" w:lineRule="auto"/>
              <w:ind w:left="113" w:right="113"/>
              <w:jc w:val="center"/>
              <w:rPr>
                <w:rFonts w:eastAsia="Times New Roman" w:cs="Times New Roman"/>
                <w:b/>
                <w:bCs/>
                <w:color w:val="000000" w:themeColor="text1"/>
                <w:sz w:val="18"/>
                <w:szCs w:val="18"/>
                <w:lang w:eastAsia="cs-CZ"/>
              </w:rPr>
            </w:pPr>
          </w:p>
        </w:tc>
        <w:tc>
          <w:tcPr>
            <w:tcW w:w="375" w:type="pct"/>
            <w:shd w:val="clear" w:color="auto" w:fill="9FE1F7" w:themeFill="accent6" w:themeFillTint="66"/>
            <w:vAlign w:val="center"/>
          </w:tcPr>
          <w:p w14:paraId="4279BF47"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PO1 IP1 SC3</w:t>
            </w:r>
          </w:p>
        </w:tc>
        <w:tc>
          <w:tcPr>
            <w:tcW w:w="762" w:type="pct"/>
            <w:shd w:val="clear" w:color="auto" w:fill="9FE1F7" w:themeFill="accent6" w:themeFillTint="66"/>
            <w:vAlign w:val="center"/>
          </w:tcPr>
          <w:p w14:paraId="53ABD16C"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70 756 115</w:t>
            </w:r>
          </w:p>
        </w:tc>
        <w:tc>
          <w:tcPr>
            <w:tcW w:w="991" w:type="pct"/>
            <w:shd w:val="clear" w:color="auto" w:fill="9FE1F7" w:themeFill="accent6" w:themeFillTint="66"/>
            <w:vAlign w:val="center"/>
          </w:tcPr>
          <w:p w14:paraId="018DF2C8"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40 128 500</w:t>
            </w:r>
          </w:p>
        </w:tc>
        <w:tc>
          <w:tcPr>
            <w:tcW w:w="640" w:type="pct"/>
            <w:shd w:val="clear" w:color="auto" w:fill="9FE1F7" w:themeFill="accent6" w:themeFillTint="66"/>
            <w:vAlign w:val="center"/>
          </w:tcPr>
          <w:p w14:paraId="3DA78E44"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110 884 615</w:t>
            </w:r>
          </w:p>
        </w:tc>
      </w:tr>
      <w:tr w:rsidR="0000058C" w:rsidRPr="003C6B99" w14:paraId="7F8D86AF" w14:textId="77777777" w:rsidTr="001731F5">
        <w:trPr>
          <w:trHeight w:val="507"/>
        </w:trPr>
        <w:tc>
          <w:tcPr>
            <w:tcW w:w="1957" w:type="pct"/>
            <w:vMerge/>
            <w:shd w:val="clear" w:color="auto" w:fill="9FE1F7" w:themeFill="accent6" w:themeFillTint="66"/>
            <w:vAlign w:val="center"/>
          </w:tcPr>
          <w:p w14:paraId="6ABD2483"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textDirection w:val="btLr"/>
            <w:vAlign w:val="center"/>
          </w:tcPr>
          <w:p w14:paraId="752EA12F" w14:textId="77777777" w:rsidR="0000058C" w:rsidRPr="003C6B99" w:rsidRDefault="0000058C" w:rsidP="009E1480">
            <w:pPr>
              <w:spacing w:after="0" w:line="240" w:lineRule="auto"/>
              <w:ind w:left="113" w:right="113"/>
              <w:jc w:val="center"/>
              <w:rPr>
                <w:rFonts w:eastAsia="Times New Roman" w:cs="Times New Roman"/>
                <w:b/>
                <w:bCs/>
                <w:color w:val="000000" w:themeColor="text1"/>
                <w:sz w:val="18"/>
                <w:szCs w:val="18"/>
                <w:lang w:eastAsia="cs-CZ"/>
              </w:rPr>
            </w:pPr>
          </w:p>
        </w:tc>
        <w:tc>
          <w:tcPr>
            <w:tcW w:w="375" w:type="pct"/>
            <w:shd w:val="clear" w:color="auto" w:fill="9FE1F7" w:themeFill="accent6" w:themeFillTint="66"/>
            <w:vAlign w:val="center"/>
          </w:tcPr>
          <w:p w14:paraId="18EA81FC"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PO1 IP1 SC4</w:t>
            </w:r>
          </w:p>
        </w:tc>
        <w:tc>
          <w:tcPr>
            <w:tcW w:w="762" w:type="pct"/>
            <w:shd w:val="clear" w:color="auto" w:fill="9FE1F7" w:themeFill="accent6" w:themeFillTint="66"/>
            <w:vAlign w:val="center"/>
          </w:tcPr>
          <w:p w14:paraId="77896866"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42 400 923</w:t>
            </w:r>
          </w:p>
        </w:tc>
        <w:tc>
          <w:tcPr>
            <w:tcW w:w="991" w:type="pct"/>
            <w:shd w:val="clear" w:color="auto" w:fill="9FE1F7" w:themeFill="accent6" w:themeFillTint="66"/>
            <w:vAlign w:val="center"/>
          </w:tcPr>
          <w:p w14:paraId="6D7718AC"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7 482 538</w:t>
            </w:r>
          </w:p>
        </w:tc>
        <w:tc>
          <w:tcPr>
            <w:tcW w:w="640" w:type="pct"/>
            <w:shd w:val="clear" w:color="auto" w:fill="9FE1F7" w:themeFill="accent6" w:themeFillTint="66"/>
            <w:vAlign w:val="center"/>
          </w:tcPr>
          <w:p w14:paraId="0CFA7600"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49 883 462</w:t>
            </w:r>
          </w:p>
        </w:tc>
      </w:tr>
      <w:tr w:rsidR="0000058C" w:rsidRPr="003C6B99" w14:paraId="260DDAAC" w14:textId="77777777" w:rsidTr="001731F5">
        <w:trPr>
          <w:trHeight w:val="290"/>
        </w:trPr>
        <w:tc>
          <w:tcPr>
            <w:tcW w:w="1957" w:type="pct"/>
            <w:vMerge/>
            <w:shd w:val="clear" w:color="auto" w:fill="9FE1F7" w:themeFill="accent6" w:themeFillTint="66"/>
            <w:vAlign w:val="center"/>
          </w:tcPr>
          <w:p w14:paraId="7374D99D"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textDirection w:val="btLr"/>
            <w:vAlign w:val="center"/>
          </w:tcPr>
          <w:p w14:paraId="64CD478E" w14:textId="77777777" w:rsidR="0000058C" w:rsidRPr="003C6B99" w:rsidRDefault="0000058C" w:rsidP="009E1480">
            <w:pPr>
              <w:spacing w:after="0" w:line="240" w:lineRule="auto"/>
              <w:ind w:left="113" w:right="113"/>
              <w:jc w:val="center"/>
              <w:rPr>
                <w:rFonts w:eastAsia="Times New Roman" w:cs="Times New Roman"/>
                <w:b/>
                <w:bCs/>
                <w:color w:val="000000" w:themeColor="text1"/>
                <w:sz w:val="18"/>
                <w:szCs w:val="18"/>
                <w:lang w:eastAsia="cs-CZ"/>
              </w:rPr>
            </w:pPr>
          </w:p>
        </w:tc>
        <w:tc>
          <w:tcPr>
            <w:tcW w:w="375" w:type="pct"/>
            <w:shd w:val="clear" w:color="auto" w:fill="9FE1F7" w:themeFill="accent6" w:themeFillTint="66"/>
            <w:vAlign w:val="center"/>
          </w:tcPr>
          <w:p w14:paraId="323F059A"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04757C">
              <w:rPr>
                <w:rFonts w:eastAsia="Times New Roman" w:cs="Times New Roman"/>
                <w:bCs/>
                <w:color w:val="000000" w:themeColor="text1"/>
                <w:sz w:val="18"/>
                <w:szCs w:val="18"/>
                <w:lang w:eastAsia="cs-CZ"/>
              </w:rPr>
              <w:t>PO2 IP1 SC5</w:t>
            </w:r>
          </w:p>
        </w:tc>
        <w:tc>
          <w:tcPr>
            <w:tcW w:w="762" w:type="pct"/>
            <w:shd w:val="clear" w:color="auto" w:fill="9FE1F7" w:themeFill="accent6" w:themeFillTint="66"/>
            <w:vAlign w:val="center"/>
          </w:tcPr>
          <w:p w14:paraId="36C6B7D1"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46 532 654</w:t>
            </w:r>
          </w:p>
        </w:tc>
        <w:tc>
          <w:tcPr>
            <w:tcW w:w="991" w:type="pct"/>
            <w:shd w:val="clear" w:color="auto" w:fill="9FE1F7" w:themeFill="accent6" w:themeFillTint="66"/>
            <w:vAlign w:val="center"/>
          </w:tcPr>
          <w:p w14:paraId="0086A2B9"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10 573 692</w:t>
            </w:r>
          </w:p>
        </w:tc>
        <w:tc>
          <w:tcPr>
            <w:tcW w:w="640" w:type="pct"/>
            <w:shd w:val="clear" w:color="auto" w:fill="9FE1F7" w:themeFill="accent6" w:themeFillTint="66"/>
            <w:vAlign w:val="center"/>
          </w:tcPr>
          <w:p w14:paraId="481D45DC"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57 106 346</w:t>
            </w:r>
          </w:p>
        </w:tc>
      </w:tr>
      <w:tr w:rsidR="0000058C" w:rsidRPr="003C6B99" w14:paraId="422F210A" w14:textId="77777777" w:rsidTr="001731F5">
        <w:trPr>
          <w:trHeight w:val="290"/>
        </w:trPr>
        <w:tc>
          <w:tcPr>
            <w:tcW w:w="1957" w:type="pct"/>
            <w:vMerge/>
            <w:shd w:val="clear" w:color="auto" w:fill="9FE1F7" w:themeFill="accent6" w:themeFillTint="66"/>
            <w:vAlign w:val="center"/>
          </w:tcPr>
          <w:p w14:paraId="7C8ABDF1"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textDirection w:val="btLr"/>
            <w:vAlign w:val="center"/>
          </w:tcPr>
          <w:p w14:paraId="71A5AF00" w14:textId="77777777" w:rsidR="0000058C" w:rsidRPr="003C6B99" w:rsidRDefault="0000058C" w:rsidP="009E1480">
            <w:pPr>
              <w:spacing w:after="0" w:line="240" w:lineRule="auto"/>
              <w:ind w:left="113" w:right="113"/>
              <w:jc w:val="center"/>
              <w:rPr>
                <w:rFonts w:eastAsia="Times New Roman" w:cs="Times New Roman"/>
                <w:b/>
                <w:bCs/>
                <w:color w:val="000000" w:themeColor="text1"/>
                <w:sz w:val="18"/>
                <w:szCs w:val="18"/>
                <w:lang w:eastAsia="cs-CZ"/>
              </w:rPr>
            </w:pPr>
          </w:p>
        </w:tc>
        <w:tc>
          <w:tcPr>
            <w:tcW w:w="375" w:type="pct"/>
            <w:shd w:val="clear" w:color="auto" w:fill="9FE1F7" w:themeFill="accent6" w:themeFillTint="66"/>
            <w:vAlign w:val="center"/>
          </w:tcPr>
          <w:p w14:paraId="7C3774EE"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04757C">
              <w:rPr>
                <w:rFonts w:eastAsia="Times New Roman" w:cs="Times New Roman"/>
                <w:bCs/>
                <w:color w:val="000000" w:themeColor="text1"/>
                <w:sz w:val="18"/>
                <w:szCs w:val="18"/>
                <w:lang w:eastAsia="cs-CZ"/>
              </w:rPr>
              <w:t>PO2 IP2 SC1</w:t>
            </w:r>
          </w:p>
        </w:tc>
        <w:tc>
          <w:tcPr>
            <w:tcW w:w="762" w:type="pct"/>
            <w:shd w:val="clear" w:color="auto" w:fill="9FE1F7" w:themeFill="accent6" w:themeFillTint="66"/>
            <w:vAlign w:val="center"/>
          </w:tcPr>
          <w:p w14:paraId="768DB7E2"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13 076 923</w:t>
            </w:r>
          </w:p>
        </w:tc>
        <w:tc>
          <w:tcPr>
            <w:tcW w:w="991" w:type="pct"/>
            <w:shd w:val="clear" w:color="auto" w:fill="9FE1F7" w:themeFill="accent6" w:themeFillTint="66"/>
            <w:vAlign w:val="center"/>
          </w:tcPr>
          <w:p w14:paraId="35D448D2"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2 307 692</w:t>
            </w:r>
          </w:p>
        </w:tc>
        <w:tc>
          <w:tcPr>
            <w:tcW w:w="640" w:type="pct"/>
            <w:shd w:val="clear" w:color="auto" w:fill="9FE1F7" w:themeFill="accent6" w:themeFillTint="66"/>
            <w:vAlign w:val="center"/>
          </w:tcPr>
          <w:p w14:paraId="2BFA7389"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15 384 615</w:t>
            </w:r>
          </w:p>
        </w:tc>
      </w:tr>
      <w:tr w:rsidR="0000058C" w:rsidRPr="003C6B99" w14:paraId="73BA270F" w14:textId="77777777" w:rsidTr="001731F5">
        <w:trPr>
          <w:trHeight w:val="561"/>
        </w:trPr>
        <w:tc>
          <w:tcPr>
            <w:tcW w:w="1957" w:type="pct"/>
            <w:vMerge w:val="restart"/>
            <w:shd w:val="clear" w:color="auto" w:fill="9FE1F7" w:themeFill="accent6" w:themeFillTint="66"/>
            <w:vAlign w:val="center"/>
            <w:hideMark/>
          </w:tcPr>
          <w:p w14:paraId="25136768"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 xml:space="preserve">C: Zvýšení ekonomických přínosů veřejného výzkumu </w:t>
            </w:r>
          </w:p>
        </w:tc>
        <w:tc>
          <w:tcPr>
            <w:tcW w:w="275" w:type="pct"/>
            <w:vMerge/>
            <w:shd w:val="clear" w:color="auto" w:fill="9FE1F7" w:themeFill="accent6" w:themeFillTint="66"/>
            <w:textDirection w:val="btLr"/>
            <w:vAlign w:val="center"/>
            <w:hideMark/>
          </w:tcPr>
          <w:p w14:paraId="7472D466" w14:textId="77777777" w:rsidR="0000058C" w:rsidRPr="003C6B99" w:rsidRDefault="0000058C" w:rsidP="009E1480">
            <w:pPr>
              <w:spacing w:after="0" w:line="240" w:lineRule="auto"/>
              <w:ind w:left="113" w:right="113"/>
              <w:jc w:val="center"/>
              <w:rPr>
                <w:rFonts w:eastAsia="Times New Roman" w:cs="Times New Roman"/>
                <w:b/>
                <w:bCs/>
                <w:color w:val="000000" w:themeColor="text1"/>
                <w:sz w:val="18"/>
                <w:szCs w:val="18"/>
                <w:lang w:eastAsia="cs-CZ"/>
              </w:rPr>
            </w:pPr>
          </w:p>
        </w:tc>
        <w:tc>
          <w:tcPr>
            <w:tcW w:w="375" w:type="pct"/>
            <w:shd w:val="clear" w:color="auto" w:fill="9FE1F7" w:themeFill="accent6" w:themeFillTint="66"/>
            <w:vAlign w:val="center"/>
          </w:tcPr>
          <w:p w14:paraId="744B422A"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PO1 IP1 SC2</w:t>
            </w:r>
          </w:p>
        </w:tc>
        <w:tc>
          <w:tcPr>
            <w:tcW w:w="762" w:type="pct"/>
            <w:tcBorders>
              <w:bottom w:val="single" w:sz="8" w:space="0" w:color="80A1B6"/>
            </w:tcBorders>
            <w:shd w:val="clear" w:color="auto" w:fill="9FE1F7" w:themeFill="accent6" w:themeFillTint="66"/>
            <w:vAlign w:val="center"/>
          </w:tcPr>
          <w:p w14:paraId="063641DE"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151 708 423</w:t>
            </w:r>
          </w:p>
        </w:tc>
        <w:tc>
          <w:tcPr>
            <w:tcW w:w="991" w:type="pct"/>
            <w:tcBorders>
              <w:bottom w:val="single" w:sz="8" w:space="0" w:color="80A1B6"/>
            </w:tcBorders>
            <w:shd w:val="clear" w:color="auto" w:fill="9FE1F7" w:themeFill="accent6" w:themeFillTint="66"/>
            <w:vAlign w:val="center"/>
          </w:tcPr>
          <w:p w14:paraId="6A8997D2"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35 084 731</w:t>
            </w:r>
          </w:p>
        </w:tc>
        <w:tc>
          <w:tcPr>
            <w:tcW w:w="640" w:type="pct"/>
            <w:tcBorders>
              <w:bottom w:val="single" w:sz="8" w:space="0" w:color="80A1B6"/>
            </w:tcBorders>
            <w:shd w:val="clear" w:color="auto" w:fill="9FE1F7" w:themeFill="accent6" w:themeFillTint="66"/>
            <w:vAlign w:val="center"/>
          </w:tcPr>
          <w:p w14:paraId="3B9239A4"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186 793 154</w:t>
            </w:r>
          </w:p>
        </w:tc>
      </w:tr>
      <w:tr w:rsidR="0000058C" w:rsidRPr="003C6B99" w14:paraId="4F1FE66A" w14:textId="77777777" w:rsidTr="001731F5">
        <w:trPr>
          <w:trHeight w:val="290"/>
        </w:trPr>
        <w:tc>
          <w:tcPr>
            <w:tcW w:w="1957" w:type="pct"/>
            <w:vMerge/>
            <w:shd w:val="clear" w:color="auto" w:fill="9FE1F7" w:themeFill="accent6" w:themeFillTint="66"/>
            <w:vAlign w:val="center"/>
          </w:tcPr>
          <w:p w14:paraId="47796C86"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textDirection w:val="btLr"/>
            <w:vAlign w:val="center"/>
          </w:tcPr>
          <w:p w14:paraId="1845371C" w14:textId="77777777" w:rsidR="0000058C" w:rsidRPr="003C6B99" w:rsidRDefault="0000058C" w:rsidP="009E1480">
            <w:pPr>
              <w:spacing w:after="0" w:line="240" w:lineRule="auto"/>
              <w:ind w:left="113" w:right="113"/>
              <w:jc w:val="center"/>
              <w:rPr>
                <w:rFonts w:eastAsia="Times New Roman" w:cs="Times New Roman"/>
                <w:b/>
                <w:bCs/>
                <w:color w:val="000000" w:themeColor="text1"/>
                <w:sz w:val="18"/>
                <w:szCs w:val="18"/>
                <w:lang w:eastAsia="cs-CZ"/>
              </w:rPr>
            </w:pPr>
          </w:p>
        </w:tc>
        <w:tc>
          <w:tcPr>
            <w:tcW w:w="375" w:type="pct"/>
            <w:shd w:val="clear" w:color="auto" w:fill="9FE1F7" w:themeFill="accent6" w:themeFillTint="66"/>
            <w:vAlign w:val="center"/>
          </w:tcPr>
          <w:p w14:paraId="325FEC43"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PO2 IP1 SC5</w:t>
            </w:r>
          </w:p>
        </w:tc>
        <w:tc>
          <w:tcPr>
            <w:tcW w:w="762" w:type="pct"/>
            <w:tcBorders>
              <w:bottom w:val="single" w:sz="8" w:space="0" w:color="80A1B6"/>
            </w:tcBorders>
            <w:shd w:val="clear" w:color="auto" w:fill="9FE1F7" w:themeFill="accent6" w:themeFillTint="66"/>
            <w:vAlign w:val="center"/>
          </w:tcPr>
          <w:p w14:paraId="24F79DEF"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24 275 269</w:t>
            </w:r>
          </w:p>
        </w:tc>
        <w:tc>
          <w:tcPr>
            <w:tcW w:w="991" w:type="pct"/>
            <w:tcBorders>
              <w:bottom w:val="single" w:sz="8" w:space="0" w:color="80A1B6"/>
            </w:tcBorders>
            <w:shd w:val="clear" w:color="auto" w:fill="9FE1F7" w:themeFill="accent6" w:themeFillTint="66"/>
            <w:vAlign w:val="center"/>
          </w:tcPr>
          <w:p w14:paraId="4A729A43"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5 234 538</w:t>
            </w:r>
          </w:p>
        </w:tc>
        <w:tc>
          <w:tcPr>
            <w:tcW w:w="640" w:type="pct"/>
            <w:tcBorders>
              <w:bottom w:val="single" w:sz="8" w:space="0" w:color="80A1B6"/>
            </w:tcBorders>
            <w:shd w:val="clear" w:color="auto" w:fill="9FE1F7" w:themeFill="accent6" w:themeFillTint="66"/>
            <w:vAlign w:val="center"/>
          </w:tcPr>
          <w:p w14:paraId="2994DE46" w14:textId="77777777" w:rsidR="0000058C" w:rsidRPr="007C5C69" w:rsidRDefault="0000058C" w:rsidP="009E1480">
            <w:pPr>
              <w:spacing w:after="0" w:line="240" w:lineRule="auto"/>
              <w:jc w:val="right"/>
              <w:rPr>
                <w:rFonts w:eastAsia="Times New Roman" w:cs="Times New Roman"/>
                <w:bCs/>
                <w:color w:val="000000" w:themeColor="text1"/>
                <w:sz w:val="18"/>
                <w:szCs w:val="18"/>
                <w:lang w:eastAsia="cs-CZ"/>
              </w:rPr>
            </w:pPr>
            <w:r w:rsidRPr="007C5C69">
              <w:rPr>
                <w:rFonts w:eastAsia="Times New Roman" w:cs="Times New Roman"/>
                <w:bCs/>
                <w:color w:val="000000" w:themeColor="text1"/>
                <w:sz w:val="18"/>
                <w:szCs w:val="18"/>
                <w:lang w:eastAsia="cs-CZ"/>
              </w:rPr>
              <w:t>29 509 808</w:t>
            </w:r>
          </w:p>
        </w:tc>
      </w:tr>
      <w:tr w:rsidR="0000058C" w:rsidRPr="003C6B99" w14:paraId="4EE9CC8D" w14:textId="77777777" w:rsidTr="001731F5">
        <w:trPr>
          <w:trHeight w:val="199"/>
        </w:trPr>
        <w:tc>
          <w:tcPr>
            <w:tcW w:w="1957" w:type="pct"/>
            <w:vMerge w:val="restart"/>
            <w:shd w:val="clear" w:color="auto" w:fill="9FE1F7" w:themeFill="accent6" w:themeFillTint="66"/>
            <w:vAlign w:val="center"/>
            <w:hideMark/>
          </w:tcPr>
          <w:p w14:paraId="15D7592F"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D: Lepší nabídka lidí v počtu i kvalitě pro inovační podnikání, výzkum a vývoj</w:t>
            </w:r>
          </w:p>
        </w:tc>
        <w:tc>
          <w:tcPr>
            <w:tcW w:w="275" w:type="pct"/>
            <w:vMerge w:val="restart"/>
            <w:shd w:val="clear" w:color="auto" w:fill="9FE1F7" w:themeFill="accent6" w:themeFillTint="66"/>
            <w:textDirection w:val="btLr"/>
            <w:vAlign w:val="center"/>
            <w:hideMark/>
          </w:tcPr>
          <w:p w14:paraId="01853067" w14:textId="77777777" w:rsidR="0000058C" w:rsidRPr="003C6B99" w:rsidRDefault="0000058C" w:rsidP="009E1480">
            <w:pPr>
              <w:spacing w:after="0" w:line="240" w:lineRule="auto"/>
              <w:ind w:left="113" w:right="113"/>
              <w:jc w:val="center"/>
              <w:rPr>
                <w:rFonts w:eastAsia="Times New Roman" w:cs="Times New Roman"/>
                <w:bCs/>
                <w:color w:val="000000" w:themeColor="text1"/>
                <w:sz w:val="18"/>
                <w:szCs w:val="18"/>
                <w:lang w:eastAsia="cs-CZ"/>
              </w:rPr>
            </w:pPr>
            <w:r w:rsidRPr="003C6B99">
              <w:rPr>
                <w:rFonts w:eastAsia="Times New Roman" w:cs="Times New Roman"/>
                <w:b/>
                <w:bCs/>
                <w:color w:val="000000" w:themeColor="text1"/>
                <w:sz w:val="18"/>
                <w:szCs w:val="18"/>
                <w:lang w:eastAsia="cs-CZ"/>
              </w:rPr>
              <w:t>OP VVV</w:t>
            </w:r>
            <w:r w:rsidRPr="003C6B99">
              <w:rPr>
                <w:rStyle w:val="Znakapoznpodarou"/>
                <w:rFonts w:eastAsia="Times New Roman" w:cs="Times New Roman"/>
                <w:b/>
                <w:bCs/>
                <w:color w:val="000000" w:themeColor="text1"/>
                <w:sz w:val="18"/>
                <w:szCs w:val="18"/>
                <w:lang w:eastAsia="cs-CZ"/>
              </w:rPr>
              <w:footnoteReference w:id="143"/>
            </w:r>
          </w:p>
        </w:tc>
        <w:tc>
          <w:tcPr>
            <w:tcW w:w="375" w:type="pct"/>
            <w:tcBorders>
              <w:top w:val="single" w:sz="8" w:space="0" w:color="80A1B6"/>
            </w:tcBorders>
            <w:shd w:val="clear" w:color="auto" w:fill="9FE1F7" w:themeFill="accent6" w:themeFillTint="66"/>
            <w:vAlign w:val="center"/>
          </w:tcPr>
          <w:p w14:paraId="6D9E881A"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PO2 IP1 SC1 SC2</w:t>
            </w:r>
          </w:p>
        </w:tc>
        <w:tc>
          <w:tcPr>
            <w:tcW w:w="762" w:type="pct"/>
            <w:tcBorders>
              <w:top w:val="single" w:sz="8" w:space="0" w:color="80A1B6"/>
            </w:tcBorders>
            <w:shd w:val="clear" w:color="auto" w:fill="9FE1F7" w:themeFill="accent6" w:themeFillTint="66"/>
            <w:vAlign w:val="center"/>
          </w:tcPr>
          <w:p w14:paraId="75D83F7C"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8 528 423</w:t>
            </w:r>
          </w:p>
        </w:tc>
        <w:tc>
          <w:tcPr>
            <w:tcW w:w="991" w:type="pct"/>
            <w:tcBorders>
              <w:top w:val="single" w:sz="8" w:space="0" w:color="80A1B6"/>
            </w:tcBorders>
            <w:shd w:val="clear" w:color="auto" w:fill="9FE1F7" w:themeFill="accent6" w:themeFillTint="66"/>
            <w:vAlign w:val="center"/>
          </w:tcPr>
          <w:p w14:paraId="04086EF6"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1 505 000</w:t>
            </w:r>
          </w:p>
        </w:tc>
        <w:tc>
          <w:tcPr>
            <w:tcW w:w="640" w:type="pct"/>
            <w:tcBorders>
              <w:top w:val="single" w:sz="8" w:space="0" w:color="80A1B6"/>
            </w:tcBorders>
            <w:shd w:val="clear" w:color="auto" w:fill="9FE1F7" w:themeFill="accent6" w:themeFillTint="66"/>
            <w:vAlign w:val="center"/>
          </w:tcPr>
          <w:p w14:paraId="52959108"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10 033 423</w:t>
            </w:r>
          </w:p>
        </w:tc>
      </w:tr>
      <w:tr w:rsidR="0000058C" w:rsidRPr="003C6B99" w14:paraId="024CE6C7" w14:textId="77777777" w:rsidTr="001731F5">
        <w:trPr>
          <w:trHeight w:val="30"/>
        </w:trPr>
        <w:tc>
          <w:tcPr>
            <w:tcW w:w="1957" w:type="pct"/>
            <w:vMerge/>
            <w:shd w:val="clear" w:color="auto" w:fill="9FE1F7" w:themeFill="accent6" w:themeFillTint="66"/>
            <w:vAlign w:val="center"/>
          </w:tcPr>
          <w:p w14:paraId="7A592598"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49043965"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421AB73A"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PO2 IP1 SC3</w:t>
            </w:r>
          </w:p>
        </w:tc>
        <w:tc>
          <w:tcPr>
            <w:tcW w:w="762" w:type="pct"/>
            <w:shd w:val="clear" w:color="auto" w:fill="9FE1F7" w:themeFill="accent6" w:themeFillTint="66"/>
            <w:vAlign w:val="center"/>
          </w:tcPr>
          <w:p w14:paraId="15F3F641"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3 076 923</w:t>
            </w:r>
          </w:p>
        </w:tc>
        <w:tc>
          <w:tcPr>
            <w:tcW w:w="991" w:type="pct"/>
            <w:shd w:val="clear" w:color="auto" w:fill="9FE1F7" w:themeFill="accent6" w:themeFillTint="66"/>
            <w:vAlign w:val="center"/>
          </w:tcPr>
          <w:p w14:paraId="4B3AC858"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769 231</w:t>
            </w:r>
          </w:p>
        </w:tc>
        <w:tc>
          <w:tcPr>
            <w:tcW w:w="640" w:type="pct"/>
            <w:shd w:val="clear" w:color="auto" w:fill="9FE1F7" w:themeFill="accent6" w:themeFillTint="66"/>
            <w:vAlign w:val="center"/>
          </w:tcPr>
          <w:p w14:paraId="2924C2AB"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3 846 154</w:t>
            </w:r>
          </w:p>
        </w:tc>
      </w:tr>
      <w:tr w:rsidR="0000058C" w:rsidRPr="003C6B99" w14:paraId="05F68E59" w14:textId="77777777" w:rsidTr="001731F5">
        <w:trPr>
          <w:trHeight w:val="30"/>
        </w:trPr>
        <w:tc>
          <w:tcPr>
            <w:tcW w:w="1957" w:type="pct"/>
            <w:vMerge/>
            <w:shd w:val="clear" w:color="auto" w:fill="9FE1F7" w:themeFill="accent6" w:themeFillTint="66"/>
            <w:vAlign w:val="center"/>
          </w:tcPr>
          <w:p w14:paraId="5B3E0CCD"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767DEA44"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579122B8"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PO2 IP1 SC5</w:t>
            </w:r>
          </w:p>
        </w:tc>
        <w:tc>
          <w:tcPr>
            <w:tcW w:w="762" w:type="pct"/>
            <w:shd w:val="clear" w:color="auto" w:fill="9FE1F7" w:themeFill="accent6" w:themeFillTint="66"/>
            <w:vAlign w:val="center"/>
          </w:tcPr>
          <w:p w14:paraId="75EDDBF6"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116 675 769</w:t>
            </w:r>
          </w:p>
        </w:tc>
        <w:tc>
          <w:tcPr>
            <w:tcW w:w="991" w:type="pct"/>
            <w:shd w:val="clear" w:color="auto" w:fill="9FE1F7" w:themeFill="accent6" w:themeFillTint="66"/>
            <w:vAlign w:val="center"/>
          </w:tcPr>
          <w:p w14:paraId="411C5485"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43 131 654</w:t>
            </w:r>
          </w:p>
        </w:tc>
        <w:tc>
          <w:tcPr>
            <w:tcW w:w="640" w:type="pct"/>
            <w:shd w:val="clear" w:color="auto" w:fill="9FE1F7" w:themeFill="accent6" w:themeFillTint="66"/>
            <w:vAlign w:val="center"/>
          </w:tcPr>
          <w:p w14:paraId="76E3385F"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159 807 423</w:t>
            </w:r>
          </w:p>
        </w:tc>
      </w:tr>
      <w:tr w:rsidR="0000058C" w:rsidRPr="003C6B99" w14:paraId="2A42B7C4" w14:textId="77777777" w:rsidTr="001731F5">
        <w:trPr>
          <w:trHeight w:val="30"/>
        </w:trPr>
        <w:tc>
          <w:tcPr>
            <w:tcW w:w="1957" w:type="pct"/>
            <w:vMerge/>
            <w:shd w:val="clear" w:color="auto" w:fill="9FE1F7" w:themeFill="accent6" w:themeFillTint="66"/>
            <w:vAlign w:val="center"/>
          </w:tcPr>
          <w:p w14:paraId="5EBFAD4B"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7A680297"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03384DB9"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PO2 IP1 SC1 SC2 SC4</w:t>
            </w:r>
          </w:p>
        </w:tc>
        <w:tc>
          <w:tcPr>
            <w:tcW w:w="762" w:type="pct"/>
            <w:shd w:val="clear" w:color="auto" w:fill="9FE1F7" w:themeFill="accent6" w:themeFillTint="66"/>
            <w:vAlign w:val="center"/>
          </w:tcPr>
          <w:p w14:paraId="220A7738"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55 841 423</w:t>
            </w:r>
          </w:p>
        </w:tc>
        <w:tc>
          <w:tcPr>
            <w:tcW w:w="991" w:type="pct"/>
            <w:shd w:val="clear" w:color="auto" w:fill="9FE1F7" w:themeFill="accent6" w:themeFillTint="66"/>
            <w:vAlign w:val="center"/>
          </w:tcPr>
          <w:p w14:paraId="068C5DFD"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12 029 577</w:t>
            </w:r>
          </w:p>
        </w:tc>
        <w:tc>
          <w:tcPr>
            <w:tcW w:w="640" w:type="pct"/>
            <w:shd w:val="clear" w:color="auto" w:fill="9FE1F7" w:themeFill="accent6" w:themeFillTint="66"/>
            <w:vAlign w:val="center"/>
          </w:tcPr>
          <w:p w14:paraId="51FE77B2"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67 871 000</w:t>
            </w:r>
          </w:p>
        </w:tc>
      </w:tr>
      <w:tr w:rsidR="0000058C" w:rsidRPr="003C6B99" w14:paraId="36AB0BFC" w14:textId="77777777" w:rsidTr="001731F5">
        <w:trPr>
          <w:trHeight w:val="30"/>
        </w:trPr>
        <w:tc>
          <w:tcPr>
            <w:tcW w:w="1957" w:type="pct"/>
            <w:vMerge/>
            <w:shd w:val="clear" w:color="auto" w:fill="9FE1F7" w:themeFill="accent6" w:themeFillTint="66"/>
            <w:vAlign w:val="center"/>
          </w:tcPr>
          <w:p w14:paraId="5C909459"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3197F260"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2D3A10C3"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PO2 IP2 SC1</w:t>
            </w:r>
          </w:p>
        </w:tc>
        <w:tc>
          <w:tcPr>
            <w:tcW w:w="762" w:type="pct"/>
            <w:shd w:val="clear" w:color="auto" w:fill="9FE1F7" w:themeFill="accent6" w:themeFillTint="66"/>
            <w:vAlign w:val="center"/>
          </w:tcPr>
          <w:p w14:paraId="27A1D20C"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188 852 308</w:t>
            </w:r>
          </w:p>
        </w:tc>
        <w:tc>
          <w:tcPr>
            <w:tcW w:w="991" w:type="pct"/>
            <w:shd w:val="clear" w:color="auto" w:fill="9FE1F7" w:themeFill="accent6" w:themeFillTint="66"/>
            <w:vAlign w:val="center"/>
          </w:tcPr>
          <w:p w14:paraId="0603DB99"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40 814 769</w:t>
            </w:r>
          </w:p>
        </w:tc>
        <w:tc>
          <w:tcPr>
            <w:tcW w:w="640" w:type="pct"/>
            <w:shd w:val="clear" w:color="auto" w:fill="9FE1F7" w:themeFill="accent6" w:themeFillTint="66"/>
            <w:vAlign w:val="center"/>
          </w:tcPr>
          <w:p w14:paraId="5D0C29C3"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229 667 077</w:t>
            </w:r>
          </w:p>
        </w:tc>
      </w:tr>
      <w:tr w:rsidR="0000058C" w:rsidRPr="003C6B99" w14:paraId="42FD3ED7" w14:textId="77777777" w:rsidTr="001731F5">
        <w:trPr>
          <w:trHeight w:val="30"/>
        </w:trPr>
        <w:tc>
          <w:tcPr>
            <w:tcW w:w="1957" w:type="pct"/>
            <w:vMerge/>
            <w:shd w:val="clear" w:color="auto" w:fill="9FE1F7" w:themeFill="accent6" w:themeFillTint="66"/>
            <w:vAlign w:val="center"/>
          </w:tcPr>
          <w:p w14:paraId="5AF79CD6"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684892DC"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4336E8F3"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PO3 TC 10 IP1 SC2</w:t>
            </w:r>
          </w:p>
        </w:tc>
        <w:tc>
          <w:tcPr>
            <w:tcW w:w="762" w:type="pct"/>
            <w:shd w:val="clear" w:color="auto" w:fill="9FE1F7" w:themeFill="accent6" w:themeFillTint="66"/>
            <w:vAlign w:val="center"/>
          </w:tcPr>
          <w:p w14:paraId="2C9382C0"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745 615</w:t>
            </w:r>
          </w:p>
        </w:tc>
        <w:tc>
          <w:tcPr>
            <w:tcW w:w="991" w:type="pct"/>
            <w:shd w:val="clear" w:color="auto" w:fill="9FE1F7" w:themeFill="accent6" w:themeFillTint="66"/>
            <w:vAlign w:val="center"/>
          </w:tcPr>
          <w:p w14:paraId="320BDCBD"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184 692</w:t>
            </w:r>
          </w:p>
        </w:tc>
        <w:tc>
          <w:tcPr>
            <w:tcW w:w="640" w:type="pct"/>
            <w:shd w:val="clear" w:color="auto" w:fill="9FE1F7" w:themeFill="accent6" w:themeFillTint="66"/>
            <w:vAlign w:val="center"/>
          </w:tcPr>
          <w:p w14:paraId="0C200219"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930 308</w:t>
            </w:r>
          </w:p>
        </w:tc>
      </w:tr>
      <w:tr w:rsidR="0000058C" w:rsidRPr="003C6B99" w14:paraId="36583FAC" w14:textId="77777777" w:rsidTr="001731F5">
        <w:trPr>
          <w:trHeight w:val="30"/>
        </w:trPr>
        <w:tc>
          <w:tcPr>
            <w:tcW w:w="1957" w:type="pct"/>
            <w:vMerge/>
            <w:shd w:val="clear" w:color="auto" w:fill="9FE1F7" w:themeFill="accent6" w:themeFillTint="66"/>
            <w:vAlign w:val="center"/>
          </w:tcPr>
          <w:p w14:paraId="08609C12"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7D500978"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028843DF"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PO3 TC 10 IP1 SC3</w:t>
            </w:r>
          </w:p>
        </w:tc>
        <w:tc>
          <w:tcPr>
            <w:tcW w:w="762" w:type="pct"/>
            <w:shd w:val="clear" w:color="auto" w:fill="9FE1F7" w:themeFill="accent6" w:themeFillTint="66"/>
            <w:vAlign w:val="center"/>
          </w:tcPr>
          <w:p w14:paraId="40A07E7B"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511 269</w:t>
            </w:r>
          </w:p>
        </w:tc>
        <w:tc>
          <w:tcPr>
            <w:tcW w:w="991" w:type="pct"/>
            <w:shd w:val="clear" w:color="auto" w:fill="9FE1F7" w:themeFill="accent6" w:themeFillTint="66"/>
            <w:vAlign w:val="center"/>
          </w:tcPr>
          <w:p w14:paraId="6820FE90"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113 115</w:t>
            </w:r>
          </w:p>
        </w:tc>
        <w:tc>
          <w:tcPr>
            <w:tcW w:w="640" w:type="pct"/>
            <w:shd w:val="clear" w:color="auto" w:fill="9FE1F7" w:themeFill="accent6" w:themeFillTint="66"/>
            <w:vAlign w:val="center"/>
          </w:tcPr>
          <w:p w14:paraId="54D2CEE6"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624 385</w:t>
            </w:r>
          </w:p>
        </w:tc>
      </w:tr>
      <w:tr w:rsidR="0000058C" w:rsidRPr="003C6B99" w14:paraId="694E2604" w14:textId="77777777" w:rsidTr="001731F5">
        <w:trPr>
          <w:trHeight w:val="30"/>
        </w:trPr>
        <w:tc>
          <w:tcPr>
            <w:tcW w:w="1957" w:type="pct"/>
            <w:vMerge/>
            <w:shd w:val="clear" w:color="auto" w:fill="9FE1F7" w:themeFill="accent6" w:themeFillTint="66"/>
            <w:vAlign w:val="center"/>
          </w:tcPr>
          <w:p w14:paraId="728F7575"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049A10C1"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25816A59"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PO3 TC10 IP1 SC5</w:t>
            </w:r>
          </w:p>
        </w:tc>
        <w:tc>
          <w:tcPr>
            <w:tcW w:w="762" w:type="pct"/>
            <w:shd w:val="clear" w:color="auto" w:fill="9FE1F7" w:themeFill="accent6" w:themeFillTint="66"/>
            <w:vAlign w:val="center"/>
          </w:tcPr>
          <w:p w14:paraId="70D98E94"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3 226 885</w:t>
            </w:r>
          </w:p>
        </w:tc>
        <w:tc>
          <w:tcPr>
            <w:tcW w:w="991" w:type="pct"/>
            <w:shd w:val="clear" w:color="auto" w:fill="9FE1F7" w:themeFill="accent6" w:themeFillTint="66"/>
            <w:vAlign w:val="center"/>
          </w:tcPr>
          <w:p w14:paraId="653FB116"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685 808</w:t>
            </w:r>
          </w:p>
        </w:tc>
        <w:tc>
          <w:tcPr>
            <w:tcW w:w="640" w:type="pct"/>
            <w:shd w:val="clear" w:color="auto" w:fill="9FE1F7" w:themeFill="accent6" w:themeFillTint="66"/>
            <w:vAlign w:val="center"/>
          </w:tcPr>
          <w:p w14:paraId="5779736E"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3 912 692</w:t>
            </w:r>
          </w:p>
        </w:tc>
      </w:tr>
      <w:tr w:rsidR="0000058C" w:rsidRPr="003C6B99" w14:paraId="6446C2A2" w14:textId="77777777" w:rsidTr="001731F5">
        <w:trPr>
          <w:trHeight w:val="30"/>
        </w:trPr>
        <w:tc>
          <w:tcPr>
            <w:tcW w:w="1957" w:type="pct"/>
            <w:vMerge/>
            <w:shd w:val="clear" w:color="auto" w:fill="9FE1F7" w:themeFill="accent6" w:themeFillTint="66"/>
            <w:vAlign w:val="center"/>
          </w:tcPr>
          <w:p w14:paraId="7615463C"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29346362"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59D57C8B"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PO3 TC10 IP1 SC2 SC3</w:t>
            </w:r>
          </w:p>
        </w:tc>
        <w:tc>
          <w:tcPr>
            <w:tcW w:w="762" w:type="pct"/>
            <w:shd w:val="clear" w:color="auto" w:fill="9FE1F7" w:themeFill="accent6" w:themeFillTint="66"/>
            <w:vAlign w:val="center"/>
          </w:tcPr>
          <w:p w14:paraId="6E17C772"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3 127 231</w:t>
            </w:r>
          </w:p>
        </w:tc>
        <w:tc>
          <w:tcPr>
            <w:tcW w:w="991" w:type="pct"/>
            <w:shd w:val="clear" w:color="auto" w:fill="9FE1F7" w:themeFill="accent6" w:themeFillTint="66"/>
            <w:vAlign w:val="center"/>
          </w:tcPr>
          <w:p w14:paraId="214B5049"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551 846</w:t>
            </w:r>
          </w:p>
        </w:tc>
        <w:tc>
          <w:tcPr>
            <w:tcW w:w="640" w:type="pct"/>
            <w:shd w:val="clear" w:color="auto" w:fill="9FE1F7" w:themeFill="accent6" w:themeFillTint="66"/>
            <w:vAlign w:val="center"/>
          </w:tcPr>
          <w:p w14:paraId="6153BB56"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3 679 077</w:t>
            </w:r>
          </w:p>
        </w:tc>
      </w:tr>
      <w:tr w:rsidR="0000058C" w:rsidRPr="003C6B99" w14:paraId="0BC517FC" w14:textId="77777777" w:rsidTr="001731F5">
        <w:trPr>
          <w:trHeight w:val="30"/>
        </w:trPr>
        <w:tc>
          <w:tcPr>
            <w:tcW w:w="1957" w:type="pct"/>
            <w:vMerge/>
            <w:shd w:val="clear" w:color="auto" w:fill="9FE1F7" w:themeFill="accent6" w:themeFillTint="66"/>
            <w:vAlign w:val="center"/>
          </w:tcPr>
          <w:p w14:paraId="09A5AC61"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33D2AB74"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34084D0B"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PO3 TC10 IP1 SC2 SC5</w:t>
            </w:r>
          </w:p>
        </w:tc>
        <w:tc>
          <w:tcPr>
            <w:tcW w:w="762" w:type="pct"/>
            <w:shd w:val="clear" w:color="auto" w:fill="9FE1F7" w:themeFill="accent6" w:themeFillTint="66"/>
            <w:vAlign w:val="center"/>
          </w:tcPr>
          <w:p w14:paraId="3D8078E9"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4 663 462</w:t>
            </w:r>
          </w:p>
        </w:tc>
        <w:tc>
          <w:tcPr>
            <w:tcW w:w="991" w:type="pct"/>
            <w:shd w:val="clear" w:color="auto" w:fill="9FE1F7" w:themeFill="accent6" w:themeFillTint="66"/>
            <w:vAlign w:val="center"/>
          </w:tcPr>
          <w:p w14:paraId="04AB5B4A"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984 077</w:t>
            </w:r>
          </w:p>
        </w:tc>
        <w:tc>
          <w:tcPr>
            <w:tcW w:w="640" w:type="pct"/>
            <w:shd w:val="clear" w:color="auto" w:fill="9FE1F7" w:themeFill="accent6" w:themeFillTint="66"/>
            <w:vAlign w:val="center"/>
          </w:tcPr>
          <w:p w14:paraId="3CD9D4CA"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5 647 538</w:t>
            </w:r>
          </w:p>
        </w:tc>
      </w:tr>
      <w:tr w:rsidR="0000058C" w:rsidRPr="003C6B99" w14:paraId="694B559D" w14:textId="77777777" w:rsidTr="001731F5">
        <w:trPr>
          <w:trHeight w:val="30"/>
        </w:trPr>
        <w:tc>
          <w:tcPr>
            <w:tcW w:w="1957" w:type="pct"/>
            <w:vMerge/>
            <w:shd w:val="clear" w:color="auto" w:fill="9FE1F7" w:themeFill="accent6" w:themeFillTint="66"/>
            <w:vAlign w:val="center"/>
          </w:tcPr>
          <w:p w14:paraId="2335E6C8"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65E33E07"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59CF754C"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PO3 TC10 IP1 SC3 SC5</w:t>
            </w:r>
          </w:p>
        </w:tc>
        <w:tc>
          <w:tcPr>
            <w:tcW w:w="762" w:type="pct"/>
            <w:shd w:val="clear" w:color="auto" w:fill="9FE1F7" w:themeFill="accent6" w:themeFillTint="66"/>
            <w:vAlign w:val="center"/>
          </w:tcPr>
          <w:p w14:paraId="06D3CDE3"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211 808</w:t>
            </w:r>
          </w:p>
        </w:tc>
        <w:tc>
          <w:tcPr>
            <w:tcW w:w="991" w:type="pct"/>
            <w:shd w:val="clear" w:color="auto" w:fill="9FE1F7" w:themeFill="accent6" w:themeFillTint="66"/>
            <w:vAlign w:val="center"/>
          </w:tcPr>
          <w:p w14:paraId="068E38D0"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50 615</w:t>
            </w:r>
          </w:p>
        </w:tc>
        <w:tc>
          <w:tcPr>
            <w:tcW w:w="640" w:type="pct"/>
            <w:shd w:val="clear" w:color="auto" w:fill="9FE1F7" w:themeFill="accent6" w:themeFillTint="66"/>
            <w:vAlign w:val="center"/>
          </w:tcPr>
          <w:p w14:paraId="192631A5"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262 423</w:t>
            </w:r>
          </w:p>
        </w:tc>
      </w:tr>
      <w:tr w:rsidR="0000058C" w:rsidRPr="003C6B99" w14:paraId="7F4FA890" w14:textId="77777777" w:rsidTr="001731F5">
        <w:trPr>
          <w:trHeight w:val="30"/>
        </w:trPr>
        <w:tc>
          <w:tcPr>
            <w:tcW w:w="1957" w:type="pct"/>
            <w:vMerge/>
            <w:shd w:val="clear" w:color="auto" w:fill="9FE1F7" w:themeFill="accent6" w:themeFillTint="66"/>
            <w:vAlign w:val="center"/>
          </w:tcPr>
          <w:p w14:paraId="0A205D9A"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275" w:type="pct"/>
            <w:vMerge/>
            <w:shd w:val="clear" w:color="auto" w:fill="9FE1F7" w:themeFill="accent6" w:themeFillTint="66"/>
            <w:vAlign w:val="center"/>
          </w:tcPr>
          <w:p w14:paraId="16B39033"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01AFB14C" w14:textId="77777777" w:rsidR="0000058C" w:rsidRPr="000623BE"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PO3 TC10 IP1 SC2 SC3 SC5</w:t>
            </w:r>
          </w:p>
        </w:tc>
        <w:tc>
          <w:tcPr>
            <w:tcW w:w="762" w:type="pct"/>
            <w:shd w:val="clear" w:color="auto" w:fill="9FE1F7" w:themeFill="accent6" w:themeFillTint="66"/>
            <w:vAlign w:val="center"/>
          </w:tcPr>
          <w:p w14:paraId="4C317000"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1 895 692</w:t>
            </w:r>
          </w:p>
        </w:tc>
        <w:tc>
          <w:tcPr>
            <w:tcW w:w="991" w:type="pct"/>
            <w:shd w:val="clear" w:color="auto" w:fill="9FE1F7" w:themeFill="accent6" w:themeFillTint="66"/>
            <w:vAlign w:val="center"/>
          </w:tcPr>
          <w:p w14:paraId="1FA27D1B"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425 038</w:t>
            </w:r>
          </w:p>
        </w:tc>
        <w:tc>
          <w:tcPr>
            <w:tcW w:w="640" w:type="pct"/>
            <w:shd w:val="clear" w:color="auto" w:fill="9FE1F7" w:themeFill="accent6" w:themeFillTint="66"/>
            <w:vAlign w:val="center"/>
          </w:tcPr>
          <w:p w14:paraId="37A63BC4" w14:textId="77777777" w:rsidR="0000058C" w:rsidRPr="000623BE" w:rsidRDefault="0000058C" w:rsidP="009E1480">
            <w:pPr>
              <w:jc w:val="right"/>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2 320 731</w:t>
            </w:r>
          </w:p>
        </w:tc>
      </w:tr>
      <w:tr w:rsidR="0000058C" w:rsidRPr="003C6B99" w14:paraId="7EA858AC" w14:textId="77777777" w:rsidTr="001731F5">
        <w:trPr>
          <w:trHeight w:val="30"/>
        </w:trPr>
        <w:tc>
          <w:tcPr>
            <w:tcW w:w="1957" w:type="pct"/>
            <w:shd w:val="clear" w:color="auto" w:fill="9FE1F7" w:themeFill="accent6" w:themeFillTint="66"/>
            <w:vAlign w:val="center"/>
          </w:tcPr>
          <w:p w14:paraId="2E029EC4"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0623BE">
              <w:rPr>
                <w:rFonts w:eastAsia="Times New Roman" w:cs="Times New Roman"/>
                <w:bCs/>
                <w:color w:val="000000" w:themeColor="text1"/>
                <w:sz w:val="18"/>
                <w:szCs w:val="18"/>
                <w:lang w:eastAsia="cs-CZ"/>
              </w:rPr>
              <w:t>F: Posílení a lepší využití sociálního kapitálu a</w:t>
            </w:r>
            <w:r>
              <w:rPr>
                <w:rFonts w:eastAsia="Times New Roman" w:cs="Times New Roman"/>
                <w:bCs/>
                <w:color w:val="000000" w:themeColor="text1"/>
                <w:sz w:val="18"/>
                <w:szCs w:val="18"/>
                <w:lang w:eastAsia="cs-CZ"/>
              </w:rPr>
              <w:t> </w:t>
            </w:r>
            <w:r w:rsidRPr="000623BE">
              <w:rPr>
                <w:rFonts w:eastAsia="Times New Roman" w:cs="Times New Roman"/>
                <w:bCs/>
                <w:color w:val="000000" w:themeColor="text1"/>
                <w:sz w:val="18"/>
                <w:szCs w:val="18"/>
                <w:lang w:eastAsia="cs-CZ"/>
              </w:rPr>
              <w:t>kreativity při řešení komplexních společenských výzev</w:t>
            </w:r>
          </w:p>
        </w:tc>
        <w:tc>
          <w:tcPr>
            <w:tcW w:w="275" w:type="pct"/>
            <w:vMerge/>
            <w:shd w:val="clear" w:color="auto" w:fill="9FE1F7" w:themeFill="accent6" w:themeFillTint="66"/>
            <w:vAlign w:val="center"/>
          </w:tcPr>
          <w:p w14:paraId="359181D2"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shd w:val="clear" w:color="auto" w:fill="9FE1F7" w:themeFill="accent6" w:themeFillTint="66"/>
            <w:vAlign w:val="center"/>
          </w:tcPr>
          <w:p w14:paraId="2A2E2D1B" w14:textId="77777777" w:rsidR="0000058C" w:rsidRPr="000D3C4F" w:rsidRDefault="0000058C" w:rsidP="009E1480">
            <w:pPr>
              <w:spacing w:after="0" w:line="240" w:lineRule="auto"/>
              <w:rPr>
                <w:rFonts w:eastAsia="Times New Roman" w:cs="Times New Roman"/>
                <w:bCs/>
                <w:color w:val="000000"/>
                <w:sz w:val="18"/>
                <w:szCs w:val="18"/>
                <w:lang w:eastAsia="cs-CZ"/>
              </w:rPr>
            </w:pPr>
            <w:r w:rsidRPr="000D3C4F">
              <w:rPr>
                <w:rFonts w:eastAsia="Times New Roman" w:cs="Times New Roman"/>
                <w:bCs/>
                <w:color w:val="000000"/>
                <w:sz w:val="18"/>
                <w:szCs w:val="18"/>
                <w:lang w:eastAsia="cs-CZ"/>
              </w:rPr>
              <w:t>PO2 IP1 SC5</w:t>
            </w:r>
          </w:p>
        </w:tc>
        <w:tc>
          <w:tcPr>
            <w:tcW w:w="762" w:type="pct"/>
            <w:shd w:val="clear" w:color="auto" w:fill="9FE1F7" w:themeFill="accent6" w:themeFillTint="66"/>
            <w:vAlign w:val="center"/>
          </w:tcPr>
          <w:p w14:paraId="48853A27" w14:textId="77777777" w:rsidR="0000058C" w:rsidRPr="00820D1D" w:rsidRDefault="0000058C" w:rsidP="009E1480">
            <w:pPr>
              <w:jc w:val="right"/>
              <w:rPr>
                <w:sz w:val="18"/>
                <w:szCs w:val="18"/>
              </w:rPr>
            </w:pPr>
            <w:r w:rsidRPr="00820D1D">
              <w:rPr>
                <w:sz w:val="18"/>
                <w:szCs w:val="18"/>
              </w:rPr>
              <w:t>8 410 615</w:t>
            </w:r>
          </w:p>
        </w:tc>
        <w:tc>
          <w:tcPr>
            <w:tcW w:w="991" w:type="pct"/>
            <w:shd w:val="clear" w:color="auto" w:fill="9FE1F7" w:themeFill="accent6" w:themeFillTint="66"/>
            <w:vAlign w:val="center"/>
          </w:tcPr>
          <w:p w14:paraId="3A14BFBD" w14:textId="77777777" w:rsidR="0000058C" w:rsidRPr="00820D1D" w:rsidRDefault="0000058C" w:rsidP="009E1480">
            <w:pPr>
              <w:jc w:val="right"/>
              <w:rPr>
                <w:sz w:val="18"/>
                <w:szCs w:val="18"/>
              </w:rPr>
            </w:pPr>
            <w:r w:rsidRPr="00820D1D">
              <w:rPr>
                <w:sz w:val="18"/>
                <w:szCs w:val="18"/>
              </w:rPr>
              <w:t>1 857 538</w:t>
            </w:r>
          </w:p>
        </w:tc>
        <w:tc>
          <w:tcPr>
            <w:tcW w:w="640" w:type="pct"/>
            <w:shd w:val="clear" w:color="auto" w:fill="9FE1F7" w:themeFill="accent6" w:themeFillTint="66"/>
            <w:vAlign w:val="center"/>
          </w:tcPr>
          <w:p w14:paraId="490C79C5" w14:textId="77777777" w:rsidR="0000058C" w:rsidRPr="00820D1D" w:rsidRDefault="0000058C" w:rsidP="009E1480">
            <w:pPr>
              <w:jc w:val="right"/>
              <w:rPr>
                <w:sz w:val="18"/>
                <w:szCs w:val="18"/>
              </w:rPr>
            </w:pPr>
            <w:r w:rsidRPr="00820D1D">
              <w:rPr>
                <w:sz w:val="18"/>
                <w:szCs w:val="18"/>
              </w:rPr>
              <w:t>10 268 154</w:t>
            </w:r>
          </w:p>
        </w:tc>
      </w:tr>
      <w:tr w:rsidR="0000058C" w:rsidRPr="003C6B99" w14:paraId="25EFAF3C" w14:textId="77777777" w:rsidTr="001731F5">
        <w:trPr>
          <w:trHeight w:val="605"/>
        </w:trPr>
        <w:tc>
          <w:tcPr>
            <w:tcW w:w="2607" w:type="pct"/>
            <w:gridSpan w:val="3"/>
            <w:shd w:val="clear" w:color="auto" w:fill="9FE1F7" w:themeFill="accent6" w:themeFillTint="66"/>
            <w:vAlign w:val="center"/>
            <w:hideMark/>
          </w:tcPr>
          <w:p w14:paraId="1B5EC416" w14:textId="77777777" w:rsidR="0000058C" w:rsidRPr="003C6B99" w:rsidRDefault="0000058C" w:rsidP="009E1480">
            <w:pPr>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OP VVV </w:t>
            </w:r>
            <w:r>
              <w:rPr>
                <w:rFonts w:eastAsia="Times New Roman" w:cs="Times New Roman"/>
                <w:b/>
                <w:bCs/>
                <w:color w:val="000000" w:themeColor="text1"/>
                <w:sz w:val="18"/>
                <w:szCs w:val="18"/>
                <w:lang w:eastAsia="cs-CZ"/>
              </w:rPr>
              <w:t>celkem</w:t>
            </w:r>
          </w:p>
        </w:tc>
        <w:tc>
          <w:tcPr>
            <w:tcW w:w="762" w:type="pct"/>
            <w:shd w:val="clear" w:color="auto" w:fill="9FE1F7" w:themeFill="accent6" w:themeFillTint="66"/>
            <w:vAlign w:val="center"/>
          </w:tcPr>
          <w:p w14:paraId="1D952E60" w14:textId="77777777" w:rsidR="0000058C" w:rsidRPr="00820D1D" w:rsidRDefault="0000058C" w:rsidP="009E1480">
            <w:pPr>
              <w:jc w:val="right"/>
              <w:rPr>
                <w:b/>
                <w:sz w:val="18"/>
                <w:szCs w:val="18"/>
              </w:rPr>
            </w:pPr>
            <w:r w:rsidRPr="00820D1D">
              <w:rPr>
                <w:b/>
                <w:sz w:val="18"/>
                <w:szCs w:val="18"/>
              </w:rPr>
              <w:t>1 608 980 346</w:t>
            </w:r>
          </w:p>
        </w:tc>
        <w:tc>
          <w:tcPr>
            <w:tcW w:w="991" w:type="pct"/>
            <w:shd w:val="clear" w:color="auto" w:fill="9FE1F7" w:themeFill="accent6" w:themeFillTint="66"/>
            <w:vAlign w:val="center"/>
          </w:tcPr>
          <w:p w14:paraId="7F20DD0E" w14:textId="77777777" w:rsidR="0000058C" w:rsidRPr="00820D1D" w:rsidRDefault="0000058C" w:rsidP="009E1480">
            <w:pPr>
              <w:jc w:val="right"/>
              <w:rPr>
                <w:b/>
                <w:sz w:val="18"/>
                <w:szCs w:val="18"/>
              </w:rPr>
            </w:pPr>
            <w:r w:rsidRPr="00820D1D">
              <w:rPr>
                <w:b/>
                <w:sz w:val="18"/>
                <w:szCs w:val="18"/>
              </w:rPr>
              <w:t>434 112 231</w:t>
            </w:r>
          </w:p>
        </w:tc>
        <w:tc>
          <w:tcPr>
            <w:tcW w:w="640" w:type="pct"/>
            <w:shd w:val="clear" w:color="auto" w:fill="9FE1F7" w:themeFill="accent6" w:themeFillTint="66"/>
            <w:vAlign w:val="center"/>
          </w:tcPr>
          <w:p w14:paraId="2ACD6D87" w14:textId="77777777" w:rsidR="0000058C" w:rsidRPr="00820D1D" w:rsidRDefault="0000058C" w:rsidP="009E1480">
            <w:pPr>
              <w:jc w:val="right"/>
              <w:rPr>
                <w:b/>
                <w:sz w:val="18"/>
                <w:szCs w:val="18"/>
              </w:rPr>
            </w:pPr>
            <w:r w:rsidRPr="00820D1D">
              <w:rPr>
                <w:b/>
                <w:sz w:val="18"/>
                <w:szCs w:val="18"/>
              </w:rPr>
              <w:t>2 043 092 577</w:t>
            </w:r>
          </w:p>
        </w:tc>
      </w:tr>
      <w:tr w:rsidR="0000058C" w:rsidRPr="003C6B99" w14:paraId="4F8FE906" w14:textId="77777777" w:rsidTr="001731F5">
        <w:trPr>
          <w:cantSplit/>
          <w:trHeight w:val="687"/>
        </w:trPr>
        <w:tc>
          <w:tcPr>
            <w:tcW w:w="1957" w:type="pct"/>
            <w:shd w:val="clear" w:color="auto" w:fill="CFF0FB" w:themeFill="accent6" w:themeFillTint="33"/>
            <w:vAlign w:val="center"/>
            <w:hideMark/>
          </w:tcPr>
          <w:p w14:paraId="77224671"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F: Posílení a lepší využití sociálního kapitálu a kreativity při řešení komplexních společenských výzev</w:t>
            </w:r>
          </w:p>
        </w:tc>
        <w:tc>
          <w:tcPr>
            <w:tcW w:w="275" w:type="pct"/>
            <w:shd w:val="clear" w:color="auto" w:fill="CFF0FB" w:themeFill="accent6" w:themeFillTint="33"/>
            <w:textDirection w:val="btLr"/>
            <w:vAlign w:val="center"/>
            <w:hideMark/>
          </w:tcPr>
          <w:p w14:paraId="78F55F59" w14:textId="77777777" w:rsidR="0000058C" w:rsidRPr="003C6B99" w:rsidRDefault="0000058C" w:rsidP="009E1480">
            <w:pPr>
              <w:spacing w:after="0" w:line="240" w:lineRule="auto"/>
              <w:ind w:left="113" w:right="113"/>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OP Z</w:t>
            </w:r>
          </w:p>
        </w:tc>
        <w:tc>
          <w:tcPr>
            <w:tcW w:w="375" w:type="pct"/>
            <w:shd w:val="clear" w:color="auto" w:fill="CFF0FB" w:themeFill="accent6" w:themeFillTint="33"/>
            <w:vAlign w:val="center"/>
            <w:hideMark/>
          </w:tcPr>
          <w:p w14:paraId="7857D4BC"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 SC 3.1.1</w:t>
            </w:r>
          </w:p>
        </w:tc>
        <w:tc>
          <w:tcPr>
            <w:tcW w:w="762" w:type="pct"/>
            <w:shd w:val="clear" w:color="auto" w:fill="CFF0FB" w:themeFill="accent6" w:themeFillTint="33"/>
            <w:vAlign w:val="center"/>
            <w:hideMark/>
          </w:tcPr>
          <w:p w14:paraId="5C8936CB"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42 170 750</w:t>
            </w:r>
          </w:p>
        </w:tc>
        <w:tc>
          <w:tcPr>
            <w:tcW w:w="991" w:type="pct"/>
            <w:shd w:val="clear" w:color="auto" w:fill="CFF0FB" w:themeFill="accent6" w:themeFillTint="33"/>
            <w:vAlign w:val="center"/>
            <w:hideMark/>
          </w:tcPr>
          <w:p w14:paraId="1707E563"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3 171 511</w:t>
            </w:r>
          </w:p>
        </w:tc>
        <w:tc>
          <w:tcPr>
            <w:tcW w:w="640" w:type="pct"/>
            <w:shd w:val="clear" w:color="auto" w:fill="CFF0FB" w:themeFill="accent6" w:themeFillTint="33"/>
            <w:vAlign w:val="center"/>
            <w:hideMark/>
          </w:tcPr>
          <w:p w14:paraId="24F7C010"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45 342 261</w:t>
            </w:r>
          </w:p>
        </w:tc>
      </w:tr>
      <w:tr w:rsidR="0000058C" w:rsidRPr="003C6B99" w14:paraId="56A6B054" w14:textId="77777777" w:rsidTr="001731F5">
        <w:trPr>
          <w:trHeight w:val="194"/>
        </w:trPr>
        <w:tc>
          <w:tcPr>
            <w:tcW w:w="2607" w:type="pct"/>
            <w:gridSpan w:val="3"/>
            <w:shd w:val="clear" w:color="auto" w:fill="CFF0FB" w:themeFill="accent6" w:themeFillTint="33"/>
            <w:vAlign w:val="center"/>
            <w:hideMark/>
          </w:tcPr>
          <w:p w14:paraId="5EEB6265" w14:textId="77777777" w:rsidR="0000058C" w:rsidRDefault="0000058C" w:rsidP="009E1480">
            <w:pPr>
              <w:spacing w:after="0" w:line="240" w:lineRule="auto"/>
              <w:rPr>
                <w:rFonts w:eastAsia="Times New Roman" w:cs="Times New Roman"/>
                <w:b/>
                <w:bCs/>
                <w:color w:val="000000" w:themeColor="text1"/>
                <w:sz w:val="18"/>
                <w:szCs w:val="18"/>
                <w:lang w:eastAsia="cs-CZ"/>
              </w:rPr>
            </w:pPr>
          </w:p>
          <w:p w14:paraId="072AA705" w14:textId="77777777" w:rsidR="0000058C" w:rsidRPr="003C6B99" w:rsidRDefault="0000058C" w:rsidP="009E1480">
            <w:pPr>
              <w:spacing w:after="0" w:line="240" w:lineRule="auto"/>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OP Z</w:t>
            </w:r>
            <w:r>
              <w:rPr>
                <w:rFonts w:eastAsia="Times New Roman" w:cs="Times New Roman"/>
                <w:b/>
                <w:bCs/>
                <w:color w:val="000000" w:themeColor="text1"/>
                <w:sz w:val="18"/>
                <w:szCs w:val="18"/>
                <w:lang w:eastAsia="cs-CZ"/>
              </w:rPr>
              <w:t xml:space="preserve"> celkem</w:t>
            </w:r>
          </w:p>
          <w:p w14:paraId="0A5614A1" w14:textId="77777777" w:rsidR="0000058C" w:rsidRPr="003C6B99" w:rsidRDefault="0000058C" w:rsidP="009E1480">
            <w:pPr>
              <w:spacing w:after="0" w:line="240" w:lineRule="auto"/>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 </w:t>
            </w:r>
          </w:p>
        </w:tc>
        <w:tc>
          <w:tcPr>
            <w:tcW w:w="762" w:type="pct"/>
            <w:shd w:val="clear" w:color="auto" w:fill="CFF0FB" w:themeFill="accent6" w:themeFillTint="33"/>
            <w:vAlign w:val="center"/>
            <w:hideMark/>
          </w:tcPr>
          <w:p w14:paraId="2362259A"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42 170 750</w:t>
            </w:r>
          </w:p>
        </w:tc>
        <w:tc>
          <w:tcPr>
            <w:tcW w:w="991" w:type="pct"/>
            <w:shd w:val="clear" w:color="auto" w:fill="CFF0FB" w:themeFill="accent6" w:themeFillTint="33"/>
            <w:vAlign w:val="center"/>
            <w:hideMark/>
          </w:tcPr>
          <w:p w14:paraId="074958DE"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3 171 511</w:t>
            </w:r>
          </w:p>
        </w:tc>
        <w:tc>
          <w:tcPr>
            <w:tcW w:w="640" w:type="pct"/>
            <w:shd w:val="clear" w:color="auto" w:fill="CFF0FB" w:themeFill="accent6" w:themeFillTint="33"/>
            <w:vAlign w:val="center"/>
            <w:hideMark/>
          </w:tcPr>
          <w:p w14:paraId="23E300E9"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45 342 261</w:t>
            </w:r>
          </w:p>
        </w:tc>
      </w:tr>
      <w:tr w:rsidR="0000058C" w:rsidRPr="003C6B99" w14:paraId="26CABB23" w14:textId="77777777" w:rsidTr="001731F5">
        <w:trPr>
          <w:cantSplit/>
          <w:trHeight w:val="687"/>
        </w:trPr>
        <w:tc>
          <w:tcPr>
            <w:tcW w:w="1957" w:type="pct"/>
            <w:shd w:val="clear" w:color="auto" w:fill="9FE1F7" w:themeFill="accent6" w:themeFillTint="66"/>
            <w:vAlign w:val="center"/>
            <w:hideMark/>
          </w:tcPr>
          <w:p w14:paraId="53C75D82"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E: Rozvoj eGovernmentu a eBusinessu pro zvýšení Konkurenceschopnosti (rozvoj ICT a digitální agenda)</w:t>
            </w:r>
          </w:p>
        </w:tc>
        <w:tc>
          <w:tcPr>
            <w:tcW w:w="275" w:type="pct"/>
            <w:shd w:val="clear" w:color="auto" w:fill="9FE1F7" w:themeFill="accent6" w:themeFillTint="66"/>
            <w:textDirection w:val="btLr"/>
            <w:vAlign w:val="center"/>
            <w:hideMark/>
          </w:tcPr>
          <w:p w14:paraId="225B19A6" w14:textId="77777777" w:rsidR="0000058C" w:rsidRPr="003C6B99" w:rsidRDefault="0000058C" w:rsidP="009E1480">
            <w:pPr>
              <w:spacing w:after="0" w:line="240" w:lineRule="auto"/>
              <w:ind w:left="113" w:right="113"/>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IROP</w:t>
            </w:r>
          </w:p>
        </w:tc>
        <w:tc>
          <w:tcPr>
            <w:tcW w:w="375" w:type="pct"/>
            <w:shd w:val="clear" w:color="auto" w:fill="9FE1F7" w:themeFill="accent6" w:themeFillTint="66"/>
            <w:vAlign w:val="center"/>
            <w:hideMark/>
          </w:tcPr>
          <w:p w14:paraId="1BF3AB7B"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 SC 3.2</w:t>
            </w:r>
          </w:p>
        </w:tc>
        <w:tc>
          <w:tcPr>
            <w:tcW w:w="762" w:type="pct"/>
            <w:shd w:val="clear" w:color="auto" w:fill="9FE1F7" w:themeFill="accent6" w:themeFillTint="66"/>
            <w:vAlign w:val="center"/>
          </w:tcPr>
          <w:p w14:paraId="6E064DAB" w14:textId="345B3FEC" w:rsidR="0000058C" w:rsidRPr="003C6B99" w:rsidRDefault="00BB0F8A" w:rsidP="009E1480">
            <w:pPr>
              <w:spacing w:after="0" w:line="240" w:lineRule="auto"/>
              <w:jc w:val="right"/>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330 247 845</w:t>
            </w:r>
          </w:p>
        </w:tc>
        <w:tc>
          <w:tcPr>
            <w:tcW w:w="991" w:type="pct"/>
            <w:shd w:val="clear" w:color="auto" w:fill="9FE1F7" w:themeFill="accent6" w:themeFillTint="66"/>
            <w:vAlign w:val="center"/>
          </w:tcPr>
          <w:p w14:paraId="02DE9DF9" w14:textId="2BB0049F" w:rsidR="0000058C" w:rsidRPr="003C6B99" w:rsidRDefault="00BB0F8A" w:rsidP="009E1480">
            <w:pPr>
              <w:spacing w:after="0" w:line="240" w:lineRule="auto"/>
              <w:jc w:val="right"/>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78 166 947</w:t>
            </w:r>
          </w:p>
        </w:tc>
        <w:tc>
          <w:tcPr>
            <w:tcW w:w="640" w:type="pct"/>
            <w:shd w:val="clear" w:color="auto" w:fill="9FE1F7" w:themeFill="accent6" w:themeFillTint="66"/>
            <w:vAlign w:val="center"/>
            <w:hideMark/>
          </w:tcPr>
          <w:p w14:paraId="315F0EE2"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408 414 792</w:t>
            </w:r>
          </w:p>
        </w:tc>
      </w:tr>
      <w:tr w:rsidR="0000058C" w:rsidRPr="003C6B99" w14:paraId="312454E5" w14:textId="77777777" w:rsidTr="001731F5">
        <w:trPr>
          <w:trHeight w:val="232"/>
        </w:trPr>
        <w:tc>
          <w:tcPr>
            <w:tcW w:w="2607" w:type="pct"/>
            <w:gridSpan w:val="3"/>
            <w:shd w:val="clear" w:color="auto" w:fill="9FE1F7" w:themeFill="accent6" w:themeFillTint="66"/>
            <w:vAlign w:val="center"/>
            <w:hideMark/>
          </w:tcPr>
          <w:p w14:paraId="4A79FFB0" w14:textId="77777777" w:rsidR="0000058C" w:rsidRDefault="0000058C" w:rsidP="009E1480">
            <w:pPr>
              <w:spacing w:after="0" w:line="240" w:lineRule="auto"/>
              <w:rPr>
                <w:rFonts w:eastAsia="Times New Roman" w:cs="Times New Roman"/>
                <w:b/>
                <w:bCs/>
                <w:color w:val="000000" w:themeColor="text1"/>
                <w:sz w:val="18"/>
                <w:szCs w:val="18"/>
                <w:lang w:eastAsia="cs-CZ"/>
              </w:rPr>
            </w:pPr>
          </w:p>
          <w:p w14:paraId="4552D1D6" w14:textId="77777777" w:rsidR="0000058C" w:rsidRPr="003C6B99" w:rsidRDefault="0000058C" w:rsidP="009E1480">
            <w:pPr>
              <w:spacing w:after="0" w:line="240" w:lineRule="auto"/>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IROP</w:t>
            </w:r>
          </w:p>
          <w:p w14:paraId="1548E2D9" w14:textId="77777777" w:rsidR="0000058C" w:rsidRPr="003C6B99" w:rsidRDefault="0000058C" w:rsidP="009E1480">
            <w:pPr>
              <w:spacing w:after="0" w:line="240" w:lineRule="auto"/>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 </w:t>
            </w:r>
          </w:p>
        </w:tc>
        <w:tc>
          <w:tcPr>
            <w:tcW w:w="762" w:type="pct"/>
            <w:shd w:val="clear" w:color="auto" w:fill="9FE1F7" w:themeFill="accent6" w:themeFillTint="66"/>
            <w:vAlign w:val="center"/>
          </w:tcPr>
          <w:p w14:paraId="28336C16" w14:textId="046E7683" w:rsidR="0000058C" w:rsidRPr="003C6B99" w:rsidRDefault="00317393"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330 247</w:t>
            </w:r>
            <w:r>
              <w:rPr>
                <w:rFonts w:eastAsia="Times New Roman" w:cs="Times New Roman"/>
                <w:b/>
                <w:bCs/>
                <w:color w:val="000000" w:themeColor="text1"/>
                <w:sz w:val="18"/>
                <w:szCs w:val="18"/>
                <w:lang w:eastAsia="cs-CZ"/>
              </w:rPr>
              <w:t> </w:t>
            </w:r>
            <w:r w:rsidRPr="003C6B99">
              <w:rPr>
                <w:rFonts w:eastAsia="Times New Roman" w:cs="Times New Roman"/>
                <w:b/>
                <w:bCs/>
                <w:color w:val="000000" w:themeColor="text1"/>
                <w:sz w:val="18"/>
                <w:szCs w:val="18"/>
                <w:lang w:eastAsia="cs-CZ"/>
              </w:rPr>
              <w:t>845</w:t>
            </w:r>
          </w:p>
        </w:tc>
        <w:tc>
          <w:tcPr>
            <w:tcW w:w="991" w:type="pct"/>
            <w:shd w:val="clear" w:color="auto" w:fill="9FE1F7" w:themeFill="accent6" w:themeFillTint="66"/>
            <w:vAlign w:val="center"/>
          </w:tcPr>
          <w:p w14:paraId="57C645E2" w14:textId="464C9EA2" w:rsidR="0000058C" w:rsidRPr="003C6B99" w:rsidRDefault="00317393"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78 166 947</w:t>
            </w:r>
          </w:p>
        </w:tc>
        <w:tc>
          <w:tcPr>
            <w:tcW w:w="640" w:type="pct"/>
            <w:shd w:val="clear" w:color="auto" w:fill="9FE1F7" w:themeFill="accent6" w:themeFillTint="66"/>
            <w:vAlign w:val="center"/>
            <w:hideMark/>
          </w:tcPr>
          <w:p w14:paraId="6C73CA49"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 408 414 792</w:t>
            </w:r>
          </w:p>
        </w:tc>
      </w:tr>
      <w:tr w:rsidR="0000058C" w:rsidRPr="003C6B99" w14:paraId="15B8A481" w14:textId="77777777" w:rsidTr="001731F5">
        <w:trPr>
          <w:trHeight w:val="417"/>
        </w:trPr>
        <w:tc>
          <w:tcPr>
            <w:tcW w:w="1957" w:type="pct"/>
            <w:shd w:val="clear" w:color="auto" w:fill="B9E0F7"/>
            <w:vAlign w:val="center"/>
            <w:hideMark/>
          </w:tcPr>
          <w:p w14:paraId="59D9B121"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A: Vyšší inovační výkonnost firem</w:t>
            </w:r>
          </w:p>
        </w:tc>
        <w:tc>
          <w:tcPr>
            <w:tcW w:w="275" w:type="pct"/>
            <w:vMerge w:val="restart"/>
            <w:shd w:val="clear" w:color="auto" w:fill="B9E0F7"/>
            <w:textDirection w:val="btLr"/>
            <w:vAlign w:val="center"/>
            <w:hideMark/>
          </w:tcPr>
          <w:p w14:paraId="0F6D13F6" w14:textId="77777777" w:rsidR="0000058C" w:rsidRPr="003C6B99" w:rsidRDefault="0000058C" w:rsidP="009E1480">
            <w:pPr>
              <w:spacing w:after="0" w:line="240" w:lineRule="auto"/>
              <w:ind w:left="113" w:right="113"/>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OP PPR</w:t>
            </w:r>
          </w:p>
        </w:tc>
        <w:tc>
          <w:tcPr>
            <w:tcW w:w="375" w:type="pct"/>
            <w:vMerge w:val="restart"/>
            <w:shd w:val="clear" w:color="auto" w:fill="B9E0F7"/>
            <w:vAlign w:val="center"/>
            <w:hideMark/>
          </w:tcPr>
          <w:p w14:paraId="66A37717"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PO 1</w:t>
            </w:r>
          </w:p>
        </w:tc>
        <w:tc>
          <w:tcPr>
            <w:tcW w:w="762" w:type="pct"/>
            <w:vMerge w:val="restart"/>
            <w:shd w:val="clear" w:color="auto" w:fill="B9E0F7"/>
            <w:vAlign w:val="center"/>
            <w:hideMark/>
          </w:tcPr>
          <w:p w14:paraId="281CAC70"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62 492 932</w:t>
            </w:r>
          </w:p>
        </w:tc>
        <w:tc>
          <w:tcPr>
            <w:tcW w:w="991" w:type="pct"/>
            <w:vMerge w:val="restart"/>
            <w:shd w:val="clear" w:color="auto" w:fill="B9E0F7"/>
            <w:vAlign w:val="center"/>
            <w:hideMark/>
          </w:tcPr>
          <w:p w14:paraId="6F0FFA8F"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62 492 932</w:t>
            </w:r>
          </w:p>
        </w:tc>
        <w:tc>
          <w:tcPr>
            <w:tcW w:w="640" w:type="pct"/>
            <w:vMerge w:val="restart"/>
            <w:shd w:val="clear" w:color="auto" w:fill="B9E0F7"/>
            <w:vAlign w:val="center"/>
            <w:hideMark/>
          </w:tcPr>
          <w:p w14:paraId="530C30CA"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124 985 864</w:t>
            </w:r>
          </w:p>
        </w:tc>
      </w:tr>
      <w:tr w:rsidR="0000058C" w:rsidRPr="003C6B99" w14:paraId="192A5A3F" w14:textId="77777777" w:rsidTr="001731F5">
        <w:trPr>
          <w:trHeight w:val="538"/>
        </w:trPr>
        <w:tc>
          <w:tcPr>
            <w:tcW w:w="1957" w:type="pct"/>
            <w:shd w:val="clear" w:color="auto" w:fill="B9E0F7"/>
            <w:vAlign w:val="center"/>
            <w:hideMark/>
          </w:tcPr>
          <w:p w14:paraId="678BAAA6"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r w:rsidRPr="003C6B99">
              <w:rPr>
                <w:rFonts w:eastAsia="Times New Roman" w:cs="Times New Roman"/>
                <w:bCs/>
                <w:color w:val="000000" w:themeColor="text1"/>
                <w:sz w:val="18"/>
                <w:szCs w:val="18"/>
                <w:lang w:eastAsia="cs-CZ"/>
              </w:rPr>
              <w:t>C: Zvýšení ekonomických přínosů veřejného výzkumu</w:t>
            </w:r>
          </w:p>
        </w:tc>
        <w:tc>
          <w:tcPr>
            <w:tcW w:w="275" w:type="pct"/>
            <w:vMerge/>
            <w:shd w:val="clear" w:color="auto" w:fill="B9E0F7"/>
            <w:vAlign w:val="center"/>
            <w:hideMark/>
          </w:tcPr>
          <w:p w14:paraId="741E8E93"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375" w:type="pct"/>
            <w:vMerge/>
            <w:shd w:val="clear" w:color="auto" w:fill="B9E0F7"/>
            <w:vAlign w:val="center"/>
            <w:hideMark/>
          </w:tcPr>
          <w:p w14:paraId="5350894C" w14:textId="77777777" w:rsidR="0000058C" w:rsidRPr="003C6B99" w:rsidRDefault="0000058C" w:rsidP="009E1480">
            <w:pPr>
              <w:spacing w:after="0" w:line="240" w:lineRule="auto"/>
              <w:rPr>
                <w:rFonts w:eastAsia="Times New Roman" w:cs="Times New Roman"/>
                <w:bCs/>
                <w:color w:val="000000" w:themeColor="text1"/>
                <w:sz w:val="18"/>
                <w:szCs w:val="18"/>
                <w:lang w:eastAsia="cs-CZ"/>
              </w:rPr>
            </w:pPr>
          </w:p>
        </w:tc>
        <w:tc>
          <w:tcPr>
            <w:tcW w:w="762" w:type="pct"/>
            <w:vMerge/>
            <w:shd w:val="clear" w:color="auto" w:fill="B9E0F7"/>
            <w:vAlign w:val="center"/>
            <w:hideMark/>
          </w:tcPr>
          <w:p w14:paraId="53B01807"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p>
        </w:tc>
        <w:tc>
          <w:tcPr>
            <w:tcW w:w="991" w:type="pct"/>
            <w:vMerge/>
            <w:shd w:val="clear" w:color="auto" w:fill="B9E0F7"/>
            <w:vAlign w:val="center"/>
            <w:hideMark/>
          </w:tcPr>
          <w:p w14:paraId="2596A235"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p>
        </w:tc>
        <w:tc>
          <w:tcPr>
            <w:tcW w:w="640" w:type="pct"/>
            <w:vMerge/>
            <w:shd w:val="clear" w:color="auto" w:fill="B9E0F7"/>
            <w:vAlign w:val="center"/>
            <w:hideMark/>
          </w:tcPr>
          <w:p w14:paraId="1ED980AE" w14:textId="77777777" w:rsidR="0000058C" w:rsidRPr="003C6B99" w:rsidRDefault="0000058C" w:rsidP="009E1480">
            <w:pPr>
              <w:spacing w:after="0" w:line="240" w:lineRule="auto"/>
              <w:jc w:val="right"/>
              <w:rPr>
                <w:rFonts w:eastAsia="Times New Roman" w:cs="Times New Roman"/>
                <w:bCs/>
                <w:color w:val="000000" w:themeColor="text1"/>
                <w:sz w:val="18"/>
                <w:szCs w:val="18"/>
                <w:lang w:eastAsia="cs-CZ"/>
              </w:rPr>
            </w:pPr>
          </w:p>
        </w:tc>
      </w:tr>
      <w:tr w:rsidR="0000058C" w:rsidRPr="003C6B99" w14:paraId="053396C7" w14:textId="77777777" w:rsidTr="001731F5">
        <w:trPr>
          <w:trHeight w:val="227"/>
        </w:trPr>
        <w:tc>
          <w:tcPr>
            <w:tcW w:w="2607" w:type="pct"/>
            <w:gridSpan w:val="3"/>
            <w:shd w:val="clear" w:color="auto" w:fill="B9E0F7"/>
            <w:vAlign w:val="center"/>
            <w:hideMark/>
          </w:tcPr>
          <w:p w14:paraId="08D4DDDC" w14:textId="77777777" w:rsidR="0000058C" w:rsidRPr="003C6B99" w:rsidRDefault="0000058C" w:rsidP="009E1480">
            <w:pPr>
              <w:spacing w:after="0" w:line="240" w:lineRule="auto"/>
              <w:rPr>
                <w:rFonts w:eastAsia="Times New Roman" w:cs="Times New Roman"/>
                <w:b/>
                <w:bCs/>
                <w:color w:val="000000" w:themeColor="text1"/>
                <w:sz w:val="18"/>
                <w:szCs w:val="18"/>
                <w:lang w:eastAsia="cs-CZ"/>
              </w:rPr>
            </w:pPr>
          </w:p>
          <w:p w14:paraId="694FF286" w14:textId="77777777" w:rsidR="0000058C" w:rsidRPr="003C6B99" w:rsidRDefault="0000058C" w:rsidP="009E1480">
            <w:pPr>
              <w:spacing w:after="0" w:line="240" w:lineRule="auto"/>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OP PPR </w:t>
            </w:r>
          </w:p>
          <w:p w14:paraId="3B17E1F6" w14:textId="77777777" w:rsidR="0000058C" w:rsidRPr="003C6B99" w:rsidRDefault="0000058C" w:rsidP="009E1480">
            <w:pPr>
              <w:spacing w:after="0" w:line="240" w:lineRule="auto"/>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 </w:t>
            </w:r>
          </w:p>
        </w:tc>
        <w:tc>
          <w:tcPr>
            <w:tcW w:w="762" w:type="pct"/>
            <w:shd w:val="clear" w:color="auto" w:fill="B9E0F7"/>
            <w:vAlign w:val="center"/>
            <w:hideMark/>
          </w:tcPr>
          <w:p w14:paraId="1E4467B2"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62 492 932</w:t>
            </w:r>
          </w:p>
        </w:tc>
        <w:tc>
          <w:tcPr>
            <w:tcW w:w="991" w:type="pct"/>
            <w:shd w:val="clear" w:color="auto" w:fill="B9E0F7"/>
            <w:vAlign w:val="center"/>
            <w:hideMark/>
          </w:tcPr>
          <w:p w14:paraId="414ADC86"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62 492 932</w:t>
            </w:r>
          </w:p>
        </w:tc>
        <w:tc>
          <w:tcPr>
            <w:tcW w:w="640" w:type="pct"/>
            <w:shd w:val="clear" w:color="auto" w:fill="B9E0F7"/>
            <w:vAlign w:val="center"/>
            <w:hideMark/>
          </w:tcPr>
          <w:p w14:paraId="6FFAD7BE" w14:textId="77777777" w:rsidR="0000058C" w:rsidRPr="003C6B99" w:rsidRDefault="0000058C" w:rsidP="009E1480">
            <w:pPr>
              <w:spacing w:after="0" w:line="240" w:lineRule="auto"/>
              <w:jc w:val="right"/>
              <w:rPr>
                <w:rFonts w:eastAsia="Times New Roman" w:cs="Times New Roman"/>
                <w:b/>
                <w:bCs/>
                <w:color w:val="000000" w:themeColor="text1"/>
                <w:sz w:val="18"/>
                <w:szCs w:val="18"/>
                <w:lang w:eastAsia="cs-CZ"/>
              </w:rPr>
            </w:pPr>
            <w:r w:rsidRPr="003C6B99">
              <w:rPr>
                <w:rFonts w:eastAsia="Times New Roman" w:cs="Times New Roman"/>
                <w:b/>
                <w:bCs/>
                <w:color w:val="000000" w:themeColor="text1"/>
                <w:sz w:val="18"/>
                <w:szCs w:val="18"/>
                <w:lang w:eastAsia="cs-CZ"/>
              </w:rPr>
              <w:t>124 985 864</w:t>
            </w:r>
          </w:p>
        </w:tc>
      </w:tr>
      <w:tr w:rsidR="00CC4E37" w:rsidRPr="00CC4E37" w14:paraId="3520C191" w14:textId="77777777" w:rsidTr="001731F5">
        <w:trPr>
          <w:trHeight w:val="496"/>
        </w:trPr>
        <w:tc>
          <w:tcPr>
            <w:tcW w:w="2607" w:type="pct"/>
            <w:gridSpan w:val="3"/>
            <w:shd w:val="clear" w:color="auto" w:fill="004B8D"/>
            <w:vAlign w:val="center"/>
          </w:tcPr>
          <w:p w14:paraId="272C026C" w14:textId="77777777" w:rsidR="0000058C" w:rsidRPr="00CC4E37" w:rsidRDefault="0000058C" w:rsidP="009E1480">
            <w:pPr>
              <w:spacing w:after="0" w:line="240" w:lineRule="auto"/>
              <w:rPr>
                <w:rFonts w:eastAsia="Times New Roman" w:cs="Times New Roman"/>
                <w:b/>
                <w:bCs/>
                <w:sz w:val="18"/>
                <w:szCs w:val="18"/>
                <w:lang w:eastAsia="cs-CZ"/>
              </w:rPr>
            </w:pPr>
            <w:r w:rsidRPr="00CC4E37">
              <w:rPr>
                <w:rFonts w:eastAsia="Times New Roman" w:cs="Arial"/>
                <w:b/>
                <w:bCs/>
                <w:sz w:val="18"/>
                <w:szCs w:val="18"/>
                <w:lang w:eastAsia="cs-CZ"/>
              </w:rPr>
              <w:t>SUMA</w:t>
            </w:r>
          </w:p>
        </w:tc>
        <w:tc>
          <w:tcPr>
            <w:tcW w:w="762" w:type="pct"/>
            <w:shd w:val="clear" w:color="auto" w:fill="004B8D"/>
          </w:tcPr>
          <w:p w14:paraId="5E65B091" w14:textId="77777777" w:rsidR="0000058C" w:rsidRPr="00CC4E37" w:rsidRDefault="0000058C" w:rsidP="009E1480">
            <w:pPr>
              <w:spacing w:after="0" w:line="240" w:lineRule="auto"/>
              <w:rPr>
                <w:rFonts w:eastAsia="Times New Roman" w:cs="Times New Roman"/>
                <w:b/>
                <w:bCs/>
                <w:sz w:val="18"/>
                <w:szCs w:val="18"/>
                <w:lang w:eastAsia="cs-CZ"/>
              </w:rPr>
            </w:pPr>
          </w:p>
          <w:p w14:paraId="7E338184" w14:textId="77777777" w:rsidR="0000058C" w:rsidRPr="00CC4E37" w:rsidRDefault="0000058C" w:rsidP="009E1480">
            <w:pPr>
              <w:spacing w:after="0" w:line="240" w:lineRule="auto"/>
              <w:rPr>
                <w:rFonts w:eastAsia="Times New Roman" w:cs="Times New Roman"/>
                <w:b/>
                <w:bCs/>
                <w:sz w:val="18"/>
                <w:szCs w:val="18"/>
                <w:lang w:eastAsia="cs-CZ"/>
              </w:rPr>
            </w:pPr>
            <w:r w:rsidRPr="00CC4E37">
              <w:rPr>
                <w:rFonts w:eastAsia="Times New Roman" w:cs="Times New Roman"/>
                <w:b/>
                <w:bCs/>
                <w:sz w:val="18"/>
                <w:szCs w:val="18"/>
                <w:lang w:eastAsia="cs-CZ"/>
              </w:rPr>
              <w:t>4 553 981 437</w:t>
            </w:r>
          </w:p>
        </w:tc>
        <w:tc>
          <w:tcPr>
            <w:tcW w:w="991" w:type="pct"/>
            <w:shd w:val="clear" w:color="auto" w:fill="004B8D"/>
          </w:tcPr>
          <w:p w14:paraId="18FC92CD" w14:textId="77777777" w:rsidR="0000058C" w:rsidRPr="00CC4E37" w:rsidRDefault="0000058C" w:rsidP="009E1480">
            <w:pPr>
              <w:spacing w:after="0" w:line="240" w:lineRule="auto"/>
              <w:rPr>
                <w:rFonts w:eastAsia="Times New Roman" w:cs="Times New Roman"/>
                <w:b/>
                <w:bCs/>
                <w:sz w:val="18"/>
                <w:szCs w:val="18"/>
                <w:lang w:eastAsia="cs-CZ"/>
              </w:rPr>
            </w:pPr>
          </w:p>
          <w:p w14:paraId="2C98810A" w14:textId="77777777" w:rsidR="0000058C" w:rsidRPr="00CC4E37" w:rsidRDefault="0000058C" w:rsidP="009E1480">
            <w:pPr>
              <w:spacing w:after="0" w:line="240" w:lineRule="auto"/>
              <w:rPr>
                <w:rFonts w:eastAsia="Times New Roman" w:cs="Times New Roman"/>
                <w:b/>
                <w:bCs/>
                <w:sz w:val="18"/>
                <w:szCs w:val="18"/>
                <w:lang w:eastAsia="cs-CZ"/>
              </w:rPr>
            </w:pPr>
            <w:r w:rsidRPr="00CC4E37">
              <w:rPr>
                <w:rFonts w:eastAsia="Times New Roman" w:cs="Times New Roman"/>
                <w:b/>
                <w:bCs/>
                <w:sz w:val="18"/>
                <w:szCs w:val="18"/>
                <w:lang w:eastAsia="cs-CZ"/>
              </w:rPr>
              <w:t>3 252 157 754</w:t>
            </w:r>
          </w:p>
          <w:p w14:paraId="719B29CE" w14:textId="77777777" w:rsidR="0000058C" w:rsidRPr="00CC4E37" w:rsidRDefault="0000058C" w:rsidP="009E1480">
            <w:pPr>
              <w:spacing w:after="0" w:line="240" w:lineRule="auto"/>
              <w:rPr>
                <w:rFonts w:eastAsia="Times New Roman" w:cs="Times New Roman"/>
                <w:b/>
                <w:bCs/>
                <w:sz w:val="18"/>
                <w:szCs w:val="18"/>
                <w:lang w:eastAsia="cs-CZ"/>
              </w:rPr>
            </w:pPr>
          </w:p>
        </w:tc>
        <w:tc>
          <w:tcPr>
            <w:tcW w:w="640" w:type="pct"/>
            <w:shd w:val="clear" w:color="auto" w:fill="004B8D"/>
          </w:tcPr>
          <w:p w14:paraId="689FC77C" w14:textId="77777777" w:rsidR="0000058C" w:rsidRPr="00CC4E37" w:rsidRDefault="0000058C" w:rsidP="009E1480">
            <w:pPr>
              <w:spacing w:after="0" w:line="240" w:lineRule="auto"/>
              <w:rPr>
                <w:rFonts w:eastAsia="Times New Roman" w:cs="Times New Roman"/>
                <w:b/>
                <w:bCs/>
                <w:sz w:val="18"/>
                <w:szCs w:val="18"/>
                <w:lang w:eastAsia="cs-CZ"/>
              </w:rPr>
            </w:pPr>
          </w:p>
          <w:p w14:paraId="54B4BF6E" w14:textId="77777777" w:rsidR="0000058C" w:rsidRPr="00CC4E37" w:rsidRDefault="0000058C" w:rsidP="009E1480">
            <w:pPr>
              <w:spacing w:after="0" w:line="240" w:lineRule="auto"/>
              <w:rPr>
                <w:rFonts w:eastAsia="Times New Roman" w:cs="Times New Roman"/>
                <w:b/>
                <w:bCs/>
                <w:sz w:val="18"/>
                <w:szCs w:val="18"/>
                <w:lang w:eastAsia="cs-CZ"/>
              </w:rPr>
            </w:pPr>
            <w:r w:rsidRPr="00CC4E37">
              <w:rPr>
                <w:rFonts w:eastAsia="Times New Roman" w:cs="Times New Roman"/>
                <w:b/>
                <w:bCs/>
                <w:sz w:val="18"/>
                <w:szCs w:val="18"/>
                <w:lang w:eastAsia="cs-CZ"/>
              </w:rPr>
              <w:t>7 806 139 191</w:t>
            </w:r>
          </w:p>
        </w:tc>
      </w:tr>
    </w:tbl>
    <w:p w14:paraId="605E873E" w14:textId="11C9E687" w:rsidR="00CC4E37" w:rsidRPr="00104DCE" w:rsidRDefault="00CC4E37" w:rsidP="00CC4E37">
      <w:pPr>
        <w:rPr>
          <w:i/>
          <w:sz w:val="18"/>
          <w:szCs w:val="18"/>
        </w:rPr>
      </w:pPr>
      <w:r w:rsidRPr="00104DCE">
        <w:rPr>
          <w:i/>
          <w:sz w:val="18"/>
          <w:szCs w:val="18"/>
        </w:rPr>
        <w:t xml:space="preserve">Zdroj: Řídicí orgány OP </w:t>
      </w:r>
    </w:p>
    <w:p w14:paraId="154E0855" w14:textId="77777777" w:rsidR="0080064B" w:rsidRDefault="0080064B" w:rsidP="00580DE3">
      <w:pPr>
        <w:pStyle w:val="Titulek"/>
      </w:pPr>
    </w:p>
    <w:p w14:paraId="21C36128" w14:textId="5F72F466" w:rsidR="00820D1D" w:rsidRDefault="00820D1D" w:rsidP="00580DE3">
      <w:pPr>
        <w:pStyle w:val="Titulek"/>
      </w:pPr>
      <w:bookmarkStart w:id="216" w:name="_Toc524677675"/>
      <w:r>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15</w:t>
      </w:r>
      <w:r w:rsidR="00EE7C52">
        <w:rPr>
          <w:noProof/>
        </w:rPr>
        <w:fldChar w:fldCharType="end"/>
      </w:r>
      <w:r>
        <w:t xml:space="preserve"> - P</w:t>
      </w:r>
      <w:r w:rsidRPr="00E4596A">
        <w:t xml:space="preserve">řičlenění operačních programů ke klíčovým oblastem změn </w:t>
      </w:r>
      <w:r>
        <w:t xml:space="preserve">Národní </w:t>
      </w:r>
      <w:r w:rsidRPr="00E4596A">
        <w:t>RIS3</w:t>
      </w:r>
      <w:r>
        <w:t xml:space="preserve"> strategie</w:t>
      </w:r>
      <w:bookmarkEnd w:id="216"/>
    </w:p>
    <w:tbl>
      <w:tblPr>
        <w:tblW w:w="5006" w:type="pct"/>
        <w:tblCellMar>
          <w:left w:w="70" w:type="dxa"/>
          <w:right w:w="70" w:type="dxa"/>
        </w:tblCellMar>
        <w:tblLook w:val="04A0" w:firstRow="1" w:lastRow="0" w:firstColumn="1" w:lastColumn="0" w:noHBand="0" w:noVBand="1"/>
      </w:tblPr>
      <w:tblGrid>
        <w:gridCol w:w="7930"/>
        <w:gridCol w:w="1133"/>
      </w:tblGrid>
      <w:tr w:rsidR="00820D1D" w:rsidRPr="0090248F" w14:paraId="733A92AC" w14:textId="77777777" w:rsidTr="00820D1D">
        <w:trPr>
          <w:trHeight w:val="274"/>
        </w:trPr>
        <w:tc>
          <w:tcPr>
            <w:tcW w:w="4375" w:type="pct"/>
            <w:tcBorders>
              <w:top w:val="single" w:sz="8" w:space="0" w:color="80A1B6"/>
              <w:left w:val="single" w:sz="8" w:space="0" w:color="80A1B6"/>
              <w:bottom w:val="single" w:sz="8" w:space="0" w:color="80A1B6"/>
              <w:right w:val="nil"/>
            </w:tcBorders>
            <w:shd w:val="clear" w:color="auto" w:fill="004B8D"/>
            <w:vAlign w:val="center"/>
            <w:hideMark/>
          </w:tcPr>
          <w:p w14:paraId="002BD8DE" w14:textId="77777777" w:rsidR="00820D1D" w:rsidRPr="009E1480" w:rsidRDefault="00820D1D" w:rsidP="009E604A">
            <w:pPr>
              <w:spacing w:after="0" w:line="240" w:lineRule="auto"/>
              <w:rPr>
                <w:rFonts w:ascii="Calibri" w:eastAsia="Times New Roman" w:hAnsi="Calibri" w:cs="Times New Roman"/>
                <w:b/>
                <w:bCs/>
                <w:color w:val="FFFFFF" w:themeColor="background1"/>
                <w:sz w:val="20"/>
                <w:szCs w:val="20"/>
                <w:lang w:eastAsia="cs-CZ"/>
              </w:rPr>
            </w:pPr>
            <w:r w:rsidRPr="009E1480">
              <w:rPr>
                <w:rFonts w:ascii="Calibri" w:eastAsia="Times New Roman" w:hAnsi="Calibri" w:cs="Times New Roman"/>
                <w:b/>
                <w:bCs/>
                <w:color w:val="FFFFFF" w:themeColor="background1"/>
                <w:sz w:val="20"/>
                <w:szCs w:val="20"/>
                <w:lang w:eastAsia="cs-CZ"/>
              </w:rPr>
              <w:t>Klíčová oblast změn</w:t>
            </w:r>
          </w:p>
        </w:tc>
        <w:tc>
          <w:tcPr>
            <w:tcW w:w="625" w:type="pct"/>
            <w:tcBorders>
              <w:top w:val="single" w:sz="8" w:space="0" w:color="80A1B6"/>
              <w:left w:val="nil"/>
              <w:bottom w:val="single" w:sz="8" w:space="0" w:color="80A1B6"/>
              <w:right w:val="single" w:sz="8" w:space="0" w:color="80A1B6"/>
            </w:tcBorders>
            <w:shd w:val="clear" w:color="auto" w:fill="004B8D"/>
            <w:vAlign w:val="center"/>
            <w:hideMark/>
          </w:tcPr>
          <w:p w14:paraId="2D2B5A79" w14:textId="77777777" w:rsidR="00820D1D" w:rsidRPr="009E1480" w:rsidRDefault="00820D1D" w:rsidP="009E604A">
            <w:pPr>
              <w:spacing w:after="0" w:line="240" w:lineRule="auto"/>
              <w:rPr>
                <w:rFonts w:ascii="Calibri" w:eastAsia="Times New Roman" w:hAnsi="Calibri" w:cs="Times New Roman"/>
                <w:b/>
                <w:bCs/>
                <w:color w:val="FFFFFF" w:themeColor="background1"/>
                <w:sz w:val="20"/>
                <w:szCs w:val="20"/>
                <w:lang w:eastAsia="cs-CZ"/>
              </w:rPr>
            </w:pPr>
            <w:r w:rsidRPr="009E1480">
              <w:rPr>
                <w:rFonts w:ascii="Calibri" w:eastAsia="Times New Roman" w:hAnsi="Calibri" w:cs="Times New Roman"/>
                <w:b/>
                <w:bCs/>
                <w:color w:val="FFFFFF" w:themeColor="background1"/>
                <w:sz w:val="20"/>
                <w:szCs w:val="20"/>
                <w:lang w:eastAsia="cs-CZ"/>
              </w:rPr>
              <w:t>Operační program</w:t>
            </w:r>
          </w:p>
        </w:tc>
      </w:tr>
      <w:tr w:rsidR="00820D1D" w:rsidRPr="0090248F" w14:paraId="48240231" w14:textId="77777777" w:rsidTr="00820D1D">
        <w:trPr>
          <w:trHeight w:val="261"/>
        </w:trPr>
        <w:tc>
          <w:tcPr>
            <w:tcW w:w="4375" w:type="pct"/>
            <w:vMerge w:val="restart"/>
            <w:tcBorders>
              <w:top w:val="nil"/>
              <w:left w:val="single" w:sz="8" w:space="0" w:color="4F81BD"/>
              <w:bottom w:val="single" w:sz="8" w:space="0" w:color="4F81BD"/>
              <w:right w:val="single" w:sz="8" w:space="0" w:color="4F81BD"/>
            </w:tcBorders>
            <w:shd w:val="clear" w:color="auto" w:fill="B9E0F7"/>
            <w:vAlign w:val="center"/>
            <w:hideMark/>
          </w:tcPr>
          <w:p w14:paraId="2919B9FC"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r w:rsidRPr="004401CD">
              <w:rPr>
                <w:rFonts w:ascii="Calibri" w:eastAsia="Times New Roman" w:hAnsi="Calibri" w:cs="Times New Roman"/>
                <w:bCs/>
                <w:color w:val="000000"/>
                <w:sz w:val="18"/>
                <w:szCs w:val="18"/>
                <w:lang w:eastAsia="cs-CZ"/>
              </w:rPr>
              <w:t>A: Vyšší inovační výkonnost firem</w:t>
            </w:r>
          </w:p>
        </w:tc>
        <w:tc>
          <w:tcPr>
            <w:tcW w:w="625" w:type="pct"/>
            <w:tcBorders>
              <w:top w:val="nil"/>
              <w:left w:val="nil"/>
              <w:bottom w:val="nil"/>
              <w:right w:val="single" w:sz="8" w:space="0" w:color="4F81BD"/>
            </w:tcBorders>
            <w:shd w:val="clear" w:color="auto" w:fill="B9E0F7"/>
            <w:vAlign w:val="center"/>
            <w:hideMark/>
          </w:tcPr>
          <w:p w14:paraId="5B00C8CB"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OP PIK</w:t>
            </w:r>
          </w:p>
        </w:tc>
      </w:tr>
      <w:tr w:rsidR="00820D1D" w:rsidRPr="0090248F" w14:paraId="361A374B" w14:textId="77777777" w:rsidTr="00820D1D">
        <w:trPr>
          <w:trHeight w:val="274"/>
        </w:trPr>
        <w:tc>
          <w:tcPr>
            <w:tcW w:w="4375" w:type="pct"/>
            <w:vMerge/>
            <w:tcBorders>
              <w:top w:val="nil"/>
              <w:left w:val="single" w:sz="8" w:space="0" w:color="4F81BD"/>
              <w:bottom w:val="single" w:sz="8" w:space="0" w:color="4F81BD"/>
              <w:right w:val="single" w:sz="8" w:space="0" w:color="4F81BD"/>
            </w:tcBorders>
            <w:shd w:val="clear" w:color="auto" w:fill="B9E0F7"/>
            <w:vAlign w:val="center"/>
            <w:hideMark/>
          </w:tcPr>
          <w:p w14:paraId="2874E19A"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p>
        </w:tc>
        <w:tc>
          <w:tcPr>
            <w:tcW w:w="625" w:type="pct"/>
            <w:tcBorders>
              <w:top w:val="nil"/>
              <w:left w:val="nil"/>
              <w:bottom w:val="single" w:sz="8" w:space="0" w:color="4F81BD"/>
              <w:right w:val="single" w:sz="8" w:space="0" w:color="4F81BD"/>
            </w:tcBorders>
            <w:shd w:val="clear" w:color="auto" w:fill="B9E0F7"/>
            <w:vAlign w:val="center"/>
            <w:hideMark/>
          </w:tcPr>
          <w:p w14:paraId="26FF9595"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OP PPR</w:t>
            </w:r>
          </w:p>
        </w:tc>
      </w:tr>
      <w:tr w:rsidR="00820D1D" w:rsidRPr="0090248F" w14:paraId="1697865F" w14:textId="77777777" w:rsidTr="00820D1D">
        <w:trPr>
          <w:trHeight w:val="475"/>
        </w:trPr>
        <w:tc>
          <w:tcPr>
            <w:tcW w:w="4375" w:type="pct"/>
            <w:tcBorders>
              <w:top w:val="nil"/>
              <w:left w:val="single" w:sz="8" w:space="0" w:color="4F81BD"/>
              <w:bottom w:val="single" w:sz="8" w:space="0" w:color="4F81BD"/>
              <w:right w:val="nil"/>
            </w:tcBorders>
            <w:shd w:val="clear" w:color="auto" w:fill="B9E0F7"/>
            <w:vAlign w:val="center"/>
            <w:hideMark/>
          </w:tcPr>
          <w:p w14:paraId="26C7FAA2"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r w:rsidRPr="004401CD">
              <w:rPr>
                <w:rFonts w:ascii="Calibri" w:eastAsia="Times New Roman" w:hAnsi="Calibri" w:cs="Times New Roman"/>
                <w:bCs/>
                <w:color w:val="000000"/>
                <w:sz w:val="18"/>
                <w:szCs w:val="18"/>
                <w:lang w:eastAsia="cs-CZ"/>
              </w:rPr>
              <w:t>B: Zvýšení kvality výzkumu</w:t>
            </w:r>
          </w:p>
        </w:tc>
        <w:tc>
          <w:tcPr>
            <w:tcW w:w="625" w:type="pct"/>
            <w:tcBorders>
              <w:top w:val="single" w:sz="8" w:space="0" w:color="80A1B6"/>
              <w:left w:val="single" w:sz="8" w:space="0" w:color="4F81BD"/>
              <w:bottom w:val="single" w:sz="8" w:space="0" w:color="80A1B6"/>
              <w:right w:val="single" w:sz="8" w:space="0" w:color="4F81BD"/>
            </w:tcBorders>
            <w:shd w:val="clear" w:color="auto" w:fill="B9E0F7"/>
            <w:vAlign w:val="center"/>
            <w:hideMark/>
          </w:tcPr>
          <w:p w14:paraId="60E6F024"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OP VVV</w:t>
            </w:r>
          </w:p>
        </w:tc>
      </w:tr>
      <w:tr w:rsidR="00820D1D" w:rsidRPr="0090248F" w14:paraId="0DC90DA9" w14:textId="77777777" w:rsidTr="00820D1D">
        <w:trPr>
          <w:trHeight w:val="261"/>
        </w:trPr>
        <w:tc>
          <w:tcPr>
            <w:tcW w:w="4375" w:type="pct"/>
            <w:vMerge w:val="restart"/>
            <w:tcBorders>
              <w:top w:val="nil"/>
              <w:left w:val="single" w:sz="8" w:space="0" w:color="4F81BD"/>
              <w:right w:val="nil"/>
            </w:tcBorders>
            <w:shd w:val="clear" w:color="auto" w:fill="B9E0F7"/>
            <w:vAlign w:val="center"/>
            <w:hideMark/>
          </w:tcPr>
          <w:p w14:paraId="4E0AB690"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r w:rsidRPr="004401CD">
              <w:rPr>
                <w:rFonts w:ascii="Calibri" w:eastAsia="Times New Roman" w:hAnsi="Calibri" w:cs="Times New Roman"/>
                <w:bCs/>
                <w:color w:val="000000"/>
                <w:sz w:val="18"/>
                <w:szCs w:val="18"/>
                <w:lang w:eastAsia="cs-CZ"/>
              </w:rPr>
              <w:t>C: Zvýšení ekonomických přínosů veřejného výzkumu</w:t>
            </w:r>
          </w:p>
        </w:tc>
        <w:tc>
          <w:tcPr>
            <w:tcW w:w="625" w:type="pct"/>
            <w:tcBorders>
              <w:top w:val="single" w:sz="8" w:space="0" w:color="80A1B6"/>
              <w:left w:val="single" w:sz="8" w:space="0" w:color="4F81BD"/>
              <w:bottom w:val="nil"/>
              <w:right w:val="single" w:sz="8" w:space="0" w:color="4F81BD"/>
            </w:tcBorders>
            <w:shd w:val="clear" w:color="auto" w:fill="B9E0F7"/>
            <w:vAlign w:val="center"/>
            <w:hideMark/>
          </w:tcPr>
          <w:p w14:paraId="0C0A9A2B"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OP VVV</w:t>
            </w:r>
          </w:p>
        </w:tc>
      </w:tr>
      <w:tr w:rsidR="00820D1D" w:rsidRPr="0090248F" w14:paraId="4B31BD9D" w14:textId="77777777" w:rsidTr="00820D1D">
        <w:trPr>
          <w:trHeight w:val="343"/>
        </w:trPr>
        <w:tc>
          <w:tcPr>
            <w:tcW w:w="4375" w:type="pct"/>
            <w:vMerge/>
            <w:tcBorders>
              <w:left w:val="single" w:sz="8" w:space="0" w:color="4F81BD"/>
              <w:right w:val="nil"/>
            </w:tcBorders>
            <w:shd w:val="clear" w:color="auto" w:fill="B9E0F7"/>
            <w:vAlign w:val="center"/>
            <w:hideMark/>
          </w:tcPr>
          <w:p w14:paraId="751DBC0C"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p>
        </w:tc>
        <w:tc>
          <w:tcPr>
            <w:tcW w:w="625" w:type="pct"/>
            <w:tcBorders>
              <w:top w:val="nil"/>
              <w:left w:val="single" w:sz="8" w:space="0" w:color="4F81BD"/>
              <w:right w:val="single" w:sz="8" w:space="0" w:color="4F81BD"/>
            </w:tcBorders>
            <w:shd w:val="clear" w:color="auto" w:fill="B9E0F7"/>
            <w:vAlign w:val="center"/>
            <w:hideMark/>
          </w:tcPr>
          <w:p w14:paraId="10C40648"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OP PIK</w:t>
            </w:r>
          </w:p>
        </w:tc>
      </w:tr>
      <w:tr w:rsidR="00820D1D" w:rsidRPr="0090248F" w14:paraId="424D566E" w14:textId="77777777" w:rsidTr="00820D1D">
        <w:trPr>
          <w:trHeight w:val="237"/>
        </w:trPr>
        <w:tc>
          <w:tcPr>
            <w:tcW w:w="4375" w:type="pct"/>
            <w:vMerge/>
            <w:tcBorders>
              <w:left w:val="single" w:sz="8" w:space="0" w:color="4F81BD"/>
              <w:bottom w:val="single" w:sz="8" w:space="0" w:color="4F81BD"/>
              <w:right w:val="nil"/>
            </w:tcBorders>
            <w:shd w:val="clear" w:color="auto" w:fill="B9E0F7"/>
            <w:vAlign w:val="center"/>
          </w:tcPr>
          <w:p w14:paraId="4E44187C"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p>
        </w:tc>
        <w:tc>
          <w:tcPr>
            <w:tcW w:w="625" w:type="pct"/>
            <w:tcBorders>
              <w:top w:val="nil"/>
              <w:left w:val="single" w:sz="8" w:space="0" w:color="4F81BD"/>
              <w:bottom w:val="single" w:sz="8" w:space="0" w:color="4F81BD"/>
              <w:right w:val="single" w:sz="8" w:space="0" w:color="4F81BD"/>
            </w:tcBorders>
            <w:shd w:val="clear" w:color="auto" w:fill="B9E0F7"/>
            <w:vAlign w:val="center"/>
          </w:tcPr>
          <w:p w14:paraId="256C2ED5"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OP PPR</w:t>
            </w:r>
          </w:p>
        </w:tc>
      </w:tr>
      <w:tr w:rsidR="00820D1D" w:rsidRPr="0090248F" w14:paraId="05BE9024" w14:textId="77777777" w:rsidTr="00820D1D">
        <w:trPr>
          <w:trHeight w:val="639"/>
        </w:trPr>
        <w:tc>
          <w:tcPr>
            <w:tcW w:w="4375" w:type="pct"/>
            <w:tcBorders>
              <w:top w:val="nil"/>
              <w:left w:val="single" w:sz="8" w:space="0" w:color="4F81BD"/>
              <w:bottom w:val="single" w:sz="8" w:space="0" w:color="4F81BD"/>
              <w:right w:val="single" w:sz="8" w:space="0" w:color="4F81BD"/>
            </w:tcBorders>
            <w:shd w:val="clear" w:color="auto" w:fill="B9E0F7"/>
            <w:vAlign w:val="center"/>
            <w:hideMark/>
          </w:tcPr>
          <w:p w14:paraId="2BF98484"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r w:rsidRPr="004401CD">
              <w:rPr>
                <w:rFonts w:ascii="Calibri" w:eastAsia="Times New Roman" w:hAnsi="Calibri" w:cs="Times New Roman"/>
                <w:bCs/>
                <w:color w:val="000000"/>
                <w:sz w:val="18"/>
                <w:szCs w:val="18"/>
                <w:lang w:eastAsia="cs-CZ"/>
              </w:rPr>
              <w:t>D: Lepší nabídka lidí v počtu i kvalitě pro inovační podnikání, výzkum a vývoj</w:t>
            </w:r>
          </w:p>
        </w:tc>
        <w:tc>
          <w:tcPr>
            <w:tcW w:w="625" w:type="pct"/>
            <w:tcBorders>
              <w:top w:val="nil"/>
              <w:left w:val="nil"/>
              <w:bottom w:val="single" w:sz="8" w:space="0" w:color="80A1B6"/>
              <w:right w:val="single" w:sz="8" w:space="0" w:color="4F81BD"/>
            </w:tcBorders>
            <w:shd w:val="clear" w:color="auto" w:fill="B9E0F7"/>
            <w:vAlign w:val="center"/>
            <w:hideMark/>
          </w:tcPr>
          <w:p w14:paraId="1E5D8B88"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OP VVV</w:t>
            </w:r>
          </w:p>
        </w:tc>
      </w:tr>
      <w:tr w:rsidR="00820D1D" w:rsidRPr="0090248F" w14:paraId="2CCD04F4" w14:textId="77777777" w:rsidTr="00820D1D">
        <w:trPr>
          <w:trHeight w:val="553"/>
        </w:trPr>
        <w:tc>
          <w:tcPr>
            <w:tcW w:w="4375" w:type="pct"/>
            <w:vMerge w:val="restart"/>
            <w:tcBorders>
              <w:top w:val="nil"/>
              <w:left w:val="single" w:sz="8" w:space="0" w:color="4F81BD"/>
              <w:bottom w:val="single" w:sz="8" w:space="0" w:color="4F81BD"/>
              <w:right w:val="nil"/>
            </w:tcBorders>
            <w:shd w:val="clear" w:color="auto" w:fill="B9E0F7"/>
            <w:vAlign w:val="center"/>
            <w:hideMark/>
          </w:tcPr>
          <w:p w14:paraId="7AAC5D3D"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r w:rsidRPr="004401CD">
              <w:rPr>
                <w:rFonts w:ascii="Calibri" w:eastAsia="Times New Roman" w:hAnsi="Calibri" w:cs="Times New Roman"/>
                <w:bCs/>
                <w:color w:val="000000"/>
                <w:sz w:val="18"/>
                <w:szCs w:val="18"/>
                <w:lang w:eastAsia="cs-CZ"/>
              </w:rPr>
              <w:t>E: Rozvoj eGovernmentu a eBusinessu pro zvýšení konkurenceschopnosti (rozvoj ICT a digitální agenda)</w:t>
            </w:r>
          </w:p>
        </w:tc>
        <w:tc>
          <w:tcPr>
            <w:tcW w:w="625" w:type="pct"/>
            <w:tcBorders>
              <w:top w:val="single" w:sz="8" w:space="0" w:color="80A1B6"/>
              <w:left w:val="single" w:sz="8" w:space="0" w:color="4F81BD"/>
              <w:bottom w:val="nil"/>
              <w:right w:val="single" w:sz="8" w:space="0" w:color="4F81BD"/>
            </w:tcBorders>
            <w:shd w:val="clear" w:color="auto" w:fill="B9E0F7"/>
            <w:vAlign w:val="center"/>
            <w:hideMark/>
          </w:tcPr>
          <w:p w14:paraId="4181D4C9"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OP PIK</w:t>
            </w:r>
          </w:p>
        </w:tc>
      </w:tr>
      <w:tr w:rsidR="00820D1D" w:rsidRPr="0090248F" w14:paraId="793FE1CB" w14:textId="77777777" w:rsidTr="00820D1D">
        <w:trPr>
          <w:trHeight w:val="43"/>
        </w:trPr>
        <w:tc>
          <w:tcPr>
            <w:tcW w:w="4375" w:type="pct"/>
            <w:vMerge/>
            <w:tcBorders>
              <w:top w:val="nil"/>
              <w:left w:val="single" w:sz="8" w:space="0" w:color="4F81BD"/>
              <w:bottom w:val="single" w:sz="8" w:space="0" w:color="4F81BD"/>
              <w:right w:val="nil"/>
            </w:tcBorders>
            <w:shd w:val="clear" w:color="auto" w:fill="B9E0F7"/>
            <w:vAlign w:val="center"/>
            <w:hideMark/>
          </w:tcPr>
          <w:p w14:paraId="5043C7A0"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p>
        </w:tc>
        <w:tc>
          <w:tcPr>
            <w:tcW w:w="625" w:type="pct"/>
            <w:tcBorders>
              <w:top w:val="nil"/>
              <w:left w:val="single" w:sz="8" w:space="0" w:color="4F81BD"/>
              <w:bottom w:val="single" w:sz="8" w:space="0" w:color="4F81BD"/>
              <w:right w:val="single" w:sz="8" w:space="0" w:color="4F81BD"/>
            </w:tcBorders>
            <w:shd w:val="clear" w:color="auto" w:fill="B9E0F7"/>
            <w:vAlign w:val="center"/>
            <w:hideMark/>
          </w:tcPr>
          <w:p w14:paraId="534E2DCD"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IROP</w:t>
            </w:r>
          </w:p>
        </w:tc>
      </w:tr>
      <w:tr w:rsidR="00820D1D" w:rsidRPr="0090248F" w14:paraId="345A6A48" w14:textId="77777777" w:rsidTr="00820D1D">
        <w:trPr>
          <w:trHeight w:val="452"/>
        </w:trPr>
        <w:tc>
          <w:tcPr>
            <w:tcW w:w="4375" w:type="pct"/>
            <w:vMerge w:val="restart"/>
            <w:tcBorders>
              <w:top w:val="nil"/>
              <w:left w:val="single" w:sz="8" w:space="0" w:color="4F81BD"/>
              <w:right w:val="single" w:sz="8" w:space="0" w:color="4F81BD"/>
            </w:tcBorders>
            <w:shd w:val="clear" w:color="auto" w:fill="B9E0F7"/>
            <w:vAlign w:val="center"/>
            <w:hideMark/>
          </w:tcPr>
          <w:p w14:paraId="22C61E29" w14:textId="77777777" w:rsidR="00820D1D" w:rsidRPr="004401CD" w:rsidRDefault="00820D1D" w:rsidP="009E604A">
            <w:pPr>
              <w:spacing w:after="0" w:line="240" w:lineRule="auto"/>
              <w:rPr>
                <w:rFonts w:ascii="Calibri" w:eastAsia="Times New Roman" w:hAnsi="Calibri" w:cs="Times New Roman"/>
                <w:bCs/>
                <w:color w:val="000000"/>
                <w:sz w:val="18"/>
                <w:szCs w:val="18"/>
                <w:lang w:eastAsia="cs-CZ"/>
              </w:rPr>
            </w:pPr>
            <w:r w:rsidRPr="004401CD">
              <w:rPr>
                <w:rFonts w:ascii="Calibri" w:eastAsia="Times New Roman" w:hAnsi="Calibri" w:cs="Times New Roman"/>
                <w:bCs/>
                <w:color w:val="000000"/>
                <w:sz w:val="18"/>
                <w:szCs w:val="18"/>
                <w:lang w:eastAsia="cs-CZ"/>
              </w:rPr>
              <w:t>F: Posílení a lepší využití sociálního kapitálu a kreativity při řešení komplexních společenských výzev</w:t>
            </w:r>
          </w:p>
        </w:tc>
        <w:tc>
          <w:tcPr>
            <w:tcW w:w="625" w:type="pct"/>
            <w:tcBorders>
              <w:top w:val="single" w:sz="8" w:space="0" w:color="4F81BD"/>
              <w:left w:val="nil"/>
              <w:right w:val="single" w:sz="8" w:space="0" w:color="4F81BD"/>
            </w:tcBorders>
            <w:shd w:val="clear" w:color="auto" w:fill="B9E0F7"/>
            <w:vAlign w:val="center"/>
            <w:hideMark/>
          </w:tcPr>
          <w:p w14:paraId="257FD6A6"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Pr>
                <w:rFonts w:ascii="Calibri" w:eastAsia="Times New Roman" w:hAnsi="Calibri" w:cs="Times New Roman"/>
                <w:color w:val="000000"/>
                <w:sz w:val="18"/>
                <w:szCs w:val="18"/>
                <w:lang w:eastAsia="cs-CZ"/>
              </w:rPr>
              <w:t>OP VVV</w:t>
            </w:r>
          </w:p>
        </w:tc>
      </w:tr>
      <w:tr w:rsidR="00820D1D" w:rsidRPr="0090248F" w14:paraId="6A2786CF" w14:textId="77777777" w:rsidTr="00820D1D">
        <w:trPr>
          <w:trHeight w:val="324"/>
        </w:trPr>
        <w:tc>
          <w:tcPr>
            <w:tcW w:w="4375" w:type="pct"/>
            <w:vMerge/>
            <w:tcBorders>
              <w:left w:val="single" w:sz="8" w:space="0" w:color="4F81BD"/>
              <w:bottom w:val="single" w:sz="8" w:space="0" w:color="4F81BD"/>
              <w:right w:val="single" w:sz="8" w:space="0" w:color="4F81BD"/>
            </w:tcBorders>
            <w:shd w:val="clear" w:color="auto" w:fill="B9E0F7"/>
            <w:vAlign w:val="center"/>
          </w:tcPr>
          <w:p w14:paraId="0BAC2D0B" w14:textId="77777777" w:rsidR="00820D1D" w:rsidRPr="0090248F" w:rsidRDefault="00820D1D" w:rsidP="009E604A">
            <w:pPr>
              <w:spacing w:after="0" w:line="240" w:lineRule="auto"/>
              <w:rPr>
                <w:rFonts w:ascii="Calibri" w:eastAsia="Times New Roman" w:hAnsi="Calibri" w:cs="Times New Roman"/>
                <w:b/>
                <w:bCs/>
                <w:color w:val="000000"/>
                <w:sz w:val="18"/>
                <w:szCs w:val="18"/>
                <w:lang w:eastAsia="cs-CZ"/>
              </w:rPr>
            </w:pPr>
          </w:p>
        </w:tc>
        <w:tc>
          <w:tcPr>
            <w:tcW w:w="625" w:type="pct"/>
            <w:tcBorders>
              <w:left w:val="nil"/>
              <w:bottom w:val="single" w:sz="8" w:space="0" w:color="4F81BD"/>
              <w:right w:val="single" w:sz="8" w:space="0" w:color="4F81BD"/>
            </w:tcBorders>
            <w:shd w:val="clear" w:color="auto" w:fill="B9E0F7"/>
            <w:vAlign w:val="center"/>
          </w:tcPr>
          <w:p w14:paraId="6748AD26" w14:textId="77777777" w:rsidR="00820D1D" w:rsidRPr="0090248F" w:rsidRDefault="00820D1D" w:rsidP="009E604A">
            <w:pPr>
              <w:spacing w:after="0" w:line="240" w:lineRule="auto"/>
              <w:jc w:val="center"/>
              <w:rPr>
                <w:rFonts w:ascii="Calibri" w:eastAsia="Times New Roman" w:hAnsi="Calibri" w:cs="Times New Roman"/>
                <w:color w:val="000000"/>
                <w:sz w:val="18"/>
                <w:szCs w:val="18"/>
                <w:lang w:eastAsia="cs-CZ"/>
              </w:rPr>
            </w:pPr>
            <w:r w:rsidRPr="0090248F">
              <w:rPr>
                <w:rFonts w:ascii="Calibri" w:eastAsia="Times New Roman" w:hAnsi="Calibri" w:cs="Times New Roman"/>
                <w:color w:val="000000"/>
                <w:sz w:val="18"/>
                <w:szCs w:val="18"/>
                <w:lang w:eastAsia="cs-CZ"/>
              </w:rPr>
              <w:t>OP Z</w:t>
            </w:r>
          </w:p>
        </w:tc>
      </w:tr>
    </w:tbl>
    <w:p w14:paraId="01980192" w14:textId="77777777" w:rsidR="00820D1D" w:rsidRPr="00104DCE" w:rsidRDefault="00820D1D" w:rsidP="00AF440D">
      <w:pPr>
        <w:rPr>
          <w:i/>
          <w:sz w:val="18"/>
          <w:szCs w:val="18"/>
        </w:rPr>
      </w:pPr>
      <w:r w:rsidRPr="00104DCE">
        <w:rPr>
          <w:i/>
          <w:sz w:val="18"/>
          <w:szCs w:val="18"/>
        </w:rPr>
        <w:t>Zdroj: MPO</w:t>
      </w:r>
    </w:p>
    <w:p w14:paraId="712464AA" w14:textId="3F491E7A" w:rsidR="00E2504C" w:rsidRPr="00E2504C" w:rsidRDefault="00E2504C" w:rsidP="00580DE3">
      <w:pPr>
        <w:pStyle w:val="Titulek"/>
      </w:pPr>
    </w:p>
    <w:p w14:paraId="58A5132B" w14:textId="3C5E9E5F" w:rsidR="006E6688" w:rsidRDefault="006E6688" w:rsidP="00EF4A38">
      <w:pPr>
        <w:pStyle w:val="Nadpis2"/>
      </w:pPr>
      <w:bookmarkStart w:id="217" w:name="_Toc525716270"/>
      <w:r w:rsidRPr="00EF4A38">
        <w:t xml:space="preserve">Národní </w:t>
      </w:r>
      <w:r w:rsidR="005B5540">
        <w:t>programy podpory VaVaI včetně rezortních programů</w:t>
      </w:r>
      <w:bookmarkEnd w:id="217"/>
    </w:p>
    <w:p w14:paraId="66C4D5DD" w14:textId="77777777" w:rsidR="00DC036B" w:rsidRPr="00DC036B" w:rsidRDefault="00DC036B" w:rsidP="001D4B99">
      <w:pPr>
        <w:spacing w:before="240" w:after="0" w:line="360" w:lineRule="auto"/>
        <w:ind w:firstLine="709"/>
        <w:jc w:val="both"/>
        <w:rPr>
          <w:rFonts w:eastAsia="MS Mincho"/>
        </w:rPr>
      </w:pPr>
      <w:r w:rsidRPr="00DC036B">
        <w:rPr>
          <w:rFonts w:eastAsia="MS Mincho"/>
        </w:rPr>
        <w:t xml:space="preserve">Kromě operačních programů podporovaných z ESIF zdrojů jsou na Národní RIS3 strategii navázány i některé národní programy podpory a rezortní programy.  </w:t>
      </w:r>
    </w:p>
    <w:p w14:paraId="284D5F32" w14:textId="6DB9273E" w:rsidR="00DC036B" w:rsidRPr="00DC036B" w:rsidRDefault="00DC036B" w:rsidP="001D4B99">
      <w:pPr>
        <w:spacing w:after="0" w:line="360" w:lineRule="auto"/>
        <w:ind w:firstLine="709"/>
        <w:jc w:val="both"/>
        <w:rPr>
          <w:rFonts w:eastAsia="MS Mincho"/>
        </w:rPr>
      </w:pPr>
      <w:r w:rsidRPr="00DC036B">
        <w:rPr>
          <w:rFonts w:eastAsia="MS Mincho"/>
        </w:rPr>
        <w:t>Nižší zapojení národních zdrojů do financování Národní RIS3 strategie bylo v procesu schvalování předběžné podmínky v roce 2016 předmětem kritiky EK.  V letech 2017 a 2018 dochází, jako navazující součást EDP, k postupné identifikaci inovativních prvků odpovídajících Národní RIS3 strategii v dalších národních a rezortních nástrojích podpory. Jedná se o následující národní programy podpory (řídící orgán TA</w:t>
      </w:r>
      <w:r>
        <w:rPr>
          <w:rFonts w:eastAsia="MS Mincho"/>
        </w:rPr>
        <w:t> </w:t>
      </w:r>
      <w:r w:rsidRPr="00DC036B">
        <w:rPr>
          <w:rFonts w:eastAsia="MS Mincho"/>
        </w:rPr>
        <w:t>ČR):</w:t>
      </w:r>
    </w:p>
    <w:p w14:paraId="3B49C7D2" w14:textId="77777777" w:rsidR="00DC036B" w:rsidRPr="00DC036B" w:rsidRDefault="00DC036B" w:rsidP="00543C1B">
      <w:pPr>
        <w:pStyle w:val="Odstavecseseznamem"/>
        <w:numPr>
          <w:ilvl w:val="0"/>
          <w:numId w:val="88"/>
        </w:numPr>
        <w:spacing w:after="200" w:line="360" w:lineRule="auto"/>
        <w:jc w:val="both"/>
        <w:rPr>
          <w:rFonts w:eastAsia="MS Mincho"/>
        </w:rPr>
      </w:pPr>
      <w:r w:rsidRPr="00DC036B">
        <w:rPr>
          <w:rFonts w:eastAsia="MS Mincho"/>
          <w:b/>
        </w:rPr>
        <w:t>Delta</w:t>
      </w:r>
      <w:r w:rsidRPr="00DC036B">
        <w:rPr>
          <w:rFonts w:eastAsia="MS Mincho"/>
        </w:rPr>
        <w:t xml:space="preserve">, </w:t>
      </w:r>
    </w:p>
    <w:p w14:paraId="1883A825" w14:textId="77777777" w:rsidR="00DC036B" w:rsidRPr="00DC036B" w:rsidRDefault="00DC036B" w:rsidP="00543C1B">
      <w:pPr>
        <w:pStyle w:val="Odstavecseseznamem"/>
        <w:numPr>
          <w:ilvl w:val="0"/>
          <w:numId w:val="88"/>
        </w:numPr>
        <w:spacing w:after="200" w:line="360" w:lineRule="auto"/>
        <w:jc w:val="both"/>
        <w:rPr>
          <w:rFonts w:eastAsia="MS Mincho"/>
        </w:rPr>
      </w:pPr>
      <w:r w:rsidRPr="00DC036B">
        <w:rPr>
          <w:rFonts w:eastAsia="MS Mincho"/>
          <w:b/>
        </w:rPr>
        <w:t>Éta</w:t>
      </w:r>
      <w:r w:rsidRPr="00DC036B">
        <w:rPr>
          <w:rFonts w:eastAsia="MS Mincho"/>
        </w:rPr>
        <w:t xml:space="preserve">, </w:t>
      </w:r>
    </w:p>
    <w:p w14:paraId="0DD659A7" w14:textId="77777777" w:rsidR="00DC036B" w:rsidRPr="00DC036B" w:rsidRDefault="00DC036B" w:rsidP="00543C1B">
      <w:pPr>
        <w:pStyle w:val="Odstavecseseznamem"/>
        <w:numPr>
          <w:ilvl w:val="0"/>
          <w:numId w:val="88"/>
        </w:numPr>
        <w:spacing w:after="200" w:line="360" w:lineRule="auto"/>
        <w:jc w:val="both"/>
        <w:rPr>
          <w:rFonts w:eastAsia="MS Mincho"/>
        </w:rPr>
      </w:pPr>
      <w:r w:rsidRPr="00DC036B">
        <w:rPr>
          <w:rFonts w:eastAsia="MS Mincho"/>
          <w:b/>
        </w:rPr>
        <w:t>Théta</w:t>
      </w:r>
      <w:r w:rsidRPr="00DC036B">
        <w:rPr>
          <w:rFonts w:eastAsia="MS Mincho"/>
        </w:rPr>
        <w:t xml:space="preserve">, </w:t>
      </w:r>
    </w:p>
    <w:p w14:paraId="733A16B5" w14:textId="77777777" w:rsidR="00DC036B" w:rsidRPr="00DC036B" w:rsidRDefault="00DC036B" w:rsidP="00543C1B">
      <w:pPr>
        <w:pStyle w:val="Odstavecseseznamem"/>
        <w:numPr>
          <w:ilvl w:val="0"/>
          <w:numId w:val="88"/>
        </w:numPr>
        <w:spacing w:after="200" w:line="360" w:lineRule="auto"/>
        <w:jc w:val="both"/>
        <w:rPr>
          <w:rFonts w:eastAsia="MS Mincho"/>
        </w:rPr>
      </w:pPr>
      <w:r w:rsidRPr="00DC036B">
        <w:rPr>
          <w:rFonts w:eastAsia="MS Mincho"/>
          <w:b/>
        </w:rPr>
        <w:t>Zéta</w:t>
      </w:r>
      <w:r w:rsidRPr="00DC036B">
        <w:rPr>
          <w:rFonts w:eastAsia="MS Mincho"/>
        </w:rPr>
        <w:t xml:space="preserve">, </w:t>
      </w:r>
    </w:p>
    <w:p w14:paraId="1686230E" w14:textId="77777777" w:rsidR="00DC036B" w:rsidRPr="00DC036B" w:rsidRDefault="00DC036B" w:rsidP="00543C1B">
      <w:pPr>
        <w:pStyle w:val="Odstavecseseznamem"/>
        <w:numPr>
          <w:ilvl w:val="0"/>
          <w:numId w:val="88"/>
        </w:numPr>
        <w:spacing w:after="200" w:line="360" w:lineRule="auto"/>
        <w:jc w:val="both"/>
        <w:rPr>
          <w:rFonts w:eastAsia="MS Mincho"/>
        </w:rPr>
      </w:pPr>
      <w:r w:rsidRPr="00DC036B">
        <w:rPr>
          <w:rFonts w:eastAsia="MS Mincho"/>
          <w:b/>
        </w:rPr>
        <w:t>Národní centra kompetence</w:t>
      </w:r>
      <w:r w:rsidRPr="00DC036B">
        <w:rPr>
          <w:rFonts w:eastAsia="MS Mincho"/>
        </w:rPr>
        <w:t xml:space="preserve">.  </w:t>
      </w:r>
    </w:p>
    <w:p w14:paraId="32FB88F5" w14:textId="77777777" w:rsidR="00DC036B" w:rsidRPr="00DC036B" w:rsidRDefault="00DC036B" w:rsidP="00DC036B">
      <w:pPr>
        <w:spacing w:after="200" w:line="360" w:lineRule="auto"/>
        <w:jc w:val="both"/>
        <w:rPr>
          <w:rFonts w:eastAsia="MS Mincho"/>
        </w:rPr>
      </w:pPr>
      <w:r w:rsidRPr="00DC036B">
        <w:rPr>
          <w:rFonts w:eastAsia="MS Mincho"/>
        </w:rPr>
        <w:t>Z rezortních programů se jedná o následující programy:</w:t>
      </w:r>
    </w:p>
    <w:p w14:paraId="13B112AD" w14:textId="77777777" w:rsidR="009D2FE4" w:rsidRDefault="009D2FE4" w:rsidP="009D2FE4">
      <w:pPr>
        <w:pStyle w:val="Odstavecseseznamem"/>
        <w:numPr>
          <w:ilvl w:val="0"/>
          <w:numId w:val="89"/>
        </w:numPr>
        <w:spacing w:after="200" w:line="360" w:lineRule="auto"/>
        <w:jc w:val="both"/>
        <w:rPr>
          <w:rFonts w:eastAsia="MS Mincho"/>
          <w:b/>
        </w:rPr>
      </w:pPr>
      <w:r w:rsidRPr="009D2FE4">
        <w:rPr>
          <w:rFonts w:eastAsia="MS Mincho"/>
          <w:b/>
        </w:rPr>
        <w:t>Program aplikovaného výzkumu a experimentálního vývoje 2016</w:t>
      </w:r>
      <w:r>
        <w:rPr>
          <w:rFonts w:eastAsia="MS Mincho"/>
          <w:b/>
        </w:rPr>
        <w:t xml:space="preserve"> </w:t>
      </w:r>
      <w:r w:rsidRPr="00EC5434">
        <w:rPr>
          <w:rFonts w:eastAsia="MS Mincho"/>
          <w:b/>
        </w:rPr>
        <w:t>–</w:t>
      </w:r>
      <w:r>
        <w:rPr>
          <w:rFonts w:eastAsia="MS Mincho"/>
          <w:b/>
        </w:rPr>
        <w:t xml:space="preserve"> </w:t>
      </w:r>
      <w:r w:rsidRPr="009D2FE4">
        <w:rPr>
          <w:rFonts w:eastAsia="MS Mincho"/>
          <w:b/>
        </w:rPr>
        <w:t>2022</w:t>
      </w:r>
      <w:r>
        <w:rPr>
          <w:rFonts w:eastAsia="MS Mincho"/>
          <w:b/>
        </w:rPr>
        <w:t xml:space="preserve"> </w:t>
      </w:r>
      <w:r w:rsidRPr="009D2FE4">
        <w:rPr>
          <w:rFonts w:eastAsia="MS Mincho"/>
          <w:b/>
        </w:rPr>
        <w:t>TRIO</w:t>
      </w:r>
      <w:r>
        <w:rPr>
          <w:rFonts w:eastAsia="MS Mincho"/>
          <w:b/>
        </w:rPr>
        <w:t xml:space="preserve"> </w:t>
      </w:r>
    </w:p>
    <w:p w14:paraId="1D350E8B" w14:textId="35FF4D2E" w:rsidR="009D2FE4" w:rsidRDefault="009D2FE4" w:rsidP="009D2FE4">
      <w:pPr>
        <w:pStyle w:val="Odstavecseseznamem"/>
        <w:spacing w:after="200" w:line="360" w:lineRule="auto"/>
        <w:jc w:val="both"/>
        <w:rPr>
          <w:rFonts w:eastAsia="MS Mincho"/>
          <w:b/>
        </w:rPr>
      </w:pPr>
      <w:r w:rsidRPr="009D2FE4">
        <w:rPr>
          <w:rFonts w:eastAsia="MS Mincho"/>
        </w:rPr>
        <w:t>(</w:t>
      </w:r>
      <w:r>
        <w:rPr>
          <w:rFonts w:eastAsia="MS Mincho"/>
        </w:rPr>
        <w:t>řídící orgán MPO)</w:t>
      </w:r>
    </w:p>
    <w:p w14:paraId="3059DB60" w14:textId="5DEAC39A" w:rsidR="00585463" w:rsidRPr="00E94E71" w:rsidRDefault="00EC5434" w:rsidP="00543C1B">
      <w:pPr>
        <w:pStyle w:val="Odstavecseseznamem"/>
        <w:numPr>
          <w:ilvl w:val="0"/>
          <w:numId w:val="89"/>
        </w:numPr>
        <w:spacing w:after="200" w:line="360" w:lineRule="auto"/>
        <w:jc w:val="both"/>
        <w:rPr>
          <w:rFonts w:eastAsia="MS Mincho"/>
          <w:b/>
        </w:rPr>
      </w:pPr>
      <w:r w:rsidRPr="00EC5434">
        <w:rPr>
          <w:rFonts w:eastAsia="MS Mincho"/>
          <w:b/>
        </w:rPr>
        <w:t>Program bezpečnostního výzkumu České republiky v letech 2015 – 2022</w:t>
      </w:r>
      <w:r w:rsidR="00DC036B" w:rsidRPr="00EC5434">
        <w:rPr>
          <w:rFonts w:eastAsia="MS Mincho"/>
          <w:b/>
        </w:rPr>
        <w:t xml:space="preserve"> </w:t>
      </w:r>
      <w:r w:rsidR="00DC036B" w:rsidRPr="00EC5434">
        <w:rPr>
          <w:rFonts w:eastAsia="MS Mincho"/>
        </w:rPr>
        <w:t>(řídící orgán MV</w:t>
      </w:r>
      <w:r w:rsidR="00711FA7" w:rsidRPr="00EC5434">
        <w:rPr>
          <w:rFonts w:eastAsia="MS Mincho"/>
        </w:rPr>
        <w:t xml:space="preserve"> </w:t>
      </w:r>
      <w:r w:rsidR="00DC036B" w:rsidRPr="00EC5434">
        <w:rPr>
          <w:rFonts w:eastAsia="MS Mincho"/>
        </w:rPr>
        <w:t>ČR),</w:t>
      </w:r>
    </w:p>
    <w:p w14:paraId="394BE9EC" w14:textId="6ED9165D" w:rsidR="00585463" w:rsidRPr="00EC5434" w:rsidRDefault="00585463" w:rsidP="00543C1B">
      <w:pPr>
        <w:pStyle w:val="Odstavecseseznamem"/>
        <w:numPr>
          <w:ilvl w:val="0"/>
          <w:numId w:val="89"/>
        </w:numPr>
        <w:spacing w:after="200" w:line="360" w:lineRule="auto"/>
        <w:jc w:val="both"/>
        <w:rPr>
          <w:rFonts w:eastAsia="MS Mincho"/>
          <w:b/>
        </w:rPr>
      </w:pPr>
      <w:r w:rsidRPr="00585463">
        <w:rPr>
          <w:rFonts w:eastAsia="MS Mincho"/>
          <w:b/>
        </w:rPr>
        <w:t>Program bezpečnostního výzkumu pro potřeby státu 2016 – 2021</w:t>
      </w:r>
      <w:r>
        <w:rPr>
          <w:rFonts w:eastAsia="MS Mincho"/>
          <w:b/>
        </w:rPr>
        <w:t xml:space="preserve"> </w:t>
      </w:r>
      <w:r w:rsidRPr="00EC5434">
        <w:rPr>
          <w:rFonts w:eastAsia="MS Mincho"/>
        </w:rPr>
        <w:t>(řídící orgán MV ČR)</w:t>
      </w:r>
      <w:r>
        <w:rPr>
          <w:rFonts w:eastAsia="MS Mincho"/>
        </w:rPr>
        <w:t>,</w:t>
      </w:r>
    </w:p>
    <w:p w14:paraId="1B1CAF3B" w14:textId="1F7A6BD2" w:rsidR="001F2441" w:rsidRPr="001F2441" w:rsidRDefault="00DC036B" w:rsidP="00543C1B">
      <w:pPr>
        <w:pStyle w:val="Odstavecseseznamem"/>
        <w:numPr>
          <w:ilvl w:val="0"/>
          <w:numId w:val="89"/>
        </w:numPr>
        <w:spacing w:after="200" w:line="360" w:lineRule="auto"/>
        <w:jc w:val="both"/>
        <w:rPr>
          <w:rFonts w:eastAsia="MS Mincho"/>
          <w:b/>
        </w:rPr>
      </w:pPr>
      <w:r w:rsidRPr="00DC036B">
        <w:rPr>
          <w:rFonts w:eastAsia="MS Mincho"/>
          <w:b/>
        </w:rPr>
        <w:t>Program na podporu zdravotnického aplikovaného výzkumu a vývoje na léta 2015</w:t>
      </w:r>
      <w:r w:rsidR="009D2FE4">
        <w:rPr>
          <w:rFonts w:eastAsia="MS Mincho"/>
          <w:b/>
        </w:rPr>
        <w:t xml:space="preserve"> </w:t>
      </w:r>
      <w:r w:rsidR="009D2FE4" w:rsidRPr="00585463">
        <w:rPr>
          <w:rFonts w:eastAsia="MS Mincho"/>
          <w:b/>
        </w:rPr>
        <w:t>–</w:t>
      </w:r>
      <w:r w:rsidR="009D2FE4">
        <w:rPr>
          <w:rFonts w:eastAsia="MS Mincho"/>
          <w:b/>
        </w:rPr>
        <w:t xml:space="preserve"> </w:t>
      </w:r>
      <w:r w:rsidRPr="00DC036B">
        <w:rPr>
          <w:rFonts w:eastAsia="MS Mincho"/>
          <w:b/>
        </w:rPr>
        <w:t xml:space="preserve">2022 </w:t>
      </w:r>
      <w:r w:rsidRPr="00DC036B">
        <w:rPr>
          <w:rFonts w:eastAsia="MS Mincho"/>
        </w:rPr>
        <w:t>(řídící orgán MZ ČR),</w:t>
      </w:r>
    </w:p>
    <w:p w14:paraId="7105DC16" w14:textId="109B83B0" w:rsidR="00DC036B" w:rsidRPr="007762EA" w:rsidRDefault="00DC036B" w:rsidP="00543C1B">
      <w:pPr>
        <w:pStyle w:val="Odstavecseseznamem"/>
        <w:numPr>
          <w:ilvl w:val="0"/>
          <w:numId w:val="89"/>
        </w:numPr>
        <w:spacing w:after="200" w:line="360" w:lineRule="auto"/>
        <w:jc w:val="both"/>
        <w:rPr>
          <w:rFonts w:eastAsia="MS Mincho"/>
          <w:b/>
        </w:rPr>
      </w:pPr>
      <w:r w:rsidRPr="00DC036B">
        <w:rPr>
          <w:rFonts w:eastAsia="MS Mincho"/>
          <w:b/>
        </w:rPr>
        <w:t>Program aplikovaného výzkumu Ministerstva zemědělství na období 2017</w:t>
      </w:r>
      <w:r w:rsidR="009D2FE4">
        <w:rPr>
          <w:rFonts w:eastAsia="MS Mincho"/>
          <w:b/>
        </w:rPr>
        <w:t xml:space="preserve"> </w:t>
      </w:r>
      <w:r w:rsidR="009D2FE4" w:rsidRPr="00585463">
        <w:rPr>
          <w:rFonts w:eastAsia="MS Mincho"/>
          <w:b/>
        </w:rPr>
        <w:t>–</w:t>
      </w:r>
      <w:r w:rsidR="009D2FE4">
        <w:rPr>
          <w:rFonts w:eastAsia="MS Mincho"/>
          <w:b/>
        </w:rPr>
        <w:t xml:space="preserve"> </w:t>
      </w:r>
      <w:r w:rsidRPr="00DC036B">
        <w:rPr>
          <w:rFonts w:eastAsia="MS Mincho"/>
          <w:b/>
        </w:rPr>
        <w:t xml:space="preserve">2025 ZEMĚ </w:t>
      </w:r>
      <w:r w:rsidRPr="00DC036B">
        <w:rPr>
          <w:rFonts w:eastAsia="MS Mincho"/>
        </w:rPr>
        <w:t>(řídící orgán MZe)</w:t>
      </w:r>
      <w:r w:rsidR="00A02A4B">
        <w:rPr>
          <w:rFonts w:eastAsia="MS Mincho"/>
        </w:rPr>
        <w:t>.</w:t>
      </w:r>
    </w:p>
    <w:p w14:paraId="753AE1F9" w14:textId="77777777" w:rsidR="00E71CEA" w:rsidRPr="00E71CEA" w:rsidRDefault="00E71CEA" w:rsidP="00E71CEA">
      <w:pPr>
        <w:spacing w:after="200" w:line="360" w:lineRule="auto"/>
        <w:jc w:val="both"/>
        <w:rPr>
          <w:rFonts w:eastAsia="MS Mincho"/>
          <w:b/>
        </w:rPr>
      </w:pPr>
    </w:p>
    <w:p w14:paraId="73237473" w14:textId="28693674" w:rsidR="00DC036B" w:rsidRDefault="00DC036B" w:rsidP="00580DE3">
      <w:pPr>
        <w:pStyle w:val="Titulek"/>
      </w:pPr>
      <w:bookmarkStart w:id="218" w:name="_Toc524677676"/>
      <w:r>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16</w:t>
      </w:r>
      <w:r w:rsidR="00EE7C52">
        <w:rPr>
          <w:noProof/>
        </w:rPr>
        <w:fldChar w:fldCharType="end"/>
      </w:r>
      <w:r>
        <w:t xml:space="preserve"> - Národní programy podpory</w:t>
      </w:r>
      <w:r w:rsidRPr="00E4596A">
        <w:t xml:space="preserve"> – maximální objemy prostředků</w:t>
      </w:r>
      <w:r w:rsidRPr="00E4596A">
        <w:rPr>
          <w:rStyle w:val="Znakapoznpodarou"/>
          <w:rFonts w:ascii="Calibri" w:hAnsi="Calibri"/>
          <w:bCs w:val="0"/>
          <w:sz w:val="18"/>
          <w:szCs w:val="18"/>
        </w:rPr>
        <w:footnoteReference w:id="144"/>
      </w:r>
      <w:r w:rsidRPr="00E4596A">
        <w:t xml:space="preserve"> dle příslušných usnesení vlády</w:t>
      </w:r>
      <w:r>
        <w:t xml:space="preserve"> pro jednotlivé programy</w:t>
      </w:r>
      <w:bookmarkEnd w:id="218"/>
    </w:p>
    <w:tbl>
      <w:tblPr>
        <w:tblW w:w="8992" w:type="dxa"/>
        <w:tblInd w:w="5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1778"/>
        <w:gridCol w:w="692"/>
        <w:gridCol w:w="567"/>
        <w:gridCol w:w="567"/>
        <w:gridCol w:w="1419"/>
        <w:gridCol w:w="1134"/>
        <w:gridCol w:w="1418"/>
        <w:gridCol w:w="1417"/>
      </w:tblGrid>
      <w:tr w:rsidR="00DC036B" w:rsidRPr="001D65E1" w14:paraId="66C602A1" w14:textId="77777777" w:rsidTr="009D2FE4">
        <w:trPr>
          <w:trHeight w:val="260"/>
          <w:tblHeader/>
        </w:trPr>
        <w:tc>
          <w:tcPr>
            <w:tcW w:w="1778" w:type="dxa"/>
            <w:vMerge w:val="restart"/>
            <w:shd w:val="clear" w:color="auto" w:fill="004B8D"/>
            <w:vAlign w:val="center"/>
            <w:hideMark/>
          </w:tcPr>
          <w:p w14:paraId="4514FE77"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Národní programy</w:t>
            </w:r>
          </w:p>
          <w:p w14:paraId="5173064D"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podpory</w:t>
            </w:r>
          </w:p>
        </w:tc>
        <w:tc>
          <w:tcPr>
            <w:tcW w:w="692" w:type="dxa"/>
            <w:vMerge w:val="restart"/>
            <w:shd w:val="clear" w:color="auto" w:fill="004B8D"/>
            <w:textDirection w:val="btLr"/>
            <w:vAlign w:val="center"/>
          </w:tcPr>
          <w:p w14:paraId="44C5A777" w14:textId="77777777" w:rsidR="00DC036B" w:rsidRPr="001D65E1" w:rsidRDefault="00DC036B" w:rsidP="009E604A">
            <w:pPr>
              <w:spacing w:after="0" w:line="240" w:lineRule="auto"/>
              <w:ind w:left="113" w:right="113"/>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Řídící orgán</w:t>
            </w:r>
          </w:p>
        </w:tc>
        <w:tc>
          <w:tcPr>
            <w:tcW w:w="567" w:type="dxa"/>
            <w:vMerge w:val="restart"/>
            <w:shd w:val="clear" w:color="auto" w:fill="004B8D"/>
            <w:textDirection w:val="btLr"/>
            <w:vAlign w:val="center"/>
            <w:hideMark/>
          </w:tcPr>
          <w:p w14:paraId="6DB664DB" w14:textId="77777777" w:rsidR="00DC036B" w:rsidRPr="001D65E1" w:rsidRDefault="00DC036B" w:rsidP="009E604A">
            <w:pPr>
              <w:spacing w:after="0" w:line="240" w:lineRule="auto"/>
              <w:ind w:left="113" w:right="113"/>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Rok zahájení</w:t>
            </w:r>
          </w:p>
        </w:tc>
        <w:tc>
          <w:tcPr>
            <w:tcW w:w="567" w:type="dxa"/>
            <w:vMerge w:val="restart"/>
            <w:shd w:val="clear" w:color="auto" w:fill="004B8D"/>
            <w:textDirection w:val="btLr"/>
            <w:vAlign w:val="center"/>
            <w:hideMark/>
          </w:tcPr>
          <w:p w14:paraId="09482397" w14:textId="77777777" w:rsidR="00DC036B" w:rsidRPr="001D65E1" w:rsidRDefault="00DC036B" w:rsidP="009E604A">
            <w:pPr>
              <w:spacing w:after="0" w:line="240" w:lineRule="auto"/>
              <w:ind w:left="113" w:right="113"/>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Rok ukončení</w:t>
            </w:r>
          </w:p>
        </w:tc>
        <w:tc>
          <w:tcPr>
            <w:tcW w:w="1419" w:type="dxa"/>
            <w:shd w:val="clear" w:color="auto" w:fill="004B8D"/>
            <w:vAlign w:val="center"/>
            <w:hideMark/>
          </w:tcPr>
          <w:p w14:paraId="2F8A1F6A"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Celkový objem přiřazených prostředků</w:t>
            </w:r>
          </w:p>
          <w:p w14:paraId="60E3EAE4"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(v EUR)</w:t>
            </w:r>
          </w:p>
        </w:tc>
        <w:tc>
          <w:tcPr>
            <w:tcW w:w="1134" w:type="dxa"/>
            <w:shd w:val="clear" w:color="auto" w:fill="004B8D"/>
            <w:vAlign w:val="center"/>
            <w:hideMark/>
          </w:tcPr>
          <w:p w14:paraId="22B70E50"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RIS3 relevantní hodnota (rozsah podřízenosti)</w:t>
            </w:r>
          </w:p>
          <w:p w14:paraId="63ACD29A"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Pr>
                <w:rFonts w:eastAsia="Times New Roman" w:cs="Times New Roman"/>
                <w:b/>
                <w:bCs/>
                <w:color w:val="FFFFFF" w:themeColor="background1"/>
                <w:sz w:val="18"/>
                <w:szCs w:val="18"/>
                <w:lang w:eastAsia="cs-CZ"/>
              </w:rPr>
              <w:t>(v %</w:t>
            </w:r>
            <w:r w:rsidRPr="001D65E1">
              <w:rPr>
                <w:rFonts w:eastAsia="Times New Roman" w:cs="Times New Roman"/>
                <w:b/>
                <w:bCs/>
                <w:color w:val="FFFFFF" w:themeColor="background1"/>
                <w:sz w:val="18"/>
                <w:szCs w:val="18"/>
                <w:lang w:eastAsia="cs-CZ"/>
              </w:rPr>
              <w:t>)</w:t>
            </w:r>
          </w:p>
        </w:tc>
        <w:tc>
          <w:tcPr>
            <w:tcW w:w="1418" w:type="dxa"/>
            <w:shd w:val="clear" w:color="auto" w:fill="004B8D"/>
            <w:vAlign w:val="center"/>
            <w:hideMark/>
          </w:tcPr>
          <w:p w14:paraId="781838FB"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 xml:space="preserve">Objem programu přiřazený RIS3, </w:t>
            </w:r>
            <w:r>
              <w:rPr>
                <w:rFonts w:eastAsia="Times New Roman" w:cs="Times New Roman"/>
                <w:b/>
                <w:bCs/>
                <w:color w:val="FFFFFF" w:themeColor="background1"/>
                <w:sz w:val="18"/>
                <w:szCs w:val="18"/>
                <w:lang w:eastAsia="cs-CZ"/>
              </w:rPr>
              <w:t>veřejné</w:t>
            </w:r>
            <w:r w:rsidRPr="001D65E1">
              <w:rPr>
                <w:rFonts w:eastAsia="Times New Roman" w:cs="Times New Roman"/>
                <w:b/>
                <w:bCs/>
                <w:color w:val="FFFFFF" w:themeColor="background1"/>
                <w:sz w:val="18"/>
                <w:szCs w:val="18"/>
                <w:lang w:eastAsia="cs-CZ"/>
              </w:rPr>
              <w:t xml:space="preserve"> zdroje</w:t>
            </w:r>
            <w:r w:rsidRPr="00DB21D6">
              <w:rPr>
                <w:rStyle w:val="Znakapoznpodarou"/>
                <w:rFonts w:ascii="Calibri" w:eastAsia="Times New Roman" w:hAnsi="Calibri" w:cs="Times New Roman"/>
                <w:b/>
                <w:bCs/>
                <w:color w:val="FFFFFF" w:themeColor="background1"/>
                <w:sz w:val="18"/>
                <w:szCs w:val="18"/>
                <w:lang w:eastAsia="cs-CZ"/>
              </w:rPr>
              <w:footnoteReference w:id="145"/>
            </w:r>
          </w:p>
          <w:p w14:paraId="544EE99F"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 xml:space="preserve">(v EUR) </w:t>
            </w:r>
          </w:p>
        </w:tc>
        <w:tc>
          <w:tcPr>
            <w:tcW w:w="1417" w:type="dxa"/>
            <w:shd w:val="clear" w:color="auto" w:fill="004B8D"/>
            <w:vAlign w:val="center"/>
            <w:hideMark/>
          </w:tcPr>
          <w:p w14:paraId="72655D17"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 xml:space="preserve">Objem programu přiřazený RIS3, </w:t>
            </w:r>
            <w:r>
              <w:rPr>
                <w:rFonts w:eastAsia="Times New Roman" w:cs="Times New Roman"/>
                <w:b/>
                <w:bCs/>
                <w:color w:val="FFFFFF" w:themeColor="background1"/>
                <w:sz w:val="18"/>
                <w:szCs w:val="18"/>
                <w:lang w:eastAsia="cs-CZ"/>
              </w:rPr>
              <w:t>neveřejné</w:t>
            </w:r>
            <w:r w:rsidRPr="001D65E1">
              <w:rPr>
                <w:rFonts w:eastAsia="Times New Roman" w:cs="Times New Roman"/>
                <w:b/>
                <w:bCs/>
                <w:color w:val="FFFFFF" w:themeColor="background1"/>
                <w:sz w:val="18"/>
                <w:szCs w:val="18"/>
                <w:lang w:eastAsia="cs-CZ"/>
              </w:rPr>
              <w:t xml:space="preserve"> zdroje</w:t>
            </w:r>
          </w:p>
          <w:p w14:paraId="35B11D83"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r w:rsidRPr="001D65E1">
              <w:rPr>
                <w:rFonts w:eastAsia="Times New Roman" w:cs="Times New Roman"/>
                <w:b/>
                <w:bCs/>
                <w:color w:val="FFFFFF" w:themeColor="background1"/>
                <w:sz w:val="18"/>
                <w:szCs w:val="18"/>
                <w:lang w:eastAsia="cs-CZ"/>
              </w:rPr>
              <w:t>(v EUR)</w:t>
            </w:r>
          </w:p>
        </w:tc>
      </w:tr>
      <w:tr w:rsidR="00DC036B" w:rsidRPr="001D65E1" w14:paraId="03F6D349" w14:textId="77777777" w:rsidTr="009D2FE4">
        <w:trPr>
          <w:trHeight w:val="86"/>
          <w:tblHeader/>
        </w:trPr>
        <w:tc>
          <w:tcPr>
            <w:tcW w:w="1778" w:type="dxa"/>
            <w:vMerge/>
            <w:shd w:val="clear" w:color="auto" w:fill="004B8D"/>
            <w:vAlign w:val="center"/>
            <w:hideMark/>
          </w:tcPr>
          <w:p w14:paraId="555FC4BC"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p>
        </w:tc>
        <w:tc>
          <w:tcPr>
            <w:tcW w:w="692" w:type="dxa"/>
            <w:vMerge/>
            <w:shd w:val="clear" w:color="auto" w:fill="004B8D"/>
          </w:tcPr>
          <w:p w14:paraId="560B4FDD"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p>
        </w:tc>
        <w:tc>
          <w:tcPr>
            <w:tcW w:w="567" w:type="dxa"/>
            <w:vMerge/>
            <w:shd w:val="clear" w:color="auto" w:fill="004B8D"/>
            <w:vAlign w:val="center"/>
            <w:hideMark/>
          </w:tcPr>
          <w:p w14:paraId="0B03BCE3"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p>
        </w:tc>
        <w:tc>
          <w:tcPr>
            <w:tcW w:w="567" w:type="dxa"/>
            <w:vMerge/>
            <w:shd w:val="clear" w:color="auto" w:fill="004B8D"/>
            <w:vAlign w:val="center"/>
            <w:hideMark/>
          </w:tcPr>
          <w:p w14:paraId="2971FDA6" w14:textId="77777777" w:rsidR="00DC036B" w:rsidRPr="001D65E1" w:rsidRDefault="00DC036B" w:rsidP="009E604A">
            <w:pPr>
              <w:spacing w:after="0" w:line="240" w:lineRule="auto"/>
              <w:rPr>
                <w:rFonts w:eastAsia="Times New Roman" w:cs="Times New Roman"/>
                <w:b/>
                <w:bCs/>
                <w:color w:val="FFFFFF" w:themeColor="background1"/>
                <w:sz w:val="18"/>
                <w:szCs w:val="18"/>
                <w:lang w:eastAsia="cs-CZ"/>
              </w:rPr>
            </w:pPr>
          </w:p>
        </w:tc>
        <w:tc>
          <w:tcPr>
            <w:tcW w:w="5388" w:type="dxa"/>
            <w:gridSpan w:val="4"/>
            <w:shd w:val="clear" w:color="auto" w:fill="004B8D"/>
            <w:noWrap/>
            <w:vAlign w:val="bottom"/>
            <w:hideMark/>
          </w:tcPr>
          <w:p w14:paraId="151C9117" w14:textId="77777777" w:rsidR="00DC036B" w:rsidRPr="001D65E1" w:rsidRDefault="00DC036B" w:rsidP="009E604A">
            <w:pPr>
              <w:spacing w:after="0" w:line="240" w:lineRule="auto"/>
              <w:jc w:val="center"/>
              <w:rPr>
                <w:rFonts w:eastAsia="Times New Roman" w:cs="Times New Roman"/>
                <w:b/>
                <w:bCs/>
                <w:color w:val="FFFFFF" w:themeColor="background1"/>
                <w:sz w:val="18"/>
                <w:szCs w:val="18"/>
                <w:lang w:eastAsia="cs-CZ"/>
              </w:rPr>
            </w:pPr>
            <w:r>
              <w:rPr>
                <w:rFonts w:eastAsia="Times New Roman" w:cs="Times New Roman"/>
                <w:b/>
                <w:bCs/>
                <w:color w:val="FFFFFF" w:themeColor="background1"/>
                <w:sz w:val="18"/>
                <w:szCs w:val="18"/>
                <w:lang w:eastAsia="cs-CZ"/>
              </w:rPr>
              <w:t xml:space="preserve">Období: </w:t>
            </w:r>
            <w:r w:rsidRPr="001D65E1">
              <w:rPr>
                <w:rFonts w:eastAsia="Times New Roman" w:cs="Times New Roman"/>
                <w:b/>
                <w:bCs/>
                <w:color w:val="FFFFFF" w:themeColor="background1"/>
                <w:sz w:val="18"/>
                <w:szCs w:val="18"/>
                <w:lang w:eastAsia="cs-CZ"/>
              </w:rPr>
              <w:t>2016 – 2020+</w:t>
            </w:r>
          </w:p>
        </w:tc>
      </w:tr>
      <w:tr w:rsidR="00DC036B" w:rsidRPr="001D65E1" w14:paraId="1DDF8989" w14:textId="77777777" w:rsidTr="00DC036B">
        <w:trPr>
          <w:trHeight w:val="265"/>
        </w:trPr>
        <w:tc>
          <w:tcPr>
            <w:tcW w:w="1778" w:type="dxa"/>
            <w:shd w:val="clear" w:color="auto" w:fill="B9E0F7"/>
            <w:noWrap/>
            <w:vAlign w:val="center"/>
            <w:hideMark/>
          </w:tcPr>
          <w:p w14:paraId="2F144647"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Centra kompetence</w:t>
            </w:r>
          </w:p>
        </w:tc>
        <w:tc>
          <w:tcPr>
            <w:tcW w:w="692" w:type="dxa"/>
            <w:vMerge w:val="restart"/>
            <w:shd w:val="clear" w:color="auto" w:fill="B9E0F7"/>
            <w:vAlign w:val="center"/>
          </w:tcPr>
          <w:p w14:paraId="37D8D275"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TAČR</w:t>
            </w:r>
          </w:p>
        </w:tc>
        <w:tc>
          <w:tcPr>
            <w:tcW w:w="567" w:type="dxa"/>
            <w:shd w:val="clear" w:color="auto" w:fill="B9E0F7"/>
            <w:noWrap/>
            <w:vAlign w:val="center"/>
            <w:hideMark/>
          </w:tcPr>
          <w:p w14:paraId="140EA2FB"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2012</w:t>
            </w:r>
          </w:p>
        </w:tc>
        <w:tc>
          <w:tcPr>
            <w:tcW w:w="567" w:type="dxa"/>
            <w:shd w:val="clear" w:color="auto" w:fill="B9E0F7"/>
            <w:noWrap/>
            <w:vAlign w:val="center"/>
            <w:hideMark/>
          </w:tcPr>
          <w:p w14:paraId="108F2DCF"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2019</w:t>
            </w:r>
          </w:p>
        </w:tc>
        <w:tc>
          <w:tcPr>
            <w:tcW w:w="1419" w:type="dxa"/>
            <w:shd w:val="clear" w:color="auto" w:fill="B9E0F7"/>
            <w:vAlign w:val="center"/>
          </w:tcPr>
          <w:p w14:paraId="5FDD21A2" w14:textId="77777777" w:rsidR="00DC036B" w:rsidRPr="001D0A19" w:rsidRDefault="00DC036B" w:rsidP="009E604A">
            <w:pPr>
              <w:spacing w:after="0" w:line="240" w:lineRule="auto"/>
              <w:jc w:val="right"/>
              <w:rPr>
                <w:rFonts w:eastAsia="Times New Roman" w:cs="Arial"/>
                <w:color w:val="000000"/>
                <w:sz w:val="18"/>
                <w:szCs w:val="18"/>
                <w:lang w:eastAsia="cs-CZ"/>
              </w:rPr>
            </w:pPr>
            <w:r w:rsidRPr="001D0A19">
              <w:rPr>
                <w:rFonts w:eastAsia="Times New Roman" w:cs="Arial"/>
                <w:color w:val="000000"/>
                <w:sz w:val="18"/>
                <w:szCs w:val="18"/>
                <w:lang w:eastAsia="cs-CZ"/>
              </w:rPr>
              <w:t>208 928 077</w:t>
            </w:r>
          </w:p>
        </w:tc>
        <w:tc>
          <w:tcPr>
            <w:tcW w:w="1134" w:type="dxa"/>
            <w:shd w:val="clear" w:color="auto" w:fill="B9E0F7"/>
            <w:vAlign w:val="center"/>
            <w:hideMark/>
          </w:tcPr>
          <w:p w14:paraId="41602FF9" w14:textId="77777777" w:rsidR="00DC036B" w:rsidRPr="001D65E1" w:rsidRDefault="00DC036B" w:rsidP="009E604A">
            <w:pPr>
              <w:spacing w:after="0" w:line="240" w:lineRule="auto"/>
              <w:jc w:val="center"/>
              <w:rPr>
                <w:rFonts w:eastAsia="Times New Roman" w:cs="Arial"/>
                <w:color w:val="000000"/>
                <w:sz w:val="18"/>
                <w:szCs w:val="18"/>
                <w:lang w:eastAsia="cs-CZ"/>
              </w:rPr>
            </w:pPr>
            <w:r w:rsidRPr="001D65E1">
              <w:rPr>
                <w:rFonts w:eastAsia="Times New Roman" w:cs="Arial"/>
                <w:color w:val="000000"/>
                <w:sz w:val="18"/>
                <w:szCs w:val="18"/>
                <w:lang w:eastAsia="cs-CZ"/>
              </w:rPr>
              <w:t>50%</w:t>
            </w:r>
          </w:p>
        </w:tc>
        <w:tc>
          <w:tcPr>
            <w:tcW w:w="1418" w:type="dxa"/>
            <w:shd w:val="clear" w:color="auto" w:fill="B9E0F7"/>
            <w:vAlign w:val="center"/>
          </w:tcPr>
          <w:p w14:paraId="221D416B" w14:textId="77777777" w:rsidR="00DC036B" w:rsidRPr="005D187D" w:rsidRDefault="00DC036B" w:rsidP="009E604A">
            <w:pPr>
              <w:spacing w:after="0" w:line="240" w:lineRule="auto"/>
              <w:jc w:val="right"/>
              <w:rPr>
                <w:rFonts w:eastAsia="Times New Roman" w:cs="Arial"/>
                <w:color w:val="000000"/>
                <w:sz w:val="18"/>
                <w:szCs w:val="18"/>
                <w:lang w:eastAsia="cs-CZ"/>
              </w:rPr>
            </w:pPr>
            <w:r w:rsidRPr="001D0A19">
              <w:rPr>
                <w:rFonts w:eastAsia="Times New Roman" w:cs="Arial"/>
                <w:color w:val="000000"/>
                <w:sz w:val="18"/>
                <w:szCs w:val="18"/>
                <w:lang w:eastAsia="cs-CZ"/>
              </w:rPr>
              <w:t>73 076 538</w:t>
            </w:r>
          </w:p>
        </w:tc>
        <w:tc>
          <w:tcPr>
            <w:tcW w:w="1417" w:type="dxa"/>
            <w:shd w:val="clear" w:color="auto" w:fill="B9E0F7"/>
            <w:vAlign w:val="center"/>
          </w:tcPr>
          <w:p w14:paraId="5763772B" w14:textId="77777777" w:rsidR="00DC036B" w:rsidRPr="005D187D" w:rsidRDefault="00DC036B" w:rsidP="009E604A">
            <w:pPr>
              <w:spacing w:after="0" w:line="240" w:lineRule="auto"/>
              <w:jc w:val="right"/>
              <w:rPr>
                <w:rFonts w:eastAsia="Times New Roman" w:cs="Arial"/>
                <w:color w:val="000000"/>
                <w:sz w:val="18"/>
                <w:szCs w:val="18"/>
                <w:lang w:eastAsia="cs-CZ"/>
              </w:rPr>
            </w:pPr>
            <w:r w:rsidRPr="001D0A19">
              <w:rPr>
                <w:rFonts w:eastAsia="Times New Roman" w:cs="Arial"/>
                <w:color w:val="000000"/>
                <w:sz w:val="18"/>
                <w:szCs w:val="18"/>
                <w:lang w:eastAsia="cs-CZ"/>
              </w:rPr>
              <w:t>31 392 692</w:t>
            </w:r>
          </w:p>
        </w:tc>
      </w:tr>
      <w:tr w:rsidR="00DC036B" w:rsidRPr="001D65E1" w14:paraId="1FDECBCA" w14:textId="77777777" w:rsidTr="00DC036B">
        <w:trPr>
          <w:trHeight w:val="270"/>
        </w:trPr>
        <w:tc>
          <w:tcPr>
            <w:tcW w:w="1778" w:type="dxa"/>
            <w:shd w:val="clear" w:color="auto" w:fill="B9E0F7"/>
            <w:noWrap/>
            <w:vAlign w:val="center"/>
            <w:hideMark/>
          </w:tcPr>
          <w:p w14:paraId="23AC093D"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EPSILON</w:t>
            </w:r>
          </w:p>
        </w:tc>
        <w:tc>
          <w:tcPr>
            <w:tcW w:w="692" w:type="dxa"/>
            <w:vMerge/>
            <w:shd w:val="clear" w:color="auto" w:fill="B9E0F7"/>
          </w:tcPr>
          <w:p w14:paraId="19EB330B" w14:textId="77777777" w:rsidR="00DC036B" w:rsidRPr="001D65E1" w:rsidRDefault="00DC036B" w:rsidP="009E604A">
            <w:pPr>
              <w:spacing w:after="0" w:line="240" w:lineRule="auto"/>
              <w:rPr>
                <w:rFonts w:eastAsia="Times New Roman" w:cs="Arial"/>
                <w:color w:val="000000"/>
                <w:sz w:val="18"/>
                <w:szCs w:val="18"/>
                <w:lang w:eastAsia="cs-CZ"/>
              </w:rPr>
            </w:pPr>
          </w:p>
        </w:tc>
        <w:tc>
          <w:tcPr>
            <w:tcW w:w="567" w:type="dxa"/>
            <w:shd w:val="clear" w:color="auto" w:fill="B9E0F7"/>
            <w:noWrap/>
            <w:vAlign w:val="center"/>
            <w:hideMark/>
          </w:tcPr>
          <w:p w14:paraId="6F11E437"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2015</w:t>
            </w:r>
          </w:p>
        </w:tc>
        <w:tc>
          <w:tcPr>
            <w:tcW w:w="567" w:type="dxa"/>
            <w:shd w:val="clear" w:color="auto" w:fill="B9E0F7"/>
            <w:noWrap/>
            <w:vAlign w:val="center"/>
            <w:hideMark/>
          </w:tcPr>
          <w:p w14:paraId="1C6D0D2A"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2023</w:t>
            </w:r>
          </w:p>
        </w:tc>
        <w:tc>
          <w:tcPr>
            <w:tcW w:w="1419" w:type="dxa"/>
            <w:shd w:val="clear" w:color="auto" w:fill="B9E0F7"/>
            <w:vAlign w:val="center"/>
          </w:tcPr>
          <w:p w14:paraId="1E9ECF6A" w14:textId="77777777" w:rsidR="00DC036B" w:rsidRPr="001D0A19" w:rsidRDefault="00DC036B" w:rsidP="009E604A">
            <w:pPr>
              <w:spacing w:after="0" w:line="240" w:lineRule="auto"/>
              <w:jc w:val="right"/>
              <w:rPr>
                <w:rFonts w:eastAsia="Times New Roman" w:cs="Arial"/>
                <w:color w:val="000000"/>
                <w:sz w:val="18"/>
                <w:szCs w:val="18"/>
                <w:lang w:eastAsia="cs-CZ"/>
              </w:rPr>
            </w:pPr>
            <w:r w:rsidRPr="001D0A19">
              <w:rPr>
                <w:rFonts w:eastAsia="Times New Roman" w:cs="Arial"/>
                <w:color w:val="000000"/>
                <w:sz w:val="18"/>
                <w:szCs w:val="18"/>
                <w:lang w:eastAsia="cs-CZ"/>
              </w:rPr>
              <w:t>576 263 077</w:t>
            </w:r>
          </w:p>
        </w:tc>
        <w:tc>
          <w:tcPr>
            <w:tcW w:w="1134" w:type="dxa"/>
            <w:shd w:val="clear" w:color="auto" w:fill="B9E0F7"/>
            <w:vAlign w:val="center"/>
            <w:hideMark/>
          </w:tcPr>
          <w:p w14:paraId="4D87D01A" w14:textId="77777777" w:rsidR="00DC036B" w:rsidRPr="001D65E1" w:rsidRDefault="00DC036B" w:rsidP="009E604A">
            <w:pPr>
              <w:spacing w:after="0" w:line="240" w:lineRule="auto"/>
              <w:jc w:val="center"/>
              <w:rPr>
                <w:rFonts w:eastAsia="Times New Roman" w:cs="Arial"/>
                <w:color w:val="000000"/>
                <w:sz w:val="18"/>
                <w:szCs w:val="18"/>
                <w:lang w:eastAsia="cs-CZ"/>
              </w:rPr>
            </w:pPr>
            <w:r w:rsidRPr="001D65E1">
              <w:rPr>
                <w:rFonts w:eastAsia="Times New Roman" w:cs="Arial"/>
                <w:color w:val="000000"/>
                <w:sz w:val="18"/>
                <w:szCs w:val="18"/>
                <w:lang w:eastAsia="cs-CZ"/>
              </w:rPr>
              <w:t>50%</w:t>
            </w:r>
          </w:p>
        </w:tc>
        <w:tc>
          <w:tcPr>
            <w:tcW w:w="1418" w:type="dxa"/>
            <w:shd w:val="clear" w:color="auto" w:fill="B9E0F7"/>
            <w:vAlign w:val="center"/>
          </w:tcPr>
          <w:p w14:paraId="6E4750EE" w14:textId="77777777" w:rsidR="00DC036B" w:rsidRPr="001D65E1" w:rsidRDefault="00DC036B" w:rsidP="009E604A">
            <w:pPr>
              <w:spacing w:after="0" w:line="240" w:lineRule="auto"/>
              <w:jc w:val="right"/>
              <w:rPr>
                <w:rFonts w:eastAsia="Times New Roman" w:cs="Arial"/>
                <w:color w:val="000000"/>
                <w:sz w:val="18"/>
                <w:szCs w:val="18"/>
                <w:lang w:eastAsia="cs-CZ"/>
              </w:rPr>
            </w:pPr>
            <w:r w:rsidRPr="001D0A19">
              <w:rPr>
                <w:rFonts w:eastAsia="Times New Roman" w:cs="Arial"/>
                <w:color w:val="000000"/>
                <w:sz w:val="18"/>
                <w:szCs w:val="18"/>
                <w:lang w:eastAsia="cs-CZ"/>
              </w:rPr>
              <w:t>172 883 077</w:t>
            </w:r>
          </w:p>
        </w:tc>
        <w:tc>
          <w:tcPr>
            <w:tcW w:w="1417" w:type="dxa"/>
            <w:shd w:val="clear" w:color="auto" w:fill="B9E0F7"/>
            <w:vAlign w:val="center"/>
          </w:tcPr>
          <w:p w14:paraId="40F8B259" w14:textId="77777777" w:rsidR="00DC036B" w:rsidRPr="001D65E1" w:rsidRDefault="00DC036B" w:rsidP="009E604A">
            <w:pPr>
              <w:spacing w:after="0" w:line="240" w:lineRule="auto"/>
              <w:jc w:val="right"/>
              <w:rPr>
                <w:rFonts w:eastAsia="Times New Roman" w:cs="Arial"/>
                <w:color w:val="000000"/>
                <w:sz w:val="18"/>
                <w:szCs w:val="18"/>
                <w:lang w:eastAsia="cs-CZ"/>
              </w:rPr>
            </w:pPr>
            <w:r w:rsidRPr="001D0A19">
              <w:rPr>
                <w:rFonts w:eastAsia="Times New Roman" w:cs="Arial"/>
                <w:color w:val="000000"/>
                <w:sz w:val="18"/>
                <w:szCs w:val="18"/>
                <w:lang w:eastAsia="cs-CZ"/>
              </w:rPr>
              <w:t>115 248 462</w:t>
            </w:r>
          </w:p>
        </w:tc>
      </w:tr>
      <w:tr w:rsidR="00DC036B" w:rsidRPr="001D65E1" w14:paraId="7E27581E" w14:textId="77777777" w:rsidTr="00DC036B">
        <w:trPr>
          <w:trHeight w:val="260"/>
        </w:trPr>
        <w:tc>
          <w:tcPr>
            <w:tcW w:w="1778" w:type="dxa"/>
            <w:shd w:val="clear" w:color="auto" w:fill="B9E0F7"/>
            <w:noWrap/>
            <w:vAlign w:val="center"/>
            <w:hideMark/>
          </w:tcPr>
          <w:p w14:paraId="413CB47D"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GAMA</w:t>
            </w:r>
          </w:p>
        </w:tc>
        <w:tc>
          <w:tcPr>
            <w:tcW w:w="692" w:type="dxa"/>
            <w:vMerge/>
            <w:shd w:val="clear" w:color="auto" w:fill="B9E0F7"/>
          </w:tcPr>
          <w:p w14:paraId="50E4EA6A" w14:textId="77777777" w:rsidR="00DC036B" w:rsidRPr="001D65E1" w:rsidRDefault="00DC036B" w:rsidP="009E604A">
            <w:pPr>
              <w:spacing w:after="0" w:line="240" w:lineRule="auto"/>
              <w:rPr>
                <w:rFonts w:eastAsia="Times New Roman" w:cs="Arial"/>
                <w:color w:val="000000"/>
                <w:sz w:val="18"/>
                <w:szCs w:val="18"/>
                <w:lang w:eastAsia="cs-CZ"/>
              </w:rPr>
            </w:pPr>
          </w:p>
        </w:tc>
        <w:tc>
          <w:tcPr>
            <w:tcW w:w="567" w:type="dxa"/>
            <w:shd w:val="clear" w:color="auto" w:fill="B9E0F7"/>
            <w:noWrap/>
            <w:vAlign w:val="center"/>
            <w:hideMark/>
          </w:tcPr>
          <w:p w14:paraId="7901B786"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2014</w:t>
            </w:r>
          </w:p>
        </w:tc>
        <w:tc>
          <w:tcPr>
            <w:tcW w:w="567" w:type="dxa"/>
            <w:shd w:val="clear" w:color="auto" w:fill="B9E0F7"/>
            <w:noWrap/>
            <w:vAlign w:val="center"/>
            <w:hideMark/>
          </w:tcPr>
          <w:p w14:paraId="51EA99C6" w14:textId="77777777" w:rsidR="00DC036B" w:rsidRPr="001D65E1" w:rsidRDefault="00DC036B" w:rsidP="009E604A">
            <w:pPr>
              <w:spacing w:after="0" w:line="240" w:lineRule="auto"/>
              <w:rPr>
                <w:rFonts w:eastAsia="Times New Roman" w:cs="Arial"/>
                <w:color w:val="000000"/>
                <w:sz w:val="18"/>
                <w:szCs w:val="18"/>
                <w:lang w:eastAsia="cs-CZ"/>
              </w:rPr>
            </w:pPr>
            <w:r w:rsidRPr="001D65E1">
              <w:rPr>
                <w:rFonts w:eastAsia="Times New Roman" w:cs="Arial"/>
                <w:color w:val="000000"/>
                <w:sz w:val="18"/>
                <w:szCs w:val="18"/>
                <w:lang w:eastAsia="cs-CZ"/>
              </w:rPr>
              <w:t>2019</w:t>
            </w:r>
          </w:p>
        </w:tc>
        <w:tc>
          <w:tcPr>
            <w:tcW w:w="1419" w:type="dxa"/>
            <w:shd w:val="clear" w:color="auto" w:fill="B9E0F7"/>
            <w:vAlign w:val="center"/>
          </w:tcPr>
          <w:p w14:paraId="301A11C7" w14:textId="77777777" w:rsidR="00DC036B" w:rsidRPr="001D0A19" w:rsidRDefault="00DC036B" w:rsidP="009E604A">
            <w:pPr>
              <w:spacing w:after="0" w:line="240" w:lineRule="auto"/>
              <w:jc w:val="right"/>
              <w:rPr>
                <w:rFonts w:eastAsia="Times New Roman" w:cs="Arial"/>
                <w:color w:val="000000"/>
                <w:sz w:val="18"/>
                <w:szCs w:val="18"/>
                <w:lang w:eastAsia="cs-CZ"/>
              </w:rPr>
            </w:pPr>
            <w:r w:rsidRPr="001D0A19">
              <w:rPr>
                <w:rFonts w:eastAsia="Times New Roman" w:cs="Arial"/>
                <w:color w:val="000000"/>
                <w:sz w:val="18"/>
                <w:szCs w:val="18"/>
                <w:lang w:eastAsia="cs-CZ"/>
              </w:rPr>
              <w:t>86 265 000</w:t>
            </w:r>
          </w:p>
        </w:tc>
        <w:tc>
          <w:tcPr>
            <w:tcW w:w="1134" w:type="dxa"/>
            <w:shd w:val="clear" w:color="auto" w:fill="B9E0F7"/>
            <w:vAlign w:val="center"/>
            <w:hideMark/>
          </w:tcPr>
          <w:p w14:paraId="7328D8C1" w14:textId="77777777" w:rsidR="00DC036B" w:rsidRPr="001D65E1" w:rsidRDefault="00DC036B" w:rsidP="009E604A">
            <w:pPr>
              <w:spacing w:after="0" w:line="240" w:lineRule="auto"/>
              <w:jc w:val="center"/>
              <w:rPr>
                <w:rFonts w:eastAsia="Times New Roman" w:cs="Arial"/>
                <w:color w:val="000000"/>
                <w:sz w:val="18"/>
                <w:szCs w:val="18"/>
                <w:lang w:eastAsia="cs-CZ"/>
              </w:rPr>
            </w:pPr>
            <w:r w:rsidRPr="001D65E1">
              <w:rPr>
                <w:rFonts w:eastAsia="Times New Roman" w:cs="Arial"/>
                <w:color w:val="000000"/>
                <w:sz w:val="18"/>
                <w:szCs w:val="18"/>
                <w:lang w:eastAsia="cs-CZ"/>
              </w:rPr>
              <w:t>50%</w:t>
            </w:r>
          </w:p>
        </w:tc>
        <w:tc>
          <w:tcPr>
            <w:tcW w:w="1418" w:type="dxa"/>
            <w:shd w:val="clear" w:color="auto" w:fill="B9E0F7"/>
            <w:vAlign w:val="center"/>
          </w:tcPr>
          <w:p w14:paraId="01105FAD" w14:textId="77777777" w:rsidR="00DC036B" w:rsidRPr="001D65E1" w:rsidRDefault="00DC036B" w:rsidP="009E604A">
            <w:pPr>
              <w:spacing w:after="0" w:line="240" w:lineRule="auto"/>
              <w:jc w:val="right"/>
              <w:rPr>
                <w:rFonts w:eastAsia="Times New Roman" w:cs="Arial"/>
                <w:color w:val="000000"/>
                <w:sz w:val="18"/>
                <w:szCs w:val="18"/>
                <w:lang w:eastAsia="cs-CZ"/>
              </w:rPr>
            </w:pPr>
            <w:r w:rsidRPr="001D0A19">
              <w:rPr>
                <w:rFonts w:eastAsia="Times New Roman" w:cs="Arial"/>
                <w:color w:val="000000"/>
                <w:sz w:val="18"/>
                <w:szCs w:val="18"/>
                <w:lang w:eastAsia="cs-CZ"/>
              </w:rPr>
              <w:t>28 235 769</w:t>
            </w:r>
          </w:p>
        </w:tc>
        <w:tc>
          <w:tcPr>
            <w:tcW w:w="1417" w:type="dxa"/>
            <w:shd w:val="clear" w:color="auto" w:fill="B9E0F7"/>
            <w:vAlign w:val="center"/>
          </w:tcPr>
          <w:p w14:paraId="6C331130" w14:textId="77777777" w:rsidR="00DC036B" w:rsidRPr="001D65E1" w:rsidRDefault="00DC036B" w:rsidP="009E604A">
            <w:pPr>
              <w:spacing w:after="0" w:line="240" w:lineRule="auto"/>
              <w:jc w:val="right"/>
              <w:rPr>
                <w:rFonts w:eastAsia="Times New Roman" w:cs="Arial"/>
                <w:color w:val="000000"/>
                <w:sz w:val="18"/>
                <w:szCs w:val="18"/>
                <w:lang w:eastAsia="cs-CZ"/>
              </w:rPr>
            </w:pPr>
            <w:r w:rsidRPr="001D0A19">
              <w:rPr>
                <w:rFonts w:eastAsia="Times New Roman" w:cs="Arial"/>
                <w:color w:val="000000"/>
                <w:sz w:val="18"/>
                <w:szCs w:val="18"/>
                <w:lang w:eastAsia="cs-CZ"/>
              </w:rPr>
              <w:t>14 901 923</w:t>
            </w:r>
          </w:p>
        </w:tc>
      </w:tr>
      <w:tr w:rsidR="00DC036B" w:rsidRPr="001D65E1" w14:paraId="5E020255" w14:textId="77777777" w:rsidTr="00DC036B">
        <w:trPr>
          <w:trHeight w:val="264"/>
        </w:trPr>
        <w:tc>
          <w:tcPr>
            <w:tcW w:w="1778" w:type="dxa"/>
            <w:shd w:val="clear" w:color="auto" w:fill="B9E0F7"/>
            <w:noWrap/>
            <w:vAlign w:val="center"/>
          </w:tcPr>
          <w:p w14:paraId="466C820A" w14:textId="77777777" w:rsidR="00DC036B" w:rsidRPr="001D65E1" w:rsidRDefault="00DC036B" w:rsidP="009E604A">
            <w:pPr>
              <w:spacing w:after="0" w:line="240" w:lineRule="auto"/>
              <w:rPr>
                <w:rFonts w:eastAsia="Times New Roman" w:cs="Arial"/>
                <w:color w:val="000000"/>
                <w:sz w:val="18"/>
                <w:szCs w:val="18"/>
                <w:lang w:eastAsia="cs-CZ"/>
              </w:rPr>
            </w:pPr>
            <w:r w:rsidRPr="00DB21D6">
              <w:rPr>
                <w:rFonts w:eastAsia="Times New Roman" w:cs="Arial"/>
                <w:color w:val="000000"/>
                <w:sz w:val="18"/>
                <w:szCs w:val="18"/>
                <w:lang w:eastAsia="cs-CZ"/>
              </w:rPr>
              <w:t>Národní centra kompetence</w:t>
            </w:r>
            <w:r>
              <w:rPr>
                <w:rFonts w:eastAsia="Times New Roman" w:cs="Arial"/>
                <w:color w:val="000000"/>
                <w:sz w:val="18"/>
                <w:szCs w:val="18"/>
                <w:lang w:eastAsia="cs-CZ"/>
              </w:rPr>
              <w:t xml:space="preserve"> 1</w:t>
            </w:r>
          </w:p>
        </w:tc>
        <w:tc>
          <w:tcPr>
            <w:tcW w:w="692" w:type="dxa"/>
            <w:vMerge/>
            <w:shd w:val="clear" w:color="auto" w:fill="B9E0F7"/>
          </w:tcPr>
          <w:p w14:paraId="4BC59F4F" w14:textId="77777777" w:rsidR="00DC036B" w:rsidRPr="001D65E1" w:rsidRDefault="00DC036B" w:rsidP="009E604A">
            <w:pPr>
              <w:spacing w:after="0" w:line="240" w:lineRule="auto"/>
              <w:rPr>
                <w:rFonts w:eastAsia="Times New Roman" w:cs="Arial"/>
                <w:color w:val="000000"/>
                <w:sz w:val="18"/>
                <w:szCs w:val="18"/>
                <w:lang w:eastAsia="cs-CZ"/>
              </w:rPr>
            </w:pPr>
          </w:p>
        </w:tc>
        <w:tc>
          <w:tcPr>
            <w:tcW w:w="567" w:type="dxa"/>
            <w:shd w:val="clear" w:color="auto" w:fill="B9E0F7"/>
            <w:noWrap/>
            <w:vAlign w:val="center"/>
          </w:tcPr>
          <w:p w14:paraId="777D8631" w14:textId="77777777" w:rsidR="00DC036B" w:rsidRPr="001D65E1" w:rsidRDefault="00DC036B" w:rsidP="009E604A">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2018</w:t>
            </w:r>
          </w:p>
        </w:tc>
        <w:tc>
          <w:tcPr>
            <w:tcW w:w="567" w:type="dxa"/>
            <w:shd w:val="clear" w:color="auto" w:fill="B9E0F7"/>
            <w:noWrap/>
            <w:vAlign w:val="center"/>
          </w:tcPr>
          <w:p w14:paraId="2592069B" w14:textId="77777777" w:rsidR="00DC036B" w:rsidRPr="001D65E1" w:rsidRDefault="00DC036B" w:rsidP="009E604A">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2022</w:t>
            </w:r>
          </w:p>
        </w:tc>
        <w:tc>
          <w:tcPr>
            <w:tcW w:w="1419" w:type="dxa"/>
            <w:shd w:val="clear" w:color="auto" w:fill="B9E0F7"/>
            <w:vAlign w:val="center"/>
          </w:tcPr>
          <w:p w14:paraId="6E142513" w14:textId="77777777" w:rsidR="00DC036B" w:rsidRPr="001D0A19" w:rsidRDefault="00DC036B" w:rsidP="009E604A">
            <w:pPr>
              <w:spacing w:after="0" w:line="240" w:lineRule="auto"/>
              <w:jc w:val="right"/>
              <w:rPr>
                <w:rFonts w:eastAsia="Times New Roman" w:cs="Arial"/>
                <w:color w:val="000000"/>
                <w:sz w:val="18"/>
                <w:szCs w:val="18"/>
                <w:lang w:eastAsia="cs-CZ"/>
              </w:rPr>
            </w:pPr>
            <w:r w:rsidRPr="00995CAF">
              <w:rPr>
                <w:rFonts w:eastAsia="Times New Roman" w:cs="Arial"/>
                <w:color w:val="000000"/>
                <w:sz w:val="18"/>
                <w:szCs w:val="18"/>
                <w:lang w:eastAsia="cs-CZ"/>
              </w:rPr>
              <w:t>88 125 000</w:t>
            </w:r>
          </w:p>
        </w:tc>
        <w:tc>
          <w:tcPr>
            <w:tcW w:w="1134" w:type="dxa"/>
            <w:shd w:val="clear" w:color="auto" w:fill="B9E0F7"/>
            <w:vAlign w:val="center"/>
          </w:tcPr>
          <w:p w14:paraId="15DF2FA8" w14:textId="77777777" w:rsidR="00DC036B" w:rsidRPr="001D65E1" w:rsidRDefault="00DC036B" w:rsidP="009E604A">
            <w:pPr>
              <w:spacing w:after="0" w:line="240" w:lineRule="auto"/>
              <w:jc w:val="center"/>
              <w:rPr>
                <w:rFonts w:eastAsia="Times New Roman" w:cs="Arial"/>
                <w:color w:val="000000"/>
                <w:sz w:val="18"/>
                <w:szCs w:val="18"/>
                <w:lang w:eastAsia="cs-CZ"/>
              </w:rPr>
            </w:pPr>
            <w:r>
              <w:rPr>
                <w:rFonts w:eastAsia="Times New Roman" w:cs="Arial"/>
                <w:color w:val="000000"/>
                <w:sz w:val="18"/>
                <w:szCs w:val="18"/>
                <w:lang w:eastAsia="cs-CZ"/>
              </w:rPr>
              <w:t>70%</w:t>
            </w:r>
          </w:p>
        </w:tc>
        <w:tc>
          <w:tcPr>
            <w:tcW w:w="1418" w:type="dxa"/>
            <w:shd w:val="clear" w:color="auto" w:fill="B9E0F7"/>
            <w:vAlign w:val="center"/>
          </w:tcPr>
          <w:p w14:paraId="2E340D49" w14:textId="77777777" w:rsidR="00DC036B" w:rsidRPr="001D0A19" w:rsidRDefault="00DC036B" w:rsidP="009E604A">
            <w:pPr>
              <w:spacing w:after="0" w:line="240" w:lineRule="auto"/>
              <w:jc w:val="right"/>
              <w:rPr>
                <w:rFonts w:eastAsia="Times New Roman" w:cs="Arial"/>
                <w:color w:val="000000"/>
                <w:sz w:val="18"/>
                <w:szCs w:val="18"/>
                <w:lang w:eastAsia="cs-CZ"/>
              </w:rPr>
            </w:pPr>
            <w:r w:rsidRPr="00995CAF">
              <w:rPr>
                <w:rFonts w:eastAsia="Times New Roman" w:cs="Arial"/>
                <w:color w:val="000000"/>
                <w:sz w:val="18"/>
                <w:szCs w:val="18"/>
                <w:lang w:eastAsia="cs-CZ"/>
              </w:rPr>
              <w:t>49 350 000</w:t>
            </w:r>
          </w:p>
        </w:tc>
        <w:tc>
          <w:tcPr>
            <w:tcW w:w="1417" w:type="dxa"/>
            <w:shd w:val="clear" w:color="auto" w:fill="B9E0F7"/>
            <w:vAlign w:val="center"/>
          </w:tcPr>
          <w:p w14:paraId="1DEE676A" w14:textId="77777777" w:rsidR="00DC036B" w:rsidRPr="001D0A19" w:rsidRDefault="00DC036B" w:rsidP="009E604A">
            <w:pPr>
              <w:spacing w:after="0" w:line="240" w:lineRule="auto"/>
              <w:jc w:val="right"/>
              <w:rPr>
                <w:rFonts w:eastAsia="Times New Roman" w:cs="Arial"/>
                <w:color w:val="000000"/>
                <w:sz w:val="18"/>
                <w:szCs w:val="18"/>
                <w:lang w:eastAsia="cs-CZ"/>
              </w:rPr>
            </w:pPr>
            <w:r w:rsidRPr="00995CAF">
              <w:rPr>
                <w:rFonts w:eastAsia="Times New Roman" w:cs="Arial"/>
                <w:color w:val="000000"/>
                <w:sz w:val="18"/>
                <w:szCs w:val="18"/>
                <w:lang w:eastAsia="cs-CZ"/>
              </w:rPr>
              <w:t>12 337 500</w:t>
            </w:r>
          </w:p>
        </w:tc>
      </w:tr>
      <w:tr w:rsidR="00DC036B" w:rsidRPr="001D65E1" w14:paraId="2EFC9006" w14:textId="77777777" w:rsidTr="00DC036B">
        <w:trPr>
          <w:trHeight w:val="255"/>
        </w:trPr>
        <w:tc>
          <w:tcPr>
            <w:tcW w:w="1778" w:type="dxa"/>
            <w:shd w:val="clear" w:color="auto" w:fill="B9E0F7"/>
            <w:noWrap/>
            <w:vAlign w:val="center"/>
          </w:tcPr>
          <w:p w14:paraId="0E2052E5" w14:textId="77777777" w:rsidR="00DC036B" w:rsidRPr="001D65E1" w:rsidRDefault="00DC036B" w:rsidP="009E604A">
            <w:pPr>
              <w:spacing w:after="0" w:line="240" w:lineRule="auto"/>
              <w:rPr>
                <w:rFonts w:eastAsia="Times New Roman" w:cs="Arial"/>
                <w:color w:val="000000"/>
                <w:sz w:val="18"/>
                <w:szCs w:val="18"/>
                <w:lang w:eastAsia="cs-CZ"/>
              </w:rPr>
            </w:pPr>
            <w:r w:rsidRPr="00DB21D6">
              <w:rPr>
                <w:rFonts w:eastAsia="Times New Roman" w:cs="Arial"/>
                <w:color w:val="000000"/>
                <w:sz w:val="18"/>
                <w:szCs w:val="18"/>
                <w:lang w:eastAsia="cs-CZ"/>
              </w:rPr>
              <w:t>Delta</w:t>
            </w:r>
          </w:p>
        </w:tc>
        <w:tc>
          <w:tcPr>
            <w:tcW w:w="692" w:type="dxa"/>
            <w:vMerge/>
            <w:shd w:val="clear" w:color="auto" w:fill="B9E0F7"/>
          </w:tcPr>
          <w:p w14:paraId="0918D0C5" w14:textId="77777777" w:rsidR="00DC036B" w:rsidRPr="001D65E1" w:rsidRDefault="00DC036B" w:rsidP="009E604A">
            <w:pPr>
              <w:spacing w:after="0" w:line="240" w:lineRule="auto"/>
              <w:rPr>
                <w:rFonts w:eastAsia="Times New Roman" w:cs="Arial"/>
                <w:color w:val="000000"/>
                <w:sz w:val="18"/>
                <w:szCs w:val="18"/>
                <w:lang w:eastAsia="cs-CZ"/>
              </w:rPr>
            </w:pPr>
          </w:p>
        </w:tc>
        <w:tc>
          <w:tcPr>
            <w:tcW w:w="567" w:type="dxa"/>
            <w:shd w:val="clear" w:color="auto" w:fill="B9E0F7"/>
            <w:noWrap/>
            <w:vAlign w:val="center"/>
          </w:tcPr>
          <w:p w14:paraId="180DC42D" w14:textId="77777777" w:rsidR="00DC036B" w:rsidRPr="001D65E1" w:rsidRDefault="00DC036B" w:rsidP="009E604A">
            <w:pPr>
              <w:spacing w:after="0" w:line="240" w:lineRule="auto"/>
              <w:rPr>
                <w:rFonts w:eastAsia="Times New Roman" w:cs="Arial"/>
                <w:color w:val="000000"/>
                <w:sz w:val="18"/>
                <w:szCs w:val="18"/>
                <w:lang w:eastAsia="cs-CZ"/>
              </w:rPr>
            </w:pPr>
            <w:r w:rsidRPr="007F596A">
              <w:rPr>
                <w:rFonts w:eastAsia="Times New Roman" w:cs="Arial"/>
                <w:color w:val="000000"/>
                <w:sz w:val="18"/>
                <w:szCs w:val="18"/>
                <w:lang w:eastAsia="cs-CZ"/>
              </w:rPr>
              <w:t>2014</w:t>
            </w:r>
          </w:p>
        </w:tc>
        <w:tc>
          <w:tcPr>
            <w:tcW w:w="567" w:type="dxa"/>
            <w:shd w:val="clear" w:color="auto" w:fill="B9E0F7"/>
            <w:noWrap/>
            <w:vAlign w:val="center"/>
          </w:tcPr>
          <w:p w14:paraId="632BA513" w14:textId="77777777" w:rsidR="00DC036B" w:rsidRPr="001D65E1" w:rsidRDefault="00DC036B" w:rsidP="009E604A">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2021</w:t>
            </w:r>
          </w:p>
        </w:tc>
        <w:tc>
          <w:tcPr>
            <w:tcW w:w="1419" w:type="dxa"/>
            <w:shd w:val="clear" w:color="auto" w:fill="B9E0F7"/>
            <w:vAlign w:val="center"/>
          </w:tcPr>
          <w:p w14:paraId="1C68A29F" w14:textId="77777777" w:rsidR="00DC036B" w:rsidRPr="001D0A19" w:rsidRDefault="00DC036B" w:rsidP="009E604A">
            <w:pPr>
              <w:spacing w:after="0" w:line="240" w:lineRule="auto"/>
              <w:jc w:val="right"/>
              <w:rPr>
                <w:rFonts w:eastAsia="Times New Roman" w:cs="Arial"/>
                <w:color w:val="000000"/>
                <w:sz w:val="18"/>
                <w:szCs w:val="18"/>
                <w:lang w:eastAsia="cs-CZ"/>
              </w:rPr>
            </w:pPr>
            <w:r w:rsidRPr="00721A5E">
              <w:rPr>
                <w:rFonts w:eastAsia="Times New Roman" w:cs="Arial"/>
                <w:color w:val="000000"/>
                <w:sz w:val="18"/>
                <w:szCs w:val="18"/>
                <w:lang w:eastAsia="cs-CZ"/>
              </w:rPr>
              <w:t>36 769 231</w:t>
            </w:r>
          </w:p>
        </w:tc>
        <w:tc>
          <w:tcPr>
            <w:tcW w:w="1134" w:type="dxa"/>
            <w:shd w:val="clear" w:color="auto" w:fill="B9E0F7"/>
            <w:vAlign w:val="center"/>
          </w:tcPr>
          <w:p w14:paraId="753363A2" w14:textId="77777777" w:rsidR="00DC036B" w:rsidRPr="001D65E1" w:rsidRDefault="00DC036B" w:rsidP="009E604A">
            <w:pPr>
              <w:spacing w:after="0" w:line="240" w:lineRule="auto"/>
              <w:jc w:val="center"/>
              <w:rPr>
                <w:rFonts w:eastAsia="Times New Roman" w:cs="Arial"/>
                <w:color w:val="000000"/>
                <w:sz w:val="18"/>
                <w:szCs w:val="18"/>
                <w:lang w:eastAsia="cs-CZ"/>
              </w:rPr>
            </w:pPr>
            <w:r w:rsidRPr="007F596A">
              <w:rPr>
                <w:rFonts w:eastAsia="Times New Roman" w:cs="Arial"/>
                <w:color w:val="000000"/>
                <w:sz w:val="18"/>
                <w:szCs w:val="18"/>
                <w:lang w:eastAsia="cs-CZ"/>
              </w:rPr>
              <w:t>50%</w:t>
            </w:r>
          </w:p>
        </w:tc>
        <w:tc>
          <w:tcPr>
            <w:tcW w:w="1418" w:type="dxa"/>
            <w:shd w:val="clear" w:color="auto" w:fill="B9E0F7"/>
            <w:vAlign w:val="center"/>
          </w:tcPr>
          <w:p w14:paraId="4F822EB1" w14:textId="77777777" w:rsidR="00DC036B" w:rsidRPr="001D0A19" w:rsidRDefault="00DC036B" w:rsidP="009E604A">
            <w:pPr>
              <w:spacing w:after="0" w:line="240" w:lineRule="auto"/>
              <w:jc w:val="right"/>
              <w:rPr>
                <w:rFonts w:eastAsia="Times New Roman" w:cs="Arial"/>
                <w:color w:val="000000"/>
                <w:sz w:val="18"/>
                <w:szCs w:val="18"/>
                <w:lang w:eastAsia="cs-CZ"/>
              </w:rPr>
            </w:pPr>
            <w:r w:rsidRPr="00721A5E">
              <w:rPr>
                <w:rFonts w:eastAsia="Times New Roman" w:cs="Arial"/>
                <w:color w:val="000000"/>
                <w:sz w:val="18"/>
                <w:szCs w:val="18"/>
                <w:lang w:eastAsia="cs-CZ"/>
              </w:rPr>
              <w:t>13 596 154</w:t>
            </w:r>
          </w:p>
        </w:tc>
        <w:tc>
          <w:tcPr>
            <w:tcW w:w="1417" w:type="dxa"/>
            <w:shd w:val="clear" w:color="auto" w:fill="B9E0F7"/>
            <w:vAlign w:val="center"/>
          </w:tcPr>
          <w:p w14:paraId="50462B6B" w14:textId="77777777" w:rsidR="00DC036B" w:rsidRPr="001D0A19" w:rsidRDefault="00DC036B" w:rsidP="009E604A">
            <w:pPr>
              <w:spacing w:after="0" w:line="240" w:lineRule="auto"/>
              <w:jc w:val="right"/>
              <w:rPr>
                <w:rFonts w:eastAsia="Times New Roman" w:cs="Arial"/>
                <w:color w:val="000000"/>
                <w:sz w:val="18"/>
                <w:szCs w:val="18"/>
                <w:lang w:eastAsia="cs-CZ"/>
              </w:rPr>
            </w:pPr>
            <w:r w:rsidRPr="00721A5E">
              <w:rPr>
                <w:rFonts w:eastAsia="Times New Roman" w:cs="Arial"/>
                <w:color w:val="000000"/>
                <w:sz w:val="18"/>
                <w:szCs w:val="18"/>
                <w:lang w:eastAsia="cs-CZ"/>
              </w:rPr>
              <w:t>4 788 462</w:t>
            </w:r>
          </w:p>
        </w:tc>
      </w:tr>
      <w:tr w:rsidR="0073260C" w:rsidRPr="001D65E1" w14:paraId="4237FEEF" w14:textId="77777777" w:rsidTr="0073260C">
        <w:trPr>
          <w:trHeight w:val="255"/>
        </w:trPr>
        <w:tc>
          <w:tcPr>
            <w:tcW w:w="1778" w:type="dxa"/>
            <w:shd w:val="clear" w:color="auto" w:fill="B9E0F7"/>
            <w:noWrap/>
            <w:vAlign w:val="center"/>
          </w:tcPr>
          <w:p w14:paraId="45390364" w14:textId="793BDBAE" w:rsidR="0073260C" w:rsidRPr="00DB21D6" w:rsidRDefault="0073260C" w:rsidP="009E604A">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Delta 2</w:t>
            </w:r>
          </w:p>
        </w:tc>
        <w:tc>
          <w:tcPr>
            <w:tcW w:w="692" w:type="dxa"/>
            <w:vMerge/>
            <w:shd w:val="clear" w:color="auto" w:fill="B9E0F7"/>
          </w:tcPr>
          <w:p w14:paraId="3743E84C" w14:textId="77777777" w:rsidR="0073260C" w:rsidRPr="001D65E1" w:rsidRDefault="0073260C" w:rsidP="009E604A">
            <w:pPr>
              <w:spacing w:after="0" w:line="240" w:lineRule="auto"/>
              <w:rPr>
                <w:rFonts w:eastAsia="Times New Roman" w:cs="Arial"/>
                <w:color w:val="000000"/>
                <w:sz w:val="18"/>
                <w:szCs w:val="18"/>
                <w:lang w:eastAsia="cs-CZ"/>
              </w:rPr>
            </w:pPr>
          </w:p>
        </w:tc>
        <w:tc>
          <w:tcPr>
            <w:tcW w:w="567" w:type="dxa"/>
            <w:shd w:val="clear" w:color="auto" w:fill="B9E0F7"/>
            <w:noWrap/>
            <w:vAlign w:val="center"/>
          </w:tcPr>
          <w:p w14:paraId="433384B3" w14:textId="08679FA5" w:rsidR="0073260C" w:rsidRPr="007F596A" w:rsidRDefault="0073260C" w:rsidP="009E604A">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2020</w:t>
            </w:r>
          </w:p>
        </w:tc>
        <w:tc>
          <w:tcPr>
            <w:tcW w:w="567" w:type="dxa"/>
            <w:shd w:val="clear" w:color="auto" w:fill="B9E0F7"/>
            <w:noWrap/>
            <w:vAlign w:val="center"/>
          </w:tcPr>
          <w:p w14:paraId="2A769FBE" w14:textId="0A64331E" w:rsidR="0073260C" w:rsidRDefault="0073260C" w:rsidP="009E604A">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2025</w:t>
            </w:r>
          </w:p>
        </w:tc>
        <w:tc>
          <w:tcPr>
            <w:tcW w:w="1419" w:type="dxa"/>
            <w:shd w:val="clear" w:color="auto" w:fill="B9E0F7"/>
            <w:vAlign w:val="center"/>
          </w:tcPr>
          <w:p w14:paraId="23DB1843" w14:textId="1C6E1D90" w:rsidR="0073260C" w:rsidRPr="00721A5E" w:rsidRDefault="0073260C" w:rsidP="0073260C">
            <w:pPr>
              <w:spacing w:after="0" w:line="240" w:lineRule="auto"/>
              <w:jc w:val="right"/>
              <w:rPr>
                <w:rFonts w:eastAsia="Times New Roman" w:cs="Arial"/>
                <w:color w:val="000000"/>
                <w:sz w:val="18"/>
                <w:szCs w:val="18"/>
                <w:lang w:eastAsia="cs-CZ"/>
              </w:rPr>
            </w:pPr>
            <w:r w:rsidRPr="0073260C">
              <w:rPr>
                <w:rFonts w:eastAsia="Times New Roman" w:cs="Arial"/>
                <w:color w:val="000000"/>
                <w:sz w:val="18"/>
                <w:szCs w:val="18"/>
                <w:lang w:eastAsia="cs-CZ"/>
              </w:rPr>
              <w:t>63 692 308</w:t>
            </w:r>
          </w:p>
        </w:tc>
        <w:tc>
          <w:tcPr>
            <w:tcW w:w="1134" w:type="dxa"/>
            <w:shd w:val="clear" w:color="auto" w:fill="B9E0F7"/>
            <w:vAlign w:val="center"/>
          </w:tcPr>
          <w:p w14:paraId="273E8CD2" w14:textId="79713BF1" w:rsidR="0073260C" w:rsidRPr="007F596A" w:rsidRDefault="0073260C" w:rsidP="009E604A">
            <w:pPr>
              <w:spacing w:after="0" w:line="240" w:lineRule="auto"/>
              <w:jc w:val="center"/>
              <w:rPr>
                <w:rFonts w:eastAsia="Times New Roman" w:cs="Arial"/>
                <w:color w:val="000000"/>
                <w:sz w:val="18"/>
                <w:szCs w:val="18"/>
                <w:lang w:eastAsia="cs-CZ"/>
              </w:rPr>
            </w:pPr>
            <w:r w:rsidRPr="0073260C">
              <w:rPr>
                <w:rFonts w:eastAsia="Times New Roman" w:cs="Arial"/>
                <w:color w:val="000000"/>
                <w:sz w:val="18"/>
                <w:szCs w:val="18"/>
                <w:lang w:eastAsia="cs-CZ"/>
              </w:rPr>
              <w:t>50%</w:t>
            </w:r>
          </w:p>
        </w:tc>
        <w:tc>
          <w:tcPr>
            <w:tcW w:w="1418" w:type="dxa"/>
            <w:shd w:val="clear" w:color="auto" w:fill="B9E0F7"/>
            <w:vAlign w:val="center"/>
          </w:tcPr>
          <w:p w14:paraId="25AD1CE6" w14:textId="25965112" w:rsidR="0073260C" w:rsidRPr="00721A5E" w:rsidRDefault="007051C3" w:rsidP="009E604A">
            <w:pPr>
              <w:spacing w:after="0" w:line="240" w:lineRule="auto"/>
              <w:jc w:val="right"/>
              <w:rPr>
                <w:rFonts w:eastAsia="Times New Roman" w:cs="Arial"/>
                <w:color w:val="000000"/>
                <w:sz w:val="18"/>
                <w:szCs w:val="18"/>
                <w:lang w:eastAsia="cs-CZ"/>
              </w:rPr>
            </w:pPr>
            <w:r w:rsidRPr="007051C3">
              <w:rPr>
                <w:rFonts w:eastAsia="Times New Roman" w:cs="Arial"/>
                <w:color w:val="000000"/>
                <w:sz w:val="18"/>
                <w:szCs w:val="18"/>
                <w:lang w:eastAsia="cs-CZ"/>
              </w:rPr>
              <w:t>23 557 692</w:t>
            </w:r>
          </w:p>
        </w:tc>
        <w:tc>
          <w:tcPr>
            <w:tcW w:w="1417" w:type="dxa"/>
            <w:shd w:val="clear" w:color="auto" w:fill="B9E0F7"/>
            <w:vAlign w:val="center"/>
          </w:tcPr>
          <w:p w14:paraId="7D3A5767" w14:textId="63D7FC47" w:rsidR="0073260C" w:rsidRPr="00721A5E" w:rsidRDefault="007051C3" w:rsidP="009E604A">
            <w:pPr>
              <w:spacing w:after="0" w:line="240" w:lineRule="auto"/>
              <w:jc w:val="right"/>
              <w:rPr>
                <w:rFonts w:eastAsia="Times New Roman" w:cs="Arial"/>
                <w:color w:val="000000"/>
                <w:sz w:val="18"/>
                <w:szCs w:val="18"/>
                <w:lang w:eastAsia="cs-CZ"/>
              </w:rPr>
            </w:pPr>
            <w:r w:rsidRPr="007051C3">
              <w:rPr>
                <w:rFonts w:eastAsia="Times New Roman" w:cs="Arial"/>
                <w:color w:val="000000"/>
                <w:sz w:val="18"/>
                <w:szCs w:val="18"/>
                <w:lang w:eastAsia="cs-CZ"/>
              </w:rPr>
              <w:t>8 288 462</w:t>
            </w:r>
          </w:p>
        </w:tc>
      </w:tr>
      <w:tr w:rsidR="00DC036B" w:rsidRPr="001D65E1" w14:paraId="3BFEF816" w14:textId="77777777" w:rsidTr="00DC036B">
        <w:trPr>
          <w:trHeight w:val="272"/>
        </w:trPr>
        <w:tc>
          <w:tcPr>
            <w:tcW w:w="1778" w:type="dxa"/>
            <w:shd w:val="clear" w:color="auto" w:fill="B9E0F7"/>
            <w:noWrap/>
            <w:vAlign w:val="center"/>
          </w:tcPr>
          <w:p w14:paraId="2A2DFC17" w14:textId="77777777" w:rsidR="00DC036B" w:rsidRPr="001D65E1" w:rsidRDefault="00DC036B" w:rsidP="009E604A">
            <w:pPr>
              <w:spacing w:after="0" w:line="240" w:lineRule="auto"/>
              <w:rPr>
                <w:rFonts w:eastAsia="Times New Roman" w:cs="Arial"/>
                <w:color w:val="000000"/>
                <w:sz w:val="18"/>
                <w:szCs w:val="18"/>
                <w:lang w:eastAsia="cs-CZ"/>
              </w:rPr>
            </w:pPr>
            <w:r w:rsidRPr="00DB21D6">
              <w:rPr>
                <w:rFonts w:eastAsia="Times New Roman" w:cs="Arial"/>
                <w:color w:val="000000"/>
                <w:sz w:val="18"/>
                <w:szCs w:val="18"/>
                <w:lang w:eastAsia="cs-CZ"/>
              </w:rPr>
              <w:t>Éta</w:t>
            </w:r>
          </w:p>
        </w:tc>
        <w:tc>
          <w:tcPr>
            <w:tcW w:w="692" w:type="dxa"/>
            <w:vMerge/>
            <w:shd w:val="clear" w:color="auto" w:fill="B9E0F7"/>
          </w:tcPr>
          <w:p w14:paraId="412CC3E4" w14:textId="77777777" w:rsidR="00DC036B" w:rsidRPr="001D65E1" w:rsidRDefault="00DC036B" w:rsidP="009E604A">
            <w:pPr>
              <w:spacing w:after="0" w:line="240" w:lineRule="auto"/>
              <w:rPr>
                <w:rFonts w:eastAsia="Times New Roman" w:cs="Arial"/>
                <w:color w:val="000000"/>
                <w:sz w:val="18"/>
                <w:szCs w:val="18"/>
                <w:lang w:eastAsia="cs-CZ"/>
              </w:rPr>
            </w:pPr>
          </w:p>
        </w:tc>
        <w:tc>
          <w:tcPr>
            <w:tcW w:w="567" w:type="dxa"/>
            <w:shd w:val="clear" w:color="auto" w:fill="B9E0F7"/>
            <w:noWrap/>
          </w:tcPr>
          <w:p w14:paraId="6D63CAE1" w14:textId="77777777" w:rsidR="00DC036B" w:rsidRPr="00721A5E" w:rsidRDefault="00DC036B" w:rsidP="009E604A">
            <w:pPr>
              <w:spacing w:after="0" w:line="240" w:lineRule="auto"/>
              <w:rPr>
                <w:rFonts w:eastAsia="Times New Roman" w:cs="Arial"/>
                <w:color w:val="000000"/>
                <w:sz w:val="18"/>
                <w:szCs w:val="18"/>
                <w:lang w:eastAsia="cs-CZ"/>
              </w:rPr>
            </w:pPr>
            <w:r w:rsidRPr="00721A5E">
              <w:rPr>
                <w:rFonts w:eastAsia="Times New Roman" w:cs="Arial"/>
                <w:color w:val="000000"/>
                <w:sz w:val="18"/>
                <w:szCs w:val="18"/>
                <w:lang w:eastAsia="cs-CZ"/>
              </w:rPr>
              <w:t>2018</w:t>
            </w:r>
          </w:p>
        </w:tc>
        <w:tc>
          <w:tcPr>
            <w:tcW w:w="567" w:type="dxa"/>
            <w:shd w:val="clear" w:color="auto" w:fill="B9E0F7"/>
            <w:noWrap/>
          </w:tcPr>
          <w:p w14:paraId="286B1DC4" w14:textId="77777777" w:rsidR="00DC036B" w:rsidRPr="00721A5E" w:rsidRDefault="00DC036B" w:rsidP="009E604A">
            <w:pPr>
              <w:spacing w:after="0" w:line="240" w:lineRule="auto"/>
              <w:rPr>
                <w:rFonts w:eastAsia="Times New Roman" w:cs="Arial"/>
                <w:color w:val="000000"/>
                <w:sz w:val="18"/>
                <w:szCs w:val="18"/>
                <w:lang w:eastAsia="cs-CZ"/>
              </w:rPr>
            </w:pPr>
            <w:r w:rsidRPr="00721A5E">
              <w:rPr>
                <w:rFonts w:eastAsia="Times New Roman" w:cs="Arial"/>
                <w:color w:val="000000"/>
                <w:sz w:val="18"/>
                <w:szCs w:val="18"/>
                <w:lang w:eastAsia="cs-CZ"/>
              </w:rPr>
              <w:t>202</w:t>
            </w:r>
            <w:r>
              <w:rPr>
                <w:rFonts w:eastAsia="Times New Roman" w:cs="Arial"/>
                <w:color w:val="000000"/>
                <w:sz w:val="18"/>
                <w:szCs w:val="18"/>
                <w:lang w:eastAsia="cs-CZ"/>
              </w:rPr>
              <w:t>3</w:t>
            </w:r>
          </w:p>
        </w:tc>
        <w:tc>
          <w:tcPr>
            <w:tcW w:w="1419" w:type="dxa"/>
            <w:shd w:val="clear" w:color="auto" w:fill="B9E0F7"/>
            <w:vAlign w:val="center"/>
          </w:tcPr>
          <w:p w14:paraId="30619DC7" w14:textId="77777777" w:rsidR="00DC036B" w:rsidRPr="001D0A19" w:rsidRDefault="00DC036B" w:rsidP="009E604A">
            <w:pPr>
              <w:spacing w:after="0" w:line="240" w:lineRule="auto"/>
              <w:jc w:val="right"/>
              <w:rPr>
                <w:rFonts w:eastAsia="Times New Roman" w:cs="Arial"/>
                <w:color w:val="000000"/>
                <w:sz w:val="18"/>
                <w:szCs w:val="18"/>
                <w:lang w:eastAsia="cs-CZ"/>
              </w:rPr>
            </w:pPr>
            <w:r w:rsidRPr="003E5BAB">
              <w:rPr>
                <w:rFonts w:eastAsia="Times New Roman" w:cs="Arial"/>
                <w:color w:val="000000"/>
                <w:sz w:val="18"/>
                <w:szCs w:val="18"/>
                <w:lang w:eastAsia="cs-CZ"/>
              </w:rPr>
              <w:t>115 384 615</w:t>
            </w:r>
          </w:p>
        </w:tc>
        <w:tc>
          <w:tcPr>
            <w:tcW w:w="1134" w:type="dxa"/>
            <w:shd w:val="clear" w:color="auto" w:fill="B9E0F7"/>
          </w:tcPr>
          <w:p w14:paraId="2BEEB043" w14:textId="77777777" w:rsidR="00DC036B" w:rsidRPr="007F596A" w:rsidRDefault="00DC036B" w:rsidP="009E604A">
            <w:pPr>
              <w:spacing w:after="0" w:line="240" w:lineRule="auto"/>
              <w:jc w:val="center"/>
              <w:rPr>
                <w:rFonts w:eastAsia="Times New Roman" w:cs="Arial"/>
                <w:color w:val="000000"/>
                <w:sz w:val="18"/>
                <w:szCs w:val="18"/>
                <w:lang w:eastAsia="cs-CZ"/>
              </w:rPr>
            </w:pPr>
            <w:r w:rsidRPr="007F596A">
              <w:rPr>
                <w:rFonts w:eastAsia="Times New Roman" w:cs="Arial"/>
                <w:color w:val="000000"/>
                <w:sz w:val="18"/>
                <w:szCs w:val="18"/>
                <w:lang w:eastAsia="cs-CZ"/>
              </w:rPr>
              <w:t>50%</w:t>
            </w:r>
          </w:p>
        </w:tc>
        <w:tc>
          <w:tcPr>
            <w:tcW w:w="1418" w:type="dxa"/>
            <w:shd w:val="clear" w:color="auto" w:fill="B9E0F7"/>
            <w:vAlign w:val="center"/>
          </w:tcPr>
          <w:p w14:paraId="7EECD36D" w14:textId="77777777" w:rsidR="00DC036B" w:rsidRPr="001D0A19" w:rsidRDefault="00DC036B" w:rsidP="009E604A">
            <w:pPr>
              <w:spacing w:after="0" w:line="240" w:lineRule="auto"/>
              <w:jc w:val="right"/>
              <w:rPr>
                <w:rFonts w:eastAsia="Times New Roman" w:cs="Arial"/>
                <w:color w:val="000000"/>
                <w:sz w:val="18"/>
                <w:szCs w:val="18"/>
                <w:lang w:eastAsia="cs-CZ"/>
              </w:rPr>
            </w:pPr>
            <w:r w:rsidRPr="003E5BAB">
              <w:rPr>
                <w:rFonts w:eastAsia="Times New Roman" w:cs="Arial"/>
                <w:color w:val="000000"/>
                <w:sz w:val="18"/>
                <w:szCs w:val="18"/>
                <w:lang w:eastAsia="cs-CZ"/>
              </w:rPr>
              <w:t>46 153 846</w:t>
            </w:r>
          </w:p>
        </w:tc>
        <w:tc>
          <w:tcPr>
            <w:tcW w:w="1417" w:type="dxa"/>
            <w:shd w:val="clear" w:color="auto" w:fill="B9E0F7"/>
            <w:vAlign w:val="center"/>
          </w:tcPr>
          <w:p w14:paraId="5E77FBAD" w14:textId="77777777" w:rsidR="00DC036B" w:rsidRPr="001D0A19" w:rsidRDefault="00DC036B" w:rsidP="009E604A">
            <w:pPr>
              <w:spacing w:after="0" w:line="240" w:lineRule="auto"/>
              <w:jc w:val="right"/>
              <w:rPr>
                <w:rFonts w:eastAsia="Times New Roman" w:cs="Arial"/>
                <w:color w:val="000000"/>
                <w:sz w:val="18"/>
                <w:szCs w:val="18"/>
                <w:lang w:eastAsia="cs-CZ"/>
              </w:rPr>
            </w:pPr>
            <w:r w:rsidRPr="003E5BAB">
              <w:rPr>
                <w:rFonts w:eastAsia="Times New Roman" w:cs="Arial"/>
                <w:color w:val="000000"/>
                <w:sz w:val="18"/>
                <w:szCs w:val="18"/>
                <w:lang w:eastAsia="cs-CZ"/>
              </w:rPr>
              <w:t>11 538 462</w:t>
            </w:r>
          </w:p>
        </w:tc>
      </w:tr>
      <w:tr w:rsidR="00DC036B" w:rsidRPr="001D65E1" w14:paraId="59865AD3" w14:textId="77777777" w:rsidTr="00DC036B">
        <w:trPr>
          <w:trHeight w:val="263"/>
        </w:trPr>
        <w:tc>
          <w:tcPr>
            <w:tcW w:w="1778" w:type="dxa"/>
            <w:shd w:val="clear" w:color="auto" w:fill="B9E0F7"/>
            <w:noWrap/>
            <w:vAlign w:val="center"/>
          </w:tcPr>
          <w:p w14:paraId="3F802E79" w14:textId="77777777" w:rsidR="00DC036B" w:rsidRPr="001D65E1" w:rsidRDefault="00DC036B" w:rsidP="009E604A">
            <w:pPr>
              <w:spacing w:after="0" w:line="240" w:lineRule="auto"/>
              <w:rPr>
                <w:rFonts w:eastAsia="Times New Roman" w:cs="Arial"/>
                <w:color w:val="000000"/>
                <w:sz w:val="18"/>
                <w:szCs w:val="18"/>
                <w:lang w:eastAsia="cs-CZ"/>
              </w:rPr>
            </w:pPr>
            <w:r w:rsidRPr="00DB21D6">
              <w:rPr>
                <w:rFonts w:eastAsia="Times New Roman" w:cs="Arial"/>
                <w:color w:val="000000"/>
                <w:sz w:val="18"/>
                <w:szCs w:val="18"/>
                <w:lang w:eastAsia="cs-CZ"/>
              </w:rPr>
              <w:t>Théta</w:t>
            </w:r>
          </w:p>
        </w:tc>
        <w:tc>
          <w:tcPr>
            <w:tcW w:w="692" w:type="dxa"/>
            <w:vMerge/>
            <w:shd w:val="clear" w:color="auto" w:fill="B9E0F7"/>
          </w:tcPr>
          <w:p w14:paraId="3383A090" w14:textId="77777777" w:rsidR="00DC036B" w:rsidRPr="001D65E1" w:rsidRDefault="00DC036B" w:rsidP="009E604A">
            <w:pPr>
              <w:spacing w:after="0" w:line="240" w:lineRule="auto"/>
              <w:rPr>
                <w:rFonts w:eastAsia="Times New Roman" w:cs="Arial"/>
                <w:color w:val="000000"/>
                <w:sz w:val="18"/>
                <w:szCs w:val="18"/>
                <w:lang w:eastAsia="cs-CZ"/>
              </w:rPr>
            </w:pPr>
          </w:p>
        </w:tc>
        <w:tc>
          <w:tcPr>
            <w:tcW w:w="567" w:type="dxa"/>
            <w:shd w:val="clear" w:color="auto" w:fill="B9E0F7"/>
            <w:noWrap/>
          </w:tcPr>
          <w:p w14:paraId="5BB38E86" w14:textId="77777777" w:rsidR="00DC036B" w:rsidRPr="003E5BAB" w:rsidRDefault="00DC036B" w:rsidP="009E604A">
            <w:pPr>
              <w:spacing w:after="0" w:line="240" w:lineRule="auto"/>
              <w:rPr>
                <w:rFonts w:eastAsia="Times New Roman" w:cs="Arial"/>
                <w:color w:val="000000"/>
                <w:sz w:val="18"/>
                <w:szCs w:val="18"/>
                <w:lang w:eastAsia="cs-CZ"/>
              </w:rPr>
            </w:pPr>
            <w:r w:rsidRPr="003E5BAB">
              <w:rPr>
                <w:rFonts w:eastAsia="Times New Roman" w:cs="Arial"/>
                <w:color w:val="000000"/>
                <w:sz w:val="18"/>
                <w:szCs w:val="18"/>
                <w:lang w:eastAsia="cs-CZ"/>
              </w:rPr>
              <w:t>2018</w:t>
            </w:r>
          </w:p>
        </w:tc>
        <w:tc>
          <w:tcPr>
            <w:tcW w:w="567" w:type="dxa"/>
            <w:shd w:val="clear" w:color="auto" w:fill="B9E0F7"/>
            <w:noWrap/>
          </w:tcPr>
          <w:p w14:paraId="126F9F32" w14:textId="77777777" w:rsidR="00DC036B" w:rsidRPr="003E5BAB" w:rsidRDefault="00DC036B" w:rsidP="009E604A">
            <w:pPr>
              <w:spacing w:after="0" w:line="240" w:lineRule="auto"/>
              <w:rPr>
                <w:rFonts w:eastAsia="Times New Roman" w:cs="Arial"/>
                <w:color w:val="000000"/>
                <w:sz w:val="18"/>
                <w:szCs w:val="18"/>
                <w:lang w:eastAsia="cs-CZ"/>
              </w:rPr>
            </w:pPr>
            <w:r w:rsidRPr="003E5BAB">
              <w:rPr>
                <w:rFonts w:eastAsia="Times New Roman" w:cs="Arial"/>
                <w:color w:val="000000"/>
                <w:sz w:val="18"/>
                <w:szCs w:val="18"/>
                <w:lang w:eastAsia="cs-CZ"/>
              </w:rPr>
              <w:t>202</w:t>
            </w:r>
            <w:r>
              <w:rPr>
                <w:rFonts w:eastAsia="Times New Roman" w:cs="Arial"/>
                <w:color w:val="000000"/>
                <w:sz w:val="18"/>
                <w:szCs w:val="18"/>
                <w:lang w:eastAsia="cs-CZ"/>
              </w:rPr>
              <w:t>5</w:t>
            </w:r>
          </w:p>
        </w:tc>
        <w:tc>
          <w:tcPr>
            <w:tcW w:w="1419" w:type="dxa"/>
            <w:shd w:val="clear" w:color="auto" w:fill="B9E0F7"/>
            <w:vAlign w:val="center"/>
          </w:tcPr>
          <w:p w14:paraId="5F3B05F2" w14:textId="77777777" w:rsidR="00DC036B" w:rsidRPr="001D0A19" w:rsidRDefault="00DC036B" w:rsidP="009E604A">
            <w:pPr>
              <w:spacing w:after="0" w:line="240" w:lineRule="auto"/>
              <w:jc w:val="right"/>
              <w:rPr>
                <w:rFonts w:eastAsia="Times New Roman" w:cs="Arial"/>
                <w:color w:val="000000"/>
                <w:sz w:val="18"/>
                <w:szCs w:val="18"/>
                <w:lang w:eastAsia="cs-CZ"/>
              </w:rPr>
            </w:pPr>
            <w:r w:rsidRPr="003E5BAB">
              <w:rPr>
                <w:rFonts w:eastAsia="Times New Roman" w:cs="Arial"/>
                <w:color w:val="000000"/>
                <w:sz w:val="18"/>
                <w:szCs w:val="18"/>
                <w:lang w:eastAsia="cs-CZ"/>
              </w:rPr>
              <w:t>219 807 692</w:t>
            </w:r>
          </w:p>
        </w:tc>
        <w:tc>
          <w:tcPr>
            <w:tcW w:w="1134" w:type="dxa"/>
            <w:shd w:val="clear" w:color="auto" w:fill="B9E0F7"/>
          </w:tcPr>
          <w:p w14:paraId="76600B5F" w14:textId="77777777" w:rsidR="00DC036B" w:rsidRPr="007F596A" w:rsidRDefault="00DC036B" w:rsidP="009E604A">
            <w:pPr>
              <w:spacing w:after="0" w:line="240" w:lineRule="auto"/>
              <w:jc w:val="center"/>
              <w:rPr>
                <w:rFonts w:eastAsia="Times New Roman" w:cs="Arial"/>
                <w:color w:val="000000"/>
                <w:sz w:val="18"/>
                <w:szCs w:val="18"/>
                <w:lang w:eastAsia="cs-CZ"/>
              </w:rPr>
            </w:pPr>
            <w:r w:rsidRPr="007F596A">
              <w:rPr>
                <w:rFonts w:eastAsia="Times New Roman" w:cs="Arial"/>
                <w:color w:val="000000"/>
                <w:sz w:val="18"/>
                <w:szCs w:val="18"/>
                <w:lang w:eastAsia="cs-CZ"/>
              </w:rPr>
              <w:t>50%</w:t>
            </w:r>
          </w:p>
        </w:tc>
        <w:tc>
          <w:tcPr>
            <w:tcW w:w="1418" w:type="dxa"/>
            <w:shd w:val="clear" w:color="auto" w:fill="B9E0F7"/>
            <w:vAlign w:val="center"/>
          </w:tcPr>
          <w:p w14:paraId="5DA14262" w14:textId="77777777" w:rsidR="00DC036B" w:rsidRPr="001D0A19" w:rsidRDefault="00DC036B" w:rsidP="009E604A">
            <w:pPr>
              <w:spacing w:after="0" w:line="240" w:lineRule="auto"/>
              <w:jc w:val="right"/>
              <w:rPr>
                <w:rFonts w:eastAsia="Times New Roman" w:cs="Arial"/>
                <w:color w:val="000000"/>
                <w:sz w:val="18"/>
                <w:szCs w:val="18"/>
                <w:lang w:eastAsia="cs-CZ"/>
              </w:rPr>
            </w:pPr>
            <w:r w:rsidRPr="003E5BAB">
              <w:rPr>
                <w:rFonts w:eastAsia="Times New Roman" w:cs="Arial"/>
                <w:color w:val="000000"/>
                <w:sz w:val="18"/>
                <w:szCs w:val="18"/>
                <w:lang w:eastAsia="cs-CZ"/>
              </w:rPr>
              <w:t>76 923 077</w:t>
            </w:r>
          </w:p>
        </w:tc>
        <w:tc>
          <w:tcPr>
            <w:tcW w:w="1417" w:type="dxa"/>
            <w:shd w:val="clear" w:color="auto" w:fill="B9E0F7"/>
            <w:vAlign w:val="center"/>
          </w:tcPr>
          <w:p w14:paraId="0E7C81A5" w14:textId="77777777" w:rsidR="00DC036B" w:rsidRPr="001D0A19" w:rsidRDefault="00DC036B" w:rsidP="009E604A">
            <w:pPr>
              <w:spacing w:after="0" w:line="240" w:lineRule="auto"/>
              <w:jc w:val="right"/>
              <w:rPr>
                <w:rFonts w:eastAsia="Times New Roman" w:cs="Arial"/>
                <w:color w:val="000000"/>
                <w:sz w:val="18"/>
                <w:szCs w:val="18"/>
                <w:lang w:eastAsia="cs-CZ"/>
              </w:rPr>
            </w:pPr>
            <w:r w:rsidRPr="003E5BAB">
              <w:rPr>
                <w:rFonts w:eastAsia="Times New Roman" w:cs="Arial"/>
                <w:color w:val="000000"/>
                <w:sz w:val="18"/>
                <w:szCs w:val="18"/>
                <w:lang w:eastAsia="cs-CZ"/>
              </w:rPr>
              <w:t>32 980 769</w:t>
            </w:r>
          </w:p>
        </w:tc>
      </w:tr>
      <w:tr w:rsidR="00DC036B" w:rsidRPr="001D65E1" w14:paraId="270D6F3E" w14:textId="77777777" w:rsidTr="00DC036B">
        <w:trPr>
          <w:trHeight w:val="124"/>
        </w:trPr>
        <w:tc>
          <w:tcPr>
            <w:tcW w:w="1778" w:type="dxa"/>
            <w:shd w:val="clear" w:color="auto" w:fill="B9E0F7"/>
            <w:noWrap/>
            <w:vAlign w:val="center"/>
          </w:tcPr>
          <w:p w14:paraId="12574039" w14:textId="77777777" w:rsidR="00DC036B" w:rsidRPr="001D65E1" w:rsidRDefault="00DC036B" w:rsidP="009E604A">
            <w:pPr>
              <w:spacing w:after="0" w:line="240" w:lineRule="auto"/>
              <w:rPr>
                <w:rFonts w:eastAsia="Times New Roman" w:cs="Arial"/>
                <w:color w:val="000000"/>
                <w:sz w:val="18"/>
                <w:szCs w:val="18"/>
                <w:lang w:eastAsia="cs-CZ"/>
              </w:rPr>
            </w:pPr>
            <w:r w:rsidRPr="00DB21D6">
              <w:rPr>
                <w:rFonts w:eastAsia="Times New Roman" w:cs="Arial"/>
                <w:color w:val="000000"/>
                <w:sz w:val="18"/>
                <w:szCs w:val="18"/>
                <w:lang w:eastAsia="cs-CZ"/>
              </w:rPr>
              <w:t>Zéta</w:t>
            </w:r>
          </w:p>
        </w:tc>
        <w:tc>
          <w:tcPr>
            <w:tcW w:w="692" w:type="dxa"/>
            <w:vMerge/>
            <w:shd w:val="clear" w:color="auto" w:fill="B9E0F7"/>
          </w:tcPr>
          <w:p w14:paraId="38478FF1" w14:textId="77777777" w:rsidR="00DC036B" w:rsidRPr="001D65E1" w:rsidRDefault="00DC036B" w:rsidP="009E604A">
            <w:pPr>
              <w:spacing w:after="0" w:line="240" w:lineRule="auto"/>
              <w:rPr>
                <w:rFonts w:eastAsia="Times New Roman" w:cs="Arial"/>
                <w:color w:val="000000"/>
                <w:sz w:val="18"/>
                <w:szCs w:val="18"/>
                <w:lang w:eastAsia="cs-CZ"/>
              </w:rPr>
            </w:pPr>
          </w:p>
        </w:tc>
        <w:tc>
          <w:tcPr>
            <w:tcW w:w="567" w:type="dxa"/>
            <w:shd w:val="clear" w:color="auto" w:fill="B9E0F7"/>
            <w:noWrap/>
          </w:tcPr>
          <w:p w14:paraId="2C69E419" w14:textId="77777777" w:rsidR="00DC036B" w:rsidRPr="003E5BAB" w:rsidRDefault="00DC036B" w:rsidP="009E604A">
            <w:pPr>
              <w:spacing w:after="0" w:line="240" w:lineRule="auto"/>
              <w:rPr>
                <w:rFonts w:eastAsia="Times New Roman" w:cs="Arial"/>
                <w:color w:val="000000"/>
                <w:sz w:val="18"/>
                <w:szCs w:val="18"/>
                <w:lang w:eastAsia="cs-CZ"/>
              </w:rPr>
            </w:pPr>
            <w:r w:rsidRPr="003E5BAB">
              <w:rPr>
                <w:rFonts w:eastAsia="Times New Roman" w:cs="Arial"/>
                <w:color w:val="000000"/>
                <w:sz w:val="18"/>
                <w:szCs w:val="18"/>
                <w:lang w:eastAsia="cs-CZ"/>
              </w:rPr>
              <w:t>201</w:t>
            </w:r>
            <w:r>
              <w:rPr>
                <w:rFonts w:eastAsia="Times New Roman" w:cs="Arial"/>
                <w:color w:val="000000"/>
                <w:sz w:val="18"/>
                <w:szCs w:val="18"/>
                <w:lang w:eastAsia="cs-CZ"/>
              </w:rPr>
              <w:t>7</w:t>
            </w:r>
          </w:p>
        </w:tc>
        <w:tc>
          <w:tcPr>
            <w:tcW w:w="567" w:type="dxa"/>
            <w:shd w:val="clear" w:color="auto" w:fill="B9E0F7"/>
            <w:noWrap/>
          </w:tcPr>
          <w:p w14:paraId="75605ADC" w14:textId="77777777" w:rsidR="00DC036B" w:rsidRPr="003E5BAB" w:rsidRDefault="00DC036B" w:rsidP="009E604A">
            <w:pPr>
              <w:spacing w:after="0" w:line="240" w:lineRule="auto"/>
              <w:rPr>
                <w:rFonts w:eastAsia="Times New Roman" w:cs="Arial"/>
                <w:color w:val="000000"/>
                <w:sz w:val="18"/>
                <w:szCs w:val="18"/>
                <w:lang w:eastAsia="cs-CZ"/>
              </w:rPr>
            </w:pPr>
            <w:r w:rsidRPr="003E5BAB">
              <w:rPr>
                <w:rFonts w:eastAsia="Times New Roman" w:cs="Arial"/>
                <w:color w:val="000000"/>
                <w:sz w:val="18"/>
                <w:szCs w:val="18"/>
                <w:lang w:eastAsia="cs-CZ"/>
              </w:rPr>
              <w:t>2025</w:t>
            </w:r>
          </w:p>
        </w:tc>
        <w:tc>
          <w:tcPr>
            <w:tcW w:w="1419" w:type="dxa"/>
            <w:shd w:val="clear" w:color="auto" w:fill="B9E0F7"/>
            <w:vAlign w:val="center"/>
          </w:tcPr>
          <w:p w14:paraId="0C8AAA94" w14:textId="77777777" w:rsidR="00DC036B" w:rsidRPr="001D0A19" w:rsidRDefault="00DC036B" w:rsidP="009E604A">
            <w:pPr>
              <w:spacing w:after="0" w:line="240" w:lineRule="auto"/>
              <w:jc w:val="right"/>
              <w:rPr>
                <w:rFonts w:eastAsia="Times New Roman" w:cs="Arial"/>
                <w:color w:val="000000"/>
                <w:sz w:val="18"/>
                <w:szCs w:val="18"/>
                <w:lang w:eastAsia="cs-CZ"/>
              </w:rPr>
            </w:pPr>
            <w:r w:rsidRPr="00CF6060">
              <w:rPr>
                <w:rFonts w:eastAsia="Times New Roman" w:cs="Arial"/>
                <w:color w:val="000000"/>
                <w:sz w:val="18"/>
                <w:szCs w:val="18"/>
                <w:lang w:eastAsia="cs-CZ"/>
              </w:rPr>
              <w:t>32 584 615</w:t>
            </w:r>
          </w:p>
        </w:tc>
        <w:tc>
          <w:tcPr>
            <w:tcW w:w="1134" w:type="dxa"/>
            <w:shd w:val="clear" w:color="auto" w:fill="B9E0F7"/>
          </w:tcPr>
          <w:p w14:paraId="3EBE9E99" w14:textId="77777777" w:rsidR="00DC036B" w:rsidRPr="007F596A" w:rsidRDefault="00DC036B" w:rsidP="009E604A">
            <w:pPr>
              <w:spacing w:after="0" w:line="240" w:lineRule="auto"/>
              <w:jc w:val="center"/>
              <w:rPr>
                <w:rFonts w:eastAsia="Times New Roman" w:cs="Arial"/>
                <w:color w:val="000000"/>
                <w:sz w:val="18"/>
                <w:szCs w:val="18"/>
                <w:lang w:eastAsia="cs-CZ"/>
              </w:rPr>
            </w:pPr>
            <w:r w:rsidRPr="007F596A">
              <w:rPr>
                <w:rFonts w:eastAsia="Times New Roman" w:cs="Arial"/>
                <w:color w:val="000000"/>
                <w:sz w:val="18"/>
                <w:szCs w:val="18"/>
                <w:lang w:eastAsia="cs-CZ"/>
              </w:rPr>
              <w:t>50%</w:t>
            </w:r>
          </w:p>
        </w:tc>
        <w:tc>
          <w:tcPr>
            <w:tcW w:w="1418" w:type="dxa"/>
            <w:shd w:val="clear" w:color="auto" w:fill="B9E0F7"/>
            <w:vAlign w:val="center"/>
          </w:tcPr>
          <w:p w14:paraId="31D71B37" w14:textId="77777777" w:rsidR="00DC036B" w:rsidRPr="001D0A19" w:rsidRDefault="00DC036B" w:rsidP="009E604A">
            <w:pPr>
              <w:spacing w:after="0" w:line="240" w:lineRule="auto"/>
              <w:jc w:val="right"/>
              <w:rPr>
                <w:rFonts w:eastAsia="Times New Roman" w:cs="Arial"/>
                <w:color w:val="000000"/>
                <w:sz w:val="18"/>
                <w:szCs w:val="18"/>
                <w:lang w:eastAsia="cs-CZ"/>
              </w:rPr>
            </w:pPr>
            <w:r w:rsidRPr="00CF6060">
              <w:rPr>
                <w:rFonts w:eastAsia="Times New Roman" w:cs="Arial"/>
                <w:color w:val="000000"/>
                <w:sz w:val="18"/>
                <w:szCs w:val="18"/>
                <w:lang w:eastAsia="cs-CZ"/>
              </w:rPr>
              <w:t>13 846 154</w:t>
            </w:r>
          </w:p>
        </w:tc>
        <w:tc>
          <w:tcPr>
            <w:tcW w:w="1417" w:type="dxa"/>
            <w:shd w:val="clear" w:color="auto" w:fill="B9E0F7"/>
            <w:vAlign w:val="center"/>
          </w:tcPr>
          <w:p w14:paraId="243BD956" w14:textId="77777777" w:rsidR="00DC036B" w:rsidRPr="001D0A19" w:rsidRDefault="00DC036B" w:rsidP="009E604A">
            <w:pPr>
              <w:spacing w:after="0" w:line="240" w:lineRule="auto"/>
              <w:jc w:val="right"/>
              <w:rPr>
                <w:rFonts w:eastAsia="Times New Roman" w:cs="Arial"/>
                <w:color w:val="000000"/>
                <w:sz w:val="18"/>
                <w:szCs w:val="18"/>
                <w:lang w:eastAsia="cs-CZ"/>
              </w:rPr>
            </w:pPr>
            <w:r w:rsidRPr="00CF6060">
              <w:rPr>
                <w:rFonts w:eastAsia="Times New Roman" w:cs="Arial"/>
                <w:color w:val="000000"/>
                <w:sz w:val="18"/>
                <w:szCs w:val="18"/>
                <w:lang w:eastAsia="cs-CZ"/>
              </w:rPr>
              <w:t>2 446 154</w:t>
            </w:r>
          </w:p>
        </w:tc>
      </w:tr>
      <w:tr w:rsidR="00DC036B" w:rsidRPr="001D0A19" w14:paraId="130F547A" w14:textId="77777777" w:rsidTr="00DC036B">
        <w:trPr>
          <w:trHeight w:val="86"/>
        </w:trPr>
        <w:tc>
          <w:tcPr>
            <w:tcW w:w="3604" w:type="dxa"/>
            <w:gridSpan w:val="4"/>
            <w:shd w:val="clear" w:color="auto" w:fill="004B8D"/>
            <w:vAlign w:val="center"/>
          </w:tcPr>
          <w:p w14:paraId="49715D70" w14:textId="77777777" w:rsidR="00DC036B" w:rsidRPr="001D0A19" w:rsidRDefault="00DC036B" w:rsidP="009E604A">
            <w:pPr>
              <w:spacing w:after="0" w:line="240" w:lineRule="auto"/>
              <w:rPr>
                <w:rFonts w:eastAsia="Times New Roman" w:cs="Arial"/>
                <w:b/>
                <w:bCs/>
                <w:color w:val="FFFFFF" w:themeColor="background1"/>
                <w:sz w:val="18"/>
                <w:szCs w:val="18"/>
                <w:lang w:eastAsia="cs-CZ"/>
              </w:rPr>
            </w:pPr>
            <w:r w:rsidRPr="001D0A19">
              <w:rPr>
                <w:rFonts w:eastAsia="Times New Roman" w:cs="Arial"/>
                <w:b/>
                <w:bCs/>
                <w:color w:val="FFFFFF" w:themeColor="background1"/>
                <w:sz w:val="18"/>
                <w:szCs w:val="18"/>
                <w:lang w:eastAsia="cs-CZ"/>
              </w:rPr>
              <w:t>SUMA</w:t>
            </w:r>
          </w:p>
        </w:tc>
        <w:tc>
          <w:tcPr>
            <w:tcW w:w="1419" w:type="dxa"/>
            <w:shd w:val="clear" w:color="auto" w:fill="004B8D"/>
            <w:noWrap/>
            <w:vAlign w:val="center"/>
          </w:tcPr>
          <w:p w14:paraId="1D1A6935" w14:textId="730730DE" w:rsidR="00DC036B" w:rsidRPr="005C3C55" w:rsidRDefault="007051C3" w:rsidP="009E604A">
            <w:pPr>
              <w:spacing w:after="0" w:line="240" w:lineRule="auto"/>
              <w:jc w:val="right"/>
              <w:rPr>
                <w:rFonts w:eastAsia="Times New Roman" w:cs="Arial"/>
                <w:b/>
                <w:color w:val="FFFFFF" w:themeColor="background1"/>
                <w:sz w:val="18"/>
                <w:szCs w:val="18"/>
                <w:lang w:eastAsia="cs-CZ"/>
              </w:rPr>
            </w:pPr>
            <w:r w:rsidRPr="007051C3">
              <w:rPr>
                <w:rFonts w:eastAsia="Times New Roman" w:cs="Arial"/>
                <w:b/>
                <w:color w:val="FFFFFF" w:themeColor="background1"/>
                <w:sz w:val="18"/>
                <w:szCs w:val="18"/>
                <w:lang w:eastAsia="cs-CZ"/>
              </w:rPr>
              <w:t>1 427 819 615</w:t>
            </w:r>
          </w:p>
        </w:tc>
        <w:tc>
          <w:tcPr>
            <w:tcW w:w="1134" w:type="dxa"/>
            <w:shd w:val="clear" w:color="auto" w:fill="004B8D"/>
            <w:noWrap/>
            <w:vAlign w:val="center"/>
          </w:tcPr>
          <w:p w14:paraId="1942CFBA" w14:textId="77777777" w:rsidR="00DC036B" w:rsidRPr="005C3C55" w:rsidRDefault="00DC036B" w:rsidP="009E604A">
            <w:pPr>
              <w:spacing w:after="0" w:line="240" w:lineRule="auto"/>
              <w:jc w:val="right"/>
              <w:rPr>
                <w:rFonts w:eastAsia="Times New Roman" w:cs="Arial"/>
                <w:b/>
                <w:color w:val="FFFFFF" w:themeColor="background1"/>
                <w:sz w:val="18"/>
                <w:szCs w:val="18"/>
                <w:lang w:eastAsia="cs-CZ"/>
              </w:rPr>
            </w:pPr>
          </w:p>
        </w:tc>
        <w:tc>
          <w:tcPr>
            <w:tcW w:w="1418" w:type="dxa"/>
            <w:shd w:val="clear" w:color="auto" w:fill="004B8D"/>
            <w:vAlign w:val="center"/>
          </w:tcPr>
          <w:p w14:paraId="3327D243" w14:textId="6BDC6223" w:rsidR="00DC036B" w:rsidRPr="005C3C55" w:rsidRDefault="007051C3" w:rsidP="009E604A">
            <w:pPr>
              <w:spacing w:after="0" w:line="240" w:lineRule="auto"/>
              <w:jc w:val="right"/>
              <w:rPr>
                <w:rFonts w:eastAsia="Times New Roman" w:cs="Arial"/>
                <w:b/>
                <w:color w:val="FFFFFF" w:themeColor="background1"/>
                <w:sz w:val="18"/>
                <w:szCs w:val="18"/>
                <w:lang w:eastAsia="cs-CZ"/>
              </w:rPr>
            </w:pPr>
            <w:r w:rsidRPr="007051C3">
              <w:rPr>
                <w:rFonts w:eastAsia="Times New Roman" w:cs="Arial"/>
                <w:b/>
                <w:color w:val="FFFFFF" w:themeColor="background1"/>
                <w:sz w:val="18"/>
                <w:szCs w:val="18"/>
                <w:lang w:eastAsia="cs-CZ"/>
              </w:rPr>
              <w:t>497 622 307</w:t>
            </w:r>
          </w:p>
        </w:tc>
        <w:tc>
          <w:tcPr>
            <w:tcW w:w="1417" w:type="dxa"/>
            <w:shd w:val="clear" w:color="auto" w:fill="004B8D"/>
            <w:noWrap/>
            <w:vAlign w:val="center"/>
          </w:tcPr>
          <w:p w14:paraId="19BA16F4" w14:textId="393A3B32" w:rsidR="00DC036B" w:rsidRPr="005C3C55" w:rsidRDefault="007051C3" w:rsidP="009E604A">
            <w:pPr>
              <w:spacing w:after="0" w:line="240" w:lineRule="auto"/>
              <w:jc w:val="right"/>
              <w:rPr>
                <w:rFonts w:eastAsia="Times New Roman" w:cs="Arial"/>
                <w:b/>
                <w:color w:val="FFFFFF" w:themeColor="background1"/>
                <w:sz w:val="18"/>
                <w:szCs w:val="18"/>
                <w:lang w:eastAsia="cs-CZ"/>
              </w:rPr>
            </w:pPr>
            <w:r w:rsidRPr="007051C3">
              <w:rPr>
                <w:rFonts w:eastAsia="Times New Roman" w:cs="Arial"/>
                <w:b/>
                <w:color w:val="FFFFFF" w:themeColor="background1"/>
                <w:sz w:val="18"/>
                <w:szCs w:val="18"/>
                <w:lang w:eastAsia="cs-CZ"/>
              </w:rPr>
              <w:t>233 922 886</w:t>
            </w:r>
          </w:p>
        </w:tc>
      </w:tr>
    </w:tbl>
    <w:p w14:paraId="3E123FB6" w14:textId="5D22F6F8" w:rsidR="0048282B" w:rsidRDefault="00856376" w:rsidP="00856376">
      <w:pPr>
        <w:tabs>
          <w:tab w:val="left" w:pos="1728"/>
        </w:tabs>
        <w:spacing w:after="0" w:line="240" w:lineRule="auto"/>
        <w:rPr>
          <w:rFonts w:eastAsia="MS Mincho"/>
          <w:sz w:val="18"/>
          <w:szCs w:val="18"/>
        </w:rPr>
      </w:pPr>
      <w:r w:rsidRPr="00575E3A">
        <w:rPr>
          <w:rFonts w:eastAsia="MS Mincho"/>
          <w:sz w:val="18"/>
          <w:szCs w:val="18"/>
        </w:rPr>
        <w:t xml:space="preserve">Zdroj: </w:t>
      </w:r>
      <w:r w:rsidRPr="00575E3A">
        <w:rPr>
          <w:rFonts w:eastAsia="MS Mincho"/>
          <w:i/>
          <w:sz w:val="18"/>
          <w:szCs w:val="18"/>
        </w:rPr>
        <w:t>MPO na základě veřejně dostupné programové dokumentace</w:t>
      </w:r>
      <w:r w:rsidRPr="00575E3A">
        <w:rPr>
          <w:rFonts w:eastAsia="MS Mincho"/>
          <w:sz w:val="18"/>
          <w:szCs w:val="18"/>
        </w:rPr>
        <w:tab/>
      </w:r>
    </w:p>
    <w:p w14:paraId="21696E60" w14:textId="77777777" w:rsidR="0048282B" w:rsidRPr="0048282B" w:rsidRDefault="0048282B" w:rsidP="0048282B">
      <w:pPr>
        <w:tabs>
          <w:tab w:val="left" w:pos="1728"/>
        </w:tabs>
        <w:spacing w:before="240" w:after="0" w:line="360" w:lineRule="auto"/>
        <w:rPr>
          <w:rFonts w:eastAsia="MS Mincho"/>
        </w:rPr>
      </w:pPr>
    </w:p>
    <w:p w14:paraId="7FCCA5DB" w14:textId="59CD234D" w:rsidR="00FC565C" w:rsidRDefault="00FC565C" w:rsidP="00580DE3">
      <w:pPr>
        <w:pStyle w:val="Titulek"/>
      </w:pPr>
      <w:bookmarkStart w:id="219" w:name="_Toc524677677"/>
      <w:r>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17</w:t>
      </w:r>
      <w:r w:rsidR="00EE7C52">
        <w:rPr>
          <w:noProof/>
        </w:rPr>
        <w:fldChar w:fldCharType="end"/>
      </w:r>
      <w:r>
        <w:t xml:space="preserve"> - Rezortní programy</w:t>
      </w:r>
      <w:r w:rsidRPr="00E4596A">
        <w:t xml:space="preserve"> – maximální objemy prostředků</w:t>
      </w:r>
      <w:r w:rsidRPr="00E4596A">
        <w:rPr>
          <w:rStyle w:val="Znakapoznpodarou"/>
          <w:rFonts w:ascii="Calibri" w:hAnsi="Calibri"/>
          <w:bCs w:val="0"/>
          <w:sz w:val="18"/>
          <w:szCs w:val="18"/>
        </w:rPr>
        <w:footnoteReference w:id="146"/>
      </w:r>
      <w:r w:rsidRPr="00E4596A">
        <w:t xml:space="preserve"> dle příslušných usnesení vlády</w:t>
      </w:r>
      <w:r>
        <w:t xml:space="preserve"> pro jednotlivé programy</w:t>
      </w:r>
      <w:bookmarkEnd w:id="219"/>
    </w:p>
    <w:tbl>
      <w:tblPr>
        <w:tblW w:w="9290" w:type="dxa"/>
        <w:tblInd w:w="-15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4A0" w:firstRow="1" w:lastRow="0" w:firstColumn="1" w:lastColumn="0" w:noHBand="0" w:noVBand="1"/>
      </w:tblPr>
      <w:tblGrid>
        <w:gridCol w:w="2629"/>
        <w:gridCol w:w="708"/>
        <w:gridCol w:w="567"/>
        <w:gridCol w:w="567"/>
        <w:gridCol w:w="1134"/>
        <w:gridCol w:w="1134"/>
        <w:gridCol w:w="1276"/>
        <w:gridCol w:w="1275"/>
      </w:tblGrid>
      <w:tr w:rsidR="002B776D" w:rsidRPr="009A5A09" w14:paraId="30DF2F54" w14:textId="77777777" w:rsidTr="008E7E40">
        <w:trPr>
          <w:trHeight w:val="260"/>
        </w:trPr>
        <w:tc>
          <w:tcPr>
            <w:tcW w:w="2629" w:type="dxa"/>
            <w:vMerge w:val="restart"/>
            <w:shd w:val="clear" w:color="auto" w:fill="004B8D"/>
            <w:vAlign w:val="center"/>
            <w:hideMark/>
          </w:tcPr>
          <w:p w14:paraId="3CC4A6BC"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Národní programy</w:t>
            </w:r>
          </w:p>
          <w:p w14:paraId="5F3D4573"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podpory</w:t>
            </w:r>
          </w:p>
        </w:tc>
        <w:tc>
          <w:tcPr>
            <w:tcW w:w="708" w:type="dxa"/>
            <w:vMerge w:val="restart"/>
            <w:shd w:val="clear" w:color="auto" w:fill="004B8D"/>
            <w:textDirection w:val="btLr"/>
            <w:vAlign w:val="center"/>
          </w:tcPr>
          <w:p w14:paraId="4C9E2DBC" w14:textId="77777777" w:rsidR="002B776D" w:rsidRPr="009A5A09" w:rsidRDefault="002B776D" w:rsidP="00DF71AB">
            <w:pPr>
              <w:spacing w:after="0" w:line="240" w:lineRule="auto"/>
              <w:ind w:left="113" w:right="113"/>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Řídící orgán</w:t>
            </w:r>
          </w:p>
        </w:tc>
        <w:tc>
          <w:tcPr>
            <w:tcW w:w="567" w:type="dxa"/>
            <w:vMerge w:val="restart"/>
            <w:shd w:val="clear" w:color="auto" w:fill="004B8D"/>
            <w:textDirection w:val="btLr"/>
            <w:vAlign w:val="center"/>
            <w:hideMark/>
          </w:tcPr>
          <w:p w14:paraId="6B4D60C8" w14:textId="77777777" w:rsidR="002B776D" w:rsidRPr="009A5A09" w:rsidRDefault="002B776D" w:rsidP="00DF71AB">
            <w:pPr>
              <w:spacing w:after="0" w:line="240" w:lineRule="auto"/>
              <w:ind w:left="113" w:right="113"/>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Rok zahájení</w:t>
            </w:r>
          </w:p>
        </w:tc>
        <w:tc>
          <w:tcPr>
            <w:tcW w:w="567" w:type="dxa"/>
            <w:vMerge w:val="restart"/>
            <w:shd w:val="clear" w:color="auto" w:fill="004B8D"/>
            <w:textDirection w:val="btLr"/>
            <w:vAlign w:val="center"/>
            <w:hideMark/>
          </w:tcPr>
          <w:p w14:paraId="1286D08B" w14:textId="77777777" w:rsidR="002B776D" w:rsidRPr="009A5A09" w:rsidRDefault="002B776D" w:rsidP="00DF71AB">
            <w:pPr>
              <w:spacing w:after="0" w:line="240" w:lineRule="auto"/>
              <w:ind w:left="113" w:right="113"/>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Rok ukončení</w:t>
            </w:r>
          </w:p>
        </w:tc>
        <w:tc>
          <w:tcPr>
            <w:tcW w:w="1134" w:type="dxa"/>
            <w:shd w:val="clear" w:color="auto" w:fill="004B8D"/>
            <w:vAlign w:val="center"/>
            <w:hideMark/>
          </w:tcPr>
          <w:p w14:paraId="58FB2FF3"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Celkový objem přiřazených prostředků</w:t>
            </w:r>
          </w:p>
          <w:p w14:paraId="376B53BF"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(v EUR)</w:t>
            </w:r>
          </w:p>
        </w:tc>
        <w:tc>
          <w:tcPr>
            <w:tcW w:w="1134" w:type="dxa"/>
            <w:shd w:val="clear" w:color="auto" w:fill="004B8D"/>
            <w:vAlign w:val="center"/>
            <w:hideMark/>
          </w:tcPr>
          <w:p w14:paraId="2B789164"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RIS3 relevantní hodnota (rozsah podřízenosti)</w:t>
            </w:r>
          </w:p>
          <w:p w14:paraId="4B6E7C59"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(v %)</w:t>
            </w:r>
          </w:p>
        </w:tc>
        <w:tc>
          <w:tcPr>
            <w:tcW w:w="1276" w:type="dxa"/>
            <w:shd w:val="clear" w:color="auto" w:fill="004B8D"/>
            <w:vAlign w:val="center"/>
            <w:hideMark/>
          </w:tcPr>
          <w:p w14:paraId="68A5460F"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 xml:space="preserve">Objem programu přiřazený RIS3, </w:t>
            </w:r>
            <w:r>
              <w:rPr>
                <w:rFonts w:eastAsia="Times New Roman" w:cs="Times New Roman"/>
                <w:b/>
                <w:bCs/>
                <w:color w:val="FFFFFF" w:themeColor="background1"/>
                <w:sz w:val="18"/>
                <w:szCs w:val="18"/>
                <w:lang w:eastAsia="cs-CZ"/>
              </w:rPr>
              <w:t>veřejné</w:t>
            </w:r>
            <w:r w:rsidRPr="009A5A09">
              <w:rPr>
                <w:rFonts w:eastAsia="Times New Roman" w:cs="Times New Roman"/>
                <w:b/>
                <w:bCs/>
                <w:color w:val="FFFFFF" w:themeColor="background1"/>
                <w:sz w:val="18"/>
                <w:szCs w:val="18"/>
                <w:lang w:eastAsia="cs-CZ"/>
              </w:rPr>
              <w:t xml:space="preserve"> zdroje</w:t>
            </w:r>
            <w:r w:rsidRPr="009A5A09">
              <w:rPr>
                <w:rStyle w:val="Znakapoznpodarou"/>
                <w:rFonts w:eastAsia="Times New Roman" w:cs="Times New Roman"/>
                <w:b/>
                <w:bCs/>
                <w:color w:val="FFFFFF" w:themeColor="background1"/>
                <w:sz w:val="18"/>
                <w:szCs w:val="18"/>
                <w:lang w:eastAsia="cs-CZ"/>
              </w:rPr>
              <w:footnoteReference w:id="147"/>
            </w:r>
          </w:p>
          <w:p w14:paraId="277DA496"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 xml:space="preserve">(v EUR) </w:t>
            </w:r>
          </w:p>
        </w:tc>
        <w:tc>
          <w:tcPr>
            <w:tcW w:w="1275" w:type="dxa"/>
            <w:shd w:val="clear" w:color="auto" w:fill="004B8D"/>
            <w:vAlign w:val="center"/>
            <w:hideMark/>
          </w:tcPr>
          <w:p w14:paraId="1A1FE0FE"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 xml:space="preserve">Objem programu přiřazený RIS3, </w:t>
            </w:r>
            <w:r>
              <w:rPr>
                <w:rFonts w:eastAsia="Times New Roman" w:cs="Times New Roman"/>
                <w:b/>
                <w:bCs/>
                <w:color w:val="FFFFFF" w:themeColor="background1"/>
                <w:sz w:val="18"/>
                <w:szCs w:val="18"/>
                <w:lang w:eastAsia="cs-CZ"/>
              </w:rPr>
              <w:t>neveřejné</w:t>
            </w:r>
            <w:r w:rsidRPr="009A5A09">
              <w:rPr>
                <w:rFonts w:eastAsia="Times New Roman" w:cs="Times New Roman"/>
                <w:b/>
                <w:bCs/>
                <w:color w:val="FFFFFF" w:themeColor="background1"/>
                <w:sz w:val="18"/>
                <w:szCs w:val="18"/>
                <w:lang w:eastAsia="cs-CZ"/>
              </w:rPr>
              <w:t xml:space="preserve"> zdroje</w:t>
            </w:r>
          </w:p>
          <w:p w14:paraId="54072339"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r w:rsidRPr="009A5A09">
              <w:rPr>
                <w:rFonts w:eastAsia="Times New Roman" w:cs="Times New Roman"/>
                <w:b/>
                <w:bCs/>
                <w:color w:val="FFFFFF" w:themeColor="background1"/>
                <w:sz w:val="18"/>
                <w:szCs w:val="18"/>
                <w:lang w:eastAsia="cs-CZ"/>
              </w:rPr>
              <w:t>(v EUR)</w:t>
            </w:r>
          </w:p>
        </w:tc>
      </w:tr>
      <w:tr w:rsidR="002B776D" w:rsidRPr="009A5A09" w14:paraId="76B35BC9" w14:textId="77777777" w:rsidTr="008E7E40">
        <w:trPr>
          <w:trHeight w:val="86"/>
        </w:trPr>
        <w:tc>
          <w:tcPr>
            <w:tcW w:w="2629" w:type="dxa"/>
            <w:vMerge/>
            <w:shd w:val="clear" w:color="auto" w:fill="004B8D"/>
            <w:vAlign w:val="center"/>
            <w:hideMark/>
          </w:tcPr>
          <w:p w14:paraId="7D277963"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p>
        </w:tc>
        <w:tc>
          <w:tcPr>
            <w:tcW w:w="708" w:type="dxa"/>
            <w:vMerge/>
            <w:shd w:val="clear" w:color="auto" w:fill="004B8D"/>
          </w:tcPr>
          <w:p w14:paraId="6E68BCEE"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p>
        </w:tc>
        <w:tc>
          <w:tcPr>
            <w:tcW w:w="567" w:type="dxa"/>
            <w:vMerge/>
            <w:shd w:val="clear" w:color="auto" w:fill="004B8D"/>
            <w:vAlign w:val="center"/>
            <w:hideMark/>
          </w:tcPr>
          <w:p w14:paraId="4324DAF1"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p>
        </w:tc>
        <w:tc>
          <w:tcPr>
            <w:tcW w:w="567" w:type="dxa"/>
            <w:vMerge/>
            <w:shd w:val="clear" w:color="auto" w:fill="004B8D"/>
            <w:vAlign w:val="center"/>
            <w:hideMark/>
          </w:tcPr>
          <w:p w14:paraId="77F0195A" w14:textId="77777777" w:rsidR="002B776D" w:rsidRPr="009A5A09" w:rsidRDefault="002B776D" w:rsidP="00DF71AB">
            <w:pPr>
              <w:spacing w:after="0" w:line="240" w:lineRule="auto"/>
              <w:rPr>
                <w:rFonts w:eastAsia="Times New Roman" w:cs="Times New Roman"/>
                <w:b/>
                <w:bCs/>
                <w:color w:val="FFFFFF" w:themeColor="background1"/>
                <w:sz w:val="18"/>
                <w:szCs w:val="18"/>
                <w:lang w:eastAsia="cs-CZ"/>
              </w:rPr>
            </w:pPr>
          </w:p>
        </w:tc>
        <w:tc>
          <w:tcPr>
            <w:tcW w:w="4819" w:type="dxa"/>
            <w:gridSpan w:val="4"/>
            <w:shd w:val="clear" w:color="auto" w:fill="004B8D"/>
            <w:noWrap/>
            <w:vAlign w:val="bottom"/>
            <w:hideMark/>
          </w:tcPr>
          <w:p w14:paraId="51098EAD" w14:textId="77777777" w:rsidR="002B776D" w:rsidRPr="009A5A09" w:rsidRDefault="002B776D" w:rsidP="00DF71AB">
            <w:pPr>
              <w:spacing w:after="0" w:line="240" w:lineRule="auto"/>
              <w:jc w:val="center"/>
              <w:rPr>
                <w:rFonts w:eastAsia="Times New Roman" w:cs="Times New Roman"/>
                <w:b/>
                <w:bCs/>
                <w:color w:val="FFFFFF" w:themeColor="background1"/>
                <w:sz w:val="18"/>
                <w:szCs w:val="18"/>
                <w:lang w:eastAsia="cs-CZ"/>
              </w:rPr>
            </w:pPr>
            <w:r>
              <w:rPr>
                <w:rFonts w:eastAsia="Times New Roman" w:cs="Times New Roman"/>
                <w:b/>
                <w:bCs/>
                <w:color w:val="FFFFFF" w:themeColor="background1"/>
                <w:sz w:val="18"/>
                <w:szCs w:val="18"/>
                <w:lang w:eastAsia="cs-CZ"/>
              </w:rPr>
              <w:t xml:space="preserve">Období: </w:t>
            </w:r>
            <w:r w:rsidRPr="009A5A09">
              <w:rPr>
                <w:rFonts w:eastAsia="Times New Roman" w:cs="Times New Roman"/>
                <w:b/>
                <w:bCs/>
                <w:color w:val="FFFFFF" w:themeColor="background1"/>
                <w:sz w:val="18"/>
                <w:szCs w:val="18"/>
                <w:lang w:eastAsia="cs-CZ"/>
              </w:rPr>
              <w:t>2016 – 2020+</w:t>
            </w:r>
          </w:p>
        </w:tc>
      </w:tr>
      <w:tr w:rsidR="002B776D" w:rsidRPr="009A5A09" w14:paraId="3A1CDAC1" w14:textId="77777777" w:rsidTr="008E7E40">
        <w:trPr>
          <w:trHeight w:val="81"/>
        </w:trPr>
        <w:tc>
          <w:tcPr>
            <w:tcW w:w="2629" w:type="dxa"/>
            <w:shd w:val="clear" w:color="auto" w:fill="B9E0F7"/>
            <w:noWrap/>
            <w:vAlign w:val="center"/>
          </w:tcPr>
          <w:p w14:paraId="59D51F29"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Program aplikovaného výzkumu a experimentálního vývoje -TRIO</w:t>
            </w:r>
          </w:p>
        </w:tc>
        <w:tc>
          <w:tcPr>
            <w:tcW w:w="708" w:type="dxa"/>
            <w:shd w:val="clear" w:color="auto" w:fill="B9E0F7"/>
            <w:vAlign w:val="center"/>
          </w:tcPr>
          <w:p w14:paraId="60194C86"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MPO</w:t>
            </w:r>
          </w:p>
        </w:tc>
        <w:tc>
          <w:tcPr>
            <w:tcW w:w="567" w:type="dxa"/>
            <w:shd w:val="clear" w:color="auto" w:fill="B9E0F7"/>
            <w:noWrap/>
            <w:vAlign w:val="center"/>
          </w:tcPr>
          <w:p w14:paraId="45998859"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2016</w:t>
            </w:r>
          </w:p>
        </w:tc>
        <w:tc>
          <w:tcPr>
            <w:tcW w:w="567" w:type="dxa"/>
            <w:shd w:val="clear" w:color="auto" w:fill="B9E0F7"/>
            <w:noWrap/>
            <w:vAlign w:val="center"/>
          </w:tcPr>
          <w:p w14:paraId="2E1085BD"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202</w:t>
            </w:r>
            <w:r>
              <w:rPr>
                <w:rFonts w:eastAsia="Times New Roman" w:cs="Arial"/>
                <w:color w:val="000000"/>
                <w:sz w:val="18"/>
                <w:szCs w:val="18"/>
                <w:lang w:eastAsia="cs-CZ"/>
              </w:rPr>
              <w:t>2</w:t>
            </w:r>
          </w:p>
        </w:tc>
        <w:tc>
          <w:tcPr>
            <w:tcW w:w="1134" w:type="dxa"/>
            <w:shd w:val="clear" w:color="auto" w:fill="B9E0F7"/>
            <w:vAlign w:val="center"/>
          </w:tcPr>
          <w:p w14:paraId="4AE78178" w14:textId="77777777" w:rsidR="002B776D" w:rsidRPr="009A5A09" w:rsidRDefault="002B776D" w:rsidP="00DF71AB">
            <w:pPr>
              <w:spacing w:after="0" w:line="240" w:lineRule="auto"/>
              <w:jc w:val="right"/>
              <w:rPr>
                <w:rFonts w:eastAsia="Times New Roman" w:cs="Arial"/>
                <w:color w:val="000000"/>
                <w:sz w:val="18"/>
                <w:szCs w:val="18"/>
                <w:lang w:eastAsia="cs-CZ"/>
              </w:rPr>
            </w:pPr>
            <w:r w:rsidRPr="00D26DD6">
              <w:rPr>
                <w:rFonts w:eastAsia="Times New Roman" w:cs="Arial"/>
                <w:color w:val="000000"/>
                <w:sz w:val="18"/>
                <w:szCs w:val="18"/>
                <w:lang w:eastAsia="cs-CZ"/>
              </w:rPr>
              <w:t>344 230 769</w:t>
            </w:r>
          </w:p>
        </w:tc>
        <w:tc>
          <w:tcPr>
            <w:tcW w:w="1134" w:type="dxa"/>
            <w:shd w:val="clear" w:color="auto" w:fill="B9E0F7"/>
            <w:vAlign w:val="center"/>
          </w:tcPr>
          <w:p w14:paraId="2E5EC252" w14:textId="77777777" w:rsidR="002B776D" w:rsidRPr="009A5A09" w:rsidRDefault="002B776D" w:rsidP="00DF71AB">
            <w:pPr>
              <w:spacing w:after="0" w:line="240" w:lineRule="auto"/>
              <w:jc w:val="center"/>
              <w:rPr>
                <w:rFonts w:eastAsia="Times New Roman" w:cs="Arial"/>
                <w:color w:val="000000"/>
                <w:sz w:val="18"/>
                <w:szCs w:val="18"/>
                <w:lang w:eastAsia="cs-CZ"/>
              </w:rPr>
            </w:pPr>
            <w:r w:rsidRPr="009A5A09">
              <w:rPr>
                <w:rFonts w:eastAsia="Times New Roman" w:cs="Arial"/>
                <w:color w:val="000000"/>
                <w:sz w:val="18"/>
                <w:szCs w:val="18"/>
                <w:lang w:eastAsia="cs-CZ"/>
              </w:rPr>
              <w:t>80%</w:t>
            </w:r>
          </w:p>
        </w:tc>
        <w:tc>
          <w:tcPr>
            <w:tcW w:w="1276" w:type="dxa"/>
            <w:shd w:val="clear" w:color="auto" w:fill="B9E0F7"/>
            <w:vAlign w:val="center"/>
          </w:tcPr>
          <w:p w14:paraId="04518295" w14:textId="77777777" w:rsidR="002B776D" w:rsidRPr="009A5A09" w:rsidRDefault="002B776D" w:rsidP="00DF71AB">
            <w:pPr>
              <w:spacing w:after="0" w:line="240" w:lineRule="auto"/>
              <w:jc w:val="right"/>
              <w:rPr>
                <w:rFonts w:eastAsia="Times New Roman" w:cs="Arial"/>
                <w:color w:val="000000"/>
                <w:sz w:val="18"/>
                <w:szCs w:val="18"/>
                <w:lang w:eastAsia="cs-CZ"/>
              </w:rPr>
            </w:pPr>
            <w:r w:rsidRPr="00D26DD6">
              <w:rPr>
                <w:rFonts w:eastAsia="Times New Roman" w:cs="Arial"/>
                <w:color w:val="000000"/>
                <w:sz w:val="18"/>
                <w:szCs w:val="18"/>
                <w:lang w:eastAsia="cs-CZ"/>
              </w:rPr>
              <w:t>187 261 538</w:t>
            </w:r>
          </w:p>
        </w:tc>
        <w:tc>
          <w:tcPr>
            <w:tcW w:w="1275" w:type="dxa"/>
            <w:shd w:val="clear" w:color="auto" w:fill="B9E0F7"/>
            <w:vAlign w:val="center"/>
          </w:tcPr>
          <w:p w14:paraId="460B49D9" w14:textId="77777777" w:rsidR="002B776D" w:rsidRPr="009A5A09" w:rsidRDefault="002B776D" w:rsidP="00DF71AB">
            <w:pPr>
              <w:spacing w:after="0" w:line="240" w:lineRule="auto"/>
              <w:jc w:val="right"/>
              <w:rPr>
                <w:rFonts w:eastAsia="Times New Roman" w:cs="Arial"/>
                <w:color w:val="000000"/>
                <w:sz w:val="18"/>
                <w:szCs w:val="18"/>
                <w:lang w:eastAsia="cs-CZ"/>
              </w:rPr>
            </w:pPr>
            <w:r w:rsidRPr="00D26DD6">
              <w:rPr>
                <w:rFonts w:eastAsia="Times New Roman" w:cs="Arial"/>
                <w:color w:val="000000"/>
                <w:sz w:val="18"/>
                <w:szCs w:val="18"/>
                <w:lang w:eastAsia="cs-CZ"/>
              </w:rPr>
              <w:t>88 123 077</w:t>
            </w:r>
          </w:p>
        </w:tc>
      </w:tr>
      <w:tr w:rsidR="002B776D" w:rsidRPr="009A5A09" w14:paraId="79D96D39" w14:textId="77777777" w:rsidTr="008E7E40">
        <w:trPr>
          <w:trHeight w:val="81"/>
        </w:trPr>
        <w:tc>
          <w:tcPr>
            <w:tcW w:w="2629" w:type="dxa"/>
            <w:shd w:val="clear" w:color="auto" w:fill="B9E0F7"/>
            <w:noWrap/>
            <w:vAlign w:val="center"/>
          </w:tcPr>
          <w:p w14:paraId="0000FE8D"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Program bezpečnostního výzkumu České republiky</w:t>
            </w:r>
            <w:r>
              <w:rPr>
                <w:rFonts w:eastAsia="Times New Roman" w:cs="Arial"/>
                <w:color w:val="000000"/>
                <w:sz w:val="18"/>
                <w:szCs w:val="18"/>
                <w:lang w:eastAsia="cs-CZ"/>
              </w:rPr>
              <w:t xml:space="preserve"> v letech</w:t>
            </w:r>
            <w:r w:rsidRPr="009A5A09">
              <w:rPr>
                <w:rFonts w:eastAsia="Times New Roman" w:cs="Arial"/>
                <w:color w:val="000000"/>
                <w:sz w:val="18"/>
                <w:szCs w:val="18"/>
                <w:lang w:eastAsia="cs-CZ"/>
              </w:rPr>
              <w:t xml:space="preserve"> </w:t>
            </w:r>
          </w:p>
          <w:p w14:paraId="413211EF"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2015 – 202</w:t>
            </w:r>
            <w:r>
              <w:rPr>
                <w:rFonts w:eastAsia="Times New Roman" w:cs="Arial"/>
                <w:color w:val="000000"/>
                <w:sz w:val="18"/>
                <w:szCs w:val="18"/>
                <w:lang w:eastAsia="cs-CZ"/>
              </w:rPr>
              <w:t>2</w:t>
            </w:r>
          </w:p>
        </w:tc>
        <w:tc>
          <w:tcPr>
            <w:tcW w:w="708" w:type="dxa"/>
            <w:shd w:val="clear" w:color="auto" w:fill="B9E0F7"/>
            <w:vAlign w:val="center"/>
          </w:tcPr>
          <w:p w14:paraId="38E6C5D5"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MVČR</w:t>
            </w:r>
          </w:p>
        </w:tc>
        <w:tc>
          <w:tcPr>
            <w:tcW w:w="567" w:type="dxa"/>
            <w:shd w:val="clear" w:color="auto" w:fill="B9E0F7"/>
            <w:noWrap/>
            <w:vAlign w:val="center"/>
          </w:tcPr>
          <w:p w14:paraId="08405313" w14:textId="77777777" w:rsidR="002B776D" w:rsidRPr="009A5A09" w:rsidRDefault="002B776D" w:rsidP="00DF71AB">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2015</w:t>
            </w:r>
          </w:p>
        </w:tc>
        <w:tc>
          <w:tcPr>
            <w:tcW w:w="567" w:type="dxa"/>
            <w:shd w:val="clear" w:color="auto" w:fill="B9E0F7"/>
            <w:noWrap/>
            <w:vAlign w:val="center"/>
          </w:tcPr>
          <w:p w14:paraId="26BFB973" w14:textId="77777777" w:rsidR="002B776D" w:rsidRPr="009A5A09" w:rsidRDefault="002B776D" w:rsidP="00DF71AB">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2022</w:t>
            </w:r>
          </w:p>
        </w:tc>
        <w:tc>
          <w:tcPr>
            <w:tcW w:w="1134" w:type="dxa"/>
            <w:shd w:val="clear" w:color="auto" w:fill="B9E0F7"/>
            <w:vAlign w:val="center"/>
          </w:tcPr>
          <w:p w14:paraId="243A3770" w14:textId="77777777" w:rsidR="002B776D" w:rsidRPr="009A5A09" w:rsidRDefault="002B776D" w:rsidP="00DF71AB">
            <w:pPr>
              <w:spacing w:after="0" w:line="240" w:lineRule="auto"/>
              <w:jc w:val="right"/>
              <w:rPr>
                <w:rFonts w:eastAsia="Times New Roman" w:cs="Arial"/>
                <w:color w:val="000000"/>
                <w:sz w:val="18"/>
                <w:szCs w:val="18"/>
                <w:lang w:eastAsia="cs-CZ"/>
              </w:rPr>
            </w:pPr>
            <w:r w:rsidRPr="009C7CCA">
              <w:rPr>
                <w:rFonts w:eastAsia="Times New Roman" w:cs="Arial"/>
                <w:color w:val="000000"/>
                <w:sz w:val="18"/>
                <w:szCs w:val="18"/>
                <w:lang w:eastAsia="cs-CZ"/>
              </w:rPr>
              <w:t>111 000 000</w:t>
            </w:r>
          </w:p>
        </w:tc>
        <w:tc>
          <w:tcPr>
            <w:tcW w:w="1134" w:type="dxa"/>
            <w:shd w:val="clear" w:color="auto" w:fill="B9E0F7"/>
            <w:vAlign w:val="center"/>
          </w:tcPr>
          <w:p w14:paraId="686D822D" w14:textId="77777777" w:rsidR="002B776D" w:rsidRPr="009A5A09" w:rsidRDefault="002B776D" w:rsidP="00DF71AB">
            <w:pPr>
              <w:spacing w:after="0" w:line="240" w:lineRule="auto"/>
              <w:jc w:val="center"/>
              <w:rPr>
                <w:rFonts w:eastAsia="Times New Roman" w:cs="Arial"/>
                <w:color w:val="000000"/>
                <w:sz w:val="18"/>
                <w:szCs w:val="18"/>
                <w:lang w:eastAsia="cs-CZ"/>
              </w:rPr>
            </w:pPr>
            <w:r>
              <w:rPr>
                <w:rFonts w:eastAsia="Times New Roman" w:cs="Arial"/>
                <w:color w:val="000000"/>
                <w:sz w:val="18"/>
                <w:szCs w:val="18"/>
                <w:lang w:eastAsia="cs-CZ"/>
              </w:rPr>
              <w:t>100%</w:t>
            </w:r>
          </w:p>
        </w:tc>
        <w:tc>
          <w:tcPr>
            <w:tcW w:w="1276" w:type="dxa"/>
            <w:shd w:val="clear" w:color="auto" w:fill="B9E0F7"/>
            <w:vAlign w:val="center"/>
          </w:tcPr>
          <w:p w14:paraId="4C27E4EB" w14:textId="77777777" w:rsidR="002B776D" w:rsidRPr="009A5A09" w:rsidRDefault="002B776D" w:rsidP="00DF71AB">
            <w:pPr>
              <w:spacing w:after="0" w:line="240" w:lineRule="auto"/>
              <w:jc w:val="right"/>
              <w:rPr>
                <w:rFonts w:eastAsia="Times New Roman" w:cs="Arial"/>
                <w:color w:val="000000"/>
                <w:sz w:val="18"/>
                <w:szCs w:val="18"/>
                <w:lang w:eastAsia="cs-CZ"/>
              </w:rPr>
            </w:pPr>
            <w:r w:rsidRPr="008E224E">
              <w:rPr>
                <w:rFonts w:eastAsia="Times New Roman" w:cs="Arial"/>
                <w:color w:val="000000"/>
                <w:sz w:val="18"/>
                <w:szCs w:val="18"/>
                <w:lang w:eastAsia="cs-CZ"/>
              </w:rPr>
              <w:t>100 000 000</w:t>
            </w:r>
          </w:p>
        </w:tc>
        <w:tc>
          <w:tcPr>
            <w:tcW w:w="1275" w:type="dxa"/>
            <w:shd w:val="clear" w:color="auto" w:fill="B9E0F7"/>
            <w:vAlign w:val="center"/>
          </w:tcPr>
          <w:p w14:paraId="3185ECC7" w14:textId="77777777" w:rsidR="002B776D" w:rsidRPr="009A5A09" w:rsidRDefault="002B776D" w:rsidP="00DF71AB">
            <w:pPr>
              <w:spacing w:after="0" w:line="240" w:lineRule="auto"/>
              <w:jc w:val="right"/>
              <w:rPr>
                <w:rFonts w:eastAsia="Times New Roman" w:cs="Arial"/>
                <w:color w:val="000000"/>
                <w:sz w:val="18"/>
                <w:szCs w:val="18"/>
                <w:lang w:eastAsia="cs-CZ"/>
              </w:rPr>
            </w:pPr>
            <w:r w:rsidRPr="008E224E">
              <w:rPr>
                <w:rFonts w:eastAsia="Times New Roman" w:cs="Arial"/>
                <w:color w:val="000000"/>
                <w:sz w:val="18"/>
                <w:szCs w:val="18"/>
                <w:lang w:eastAsia="cs-CZ"/>
              </w:rPr>
              <w:t>11 000 000</w:t>
            </w:r>
          </w:p>
        </w:tc>
      </w:tr>
      <w:tr w:rsidR="002B776D" w:rsidRPr="009A5A09" w14:paraId="7486C6BD" w14:textId="77777777" w:rsidTr="008E7E40">
        <w:trPr>
          <w:trHeight w:val="81"/>
        </w:trPr>
        <w:tc>
          <w:tcPr>
            <w:tcW w:w="2629" w:type="dxa"/>
            <w:shd w:val="clear" w:color="auto" w:fill="B9E0F7"/>
            <w:noWrap/>
            <w:vAlign w:val="center"/>
          </w:tcPr>
          <w:p w14:paraId="2540293B" w14:textId="77777777" w:rsidR="002B776D" w:rsidRPr="0041546F" w:rsidRDefault="002B776D" w:rsidP="00DF71AB">
            <w:pPr>
              <w:spacing w:after="0" w:line="240" w:lineRule="auto"/>
              <w:rPr>
                <w:rFonts w:eastAsia="Times New Roman" w:cs="Arial"/>
                <w:color w:val="000000"/>
                <w:sz w:val="18"/>
                <w:szCs w:val="18"/>
                <w:lang w:eastAsia="cs-CZ"/>
              </w:rPr>
            </w:pPr>
            <w:r w:rsidRPr="0041546F">
              <w:rPr>
                <w:rFonts w:eastAsia="Times New Roman" w:cs="Arial"/>
                <w:color w:val="000000"/>
                <w:sz w:val="18"/>
                <w:szCs w:val="18"/>
                <w:lang w:eastAsia="cs-CZ"/>
              </w:rPr>
              <w:t>Program</w:t>
            </w:r>
            <w:r>
              <w:rPr>
                <w:rFonts w:eastAsia="Times New Roman" w:cs="Arial"/>
                <w:color w:val="000000"/>
                <w:sz w:val="18"/>
                <w:szCs w:val="18"/>
                <w:lang w:eastAsia="cs-CZ"/>
              </w:rPr>
              <w:t xml:space="preserve"> </w:t>
            </w:r>
            <w:r w:rsidRPr="0041546F">
              <w:rPr>
                <w:rFonts w:eastAsia="Times New Roman" w:cs="Arial"/>
                <w:color w:val="000000"/>
                <w:sz w:val="18"/>
                <w:szCs w:val="18"/>
                <w:lang w:eastAsia="cs-CZ"/>
              </w:rPr>
              <w:t>bezpečnostního</w:t>
            </w:r>
            <w:r>
              <w:rPr>
                <w:rFonts w:eastAsia="Times New Roman" w:cs="Arial"/>
                <w:color w:val="000000"/>
                <w:sz w:val="18"/>
                <w:szCs w:val="18"/>
                <w:lang w:eastAsia="cs-CZ"/>
              </w:rPr>
              <w:t xml:space="preserve"> </w:t>
            </w:r>
            <w:r w:rsidRPr="0041546F">
              <w:rPr>
                <w:rFonts w:eastAsia="Times New Roman" w:cs="Arial"/>
                <w:color w:val="000000"/>
                <w:sz w:val="18"/>
                <w:szCs w:val="18"/>
                <w:lang w:eastAsia="cs-CZ"/>
              </w:rPr>
              <w:t>výzkumu pro potřeby státu</w:t>
            </w:r>
            <w:r>
              <w:rPr>
                <w:rFonts w:eastAsia="Times New Roman" w:cs="Arial"/>
                <w:color w:val="000000"/>
                <w:sz w:val="18"/>
                <w:szCs w:val="18"/>
                <w:lang w:eastAsia="cs-CZ"/>
              </w:rPr>
              <w:t xml:space="preserve"> </w:t>
            </w:r>
          </w:p>
          <w:p w14:paraId="297A8A49" w14:textId="77777777" w:rsidR="002B776D" w:rsidRPr="009A5A09" w:rsidRDefault="002B776D" w:rsidP="00DF71AB">
            <w:pPr>
              <w:spacing w:after="0" w:line="240" w:lineRule="auto"/>
              <w:rPr>
                <w:rFonts w:eastAsia="Times New Roman" w:cs="Arial"/>
                <w:color w:val="000000"/>
                <w:sz w:val="18"/>
                <w:szCs w:val="18"/>
                <w:lang w:eastAsia="cs-CZ"/>
              </w:rPr>
            </w:pPr>
            <w:r w:rsidRPr="0041546F">
              <w:rPr>
                <w:rFonts w:eastAsia="Times New Roman" w:cs="Arial"/>
                <w:color w:val="000000"/>
                <w:sz w:val="18"/>
                <w:szCs w:val="18"/>
                <w:lang w:eastAsia="cs-CZ"/>
              </w:rPr>
              <w:t>2016 – 2021</w:t>
            </w:r>
          </w:p>
        </w:tc>
        <w:tc>
          <w:tcPr>
            <w:tcW w:w="708" w:type="dxa"/>
            <w:shd w:val="clear" w:color="auto" w:fill="B9E0F7"/>
            <w:vAlign w:val="center"/>
          </w:tcPr>
          <w:p w14:paraId="5D17E1CB" w14:textId="77777777" w:rsidR="002B776D" w:rsidRPr="009A5A09" w:rsidRDefault="002B776D" w:rsidP="00DF71AB">
            <w:pPr>
              <w:spacing w:after="0" w:line="240" w:lineRule="auto"/>
              <w:rPr>
                <w:rFonts w:eastAsia="Times New Roman" w:cs="Arial"/>
                <w:color w:val="000000"/>
                <w:sz w:val="18"/>
                <w:szCs w:val="18"/>
                <w:lang w:eastAsia="cs-CZ"/>
              </w:rPr>
            </w:pPr>
            <w:r w:rsidRPr="00A66067">
              <w:rPr>
                <w:rFonts w:eastAsia="Times New Roman" w:cs="Arial"/>
                <w:color w:val="000000"/>
                <w:sz w:val="18"/>
                <w:szCs w:val="18"/>
                <w:lang w:eastAsia="cs-CZ"/>
              </w:rPr>
              <w:t>MVČR</w:t>
            </w:r>
          </w:p>
        </w:tc>
        <w:tc>
          <w:tcPr>
            <w:tcW w:w="567" w:type="dxa"/>
            <w:shd w:val="clear" w:color="auto" w:fill="B9E0F7"/>
            <w:noWrap/>
            <w:vAlign w:val="center"/>
          </w:tcPr>
          <w:p w14:paraId="783E0953"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2016</w:t>
            </w:r>
          </w:p>
        </w:tc>
        <w:tc>
          <w:tcPr>
            <w:tcW w:w="567" w:type="dxa"/>
            <w:shd w:val="clear" w:color="auto" w:fill="B9E0F7"/>
            <w:noWrap/>
            <w:vAlign w:val="center"/>
          </w:tcPr>
          <w:p w14:paraId="7EF8BA85"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202</w:t>
            </w:r>
            <w:r>
              <w:rPr>
                <w:rFonts w:eastAsia="Times New Roman" w:cs="Arial"/>
                <w:color w:val="000000"/>
                <w:sz w:val="18"/>
                <w:szCs w:val="18"/>
                <w:lang w:eastAsia="cs-CZ"/>
              </w:rPr>
              <w:t>1</w:t>
            </w:r>
          </w:p>
        </w:tc>
        <w:tc>
          <w:tcPr>
            <w:tcW w:w="1134" w:type="dxa"/>
            <w:shd w:val="clear" w:color="auto" w:fill="B9E0F7"/>
            <w:vAlign w:val="center"/>
          </w:tcPr>
          <w:p w14:paraId="27188CCF" w14:textId="77777777" w:rsidR="002B776D" w:rsidRPr="00E94ED2" w:rsidRDefault="002B776D" w:rsidP="00DF71AB">
            <w:pPr>
              <w:spacing w:after="0" w:line="240" w:lineRule="auto"/>
              <w:jc w:val="right"/>
              <w:rPr>
                <w:rFonts w:eastAsia="Times New Roman" w:cs="Arial"/>
                <w:color w:val="000000"/>
                <w:sz w:val="18"/>
                <w:szCs w:val="18"/>
                <w:lang w:eastAsia="cs-CZ"/>
              </w:rPr>
            </w:pPr>
            <w:r w:rsidRPr="00A66067">
              <w:rPr>
                <w:rFonts w:eastAsia="Times New Roman" w:cs="Arial"/>
                <w:color w:val="000000"/>
                <w:sz w:val="18"/>
                <w:szCs w:val="18"/>
                <w:lang w:eastAsia="cs-CZ"/>
              </w:rPr>
              <w:t>30 769 231</w:t>
            </w:r>
          </w:p>
        </w:tc>
        <w:tc>
          <w:tcPr>
            <w:tcW w:w="1134" w:type="dxa"/>
            <w:shd w:val="clear" w:color="auto" w:fill="B9E0F7"/>
            <w:vAlign w:val="center"/>
          </w:tcPr>
          <w:p w14:paraId="73DEAADA" w14:textId="77777777" w:rsidR="002B776D" w:rsidRDefault="002B776D" w:rsidP="00DF71AB">
            <w:pPr>
              <w:spacing w:after="0" w:line="240" w:lineRule="auto"/>
              <w:jc w:val="center"/>
              <w:rPr>
                <w:rFonts w:eastAsia="Times New Roman" w:cs="Arial"/>
                <w:color w:val="000000"/>
                <w:sz w:val="18"/>
                <w:szCs w:val="18"/>
                <w:lang w:eastAsia="cs-CZ"/>
              </w:rPr>
            </w:pPr>
            <w:r w:rsidRPr="00A66067">
              <w:rPr>
                <w:rFonts w:eastAsia="Times New Roman" w:cs="Arial"/>
                <w:color w:val="000000"/>
                <w:sz w:val="18"/>
                <w:szCs w:val="18"/>
                <w:lang w:eastAsia="cs-CZ"/>
              </w:rPr>
              <w:t>100%</w:t>
            </w:r>
          </w:p>
        </w:tc>
        <w:tc>
          <w:tcPr>
            <w:tcW w:w="1276" w:type="dxa"/>
            <w:shd w:val="clear" w:color="auto" w:fill="B9E0F7"/>
            <w:vAlign w:val="center"/>
          </w:tcPr>
          <w:p w14:paraId="404D5C3D" w14:textId="77777777" w:rsidR="002B776D" w:rsidRPr="00E94ED2" w:rsidRDefault="002B776D" w:rsidP="00DF71AB">
            <w:pPr>
              <w:spacing w:after="0" w:line="240" w:lineRule="auto"/>
              <w:jc w:val="right"/>
              <w:rPr>
                <w:rFonts w:eastAsia="Times New Roman" w:cs="Arial"/>
                <w:color w:val="000000"/>
                <w:sz w:val="18"/>
                <w:szCs w:val="18"/>
                <w:lang w:eastAsia="cs-CZ"/>
              </w:rPr>
            </w:pPr>
            <w:r w:rsidRPr="00A66067">
              <w:rPr>
                <w:rFonts w:eastAsia="Times New Roman" w:cs="Arial"/>
                <w:color w:val="000000"/>
                <w:sz w:val="18"/>
                <w:szCs w:val="18"/>
                <w:lang w:eastAsia="cs-CZ"/>
              </w:rPr>
              <w:t>30 769 231</w:t>
            </w:r>
          </w:p>
        </w:tc>
        <w:tc>
          <w:tcPr>
            <w:tcW w:w="1275" w:type="dxa"/>
            <w:shd w:val="clear" w:color="auto" w:fill="B9E0F7"/>
            <w:vAlign w:val="center"/>
          </w:tcPr>
          <w:p w14:paraId="72D8717D" w14:textId="77777777" w:rsidR="002B776D" w:rsidRPr="00E94ED2" w:rsidRDefault="002B776D" w:rsidP="00DF71AB">
            <w:pPr>
              <w:spacing w:after="0" w:line="240" w:lineRule="auto"/>
              <w:jc w:val="right"/>
              <w:rPr>
                <w:rFonts w:eastAsia="Times New Roman" w:cs="Arial"/>
                <w:color w:val="000000"/>
                <w:sz w:val="18"/>
                <w:szCs w:val="18"/>
                <w:lang w:eastAsia="cs-CZ"/>
              </w:rPr>
            </w:pPr>
            <w:r>
              <w:rPr>
                <w:rFonts w:eastAsia="Times New Roman" w:cs="Arial"/>
                <w:color w:val="000000"/>
                <w:sz w:val="18"/>
                <w:szCs w:val="18"/>
                <w:lang w:eastAsia="cs-CZ"/>
              </w:rPr>
              <w:t>0</w:t>
            </w:r>
          </w:p>
        </w:tc>
      </w:tr>
      <w:tr w:rsidR="002B776D" w:rsidRPr="009A5A09" w14:paraId="35F77EA4" w14:textId="77777777" w:rsidTr="008E7E40">
        <w:trPr>
          <w:trHeight w:val="81"/>
        </w:trPr>
        <w:tc>
          <w:tcPr>
            <w:tcW w:w="2629" w:type="dxa"/>
            <w:shd w:val="clear" w:color="auto" w:fill="B9E0F7"/>
            <w:noWrap/>
            <w:vAlign w:val="center"/>
          </w:tcPr>
          <w:p w14:paraId="71832416"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 xml:space="preserve">Program na podporu zdravotnického aplikovaného výzkumu a vývoje na léta </w:t>
            </w:r>
          </w:p>
          <w:p w14:paraId="4F0C61B1"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2015-2022</w:t>
            </w:r>
          </w:p>
        </w:tc>
        <w:tc>
          <w:tcPr>
            <w:tcW w:w="708" w:type="dxa"/>
            <w:shd w:val="clear" w:color="auto" w:fill="B9E0F7"/>
            <w:vAlign w:val="center"/>
          </w:tcPr>
          <w:p w14:paraId="290CAD53"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 xml:space="preserve">MZČR </w:t>
            </w:r>
          </w:p>
        </w:tc>
        <w:tc>
          <w:tcPr>
            <w:tcW w:w="567" w:type="dxa"/>
            <w:shd w:val="clear" w:color="auto" w:fill="B9E0F7"/>
            <w:noWrap/>
            <w:vAlign w:val="center"/>
          </w:tcPr>
          <w:p w14:paraId="666223D0" w14:textId="77777777" w:rsidR="002B776D" w:rsidRPr="009A5A09" w:rsidRDefault="002B776D" w:rsidP="00DF71AB">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2015</w:t>
            </w:r>
          </w:p>
        </w:tc>
        <w:tc>
          <w:tcPr>
            <w:tcW w:w="567" w:type="dxa"/>
            <w:shd w:val="clear" w:color="auto" w:fill="B9E0F7"/>
            <w:noWrap/>
            <w:vAlign w:val="center"/>
          </w:tcPr>
          <w:p w14:paraId="5E04DA85" w14:textId="77777777" w:rsidR="002B776D" w:rsidRPr="009A5A09" w:rsidRDefault="002B776D" w:rsidP="00DF71AB">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2022</w:t>
            </w:r>
          </w:p>
        </w:tc>
        <w:tc>
          <w:tcPr>
            <w:tcW w:w="1134" w:type="dxa"/>
            <w:shd w:val="clear" w:color="auto" w:fill="B9E0F7"/>
            <w:vAlign w:val="center"/>
          </w:tcPr>
          <w:p w14:paraId="7B401919" w14:textId="77777777" w:rsidR="002B776D" w:rsidRPr="009A5A09" w:rsidRDefault="002B776D" w:rsidP="00DF71AB">
            <w:pPr>
              <w:spacing w:after="0" w:line="240" w:lineRule="auto"/>
              <w:jc w:val="right"/>
              <w:rPr>
                <w:rFonts w:eastAsia="Times New Roman" w:cs="Arial"/>
                <w:color w:val="000000"/>
                <w:sz w:val="18"/>
                <w:szCs w:val="18"/>
                <w:lang w:eastAsia="cs-CZ"/>
              </w:rPr>
            </w:pPr>
            <w:r w:rsidRPr="00D47F32">
              <w:rPr>
                <w:rFonts w:eastAsia="Times New Roman" w:cs="Arial"/>
                <w:color w:val="000000"/>
                <w:sz w:val="18"/>
                <w:szCs w:val="18"/>
                <w:lang w:eastAsia="cs-CZ"/>
              </w:rPr>
              <w:t>262 846 154</w:t>
            </w:r>
          </w:p>
        </w:tc>
        <w:tc>
          <w:tcPr>
            <w:tcW w:w="1134" w:type="dxa"/>
            <w:shd w:val="clear" w:color="auto" w:fill="B9E0F7"/>
            <w:vAlign w:val="center"/>
          </w:tcPr>
          <w:p w14:paraId="650FCCCA" w14:textId="77777777" w:rsidR="002B776D" w:rsidRPr="009A5A09" w:rsidRDefault="002B776D" w:rsidP="00DF71AB">
            <w:pPr>
              <w:spacing w:after="0" w:line="240" w:lineRule="auto"/>
              <w:jc w:val="center"/>
              <w:rPr>
                <w:rFonts w:eastAsia="Times New Roman" w:cs="Arial"/>
                <w:color w:val="000000"/>
                <w:sz w:val="18"/>
                <w:szCs w:val="18"/>
                <w:lang w:eastAsia="cs-CZ"/>
              </w:rPr>
            </w:pPr>
            <w:r>
              <w:rPr>
                <w:rFonts w:eastAsia="Times New Roman" w:cs="Arial"/>
                <w:color w:val="000000"/>
                <w:sz w:val="18"/>
                <w:szCs w:val="18"/>
                <w:lang w:eastAsia="cs-CZ"/>
              </w:rPr>
              <w:t>100%</w:t>
            </w:r>
          </w:p>
        </w:tc>
        <w:tc>
          <w:tcPr>
            <w:tcW w:w="1276" w:type="dxa"/>
            <w:shd w:val="clear" w:color="auto" w:fill="B9E0F7"/>
            <w:vAlign w:val="center"/>
          </w:tcPr>
          <w:p w14:paraId="2A305333" w14:textId="77777777" w:rsidR="002B776D" w:rsidRPr="009A5A09" w:rsidRDefault="002B776D" w:rsidP="00DF71AB">
            <w:pPr>
              <w:spacing w:after="0" w:line="240" w:lineRule="auto"/>
              <w:jc w:val="right"/>
              <w:rPr>
                <w:rFonts w:eastAsia="Times New Roman" w:cs="Arial"/>
                <w:color w:val="000000"/>
                <w:sz w:val="18"/>
                <w:szCs w:val="18"/>
                <w:lang w:eastAsia="cs-CZ"/>
              </w:rPr>
            </w:pPr>
            <w:r w:rsidRPr="00D47F32">
              <w:rPr>
                <w:rFonts w:eastAsia="Times New Roman" w:cs="Arial"/>
                <w:color w:val="000000"/>
                <w:sz w:val="18"/>
                <w:szCs w:val="18"/>
                <w:lang w:eastAsia="cs-CZ"/>
              </w:rPr>
              <w:t>236 538 462</w:t>
            </w:r>
          </w:p>
        </w:tc>
        <w:tc>
          <w:tcPr>
            <w:tcW w:w="1275" w:type="dxa"/>
            <w:shd w:val="clear" w:color="auto" w:fill="B9E0F7"/>
            <w:vAlign w:val="center"/>
          </w:tcPr>
          <w:p w14:paraId="1AF4A1FF" w14:textId="77777777" w:rsidR="002B776D" w:rsidRPr="009A5A09" w:rsidRDefault="002B776D" w:rsidP="00DF71AB">
            <w:pPr>
              <w:spacing w:after="0" w:line="240" w:lineRule="auto"/>
              <w:jc w:val="right"/>
              <w:rPr>
                <w:rFonts w:eastAsia="Times New Roman" w:cs="Arial"/>
                <w:color w:val="000000"/>
                <w:sz w:val="18"/>
                <w:szCs w:val="18"/>
                <w:lang w:eastAsia="cs-CZ"/>
              </w:rPr>
            </w:pPr>
            <w:r w:rsidRPr="00D47F32">
              <w:rPr>
                <w:rFonts w:eastAsia="Times New Roman" w:cs="Arial"/>
                <w:color w:val="000000"/>
                <w:sz w:val="18"/>
                <w:szCs w:val="18"/>
                <w:lang w:eastAsia="cs-CZ"/>
              </w:rPr>
              <w:t>26 307 692</w:t>
            </w:r>
          </w:p>
        </w:tc>
      </w:tr>
      <w:tr w:rsidR="002B776D" w:rsidRPr="009A5A09" w14:paraId="1CD1736C" w14:textId="77777777" w:rsidTr="008E7E40">
        <w:trPr>
          <w:trHeight w:val="81"/>
        </w:trPr>
        <w:tc>
          <w:tcPr>
            <w:tcW w:w="2629" w:type="dxa"/>
            <w:shd w:val="clear" w:color="auto" w:fill="B9E0F7"/>
            <w:noWrap/>
            <w:vAlign w:val="center"/>
          </w:tcPr>
          <w:p w14:paraId="72C22C99"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Program aplikovaného výzkumu Ministerstva zemědělství na období 2017-2025 ZEMĚ</w:t>
            </w:r>
          </w:p>
        </w:tc>
        <w:tc>
          <w:tcPr>
            <w:tcW w:w="708" w:type="dxa"/>
            <w:shd w:val="clear" w:color="auto" w:fill="B9E0F7"/>
            <w:vAlign w:val="center"/>
          </w:tcPr>
          <w:p w14:paraId="1E35CD50" w14:textId="77777777" w:rsidR="002B776D" w:rsidRPr="009A5A09" w:rsidRDefault="002B776D" w:rsidP="00DF71AB">
            <w:pPr>
              <w:spacing w:after="0" w:line="240" w:lineRule="auto"/>
              <w:rPr>
                <w:rFonts w:eastAsia="Times New Roman" w:cs="Arial"/>
                <w:color w:val="000000"/>
                <w:sz w:val="18"/>
                <w:szCs w:val="18"/>
                <w:lang w:eastAsia="cs-CZ"/>
              </w:rPr>
            </w:pPr>
            <w:r w:rsidRPr="009A5A09">
              <w:rPr>
                <w:rFonts w:eastAsia="Times New Roman" w:cs="Arial"/>
                <w:color w:val="000000"/>
                <w:sz w:val="18"/>
                <w:szCs w:val="18"/>
                <w:lang w:eastAsia="cs-CZ"/>
              </w:rPr>
              <w:t>MZe</w:t>
            </w:r>
          </w:p>
        </w:tc>
        <w:tc>
          <w:tcPr>
            <w:tcW w:w="567" w:type="dxa"/>
            <w:shd w:val="clear" w:color="auto" w:fill="B9E0F7"/>
            <w:noWrap/>
            <w:vAlign w:val="center"/>
          </w:tcPr>
          <w:p w14:paraId="111246EA" w14:textId="77777777" w:rsidR="002B776D" w:rsidRPr="009A5A09" w:rsidRDefault="002B776D" w:rsidP="00DF71AB">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2017</w:t>
            </w:r>
          </w:p>
        </w:tc>
        <w:tc>
          <w:tcPr>
            <w:tcW w:w="567" w:type="dxa"/>
            <w:shd w:val="clear" w:color="auto" w:fill="B9E0F7"/>
            <w:noWrap/>
            <w:vAlign w:val="center"/>
          </w:tcPr>
          <w:p w14:paraId="0537321D" w14:textId="77777777" w:rsidR="002B776D" w:rsidRPr="009A5A09" w:rsidRDefault="002B776D" w:rsidP="00DF71AB">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2025</w:t>
            </w:r>
          </w:p>
        </w:tc>
        <w:tc>
          <w:tcPr>
            <w:tcW w:w="1134" w:type="dxa"/>
            <w:shd w:val="clear" w:color="auto" w:fill="B9E0F7"/>
            <w:vAlign w:val="center"/>
          </w:tcPr>
          <w:p w14:paraId="318A315E" w14:textId="77777777" w:rsidR="002B776D" w:rsidRPr="009A5A09" w:rsidRDefault="002B776D" w:rsidP="00DF71AB">
            <w:pPr>
              <w:spacing w:after="0" w:line="240" w:lineRule="auto"/>
              <w:jc w:val="right"/>
              <w:rPr>
                <w:rFonts w:eastAsia="Times New Roman" w:cs="Arial"/>
                <w:color w:val="000000"/>
                <w:sz w:val="18"/>
                <w:szCs w:val="18"/>
                <w:lang w:eastAsia="cs-CZ"/>
              </w:rPr>
            </w:pPr>
            <w:r w:rsidRPr="00FD57B9">
              <w:rPr>
                <w:rFonts w:eastAsia="Times New Roman" w:cs="Arial"/>
                <w:color w:val="000000"/>
                <w:sz w:val="18"/>
                <w:szCs w:val="18"/>
                <w:lang w:eastAsia="cs-CZ"/>
              </w:rPr>
              <w:t>141 021 077</w:t>
            </w:r>
          </w:p>
        </w:tc>
        <w:tc>
          <w:tcPr>
            <w:tcW w:w="1134" w:type="dxa"/>
            <w:shd w:val="clear" w:color="auto" w:fill="B9E0F7"/>
            <w:vAlign w:val="center"/>
          </w:tcPr>
          <w:p w14:paraId="1D94AAC8" w14:textId="77777777" w:rsidR="002B776D" w:rsidRPr="009A5A09" w:rsidRDefault="002B776D" w:rsidP="00DF71AB">
            <w:pPr>
              <w:spacing w:after="0" w:line="240" w:lineRule="auto"/>
              <w:jc w:val="center"/>
              <w:rPr>
                <w:rFonts w:eastAsia="Times New Roman" w:cs="Arial"/>
                <w:color w:val="000000"/>
                <w:sz w:val="18"/>
                <w:szCs w:val="18"/>
                <w:lang w:eastAsia="cs-CZ"/>
              </w:rPr>
            </w:pPr>
            <w:r>
              <w:rPr>
                <w:rFonts w:eastAsia="Times New Roman" w:cs="Arial"/>
                <w:color w:val="000000"/>
                <w:sz w:val="18"/>
                <w:szCs w:val="18"/>
                <w:lang w:eastAsia="cs-CZ"/>
              </w:rPr>
              <w:t>100%</w:t>
            </w:r>
          </w:p>
        </w:tc>
        <w:tc>
          <w:tcPr>
            <w:tcW w:w="1276" w:type="dxa"/>
            <w:shd w:val="clear" w:color="auto" w:fill="B9E0F7"/>
            <w:vAlign w:val="center"/>
          </w:tcPr>
          <w:p w14:paraId="6B688701" w14:textId="77777777" w:rsidR="002B776D" w:rsidRPr="009A5A09" w:rsidRDefault="002B776D" w:rsidP="00DF71AB">
            <w:pPr>
              <w:spacing w:after="0" w:line="240" w:lineRule="auto"/>
              <w:jc w:val="right"/>
              <w:rPr>
                <w:rFonts w:eastAsia="Times New Roman" w:cs="Arial"/>
                <w:color w:val="000000"/>
                <w:sz w:val="18"/>
                <w:szCs w:val="18"/>
                <w:lang w:eastAsia="cs-CZ"/>
              </w:rPr>
            </w:pPr>
            <w:r w:rsidRPr="00FD57B9">
              <w:rPr>
                <w:rFonts w:eastAsia="Times New Roman" w:cs="Arial"/>
                <w:color w:val="000000"/>
                <w:sz w:val="18"/>
                <w:szCs w:val="18"/>
                <w:lang w:eastAsia="cs-CZ"/>
              </w:rPr>
              <w:t>136 796 500</w:t>
            </w:r>
          </w:p>
        </w:tc>
        <w:tc>
          <w:tcPr>
            <w:tcW w:w="1275" w:type="dxa"/>
            <w:shd w:val="clear" w:color="auto" w:fill="B9E0F7"/>
            <w:vAlign w:val="center"/>
          </w:tcPr>
          <w:p w14:paraId="24103517" w14:textId="77777777" w:rsidR="002B776D" w:rsidRPr="009A5A09" w:rsidRDefault="002B776D" w:rsidP="00DF71AB">
            <w:pPr>
              <w:spacing w:after="0" w:line="240" w:lineRule="auto"/>
              <w:jc w:val="right"/>
              <w:rPr>
                <w:rFonts w:eastAsia="Times New Roman" w:cs="Arial"/>
                <w:color w:val="000000"/>
                <w:sz w:val="18"/>
                <w:szCs w:val="18"/>
                <w:lang w:eastAsia="cs-CZ"/>
              </w:rPr>
            </w:pPr>
            <w:r w:rsidRPr="00FD57B9">
              <w:rPr>
                <w:rFonts w:eastAsia="Times New Roman" w:cs="Arial"/>
                <w:color w:val="000000"/>
                <w:sz w:val="18"/>
                <w:szCs w:val="18"/>
                <w:lang w:eastAsia="cs-CZ"/>
              </w:rPr>
              <w:t>4 224 577</w:t>
            </w:r>
          </w:p>
        </w:tc>
      </w:tr>
      <w:tr w:rsidR="002B776D" w:rsidRPr="00BE2066" w14:paraId="0E1A3D26" w14:textId="77777777" w:rsidTr="008E7E40">
        <w:trPr>
          <w:trHeight w:val="119"/>
        </w:trPr>
        <w:tc>
          <w:tcPr>
            <w:tcW w:w="4471" w:type="dxa"/>
            <w:gridSpan w:val="4"/>
            <w:tcBorders>
              <w:bottom w:val="single" w:sz="8" w:space="0" w:color="auto"/>
            </w:tcBorders>
            <w:shd w:val="clear" w:color="auto" w:fill="004B8D"/>
            <w:vAlign w:val="center"/>
          </w:tcPr>
          <w:p w14:paraId="2A45B553" w14:textId="77777777" w:rsidR="002B776D" w:rsidRPr="00BE2066" w:rsidRDefault="002B776D" w:rsidP="00DF71AB">
            <w:pPr>
              <w:spacing w:after="0" w:line="240" w:lineRule="auto"/>
              <w:rPr>
                <w:rFonts w:eastAsia="Times New Roman" w:cs="Arial"/>
                <w:b/>
                <w:color w:val="FFFFFF" w:themeColor="background1"/>
                <w:sz w:val="18"/>
                <w:szCs w:val="18"/>
                <w:lang w:eastAsia="cs-CZ"/>
              </w:rPr>
            </w:pPr>
            <w:r w:rsidRPr="00BE2066">
              <w:rPr>
                <w:rFonts w:eastAsia="Times New Roman" w:cs="Arial"/>
                <w:b/>
                <w:color w:val="FFFFFF" w:themeColor="background1"/>
                <w:sz w:val="18"/>
                <w:szCs w:val="18"/>
                <w:lang w:eastAsia="cs-CZ"/>
              </w:rPr>
              <w:t>SUMA</w:t>
            </w:r>
          </w:p>
        </w:tc>
        <w:tc>
          <w:tcPr>
            <w:tcW w:w="1134" w:type="dxa"/>
            <w:tcBorders>
              <w:top w:val="single" w:sz="8" w:space="0" w:color="auto"/>
              <w:left w:val="single" w:sz="8" w:space="0" w:color="auto"/>
              <w:bottom w:val="single" w:sz="8" w:space="0" w:color="auto"/>
              <w:right w:val="single" w:sz="8" w:space="0" w:color="auto"/>
            </w:tcBorders>
            <w:shd w:val="clear" w:color="auto" w:fill="004B8D"/>
            <w:noWrap/>
            <w:vAlign w:val="center"/>
          </w:tcPr>
          <w:p w14:paraId="4F4A08BE" w14:textId="77777777" w:rsidR="002B776D" w:rsidRPr="00BE2066" w:rsidRDefault="002B776D" w:rsidP="00DF71AB">
            <w:pPr>
              <w:spacing w:after="0"/>
              <w:jc w:val="right"/>
              <w:rPr>
                <w:b/>
                <w:color w:val="FFFFFF" w:themeColor="background1"/>
                <w:sz w:val="18"/>
                <w:szCs w:val="18"/>
              </w:rPr>
            </w:pPr>
            <w:r w:rsidRPr="00BE2066">
              <w:rPr>
                <w:b/>
                <w:color w:val="FFFFFF" w:themeColor="background1"/>
                <w:sz w:val="18"/>
                <w:szCs w:val="18"/>
              </w:rPr>
              <w:t>889 867 231</w:t>
            </w:r>
          </w:p>
        </w:tc>
        <w:tc>
          <w:tcPr>
            <w:tcW w:w="1134" w:type="dxa"/>
            <w:tcBorders>
              <w:top w:val="nil"/>
              <w:left w:val="nil"/>
              <w:bottom w:val="single" w:sz="8" w:space="0" w:color="auto"/>
              <w:right w:val="single" w:sz="8" w:space="0" w:color="auto"/>
            </w:tcBorders>
            <w:shd w:val="clear" w:color="auto" w:fill="004B8D"/>
            <w:noWrap/>
            <w:vAlign w:val="center"/>
          </w:tcPr>
          <w:p w14:paraId="663E47D3" w14:textId="77777777" w:rsidR="002B776D" w:rsidRPr="00BE2066" w:rsidRDefault="002B776D" w:rsidP="00DF71AB">
            <w:pPr>
              <w:spacing w:after="0"/>
              <w:jc w:val="right"/>
              <w:rPr>
                <w:b/>
                <w:color w:val="FFFFFF" w:themeColor="background1"/>
                <w:sz w:val="18"/>
                <w:szCs w:val="18"/>
              </w:rPr>
            </w:pPr>
          </w:p>
        </w:tc>
        <w:tc>
          <w:tcPr>
            <w:tcW w:w="1276" w:type="dxa"/>
            <w:tcBorders>
              <w:top w:val="single" w:sz="8" w:space="0" w:color="auto"/>
              <w:left w:val="single" w:sz="8" w:space="0" w:color="auto"/>
              <w:bottom w:val="single" w:sz="8" w:space="0" w:color="auto"/>
              <w:right w:val="single" w:sz="8" w:space="0" w:color="auto"/>
            </w:tcBorders>
            <w:shd w:val="clear" w:color="auto" w:fill="004B8D"/>
            <w:vAlign w:val="center"/>
          </w:tcPr>
          <w:p w14:paraId="7E564B95" w14:textId="77777777" w:rsidR="002B776D" w:rsidRPr="00BE2066" w:rsidRDefault="002B776D" w:rsidP="00DF71AB">
            <w:pPr>
              <w:spacing w:after="0"/>
              <w:jc w:val="right"/>
              <w:rPr>
                <w:b/>
                <w:color w:val="FFFFFF" w:themeColor="background1"/>
                <w:sz w:val="18"/>
                <w:szCs w:val="18"/>
              </w:rPr>
            </w:pPr>
            <w:r w:rsidRPr="00BE2066">
              <w:rPr>
                <w:b/>
                <w:color w:val="FFFFFF" w:themeColor="background1"/>
                <w:sz w:val="18"/>
                <w:szCs w:val="18"/>
              </w:rPr>
              <w:t>691 365 731</w:t>
            </w:r>
          </w:p>
        </w:tc>
        <w:tc>
          <w:tcPr>
            <w:tcW w:w="1275" w:type="dxa"/>
            <w:tcBorders>
              <w:top w:val="single" w:sz="8" w:space="0" w:color="auto"/>
              <w:left w:val="nil"/>
              <w:bottom w:val="single" w:sz="8" w:space="0" w:color="auto"/>
              <w:right w:val="single" w:sz="8" w:space="0" w:color="auto"/>
            </w:tcBorders>
            <w:shd w:val="clear" w:color="auto" w:fill="004B8D"/>
            <w:noWrap/>
            <w:vAlign w:val="center"/>
          </w:tcPr>
          <w:p w14:paraId="4F9E7C7A" w14:textId="77777777" w:rsidR="002B776D" w:rsidRPr="00BE2066" w:rsidRDefault="002B776D" w:rsidP="00DF71AB">
            <w:pPr>
              <w:spacing w:after="0"/>
              <w:jc w:val="right"/>
              <w:rPr>
                <w:b/>
                <w:color w:val="FFFFFF" w:themeColor="background1"/>
                <w:sz w:val="18"/>
                <w:szCs w:val="18"/>
              </w:rPr>
            </w:pPr>
            <w:r w:rsidRPr="00BE2066">
              <w:rPr>
                <w:b/>
                <w:color w:val="FFFFFF" w:themeColor="background1"/>
                <w:sz w:val="18"/>
                <w:szCs w:val="18"/>
              </w:rPr>
              <w:t>129 655 346</w:t>
            </w:r>
          </w:p>
        </w:tc>
      </w:tr>
    </w:tbl>
    <w:p w14:paraId="614628A5" w14:textId="51E11DF0" w:rsidR="004D050D" w:rsidRPr="00D2084B" w:rsidRDefault="004D050D" w:rsidP="004D050D">
      <w:pPr>
        <w:rPr>
          <w:i/>
          <w:sz w:val="18"/>
          <w:szCs w:val="18"/>
          <w:lang w:eastAsia="cs-CZ"/>
        </w:rPr>
      </w:pPr>
      <w:r w:rsidRPr="00D2084B">
        <w:rPr>
          <w:rFonts w:eastAsia="MS Mincho"/>
          <w:i/>
          <w:sz w:val="18"/>
          <w:szCs w:val="18"/>
        </w:rPr>
        <w:t>Zdroj: MPO na základě veřejně dostupné programové dokumentace</w:t>
      </w:r>
    </w:p>
    <w:p w14:paraId="466E4EE4" w14:textId="77777777" w:rsidR="004D050D" w:rsidRPr="004D050D" w:rsidRDefault="004D050D" w:rsidP="004D050D">
      <w:pPr>
        <w:rPr>
          <w:lang w:eastAsia="cs-CZ"/>
        </w:rPr>
      </w:pPr>
    </w:p>
    <w:p w14:paraId="3C1F6388" w14:textId="1BE9D5AF" w:rsidR="00B377B2" w:rsidRPr="00B377B2" w:rsidRDefault="00B377B2" w:rsidP="00B377B2">
      <w:pPr>
        <w:spacing w:after="200" w:line="360" w:lineRule="auto"/>
        <w:ind w:firstLine="708"/>
        <w:jc w:val="both"/>
        <w:rPr>
          <w:rFonts w:eastAsia="MS Mincho"/>
        </w:rPr>
      </w:pPr>
      <w:r w:rsidRPr="00B377B2">
        <w:rPr>
          <w:rFonts w:eastAsia="MS Mincho"/>
        </w:rPr>
        <w:t>Při financování intervencí podporovaných v jednotlivých strategických a specifických cílech Národní RIS3 strategie se kromě prostředků ESIF a národních zdrojů plánuje rovněž využití prostředků některých komunitárních programů (</w:t>
      </w:r>
      <w:r w:rsidRPr="00B377B2">
        <w:rPr>
          <w:rFonts w:eastAsia="MS Mincho"/>
          <w:i/>
        </w:rPr>
        <w:t>community programmes)</w:t>
      </w:r>
      <w:r w:rsidRPr="00B377B2">
        <w:rPr>
          <w:rFonts w:eastAsia="MS Mincho"/>
        </w:rPr>
        <w:t>, a to především Horizont 2020 (popř.</w:t>
      </w:r>
      <w:r w:rsidR="00284134">
        <w:rPr>
          <w:rFonts w:eastAsia="MS Mincho"/>
        </w:rPr>
        <w:t> </w:t>
      </w:r>
      <w:r w:rsidRPr="00B377B2">
        <w:rPr>
          <w:rFonts w:eastAsia="MS Mincho"/>
        </w:rPr>
        <w:t>Horizon Europe) a</w:t>
      </w:r>
      <w:r>
        <w:rPr>
          <w:rFonts w:eastAsia="MS Mincho"/>
        </w:rPr>
        <w:t> </w:t>
      </w:r>
      <w:r w:rsidRPr="00B377B2">
        <w:rPr>
          <w:rFonts w:eastAsia="MS Mincho"/>
        </w:rPr>
        <w:t>dalších. Konkrétní využití těchto prostředků je ovšem závislé na úspěšnosti jednotlivých subjektů z ČR v soutěži o prostředky podpory</w:t>
      </w:r>
      <w:r w:rsidRPr="00B377B2">
        <w:rPr>
          <w:rStyle w:val="Znakapoznpodarou"/>
          <w:rFonts w:eastAsia="MS Mincho"/>
        </w:rPr>
        <w:footnoteReference w:id="148"/>
      </w:r>
      <w:r w:rsidRPr="00B377B2">
        <w:rPr>
          <w:rFonts w:eastAsia="MS Mincho"/>
        </w:rPr>
        <w:t>. Intervence realizované v rámci Národní RIS3 strategie jsou nastavovány tak, aby v této rovině umožňovaly využití potenciálních synergických efektů.</w:t>
      </w:r>
    </w:p>
    <w:p w14:paraId="4FDD4DF5" w14:textId="4D04554B" w:rsidR="00A131AD" w:rsidRPr="00EF4A38" w:rsidRDefault="00B47274" w:rsidP="00EF4A38">
      <w:pPr>
        <w:pStyle w:val="Nadpis2"/>
      </w:pPr>
      <w:bookmarkStart w:id="220" w:name="_Toc525716271"/>
      <w:r>
        <w:t>Souhrn financování krajských RIS3 strategií</w:t>
      </w:r>
      <w:bookmarkEnd w:id="220"/>
    </w:p>
    <w:p w14:paraId="529F491D" w14:textId="77777777" w:rsidR="008D5CBA" w:rsidRPr="008D5CBA" w:rsidRDefault="008D5CBA" w:rsidP="001D4B99">
      <w:pPr>
        <w:spacing w:before="240" w:after="0" w:line="360" w:lineRule="auto"/>
        <w:ind w:firstLine="709"/>
        <w:jc w:val="both"/>
        <w:rPr>
          <w:rFonts w:eastAsia="MS Mincho"/>
        </w:rPr>
      </w:pPr>
      <w:r w:rsidRPr="008D5CBA">
        <w:t xml:space="preserve">Financování intervencí </w:t>
      </w:r>
      <w:r w:rsidRPr="008D5CBA">
        <w:rPr>
          <w:rFonts w:eastAsia="MS Mincho"/>
        </w:rPr>
        <w:t xml:space="preserve">podřízených cílům Národní RIS3 strategie je identifikováno nejen jako příspěvek z ESI fondů, národních programů podpory a rezortních programů, ale také jako financování z krajských (regionálních) zdrojů. </w:t>
      </w:r>
    </w:p>
    <w:p w14:paraId="51D4C02D" w14:textId="2C9128E5" w:rsidR="008F74A0" w:rsidRDefault="008D5CBA" w:rsidP="001D4B99">
      <w:pPr>
        <w:spacing w:after="0" w:line="360" w:lineRule="auto"/>
        <w:ind w:firstLine="709"/>
        <w:jc w:val="both"/>
        <w:rPr>
          <w:rFonts w:eastAsia="MS Mincho"/>
        </w:rPr>
        <w:sectPr w:rsidR="008F74A0" w:rsidSect="004619F6">
          <w:pgSz w:w="11906" w:h="16838"/>
          <w:pgMar w:top="1417" w:right="1417" w:bottom="1417" w:left="1417" w:header="708" w:footer="708" w:gutter="0"/>
          <w:cols w:space="708"/>
          <w:docGrid w:linePitch="360"/>
        </w:sectPr>
      </w:pPr>
      <w:r w:rsidRPr="008D5CBA">
        <w:rPr>
          <w:rFonts w:eastAsia="MS Mincho"/>
        </w:rPr>
        <w:t>Na krajské úrovni jsou identifikovány různé zdroje podpory rozvoje VaVaI, jež jsou totožné s cíli Národní RIS3 strategie, nebo je komplementárně/synergicky naplňují. Jejich indikativní financování a</w:t>
      </w:r>
      <w:r>
        <w:rPr>
          <w:rFonts w:eastAsia="MS Mincho"/>
        </w:rPr>
        <w:t> </w:t>
      </w:r>
      <w:r w:rsidRPr="008D5CBA">
        <w:rPr>
          <w:rFonts w:eastAsia="MS Mincho"/>
        </w:rPr>
        <w:t>finanční spoluúčast kraje na daných aktivitách uvádí</w:t>
      </w:r>
      <w:r w:rsidRPr="0036580A">
        <w:rPr>
          <w:rFonts w:eastAsia="MS Mincho"/>
          <w:color w:val="1682C2" w:themeColor="background2" w:themeShade="80"/>
        </w:rPr>
        <w:t xml:space="preserve"> </w:t>
      </w:r>
      <w:r w:rsidR="0036580A" w:rsidRPr="00632622">
        <w:rPr>
          <w:rFonts w:eastAsia="MS Mincho"/>
          <w:highlight w:val="yellow"/>
        </w:rPr>
        <w:fldChar w:fldCharType="begin"/>
      </w:r>
      <w:r w:rsidR="0036580A" w:rsidRPr="00632622">
        <w:rPr>
          <w:rFonts w:eastAsia="MS Mincho"/>
        </w:rPr>
        <w:instrText xml:space="preserve"> REF _Ref523216630 \h </w:instrText>
      </w:r>
      <w:r w:rsidR="0036580A" w:rsidRPr="00632622">
        <w:rPr>
          <w:rFonts w:eastAsia="MS Mincho"/>
          <w:highlight w:val="yellow"/>
        </w:rPr>
        <w:instrText xml:space="preserve"> \* MERGEFORMAT </w:instrText>
      </w:r>
      <w:r w:rsidR="0036580A" w:rsidRPr="00632622">
        <w:rPr>
          <w:rFonts w:eastAsia="MS Mincho"/>
          <w:highlight w:val="yellow"/>
        </w:rPr>
      </w:r>
      <w:r w:rsidR="0036580A" w:rsidRPr="00632622">
        <w:rPr>
          <w:rFonts w:eastAsia="MS Mincho"/>
          <w:highlight w:val="yellow"/>
        </w:rPr>
        <w:fldChar w:fldCharType="separate"/>
      </w:r>
      <w:r w:rsidR="00DE40D4" w:rsidRPr="00DE40D4">
        <w:t xml:space="preserve">Tabulka </w:t>
      </w:r>
      <w:r w:rsidR="00DE40D4" w:rsidRPr="00DE40D4">
        <w:rPr>
          <w:noProof/>
        </w:rPr>
        <w:t>18</w:t>
      </w:r>
      <w:r w:rsidR="0036580A" w:rsidRPr="00632622">
        <w:rPr>
          <w:rFonts w:eastAsia="MS Mincho"/>
          <w:highlight w:val="yellow"/>
        </w:rPr>
        <w:fldChar w:fldCharType="end"/>
      </w:r>
      <w:r w:rsidRPr="00632622">
        <w:rPr>
          <w:rFonts w:eastAsia="MS Mincho"/>
        </w:rPr>
        <w:t>.</w:t>
      </w:r>
    </w:p>
    <w:p w14:paraId="43C4CB15" w14:textId="5984AC59" w:rsidR="008D5CBA" w:rsidRPr="008D5CBA" w:rsidRDefault="008D5CBA" w:rsidP="001D4B99">
      <w:pPr>
        <w:spacing w:after="0" w:line="360" w:lineRule="auto"/>
        <w:ind w:firstLine="709"/>
        <w:jc w:val="both"/>
      </w:pPr>
    </w:p>
    <w:p w14:paraId="6FAFAD88" w14:textId="77777777" w:rsidR="008D5CBA" w:rsidRDefault="008D5CBA" w:rsidP="008D5CBA">
      <w:pPr>
        <w:spacing w:after="0" w:line="240" w:lineRule="auto"/>
        <w:ind w:firstLineChars="709" w:firstLine="1566"/>
        <w:jc w:val="both"/>
        <w:rPr>
          <w:rFonts w:ascii="Arial" w:eastAsia="Times New Roman" w:hAnsi="Arial" w:cs="Arial"/>
          <w:b/>
          <w:bCs/>
          <w:lang w:eastAsia="cs-CZ"/>
        </w:rPr>
      </w:pPr>
    </w:p>
    <w:p w14:paraId="2F43FE6D" w14:textId="77777777" w:rsidR="00D35C1F" w:rsidRPr="0019167D" w:rsidRDefault="00D35C1F" w:rsidP="00D35C1F">
      <w:pPr>
        <w:spacing w:after="0"/>
        <w:jc w:val="center"/>
        <w:rPr>
          <w:rFonts w:eastAsia="MS Mincho"/>
          <w:b/>
        </w:rPr>
      </w:pPr>
      <w:bookmarkStart w:id="221" w:name="_Ref523216630"/>
      <w:bookmarkStart w:id="222" w:name="_Toc524677678"/>
      <w:r w:rsidRPr="00D35C1F">
        <w:rPr>
          <w:b/>
        </w:rPr>
        <w:t xml:space="preserve">Tabulka </w:t>
      </w:r>
      <w:r w:rsidRPr="00D35C1F">
        <w:rPr>
          <w:b/>
        </w:rPr>
        <w:fldChar w:fldCharType="begin"/>
      </w:r>
      <w:r w:rsidRPr="00D35C1F">
        <w:rPr>
          <w:b/>
        </w:rPr>
        <w:instrText xml:space="preserve"> SEQ Tabulka \* ARABIC </w:instrText>
      </w:r>
      <w:r w:rsidRPr="00D35C1F">
        <w:rPr>
          <w:b/>
        </w:rPr>
        <w:fldChar w:fldCharType="separate"/>
      </w:r>
      <w:r w:rsidR="00DE40D4">
        <w:rPr>
          <w:b/>
          <w:noProof/>
        </w:rPr>
        <w:t>18</w:t>
      </w:r>
      <w:r w:rsidRPr="00D35C1F">
        <w:rPr>
          <w:b/>
        </w:rPr>
        <w:fldChar w:fldCharType="end"/>
      </w:r>
      <w:bookmarkEnd w:id="221"/>
      <w:r w:rsidRPr="00D35C1F">
        <w:rPr>
          <w:b/>
        </w:rPr>
        <w:t xml:space="preserve"> - </w:t>
      </w:r>
      <w:r w:rsidRPr="0019167D">
        <w:rPr>
          <w:rFonts w:eastAsia="MS Mincho"/>
          <w:b/>
        </w:rPr>
        <w:t>Identifikace indikativního financování a finanční spoluúčast kraje na intervencích Národní RIS3 strategie (v EUR)</w:t>
      </w:r>
      <w:r w:rsidRPr="0019167D">
        <w:rPr>
          <w:rStyle w:val="Znakapoznpodarou"/>
          <w:rFonts w:ascii="Calibri" w:eastAsia="Times New Roman" w:hAnsi="Calibri" w:cs="Times New Roman"/>
          <w:b/>
          <w:bCs/>
          <w:lang w:eastAsia="cs-CZ"/>
        </w:rPr>
        <w:footnoteReference w:id="149"/>
      </w:r>
      <w:bookmarkEnd w:id="222"/>
    </w:p>
    <w:p w14:paraId="6E38B5AC" w14:textId="7AB77EB1" w:rsidR="00D35C1F" w:rsidRDefault="00D35C1F" w:rsidP="00580DE3">
      <w:pPr>
        <w:pStyle w:val="Titulek"/>
      </w:pPr>
    </w:p>
    <w:tbl>
      <w:tblPr>
        <w:tblW w:w="4912" w:type="pct"/>
        <w:tblLayout w:type="fixed"/>
        <w:tblCellMar>
          <w:left w:w="70" w:type="dxa"/>
          <w:right w:w="70" w:type="dxa"/>
        </w:tblCellMar>
        <w:tblLook w:val="04A0" w:firstRow="1" w:lastRow="0" w:firstColumn="1" w:lastColumn="0" w:noHBand="0" w:noVBand="1"/>
      </w:tblPr>
      <w:tblGrid>
        <w:gridCol w:w="1370"/>
        <w:gridCol w:w="1012"/>
        <w:gridCol w:w="931"/>
        <w:gridCol w:w="667"/>
        <w:gridCol w:w="647"/>
        <w:gridCol w:w="890"/>
        <w:gridCol w:w="1141"/>
        <w:gridCol w:w="997"/>
        <w:gridCol w:w="539"/>
        <w:gridCol w:w="1058"/>
        <w:gridCol w:w="1001"/>
        <w:gridCol w:w="997"/>
        <w:gridCol w:w="688"/>
        <w:gridCol w:w="560"/>
        <w:gridCol w:w="585"/>
        <w:gridCol w:w="3789"/>
        <w:gridCol w:w="3719"/>
      </w:tblGrid>
      <w:tr w:rsidR="008F74A0" w:rsidRPr="005028B8" w14:paraId="6DA4D01E" w14:textId="77777777" w:rsidTr="0032068A">
        <w:trPr>
          <w:trHeight w:val="155"/>
          <w:tblHeader/>
        </w:trPr>
        <w:tc>
          <w:tcPr>
            <w:tcW w:w="333" w:type="pct"/>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06C11179"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Kraj</w:t>
            </w:r>
          </w:p>
        </w:tc>
        <w:tc>
          <w:tcPr>
            <w:tcW w:w="791" w:type="pct"/>
            <w:gridSpan w:val="4"/>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37C8152A"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 xml:space="preserve">ESF  </w:t>
            </w:r>
          </w:p>
        </w:tc>
        <w:tc>
          <w:tcPr>
            <w:tcW w:w="866" w:type="pct"/>
            <w:gridSpan w:val="4"/>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11E0CDAB"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 xml:space="preserve">NP </w:t>
            </w:r>
          </w:p>
        </w:tc>
        <w:tc>
          <w:tcPr>
            <w:tcW w:w="500" w:type="pct"/>
            <w:gridSpan w:val="2"/>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783ED1B0"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 xml:space="preserve">Kraj </w:t>
            </w:r>
          </w:p>
        </w:tc>
        <w:tc>
          <w:tcPr>
            <w:tcW w:w="687" w:type="pct"/>
            <w:gridSpan w:val="4"/>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1CFF5276"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 xml:space="preserve">SmAcc </w:t>
            </w:r>
          </w:p>
        </w:tc>
        <w:tc>
          <w:tcPr>
            <w:tcW w:w="1823" w:type="pct"/>
            <w:gridSpan w:val="2"/>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0A0B46B9"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Hlavní Aktivity</w:t>
            </w:r>
            <w:r w:rsidRPr="005028B8">
              <w:rPr>
                <w:rStyle w:val="Znakapoznpodarou"/>
                <w:rFonts w:cs="Arial"/>
                <w:sz w:val="18"/>
                <w:szCs w:val="18"/>
              </w:rPr>
              <w:footnoteReference w:id="150"/>
            </w:r>
          </w:p>
        </w:tc>
      </w:tr>
      <w:tr w:rsidR="008F74A0" w:rsidRPr="005028B8" w14:paraId="42D1F98C" w14:textId="77777777" w:rsidTr="0032068A">
        <w:trPr>
          <w:trHeight w:val="260"/>
          <w:tblHeader/>
        </w:trPr>
        <w:tc>
          <w:tcPr>
            <w:tcW w:w="333" w:type="pct"/>
            <w:vMerge/>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66D0EF7B" w14:textId="77777777" w:rsidR="008F74A0" w:rsidRPr="005028B8" w:rsidRDefault="008F74A0" w:rsidP="005F762C">
            <w:pPr>
              <w:spacing w:after="0" w:line="240" w:lineRule="auto"/>
              <w:rPr>
                <w:rFonts w:eastAsia="Times New Roman" w:cs="Arial"/>
                <w:b/>
                <w:bCs/>
                <w:color w:val="FFFFFF"/>
                <w:sz w:val="18"/>
                <w:szCs w:val="18"/>
                <w:lang w:eastAsia="cs-CZ"/>
              </w:rPr>
            </w:pPr>
          </w:p>
        </w:tc>
        <w:tc>
          <w:tcPr>
            <w:tcW w:w="472" w:type="pct"/>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788020C4"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2016 – 2018</w:t>
            </w:r>
          </w:p>
        </w:tc>
        <w:tc>
          <w:tcPr>
            <w:tcW w:w="319" w:type="pct"/>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6675EC4C"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2019 - 2020+</w:t>
            </w:r>
          </w:p>
        </w:tc>
        <w:tc>
          <w:tcPr>
            <w:tcW w:w="493" w:type="pct"/>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54F70B6E"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2016 – 2018</w:t>
            </w:r>
          </w:p>
        </w:tc>
        <w:tc>
          <w:tcPr>
            <w:tcW w:w="373" w:type="pct"/>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247E636A"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2019 - 2020+</w:t>
            </w:r>
          </w:p>
        </w:tc>
        <w:tc>
          <w:tcPr>
            <w:tcW w:w="500" w:type="pct"/>
            <w:gridSpan w:val="2"/>
            <w:vMerge/>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1FB894EE" w14:textId="77777777" w:rsidR="008F74A0" w:rsidRPr="005028B8" w:rsidRDefault="008F74A0" w:rsidP="005F762C">
            <w:pPr>
              <w:spacing w:after="0" w:line="240" w:lineRule="auto"/>
              <w:rPr>
                <w:rFonts w:eastAsia="Times New Roman" w:cs="Arial"/>
                <w:b/>
                <w:bCs/>
                <w:color w:val="FFFFFF"/>
                <w:sz w:val="18"/>
                <w:szCs w:val="18"/>
                <w:lang w:eastAsia="cs-CZ"/>
              </w:rPr>
            </w:pPr>
          </w:p>
        </w:tc>
        <w:tc>
          <w:tcPr>
            <w:tcW w:w="409" w:type="pct"/>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07362384"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2016 – 2018</w:t>
            </w:r>
          </w:p>
        </w:tc>
        <w:tc>
          <w:tcPr>
            <w:tcW w:w="278" w:type="pct"/>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42FD2325"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2019 – 2020+</w:t>
            </w:r>
          </w:p>
        </w:tc>
        <w:tc>
          <w:tcPr>
            <w:tcW w:w="1823" w:type="pct"/>
            <w:gridSpan w:val="2"/>
            <w:vMerge/>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004B8D"/>
            <w:vAlign w:val="center"/>
            <w:hideMark/>
          </w:tcPr>
          <w:p w14:paraId="043A1205" w14:textId="77777777" w:rsidR="008F74A0" w:rsidRPr="005028B8" w:rsidRDefault="008F74A0" w:rsidP="005F762C">
            <w:pPr>
              <w:spacing w:after="0" w:line="240" w:lineRule="auto"/>
              <w:rPr>
                <w:rFonts w:eastAsia="Times New Roman" w:cs="Arial"/>
                <w:b/>
                <w:bCs/>
                <w:color w:val="FFFFFF"/>
                <w:sz w:val="18"/>
                <w:szCs w:val="18"/>
                <w:lang w:eastAsia="cs-CZ"/>
              </w:rPr>
            </w:pPr>
          </w:p>
        </w:tc>
      </w:tr>
      <w:tr w:rsidR="008F74A0" w:rsidRPr="005028B8" w14:paraId="6643C2BB" w14:textId="77777777" w:rsidTr="0032068A">
        <w:trPr>
          <w:trHeight w:val="265"/>
          <w:tblHeader/>
        </w:trPr>
        <w:tc>
          <w:tcPr>
            <w:tcW w:w="333" w:type="pct"/>
            <w:vMerge/>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0C5F3E63" w14:textId="77777777" w:rsidR="008F74A0" w:rsidRPr="005028B8" w:rsidRDefault="008F74A0" w:rsidP="005F762C">
            <w:pPr>
              <w:spacing w:after="0" w:line="240" w:lineRule="auto"/>
              <w:rPr>
                <w:rFonts w:eastAsia="Times New Roman" w:cs="Arial"/>
                <w:b/>
                <w:bCs/>
                <w:color w:val="FFFFFF"/>
                <w:sz w:val="18"/>
                <w:szCs w:val="18"/>
                <w:lang w:eastAsia="cs-CZ"/>
              </w:rPr>
            </w:pPr>
          </w:p>
        </w:tc>
        <w:tc>
          <w:tcPr>
            <w:tcW w:w="246"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3CE91D3A"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 xml:space="preserve">ESF  </w:t>
            </w:r>
          </w:p>
        </w:tc>
        <w:tc>
          <w:tcPr>
            <w:tcW w:w="226"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56131BED" w14:textId="553A70F3" w:rsidR="008F74A0" w:rsidRPr="005028B8" w:rsidRDefault="008F74A0" w:rsidP="008F74A0">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Kr</w:t>
            </w:r>
            <w:r>
              <w:rPr>
                <w:rFonts w:eastAsia="Times New Roman" w:cs="Arial"/>
                <w:b/>
                <w:bCs/>
                <w:color w:val="FFFFFF"/>
                <w:sz w:val="18"/>
                <w:szCs w:val="18"/>
                <w:lang w:eastAsia="cs-CZ"/>
              </w:rPr>
              <w:t>aj</w:t>
            </w:r>
          </w:p>
        </w:tc>
        <w:tc>
          <w:tcPr>
            <w:tcW w:w="162"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3623357B"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 xml:space="preserve">ESF  </w:t>
            </w:r>
          </w:p>
        </w:tc>
        <w:tc>
          <w:tcPr>
            <w:tcW w:w="157"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7FC7761D"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Kraj</w:t>
            </w:r>
          </w:p>
        </w:tc>
        <w:tc>
          <w:tcPr>
            <w:tcW w:w="216"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220B2CD9"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NP</w:t>
            </w:r>
          </w:p>
        </w:tc>
        <w:tc>
          <w:tcPr>
            <w:tcW w:w="277"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21C4537B"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Kraj</w:t>
            </w:r>
          </w:p>
        </w:tc>
        <w:tc>
          <w:tcPr>
            <w:tcW w:w="242"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03C35693"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NP</w:t>
            </w:r>
          </w:p>
        </w:tc>
        <w:tc>
          <w:tcPr>
            <w:tcW w:w="131"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77DD046A"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Kraj</w:t>
            </w:r>
          </w:p>
        </w:tc>
        <w:tc>
          <w:tcPr>
            <w:tcW w:w="257"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74FF4D7E"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2016 – 2018</w:t>
            </w:r>
          </w:p>
        </w:tc>
        <w:tc>
          <w:tcPr>
            <w:tcW w:w="243"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014CC5B3"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2019 - 2020+</w:t>
            </w:r>
          </w:p>
        </w:tc>
        <w:tc>
          <w:tcPr>
            <w:tcW w:w="242"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79491F4B"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ESF</w:t>
            </w:r>
          </w:p>
        </w:tc>
        <w:tc>
          <w:tcPr>
            <w:tcW w:w="167"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05427417"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Kraj</w:t>
            </w:r>
          </w:p>
        </w:tc>
        <w:tc>
          <w:tcPr>
            <w:tcW w:w="136"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616C4E53"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ESF</w:t>
            </w:r>
          </w:p>
        </w:tc>
        <w:tc>
          <w:tcPr>
            <w:tcW w:w="142"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1305BA4B"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Kraj</w:t>
            </w:r>
          </w:p>
        </w:tc>
        <w:tc>
          <w:tcPr>
            <w:tcW w:w="920"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5DC8978D"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2016 - 2018</w:t>
            </w:r>
          </w:p>
        </w:tc>
        <w:tc>
          <w:tcPr>
            <w:tcW w:w="903" w:type="pct"/>
            <w:tcBorders>
              <w:top w:val="single" w:sz="8" w:space="0" w:color="FFFFFF" w:themeColor="background1"/>
              <w:left w:val="single" w:sz="8" w:space="0" w:color="FFFFFF" w:themeColor="background1"/>
              <w:bottom w:val="single" w:sz="8" w:space="0" w:color="80A1B6"/>
              <w:right w:val="single" w:sz="8" w:space="0" w:color="FFFFFF" w:themeColor="background1"/>
            </w:tcBorders>
            <w:shd w:val="clear" w:color="auto" w:fill="004B8D"/>
            <w:vAlign w:val="center"/>
            <w:hideMark/>
          </w:tcPr>
          <w:p w14:paraId="736AE0EC" w14:textId="77777777" w:rsidR="008F74A0" w:rsidRPr="005028B8" w:rsidRDefault="008F74A0" w:rsidP="005F762C">
            <w:pPr>
              <w:spacing w:after="0" w:line="240" w:lineRule="auto"/>
              <w:rPr>
                <w:rFonts w:eastAsia="Times New Roman" w:cs="Arial"/>
                <w:b/>
                <w:bCs/>
                <w:color w:val="FFFFFF"/>
                <w:sz w:val="18"/>
                <w:szCs w:val="18"/>
                <w:lang w:eastAsia="cs-CZ"/>
              </w:rPr>
            </w:pPr>
            <w:r w:rsidRPr="005028B8">
              <w:rPr>
                <w:rFonts w:eastAsia="Times New Roman" w:cs="Arial"/>
                <w:b/>
                <w:bCs/>
                <w:color w:val="FFFFFF"/>
                <w:sz w:val="18"/>
                <w:szCs w:val="18"/>
                <w:lang w:eastAsia="cs-CZ"/>
              </w:rPr>
              <w:t xml:space="preserve"> 2019 – 2020+</w:t>
            </w:r>
          </w:p>
        </w:tc>
      </w:tr>
      <w:tr w:rsidR="008F74A0" w:rsidRPr="005028B8" w14:paraId="375F987A" w14:textId="77777777" w:rsidTr="005F762C">
        <w:trPr>
          <w:trHeight w:val="891"/>
        </w:trPr>
        <w:tc>
          <w:tcPr>
            <w:tcW w:w="333" w:type="pct"/>
            <w:tcBorders>
              <w:top w:val="single" w:sz="8" w:space="0" w:color="80A1B6"/>
              <w:left w:val="single" w:sz="8" w:space="0" w:color="80A1B6"/>
              <w:bottom w:val="single" w:sz="8" w:space="0" w:color="80A1B6"/>
              <w:right w:val="single" w:sz="8" w:space="0" w:color="80A1B6"/>
            </w:tcBorders>
            <w:shd w:val="clear" w:color="auto" w:fill="auto"/>
            <w:vAlign w:val="center"/>
            <w:hideMark/>
          </w:tcPr>
          <w:p w14:paraId="509269A8"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Jihočeský</w:t>
            </w:r>
          </w:p>
        </w:tc>
        <w:tc>
          <w:tcPr>
            <w:tcW w:w="246" w:type="pct"/>
            <w:tcBorders>
              <w:top w:val="single" w:sz="8" w:space="0" w:color="80A1B6"/>
              <w:left w:val="nil"/>
              <w:bottom w:val="single" w:sz="8" w:space="0" w:color="80A1B6"/>
              <w:right w:val="single" w:sz="8" w:space="0" w:color="80A1B6"/>
            </w:tcBorders>
            <w:shd w:val="clear" w:color="auto" w:fill="auto"/>
            <w:vAlign w:val="center"/>
            <w:hideMark/>
          </w:tcPr>
          <w:p w14:paraId="1BEC3730" w14:textId="77777777" w:rsidR="008F74A0" w:rsidRPr="008F74A0" w:rsidRDefault="008F74A0" w:rsidP="005F762C">
            <w:pPr>
              <w:spacing w:after="0" w:line="240" w:lineRule="auto"/>
              <w:rPr>
                <w:rFonts w:eastAsia="Times New Roman" w:cs="Arial"/>
                <w:sz w:val="18"/>
                <w:szCs w:val="18"/>
                <w:lang w:eastAsia="cs-CZ"/>
              </w:rPr>
            </w:pPr>
          </w:p>
        </w:tc>
        <w:tc>
          <w:tcPr>
            <w:tcW w:w="226" w:type="pct"/>
            <w:tcBorders>
              <w:top w:val="single" w:sz="8" w:space="0" w:color="80A1B6"/>
              <w:left w:val="nil"/>
              <w:bottom w:val="single" w:sz="8" w:space="0" w:color="80A1B6"/>
              <w:right w:val="single" w:sz="8" w:space="0" w:color="80A1B6"/>
            </w:tcBorders>
            <w:shd w:val="clear" w:color="auto" w:fill="auto"/>
            <w:vAlign w:val="center"/>
            <w:hideMark/>
          </w:tcPr>
          <w:p w14:paraId="500DE828" w14:textId="77777777" w:rsidR="008F74A0" w:rsidRPr="008F74A0" w:rsidRDefault="008F74A0" w:rsidP="005F762C">
            <w:pPr>
              <w:spacing w:after="0" w:line="240" w:lineRule="auto"/>
              <w:rPr>
                <w:rFonts w:eastAsia="Times New Roman" w:cs="Arial"/>
                <w:sz w:val="18"/>
                <w:szCs w:val="18"/>
                <w:lang w:eastAsia="cs-CZ"/>
              </w:rPr>
            </w:pPr>
          </w:p>
        </w:tc>
        <w:tc>
          <w:tcPr>
            <w:tcW w:w="162" w:type="pct"/>
            <w:tcBorders>
              <w:top w:val="single" w:sz="8" w:space="0" w:color="80A1B6"/>
              <w:left w:val="nil"/>
              <w:bottom w:val="single" w:sz="8" w:space="0" w:color="80A1B6"/>
              <w:right w:val="single" w:sz="8" w:space="0" w:color="80A1B6"/>
            </w:tcBorders>
            <w:shd w:val="clear" w:color="auto" w:fill="auto"/>
            <w:vAlign w:val="center"/>
            <w:hideMark/>
          </w:tcPr>
          <w:p w14:paraId="40901774" w14:textId="77777777" w:rsidR="008F74A0" w:rsidRPr="008F74A0" w:rsidRDefault="008F74A0" w:rsidP="005F762C">
            <w:pPr>
              <w:spacing w:after="0" w:line="240" w:lineRule="auto"/>
              <w:rPr>
                <w:rFonts w:eastAsia="Times New Roman" w:cs="Arial"/>
                <w:sz w:val="18"/>
                <w:szCs w:val="18"/>
                <w:lang w:eastAsia="cs-CZ"/>
              </w:rPr>
            </w:pPr>
          </w:p>
        </w:tc>
        <w:tc>
          <w:tcPr>
            <w:tcW w:w="157" w:type="pct"/>
            <w:tcBorders>
              <w:top w:val="single" w:sz="8" w:space="0" w:color="80A1B6"/>
              <w:left w:val="nil"/>
              <w:bottom w:val="single" w:sz="8" w:space="0" w:color="80A1B6"/>
              <w:right w:val="single" w:sz="8" w:space="0" w:color="80A1B6"/>
            </w:tcBorders>
            <w:shd w:val="clear" w:color="auto" w:fill="auto"/>
            <w:vAlign w:val="center"/>
            <w:hideMark/>
          </w:tcPr>
          <w:p w14:paraId="72E09D92" w14:textId="77777777" w:rsidR="008F74A0" w:rsidRPr="008F74A0" w:rsidRDefault="008F74A0" w:rsidP="005F762C">
            <w:pPr>
              <w:spacing w:after="0" w:line="240" w:lineRule="auto"/>
              <w:rPr>
                <w:rFonts w:eastAsia="Times New Roman" w:cs="Arial"/>
                <w:sz w:val="18"/>
                <w:szCs w:val="18"/>
                <w:lang w:eastAsia="cs-CZ"/>
              </w:rPr>
            </w:pPr>
          </w:p>
        </w:tc>
        <w:tc>
          <w:tcPr>
            <w:tcW w:w="216" w:type="pct"/>
            <w:tcBorders>
              <w:top w:val="single" w:sz="8" w:space="0" w:color="80A1B6"/>
              <w:left w:val="nil"/>
              <w:bottom w:val="single" w:sz="8" w:space="0" w:color="80A1B6"/>
              <w:right w:val="single" w:sz="8" w:space="0" w:color="80A1B6"/>
            </w:tcBorders>
            <w:shd w:val="clear" w:color="auto" w:fill="auto"/>
            <w:vAlign w:val="center"/>
            <w:hideMark/>
          </w:tcPr>
          <w:p w14:paraId="2E09E17A"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single" w:sz="8" w:space="0" w:color="80A1B6"/>
              <w:left w:val="nil"/>
              <w:bottom w:val="single" w:sz="8" w:space="0" w:color="80A1B6"/>
              <w:right w:val="single" w:sz="8" w:space="0" w:color="80A1B6"/>
            </w:tcBorders>
            <w:shd w:val="clear" w:color="auto" w:fill="auto"/>
            <w:vAlign w:val="center"/>
            <w:hideMark/>
          </w:tcPr>
          <w:p w14:paraId="4C1BCD7A"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single" w:sz="8" w:space="0" w:color="80A1B6"/>
              <w:left w:val="nil"/>
              <w:bottom w:val="single" w:sz="8" w:space="0" w:color="80A1B6"/>
              <w:right w:val="single" w:sz="8" w:space="0" w:color="80A1B6"/>
            </w:tcBorders>
            <w:shd w:val="clear" w:color="auto" w:fill="auto"/>
            <w:vAlign w:val="center"/>
            <w:hideMark/>
          </w:tcPr>
          <w:p w14:paraId="61A69816"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single" w:sz="8" w:space="0" w:color="80A1B6"/>
              <w:left w:val="nil"/>
              <w:bottom w:val="single" w:sz="8" w:space="0" w:color="80A1B6"/>
              <w:right w:val="single" w:sz="8" w:space="0" w:color="80A1B6"/>
            </w:tcBorders>
            <w:shd w:val="clear" w:color="auto" w:fill="auto"/>
            <w:vAlign w:val="center"/>
            <w:hideMark/>
          </w:tcPr>
          <w:p w14:paraId="4F256ADE"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single" w:sz="8" w:space="0" w:color="80A1B6"/>
              <w:left w:val="nil"/>
              <w:bottom w:val="single" w:sz="8" w:space="0" w:color="80A1B6"/>
              <w:right w:val="single" w:sz="8" w:space="0" w:color="80A1B6"/>
            </w:tcBorders>
            <w:shd w:val="clear" w:color="auto" w:fill="auto"/>
            <w:vAlign w:val="center"/>
            <w:hideMark/>
          </w:tcPr>
          <w:p w14:paraId="6981AF8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1 785,19</w:t>
            </w:r>
          </w:p>
        </w:tc>
        <w:tc>
          <w:tcPr>
            <w:tcW w:w="243" w:type="pct"/>
            <w:tcBorders>
              <w:top w:val="single" w:sz="8" w:space="0" w:color="80A1B6"/>
              <w:left w:val="nil"/>
              <w:bottom w:val="single" w:sz="8" w:space="0" w:color="80A1B6"/>
              <w:right w:val="single" w:sz="8" w:space="0" w:color="80A1B6"/>
            </w:tcBorders>
            <w:shd w:val="clear" w:color="auto" w:fill="auto"/>
            <w:vAlign w:val="center"/>
            <w:hideMark/>
          </w:tcPr>
          <w:p w14:paraId="2F387317"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1 869</w:t>
            </w:r>
          </w:p>
        </w:tc>
        <w:tc>
          <w:tcPr>
            <w:tcW w:w="242" w:type="pct"/>
            <w:tcBorders>
              <w:top w:val="single" w:sz="8" w:space="0" w:color="80A1B6"/>
              <w:left w:val="nil"/>
              <w:bottom w:val="single" w:sz="8" w:space="0" w:color="80A1B6"/>
              <w:right w:val="single" w:sz="8" w:space="0" w:color="80A1B6"/>
            </w:tcBorders>
            <w:shd w:val="clear" w:color="auto" w:fill="auto"/>
            <w:vAlign w:val="center"/>
            <w:hideMark/>
          </w:tcPr>
          <w:p w14:paraId="23A3FC0B"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283,33</w:t>
            </w:r>
          </w:p>
        </w:tc>
        <w:tc>
          <w:tcPr>
            <w:tcW w:w="167" w:type="pct"/>
            <w:tcBorders>
              <w:top w:val="single" w:sz="8" w:space="0" w:color="80A1B6"/>
              <w:left w:val="nil"/>
              <w:bottom w:val="single" w:sz="8" w:space="0" w:color="80A1B6"/>
              <w:right w:val="single" w:sz="8" w:space="0" w:color="80A1B6"/>
            </w:tcBorders>
            <w:shd w:val="clear" w:color="auto" w:fill="auto"/>
            <w:vAlign w:val="center"/>
            <w:hideMark/>
          </w:tcPr>
          <w:p w14:paraId="6508FEC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116,67</w:t>
            </w:r>
          </w:p>
        </w:tc>
        <w:tc>
          <w:tcPr>
            <w:tcW w:w="136" w:type="pct"/>
            <w:tcBorders>
              <w:top w:val="single" w:sz="8" w:space="0" w:color="80A1B6"/>
              <w:left w:val="nil"/>
              <w:bottom w:val="single" w:sz="8" w:space="0" w:color="80A1B6"/>
              <w:right w:val="single" w:sz="8" w:space="0" w:color="80A1B6"/>
            </w:tcBorders>
            <w:shd w:val="clear" w:color="auto" w:fill="auto"/>
            <w:vAlign w:val="center"/>
            <w:hideMark/>
          </w:tcPr>
          <w:p w14:paraId="2523B8EB" w14:textId="77777777" w:rsidR="008F74A0" w:rsidRPr="008F74A0" w:rsidRDefault="008F74A0" w:rsidP="005F762C">
            <w:pPr>
              <w:spacing w:after="0" w:line="240" w:lineRule="auto"/>
              <w:rPr>
                <w:sz w:val="18"/>
                <w:szCs w:val="18"/>
              </w:rPr>
            </w:pPr>
            <w:r w:rsidRPr="008F74A0">
              <w:rPr>
                <w:sz w:val="18"/>
                <w:szCs w:val="18"/>
              </w:rPr>
              <w:t>229</w:t>
            </w:r>
          </w:p>
        </w:tc>
        <w:tc>
          <w:tcPr>
            <w:tcW w:w="142" w:type="pct"/>
            <w:tcBorders>
              <w:top w:val="single" w:sz="8" w:space="0" w:color="80A1B6"/>
              <w:left w:val="nil"/>
              <w:bottom w:val="single" w:sz="8" w:space="0" w:color="80A1B6"/>
              <w:right w:val="single" w:sz="8" w:space="0" w:color="80A1B6"/>
            </w:tcBorders>
            <w:shd w:val="clear" w:color="auto" w:fill="auto"/>
            <w:vAlign w:val="center"/>
            <w:hideMark/>
          </w:tcPr>
          <w:p w14:paraId="6679DCEB" w14:textId="77777777" w:rsidR="008F74A0" w:rsidRPr="008F74A0" w:rsidRDefault="008F74A0" w:rsidP="005F762C">
            <w:pPr>
              <w:spacing w:after="0" w:line="240" w:lineRule="auto"/>
              <w:rPr>
                <w:sz w:val="18"/>
                <w:szCs w:val="18"/>
              </w:rPr>
            </w:pPr>
            <w:r w:rsidRPr="008F74A0">
              <w:rPr>
                <w:sz w:val="18"/>
                <w:szCs w:val="18"/>
              </w:rPr>
              <w:t>40</w:t>
            </w:r>
          </w:p>
        </w:tc>
        <w:tc>
          <w:tcPr>
            <w:tcW w:w="920" w:type="pct"/>
            <w:tcBorders>
              <w:top w:val="single" w:sz="8" w:space="0" w:color="80A1B6"/>
              <w:left w:val="nil"/>
              <w:bottom w:val="single" w:sz="8" w:space="0" w:color="80A1B6"/>
              <w:right w:val="single" w:sz="8" w:space="0" w:color="80A1B6"/>
            </w:tcBorders>
            <w:shd w:val="clear" w:color="auto" w:fill="auto"/>
            <w:hideMark/>
          </w:tcPr>
          <w:p w14:paraId="6C1D237F"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SmAcc, VTP - Vědecko - technický park, Výstavba a provoz VaV center - veřejné služby JAIP, Stipendia - Stipendijní motivační program pro studenty středních škol ve vybraných učebních oborech, podpora studentů vysokých škol, podpora spolupráce s firmami, Aktivity v Akčním plánu na podporu technického vzdělávání, Inovační vouchery, Výstavy a veletrhy - Výstava CERN</w:t>
            </w:r>
          </w:p>
        </w:tc>
        <w:tc>
          <w:tcPr>
            <w:tcW w:w="903" w:type="pct"/>
            <w:tcBorders>
              <w:top w:val="single" w:sz="8" w:space="0" w:color="80A1B6"/>
              <w:left w:val="nil"/>
              <w:bottom w:val="single" w:sz="8" w:space="0" w:color="80A1B6"/>
              <w:right w:val="single" w:sz="8" w:space="0" w:color="80A1B6"/>
            </w:tcBorders>
            <w:shd w:val="clear" w:color="auto" w:fill="auto"/>
          </w:tcPr>
          <w:p w14:paraId="34E7B034"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Inovační vouchery; stipendia - Stipendijní motivační program pro žáky středních škol ve vybraných učebních oborech, podpora žáků vysokých škol, podpora spolupráce s firmami; vědecko-technický park</w:t>
            </w:r>
          </w:p>
        </w:tc>
      </w:tr>
      <w:tr w:rsidR="008F74A0" w:rsidRPr="005028B8" w14:paraId="2BA8BFBE" w14:textId="77777777" w:rsidTr="005F762C">
        <w:trPr>
          <w:trHeight w:val="1185"/>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69695523"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Jihomoravský</w:t>
            </w:r>
          </w:p>
        </w:tc>
        <w:tc>
          <w:tcPr>
            <w:tcW w:w="246" w:type="pct"/>
            <w:tcBorders>
              <w:top w:val="nil"/>
              <w:left w:val="nil"/>
              <w:bottom w:val="single" w:sz="8" w:space="0" w:color="80A1B6"/>
              <w:right w:val="single" w:sz="8" w:space="0" w:color="80A1B6"/>
            </w:tcBorders>
            <w:shd w:val="clear" w:color="auto" w:fill="auto"/>
            <w:vAlign w:val="center"/>
            <w:hideMark/>
          </w:tcPr>
          <w:p w14:paraId="08F4113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367 629,63</w:t>
            </w:r>
          </w:p>
        </w:tc>
        <w:tc>
          <w:tcPr>
            <w:tcW w:w="226" w:type="pct"/>
            <w:tcBorders>
              <w:top w:val="nil"/>
              <w:left w:val="nil"/>
              <w:bottom w:val="single" w:sz="8" w:space="0" w:color="80A1B6"/>
              <w:right w:val="single" w:sz="8" w:space="0" w:color="80A1B6"/>
            </w:tcBorders>
            <w:shd w:val="clear" w:color="auto" w:fill="auto"/>
            <w:vAlign w:val="center"/>
            <w:hideMark/>
          </w:tcPr>
          <w:p w14:paraId="1645E565"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74 333,33</w:t>
            </w:r>
          </w:p>
        </w:tc>
        <w:tc>
          <w:tcPr>
            <w:tcW w:w="162" w:type="pct"/>
            <w:tcBorders>
              <w:top w:val="nil"/>
              <w:left w:val="nil"/>
              <w:bottom w:val="single" w:sz="8" w:space="0" w:color="80A1B6"/>
              <w:right w:val="single" w:sz="8" w:space="0" w:color="80A1B6"/>
            </w:tcBorders>
            <w:shd w:val="clear" w:color="auto" w:fill="auto"/>
            <w:vAlign w:val="center"/>
            <w:hideMark/>
          </w:tcPr>
          <w:p w14:paraId="127E08D2" w14:textId="77777777" w:rsidR="008F74A0" w:rsidRPr="008F74A0" w:rsidRDefault="008F74A0" w:rsidP="005F762C">
            <w:pPr>
              <w:spacing w:after="0" w:line="240" w:lineRule="auto"/>
              <w:rPr>
                <w:rFonts w:eastAsia="Times New Roman" w:cs="Arial"/>
                <w:sz w:val="18"/>
                <w:szCs w:val="18"/>
                <w:lang w:eastAsia="cs-CZ"/>
              </w:rPr>
            </w:pPr>
          </w:p>
        </w:tc>
        <w:tc>
          <w:tcPr>
            <w:tcW w:w="157" w:type="pct"/>
            <w:tcBorders>
              <w:top w:val="nil"/>
              <w:left w:val="nil"/>
              <w:bottom w:val="single" w:sz="8" w:space="0" w:color="80A1B6"/>
              <w:right w:val="single" w:sz="8" w:space="0" w:color="80A1B6"/>
            </w:tcBorders>
            <w:shd w:val="clear" w:color="auto" w:fill="auto"/>
            <w:vAlign w:val="center"/>
            <w:hideMark/>
          </w:tcPr>
          <w:p w14:paraId="08250B74" w14:textId="77777777" w:rsidR="008F74A0" w:rsidRPr="008F74A0" w:rsidRDefault="008F74A0" w:rsidP="005F762C">
            <w:pPr>
              <w:spacing w:after="0" w:line="240" w:lineRule="auto"/>
              <w:rPr>
                <w:rFonts w:eastAsia="Times New Roman" w:cs="Arial"/>
                <w:sz w:val="18"/>
                <w:szCs w:val="18"/>
                <w:lang w:eastAsia="cs-CZ"/>
              </w:rPr>
            </w:pPr>
          </w:p>
        </w:tc>
        <w:tc>
          <w:tcPr>
            <w:tcW w:w="216" w:type="pct"/>
            <w:tcBorders>
              <w:top w:val="nil"/>
              <w:left w:val="nil"/>
              <w:bottom w:val="single" w:sz="8" w:space="0" w:color="80A1B6"/>
              <w:right w:val="single" w:sz="8" w:space="0" w:color="80A1B6"/>
            </w:tcBorders>
            <w:shd w:val="clear" w:color="auto" w:fill="auto"/>
            <w:vAlign w:val="center"/>
            <w:hideMark/>
          </w:tcPr>
          <w:p w14:paraId="1035063C"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nil"/>
              <w:left w:val="nil"/>
              <w:bottom w:val="single" w:sz="8" w:space="0" w:color="80A1B6"/>
              <w:right w:val="single" w:sz="8" w:space="0" w:color="80A1B6"/>
            </w:tcBorders>
            <w:shd w:val="clear" w:color="auto" w:fill="auto"/>
            <w:vAlign w:val="center"/>
            <w:hideMark/>
          </w:tcPr>
          <w:p w14:paraId="5D3CDBE6"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02CCF7ED"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nil"/>
              <w:left w:val="nil"/>
              <w:bottom w:val="single" w:sz="8" w:space="0" w:color="80A1B6"/>
              <w:right w:val="single" w:sz="8" w:space="0" w:color="80A1B6"/>
            </w:tcBorders>
            <w:shd w:val="clear" w:color="auto" w:fill="auto"/>
            <w:vAlign w:val="center"/>
            <w:hideMark/>
          </w:tcPr>
          <w:p w14:paraId="0C4FEBC2"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71142ED8"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13 407,41</w:t>
            </w:r>
          </w:p>
        </w:tc>
        <w:tc>
          <w:tcPr>
            <w:tcW w:w="243" w:type="pct"/>
            <w:tcBorders>
              <w:top w:val="nil"/>
              <w:left w:val="nil"/>
              <w:bottom w:val="single" w:sz="8" w:space="0" w:color="80A1B6"/>
              <w:right w:val="single" w:sz="8" w:space="0" w:color="80A1B6"/>
            </w:tcBorders>
            <w:shd w:val="clear" w:color="auto" w:fill="auto"/>
            <w:vAlign w:val="center"/>
            <w:hideMark/>
          </w:tcPr>
          <w:p w14:paraId="2E55FC3D"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14 366</w:t>
            </w:r>
          </w:p>
        </w:tc>
        <w:tc>
          <w:tcPr>
            <w:tcW w:w="242" w:type="pct"/>
            <w:tcBorders>
              <w:top w:val="nil"/>
              <w:left w:val="nil"/>
              <w:bottom w:val="single" w:sz="8" w:space="0" w:color="80A1B6"/>
              <w:right w:val="single" w:sz="8" w:space="0" w:color="80A1B6"/>
            </w:tcBorders>
            <w:shd w:val="clear" w:color="auto" w:fill="auto"/>
            <w:vAlign w:val="center"/>
            <w:hideMark/>
          </w:tcPr>
          <w:p w14:paraId="33BA6A61"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2 471,48</w:t>
            </w:r>
          </w:p>
        </w:tc>
        <w:tc>
          <w:tcPr>
            <w:tcW w:w="167" w:type="pct"/>
            <w:tcBorders>
              <w:top w:val="nil"/>
              <w:left w:val="nil"/>
              <w:bottom w:val="single" w:sz="8" w:space="0" w:color="80A1B6"/>
              <w:right w:val="single" w:sz="8" w:space="0" w:color="80A1B6"/>
            </w:tcBorders>
            <w:shd w:val="clear" w:color="auto" w:fill="auto"/>
            <w:vAlign w:val="center"/>
            <w:hideMark/>
          </w:tcPr>
          <w:p w14:paraId="118FEA40"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370,37</w:t>
            </w:r>
          </w:p>
        </w:tc>
        <w:tc>
          <w:tcPr>
            <w:tcW w:w="136" w:type="pct"/>
            <w:tcBorders>
              <w:top w:val="nil"/>
              <w:left w:val="nil"/>
              <w:bottom w:val="single" w:sz="8" w:space="0" w:color="80A1B6"/>
              <w:right w:val="single" w:sz="8" w:space="0" w:color="80A1B6"/>
            </w:tcBorders>
            <w:shd w:val="clear" w:color="auto" w:fill="auto"/>
            <w:vAlign w:val="center"/>
            <w:hideMark/>
          </w:tcPr>
          <w:p w14:paraId="591A5903" w14:textId="205C81F8" w:rsidR="008F74A0" w:rsidRPr="008F74A0" w:rsidRDefault="008F74A0" w:rsidP="005F762C">
            <w:pPr>
              <w:spacing w:after="0" w:line="240" w:lineRule="auto"/>
              <w:rPr>
                <w:rFonts w:eastAsia="Times New Roman" w:cs="Arial"/>
                <w:sz w:val="18"/>
                <w:szCs w:val="18"/>
                <w:lang w:eastAsia="cs-CZ"/>
              </w:rPr>
            </w:pPr>
            <w:r w:rsidRPr="008F74A0">
              <w:rPr>
                <w:sz w:val="18"/>
                <w:szCs w:val="18"/>
              </w:rPr>
              <w:t>1</w:t>
            </w:r>
            <w:r w:rsidR="00084BF4">
              <w:rPr>
                <w:sz w:val="18"/>
                <w:szCs w:val="18"/>
              </w:rPr>
              <w:t xml:space="preserve"> </w:t>
            </w:r>
            <w:r w:rsidRPr="008F74A0">
              <w:rPr>
                <w:sz w:val="18"/>
                <w:szCs w:val="18"/>
              </w:rPr>
              <w:t>268</w:t>
            </w:r>
          </w:p>
        </w:tc>
        <w:tc>
          <w:tcPr>
            <w:tcW w:w="142" w:type="pct"/>
            <w:tcBorders>
              <w:top w:val="nil"/>
              <w:left w:val="nil"/>
              <w:bottom w:val="single" w:sz="8" w:space="0" w:color="80A1B6"/>
              <w:right w:val="single" w:sz="8" w:space="0" w:color="80A1B6"/>
            </w:tcBorders>
            <w:shd w:val="clear" w:color="auto" w:fill="auto"/>
            <w:vAlign w:val="center"/>
            <w:hideMark/>
          </w:tcPr>
          <w:p w14:paraId="62D5B808"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262</w:t>
            </w:r>
          </w:p>
        </w:tc>
        <w:tc>
          <w:tcPr>
            <w:tcW w:w="920" w:type="pct"/>
            <w:tcBorders>
              <w:top w:val="single" w:sz="8" w:space="0" w:color="80A1B6"/>
              <w:left w:val="nil"/>
              <w:bottom w:val="single" w:sz="8" w:space="0" w:color="80A1B6"/>
              <w:right w:val="single" w:sz="8" w:space="0" w:color="80A1B6"/>
            </w:tcBorders>
            <w:shd w:val="clear" w:color="auto" w:fill="auto"/>
            <w:hideMark/>
          </w:tcPr>
          <w:p w14:paraId="3C01F2FB"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SmAcc, Spolufinancování projektů z OP PIK, Spolufinancování projektů z OP VVV, Mobilita výzkumníků, Stálé expozice a zařízení, Výstavy a veletrhy, JIC, Jihomoravské centrum pro mezinárodní mobilitu, RRA - regionální rozvojová agentura, jiné, Ostatní - Projekty OPPI, ROP, OP VaVpI, OP VK atp., Stipendia - Doktorandi, Stipendia - Ostatní, Inovační vouchery, Popularizace, propagace a marketing VVI, Spolufinancování projektů z dalších OP souvisejících s RIS3 strategií</w:t>
            </w:r>
          </w:p>
        </w:tc>
        <w:tc>
          <w:tcPr>
            <w:tcW w:w="903" w:type="pct"/>
            <w:tcBorders>
              <w:top w:val="single" w:sz="8" w:space="0" w:color="80A1B6"/>
              <w:left w:val="nil"/>
              <w:bottom w:val="single" w:sz="8" w:space="0" w:color="80A1B6"/>
              <w:right w:val="single" w:sz="8" w:space="0" w:color="80A1B6"/>
            </w:tcBorders>
            <w:shd w:val="clear" w:color="auto" w:fill="auto"/>
          </w:tcPr>
          <w:p w14:paraId="31D36C7D"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JIC; Junior Reseach Group Leadership; stipendia, mobilita výzkumníků - SoMoPro3; Brnopolis Brno Expat Centre; inovační vouchery; služby inovačním firmám, start-upům aj. - ESA BIC Brno</w:t>
            </w:r>
          </w:p>
          <w:p w14:paraId="16F5C111" w14:textId="77777777" w:rsidR="008F74A0" w:rsidRPr="008F74A0" w:rsidRDefault="008F74A0" w:rsidP="005F762C">
            <w:pPr>
              <w:rPr>
                <w:rFonts w:eastAsia="Times New Roman" w:cs="Arial"/>
                <w:sz w:val="18"/>
                <w:szCs w:val="18"/>
                <w:lang w:eastAsia="cs-CZ"/>
              </w:rPr>
            </w:pPr>
          </w:p>
          <w:p w14:paraId="6CFC71DB" w14:textId="77777777" w:rsidR="008F74A0" w:rsidRPr="008F74A0" w:rsidRDefault="008F74A0" w:rsidP="005F762C">
            <w:pPr>
              <w:ind w:firstLine="708"/>
              <w:rPr>
                <w:rFonts w:eastAsia="Times New Roman" w:cs="Arial"/>
                <w:sz w:val="18"/>
                <w:szCs w:val="18"/>
                <w:lang w:eastAsia="cs-CZ"/>
              </w:rPr>
            </w:pPr>
          </w:p>
        </w:tc>
      </w:tr>
      <w:tr w:rsidR="008F74A0" w:rsidRPr="005028B8" w14:paraId="4338BD40" w14:textId="77777777" w:rsidTr="005F762C">
        <w:trPr>
          <w:trHeight w:val="301"/>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03D0A622"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Karlovarský</w:t>
            </w:r>
          </w:p>
        </w:tc>
        <w:tc>
          <w:tcPr>
            <w:tcW w:w="246" w:type="pct"/>
            <w:tcBorders>
              <w:top w:val="nil"/>
              <w:left w:val="nil"/>
              <w:bottom w:val="single" w:sz="8" w:space="0" w:color="80A1B6"/>
              <w:right w:val="single" w:sz="8" w:space="0" w:color="80A1B6"/>
            </w:tcBorders>
            <w:shd w:val="clear" w:color="auto" w:fill="auto"/>
            <w:vAlign w:val="center"/>
          </w:tcPr>
          <w:p w14:paraId="76820C1D" w14:textId="77777777" w:rsidR="008F74A0" w:rsidRPr="008F74A0" w:rsidRDefault="008F74A0" w:rsidP="005F762C">
            <w:pPr>
              <w:spacing w:after="0" w:line="240" w:lineRule="auto"/>
              <w:rPr>
                <w:rFonts w:eastAsia="Times New Roman" w:cs="Arial"/>
                <w:sz w:val="18"/>
                <w:szCs w:val="18"/>
                <w:lang w:eastAsia="cs-CZ"/>
              </w:rPr>
            </w:pPr>
          </w:p>
        </w:tc>
        <w:tc>
          <w:tcPr>
            <w:tcW w:w="226" w:type="pct"/>
            <w:tcBorders>
              <w:top w:val="nil"/>
              <w:left w:val="nil"/>
              <w:bottom w:val="single" w:sz="8" w:space="0" w:color="80A1B6"/>
              <w:right w:val="single" w:sz="8" w:space="0" w:color="80A1B6"/>
            </w:tcBorders>
            <w:shd w:val="clear" w:color="auto" w:fill="auto"/>
            <w:vAlign w:val="center"/>
          </w:tcPr>
          <w:p w14:paraId="7617A35A" w14:textId="77777777" w:rsidR="008F74A0" w:rsidRPr="008F74A0" w:rsidRDefault="008F74A0" w:rsidP="005F762C">
            <w:pPr>
              <w:spacing w:after="0" w:line="240" w:lineRule="auto"/>
              <w:rPr>
                <w:rFonts w:eastAsia="Times New Roman" w:cs="Arial"/>
                <w:sz w:val="18"/>
                <w:szCs w:val="18"/>
                <w:lang w:eastAsia="cs-CZ"/>
              </w:rPr>
            </w:pPr>
          </w:p>
        </w:tc>
        <w:tc>
          <w:tcPr>
            <w:tcW w:w="162" w:type="pct"/>
            <w:tcBorders>
              <w:top w:val="nil"/>
              <w:left w:val="nil"/>
              <w:bottom w:val="single" w:sz="8" w:space="0" w:color="80A1B6"/>
              <w:right w:val="single" w:sz="8" w:space="0" w:color="80A1B6"/>
            </w:tcBorders>
            <w:shd w:val="clear" w:color="auto" w:fill="auto"/>
            <w:vAlign w:val="center"/>
          </w:tcPr>
          <w:p w14:paraId="03E2A66A"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418</w:t>
            </w:r>
          </w:p>
        </w:tc>
        <w:tc>
          <w:tcPr>
            <w:tcW w:w="157" w:type="pct"/>
            <w:tcBorders>
              <w:top w:val="nil"/>
              <w:left w:val="nil"/>
              <w:bottom w:val="single" w:sz="8" w:space="0" w:color="80A1B6"/>
              <w:right w:val="single" w:sz="8" w:space="0" w:color="80A1B6"/>
            </w:tcBorders>
            <w:shd w:val="clear" w:color="auto" w:fill="auto"/>
            <w:vAlign w:val="center"/>
          </w:tcPr>
          <w:p w14:paraId="2916E795"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854</w:t>
            </w:r>
          </w:p>
        </w:tc>
        <w:tc>
          <w:tcPr>
            <w:tcW w:w="216" w:type="pct"/>
            <w:tcBorders>
              <w:top w:val="nil"/>
              <w:left w:val="nil"/>
              <w:bottom w:val="single" w:sz="8" w:space="0" w:color="80A1B6"/>
              <w:right w:val="single" w:sz="8" w:space="0" w:color="80A1B6"/>
            </w:tcBorders>
            <w:shd w:val="clear" w:color="auto" w:fill="auto"/>
            <w:vAlign w:val="center"/>
          </w:tcPr>
          <w:p w14:paraId="6EBF0602"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nil"/>
              <w:left w:val="nil"/>
              <w:bottom w:val="single" w:sz="8" w:space="0" w:color="80A1B6"/>
              <w:right w:val="single" w:sz="8" w:space="0" w:color="80A1B6"/>
            </w:tcBorders>
            <w:shd w:val="clear" w:color="auto" w:fill="auto"/>
            <w:vAlign w:val="center"/>
          </w:tcPr>
          <w:p w14:paraId="3156747C" w14:textId="762D1424" w:rsidR="008F74A0" w:rsidRPr="008F74A0" w:rsidRDefault="00381DD3" w:rsidP="005F762C">
            <w:pPr>
              <w:spacing w:after="0" w:line="240" w:lineRule="auto"/>
              <w:rPr>
                <w:rFonts w:eastAsia="Times New Roman" w:cs="Arial"/>
                <w:sz w:val="18"/>
                <w:szCs w:val="18"/>
                <w:lang w:eastAsia="cs-CZ"/>
              </w:rPr>
            </w:pPr>
            <w:r>
              <w:rPr>
                <w:rFonts w:eastAsia="Times New Roman" w:cs="Arial"/>
                <w:sz w:val="18"/>
                <w:szCs w:val="18"/>
                <w:lang w:eastAsia="cs-CZ"/>
              </w:rPr>
              <w:t>9</w:t>
            </w:r>
          </w:p>
        </w:tc>
        <w:tc>
          <w:tcPr>
            <w:tcW w:w="242" w:type="pct"/>
            <w:tcBorders>
              <w:top w:val="nil"/>
              <w:left w:val="nil"/>
              <w:bottom w:val="single" w:sz="8" w:space="0" w:color="80A1B6"/>
              <w:right w:val="single" w:sz="8" w:space="0" w:color="80A1B6"/>
            </w:tcBorders>
            <w:shd w:val="clear" w:color="auto" w:fill="auto"/>
            <w:vAlign w:val="center"/>
          </w:tcPr>
          <w:p w14:paraId="5CBF9954"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nil"/>
              <w:left w:val="nil"/>
              <w:bottom w:val="single" w:sz="8" w:space="0" w:color="80A1B6"/>
              <w:right w:val="single" w:sz="8" w:space="0" w:color="80A1B6"/>
            </w:tcBorders>
            <w:shd w:val="clear" w:color="auto" w:fill="auto"/>
            <w:vAlign w:val="center"/>
          </w:tcPr>
          <w:p w14:paraId="3D6A1504"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tcPr>
          <w:p w14:paraId="29B50AB4"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533,74</w:t>
            </w:r>
          </w:p>
        </w:tc>
        <w:tc>
          <w:tcPr>
            <w:tcW w:w="243" w:type="pct"/>
            <w:tcBorders>
              <w:top w:val="nil"/>
              <w:left w:val="nil"/>
              <w:bottom w:val="single" w:sz="8" w:space="0" w:color="80A1B6"/>
              <w:right w:val="single" w:sz="8" w:space="0" w:color="80A1B6"/>
            </w:tcBorders>
            <w:shd w:val="clear" w:color="auto" w:fill="auto"/>
            <w:vAlign w:val="center"/>
          </w:tcPr>
          <w:p w14:paraId="21686379"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tcPr>
          <w:p w14:paraId="3CBCE8C2"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282,59</w:t>
            </w:r>
          </w:p>
        </w:tc>
        <w:tc>
          <w:tcPr>
            <w:tcW w:w="167" w:type="pct"/>
            <w:tcBorders>
              <w:top w:val="nil"/>
              <w:left w:val="nil"/>
              <w:bottom w:val="single" w:sz="8" w:space="0" w:color="80A1B6"/>
              <w:right w:val="single" w:sz="8" w:space="0" w:color="80A1B6"/>
            </w:tcBorders>
            <w:shd w:val="clear" w:color="auto" w:fill="auto"/>
            <w:vAlign w:val="center"/>
          </w:tcPr>
          <w:p w14:paraId="363A1F1D"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50</w:t>
            </w:r>
          </w:p>
        </w:tc>
        <w:tc>
          <w:tcPr>
            <w:tcW w:w="136" w:type="pct"/>
            <w:tcBorders>
              <w:top w:val="nil"/>
              <w:left w:val="nil"/>
              <w:bottom w:val="single" w:sz="8" w:space="0" w:color="80A1B6"/>
              <w:right w:val="single" w:sz="8" w:space="0" w:color="80A1B6"/>
            </w:tcBorders>
            <w:shd w:val="clear" w:color="auto" w:fill="auto"/>
            <w:vAlign w:val="center"/>
          </w:tcPr>
          <w:p w14:paraId="6EC85DB2"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39</w:t>
            </w:r>
          </w:p>
        </w:tc>
        <w:tc>
          <w:tcPr>
            <w:tcW w:w="142" w:type="pct"/>
            <w:tcBorders>
              <w:top w:val="nil"/>
              <w:left w:val="nil"/>
              <w:bottom w:val="single" w:sz="8" w:space="0" w:color="80A1B6"/>
              <w:right w:val="single" w:sz="8" w:space="0" w:color="80A1B6"/>
            </w:tcBorders>
            <w:shd w:val="clear" w:color="auto" w:fill="auto"/>
            <w:vAlign w:val="center"/>
          </w:tcPr>
          <w:p w14:paraId="17BF5E6B"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7</w:t>
            </w:r>
          </w:p>
        </w:tc>
        <w:tc>
          <w:tcPr>
            <w:tcW w:w="920" w:type="pct"/>
            <w:tcBorders>
              <w:top w:val="single" w:sz="8" w:space="0" w:color="80A1B6"/>
              <w:left w:val="nil"/>
              <w:bottom w:val="single" w:sz="8" w:space="0" w:color="80A1B6"/>
              <w:right w:val="single" w:sz="8" w:space="0" w:color="80A1B6"/>
            </w:tcBorders>
            <w:shd w:val="clear" w:color="auto" w:fill="auto"/>
            <w:hideMark/>
          </w:tcPr>
          <w:p w14:paraId="2395DFF4"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Spolufinancování projektů z OP VVV, Stipendia, Inovační vouchery, Výstavy a veletrhy </w:t>
            </w:r>
          </w:p>
        </w:tc>
        <w:tc>
          <w:tcPr>
            <w:tcW w:w="903" w:type="pct"/>
            <w:tcBorders>
              <w:top w:val="single" w:sz="8" w:space="0" w:color="80A1B6"/>
              <w:left w:val="nil"/>
              <w:bottom w:val="single" w:sz="8" w:space="0" w:color="80A1B6"/>
              <w:right w:val="single" w:sz="8" w:space="0" w:color="80A1B6"/>
            </w:tcBorders>
            <w:shd w:val="clear" w:color="auto" w:fill="auto"/>
          </w:tcPr>
          <w:p w14:paraId="47BD4624"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Regionální rozvojová agentura; stipendia - Stipendia pro žáky SŠ; pořízení strategických dokumentů kraje s dopadem na krajský inovační systém; Stipendia pro studenty VŠ; inovační vouchery</w:t>
            </w:r>
          </w:p>
        </w:tc>
      </w:tr>
      <w:tr w:rsidR="008F74A0" w:rsidRPr="005028B8" w14:paraId="283727F6" w14:textId="77777777" w:rsidTr="005F762C">
        <w:trPr>
          <w:trHeight w:val="450"/>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72C128D9"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Královohradecký</w:t>
            </w:r>
          </w:p>
        </w:tc>
        <w:tc>
          <w:tcPr>
            <w:tcW w:w="246" w:type="pct"/>
            <w:tcBorders>
              <w:top w:val="nil"/>
              <w:left w:val="nil"/>
              <w:bottom w:val="single" w:sz="8" w:space="0" w:color="80A1B6"/>
              <w:right w:val="single" w:sz="8" w:space="0" w:color="80A1B6"/>
            </w:tcBorders>
            <w:shd w:val="clear" w:color="auto" w:fill="auto"/>
            <w:vAlign w:val="center"/>
            <w:hideMark/>
          </w:tcPr>
          <w:p w14:paraId="7748FC8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3 255,93</w:t>
            </w:r>
          </w:p>
        </w:tc>
        <w:tc>
          <w:tcPr>
            <w:tcW w:w="226" w:type="pct"/>
            <w:tcBorders>
              <w:top w:val="nil"/>
              <w:left w:val="nil"/>
              <w:bottom w:val="single" w:sz="8" w:space="0" w:color="80A1B6"/>
              <w:right w:val="single" w:sz="8" w:space="0" w:color="80A1B6"/>
            </w:tcBorders>
            <w:shd w:val="clear" w:color="auto" w:fill="auto"/>
            <w:vAlign w:val="center"/>
            <w:hideMark/>
          </w:tcPr>
          <w:p w14:paraId="460D8078"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3 074,07</w:t>
            </w:r>
          </w:p>
        </w:tc>
        <w:tc>
          <w:tcPr>
            <w:tcW w:w="162" w:type="pct"/>
            <w:tcBorders>
              <w:top w:val="nil"/>
              <w:left w:val="nil"/>
              <w:bottom w:val="single" w:sz="8" w:space="0" w:color="80A1B6"/>
              <w:right w:val="single" w:sz="8" w:space="0" w:color="80A1B6"/>
            </w:tcBorders>
            <w:shd w:val="clear" w:color="auto" w:fill="auto"/>
            <w:vAlign w:val="center"/>
            <w:hideMark/>
          </w:tcPr>
          <w:p w14:paraId="0F064DF1" w14:textId="17F2C97C"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w:t>
            </w:r>
            <w:r w:rsidR="00084BF4">
              <w:rPr>
                <w:rFonts w:eastAsia="Times New Roman" w:cs="Arial"/>
                <w:sz w:val="18"/>
                <w:szCs w:val="18"/>
                <w:lang w:eastAsia="cs-CZ"/>
              </w:rPr>
              <w:t xml:space="preserve"> </w:t>
            </w:r>
            <w:r w:rsidRPr="008F74A0">
              <w:rPr>
                <w:rFonts w:eastAsia="Times New Roman" w:cs="Arial"/>
                <w:sz w:val="18"/>
                <w:szCs w:val="18"/>
                <w:lang w:eastAsia="cs-CZ"/>
              </w:rPr>
              <w:t>926</w:t>
            </w:r>
          </w:p>
        </w:tc>
        <w:tc>
          <w:tcPr>
            <w:tcW w:w="157" w:type="pct"/>
            <w:tcBorders>
              <w:top w:val="nil"/>
              <w:left w:val="nil"/>
              <w:bottom w:val="single" w:sz="8" w:space="0" w:color="80A1B6"/>
              <w:right w:val="single" w:sz="8" w:space="0" w:color="80A1B6"/>
            </w:tcBorders>
            <w:shd w:val="clear" w:color="auto" w:fill="auto"/>
            <w:vAlign w:val="center"/>
            <w:hideMark/>
          </w:tcPr>
          <w:p w14:paraId="7FE8E1ED" w14:textId="58284AF9"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w:t>
            </w:r>
            <w:r w:rsidR="00084BF4">
              <w:rPr>
                <w:rFonts w:eastAsia="Times New Roman" w:cs="Arial"/>
                <w:sz w:val="18"/>
                <w:szCs w:val="18"/>
                <w:lang w:eastAsia="cs-CZ"/>
              </w:rPr>
              <w:t xml:space="preserve"> </w:t>
            </w:r>
            <w:r w:rsidRPr="008F74A0">
              <w:rPr>
                <w:rFonts w:eastAsia="Times New Roman" w:cs="Arial"/>
                <w:sz w:val="18"/>
                <w:szCs w:val="18"/>
                <w:lang w:eastAsia="cs-CZ"/>
              </w:rPr>
              <w:t>476</w:t>
            </w:r>
          </w:p>
        </w:tc>
        <w:tc>
          <w:tcPr>
            <w:tcW w:w="216" w:type="pct"/>
            <w:tcBorders>
              <w:top w:val="nil"/>
              <w:left w:val="nil"/>
              <w:bottom w:val="single" w:sz="8" w:space="0" w:color="80A1B6"/>
              <w:right w:val="single" w:sz="8" w:space="0" w:color="80A1B6"/>
            </w:tcBorders>
            <w:shd w:val="clear" w:color="auto" w:fill="auto"/>
            <w:vAlign w:val="center"/>
            <w:hideMark/>
          </w:tcPr>
          <w:p w14:paraId="243036F6"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194</w:t>
            </w:r>
          </w:p>
        </w:tc>
        <w:tc>
          <w:tcPr>
            <w:tcW w:w="277" w:type="pct"/>
            <w:tcBorders>
              <w:top w:val="nil"/>
              <w:left w:val="nil"/>
              <w:bottom w:val="single" w:sz="8" w:space="0" w:color="80A1B6"/>
              <w:right w:val="single" w:sz="8" w:space="0" w:color="80A1B6"/>
            </w:tcBorders>
            <w:shd w:val="clear" w:color="auto" w:fill="auto"/>
            <w:vAlign w:val="center"/>
            <w:hideMark/>
          </w:tcPr>
          <w:p w14:paraId="68B94A90"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276E764B"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nil"/>
              <w:left w:val="nil"/>
              <w:bottom w:val="single" w:sz="8" w:space="0" w:color="80A1B6"/>
              <w:right w:val="single" w:sz="8" w:space="0" w:color="80A1B6"/>
            </w:tcBorders>
            <w:shd w:val="clear" w:color="auto" w:fill="auto"/>
            <w:vAlign w:val="center"/>
            <w:hideMark/>
          </w:tcPr>
          <w:p w14:paraId="53BCD803"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0EB7D0D9"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133,33</w:t>
            </w:r>
          </w:p>
        </w:tc>
        <w:tc>
          <w:tcPr>
            <w:tcW w:w="243" w:type="pct"/>
            <w:tcBorders>
              <w:top w:val="nil"/>
              <w:left w:val="nil"/>
              <w:bottom w:val="single" w:sz="8" w:space="0" w:color="80A1B6"/>
              <w:right w:val="single" w:sz="8" w:space="0" w:color="80A1B6"/>
            </w:tcBorders>
            <w:shd w:val="clear" w:color="auto" w:fill="auto"/>
            <w:vAlign w:val="center"/>
            <w:hideMark/>
          </w:tcPr>
          <w:p w14:paraId="3CD3BB92"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21CFA65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624,07</w:t>
            </w:r>
          </w:p>
        </w:tc>
        <w:tc>
          <w:tcPr>
            <w:tcW w:w="167" w:type="pct"/>
            <w:tcBorders>
              <w:top w:val="nil"/>
              <w:left w:val="nil"/>
              <w:bottom w:val="single" w:sz="8" w:space="0" w:color="80A1B6"/>
              <w:right w:val="single" w:sz="8" w:space="0" w:color="80A1B6"/>
            </w:tcBorders>
            <w:shd w:val="clear" w:color="auto" w:fill="auto"/>
            <w:vAlign w:val="center"/>
            <w:hideMark/>
          </w:tcPr>
          <w:p w14:paraId="362DD47D"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79,63</w:t>
            </w:r>
          </w:p>
        </w:tc>
        <w:tc>
          <w:tcPr>
            <w:tcW w:w="136" w:type="pct"/>
            <w:tcBorders>
              <w:top w:val="nil"/>
              <w:left w:val="nil"/>
              <w:bottom w:val="single" w:sz="8" w:space="0" w:color="80A1B6"/>
              <w:right w:val="single" w:sz="8" w:space="0" w:color="80A1B6"/>
            </w:tcBorders>
            <w:shd w:val="clear" w:color="auto" w:fill="auto"/>
            <w:vAlign w:val="center"/>
            <w:hideMark/>
          </w:tcPr>
          <w:p w14:paraId="173D9AAD"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98</w:t>
            </w:r>
          </w:p>
        </w:tc>
        <w:tc>
          <w:tcPr>
            <w:tcW w:w="142" w:type="pct"/>
            <w:tcBorders>
              <w:top w:val="nil"/>
              <w:left w:val="nil"/>
              <w:bottom w:val="single" w:sz="8" w:space="0" w:color="80A1B6"/>
              <w:right w:val="single" w:sz="8" w:space="0" w:color="80A1B6"/>
            </w:tcBorders>
            <w:shd w:val="clear" w:color="auto" w:fill="auto"/>
            <w:vAlign w:val="center"/>
            <w:hideMark/>
          </w:tcPr>
          <w:p w14:paraId="31639B77"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17</w:t>
            </w:r>
          </w:p>
        </w:tc>
        <w:tc>
          <w:tcPr>
            <w:tcW w:w="920" w:type="pct"/>
            <w:tcBorders>
              <w:top w:val="single" w:sz="8" w:space="0" w:color="80A1B6"/>
              <w:left w:val="nil"/>
              <w:bottom w:val="single" w:sz="8" w:space="0" w:color="80A1B6"/>
              <w:right w:val="single" w:sz="8" w:space="0" w:color="80A1B6"/>
            </w:tcBorders>
            <w:shd w:val="clear" w:color="auto" w:fill="auto"/>
            <w:hideMark/>
          </w:tcPr>
          <w:p w14:paraId="554FFC0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Spolufinancování projektů z OP VVV, Spolufinancování projektů z dalších OP (souvisejících s RIS3 strategií), RRA - regionální rozvojová agentura </w:t>
            </w:r>
          </w:p>
        </w:tc>
        <w:tc>
          <w:tcPr>
            <w:tcW w:w="903" w:type="pct"/>
            <w:tcBorders>
              <w:top w:val="single" w:sz="8" w:space="0" w:color="80A1B6"/>
              <w:left w:val="nil"/>
              <w:bottom w:val="single" w:sz="8" w:space="0" w:color="80A1B6"/>
              <w:right w:val="single" w:sz="8" w:space="0" w:color="80A1B6"/>
            </w:tcBorders>
            <w:shd w:val="clear" w:color="auto" w:fill="auto"/>
          </w:tcPr>
          <w:p w14:paraId="78852DB3"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Vědecko-technický park, regionální rozvojová agentura, stipendia -  Stipendia na podporu vybraných učebních oborů středních škol a vyšších odborných škol zřizovaných Královéhradeckým krajem, Podpora digitálního vzdělávání -Zabezpečení aktuálních licencí programového vybavení</w:t>
            </w:r>
          </w:p>
        </w:tc>
      </w:tr>
      <w:tr w:rsidR="008F74A0" w:rsidRPr="005028B8" w14:paraId="093E5097" w14:textId="77777777" w:rsidTr="005F762C">
        <w:trPr>
          <w:trHeight w:val="596"/>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6704CCA0"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Liberecký</w:t>
            </w:r>
          </w:p>
        </w:tc>
        <w:tc>
          <w:tcPr>
            <w:tcW w:w="246" w:type="pct"/>
            <w:tcBorders>
              <w:top w:val="nil"/>
              <w:left w:val="nil"/>
              <w:bottom w:val="single" w:sz="8" w:space="0" w:color="80A1B6"/>
              <w:right w:val="single" w:sz="8" w:space="0" w:color="80A1B6"/>
            </w:tcBorders>
            <w:shd w:val="clear" w:color="auto" w:fill="auto"/>
            <w:vAlign w:val="center"/>
            <w:hideMark/>
          </w:tcPr>
          <w:p w14:paraId="3E2B022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2 325,93</w:t>
            </w:r>
          </w:p>
        </w:tc>
        <w:tc>
          <w:tcPr>
            <w:tcW w:w="226" w:type="pct"/>
            <w:tcBorders>
              <w:top w:val="nil"/>
              <w:left w:val="nil"/>
              <w:bottom w:val="single" w:sz="8" w:space="0" w:color="80A1B6"/>
              <w:right w:val="single" w:sz="8" w:space="0" w:color="80A1B6"/>
            </w:tcBorders>
            <w:shd w:val="clear" w:color="auto" w:fill="auto"/>
            <w:vAlign w:val="center"/>
            <w:hideMark/>
          </w:tcPr>
          <w:p w14:paraId="12FF28FB"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462,96</w:t>
            </w:r>
          </w:p>
        </w:tc>
        <w:tc>
          <w:tcPr>
            <w:tcW w:w="162" w:type="pct"/>
            <w:tcBorders>
              <w:top w:val="nil"/>
              <w:left w:val="nil"/>
              <w:bottom w:val="single" w:sz="8" w:space="0" w:color="80A1B6"/>
              <w:right w:val="single" w:sz="8" w:space="0" w:color="80A1B6"/>
            </w:tcBorders>
            <w:shd w:val="clear" w:color="auto" w:fill="auto"/>
            <w:vAlign w:val="center"/>
            <w:hideMark/>
          </w:tcPr>
          <w:p w14:paraId="61D3D43D"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7467</w:t>
            </w:r>
          </w:p>
        </w:tc>
        <w:tc>
          <w:tcPr>
            <w:tcW w:w="157" w:type="pct"/>
            <w:tcBorders>
              <w:top w:val="nil"/>
              <w:left w:val="nil"/>
              <w:bottom w:val="single" w:sz="8" w:space="0" w:color="80A1B6"/>
              <w:right w:val="single" w:sz="8" w:space="0" w:color="80A1B6"/>
            </w:tcBorders>
            <w:shd w:val="clear" w:color="auto" w:fill="auto"/>
            <w:vAlign w:val="center"/>
            <w:hideMark/>
          </w:tcPr>
          <w:p w14:paraId="168204B3" w14:textId="1CD123C0"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11</w:t>
            </w:r>
            <w:r w:rsidR="00084BF4">
              <w:rPr>
                <w:rFonts w:eastAsia="Times New Roman" w:cs="Arial"/>
                <w:sz w:val="18"/>
                <w:szCs w:val="18"/>
                <w:lang w:eastAsia="cs-CZ"/>
              </w:rPr>
              <w:t xml:space="preserve"> </w:t>
            </w:r>
            <w:r w:rsidRPr="008F74A0">
              <w:rPr>
                <w:rFonts w:eastAsia="Times New Roman" w:cs="Arial"/>
                <w:sz w:val="18"/>
                <w:szCs w:val="18"/>
                <w:lang w:eastAsia="cs-CZ"/>
              </w:rPr>
              <w:t>869</w:t>
            </w:r>
          </w:p>
        </w:tc>
        <w:tc>
          <w:tcPr>
            <w:tcW w:w="216" w:type="pct"/>
            <w:tcBorders>
              <w:top w:val="nil"/>
              <w:left w:val="nil"/>
              <w:bottom w:val="single" w:sz="8" w:space="0" w:color="80A1B6"/>
              <w:right w:val="single" w:sz="8" w:space="0" w:color="80A1B6"/>
            </w:tcBorders>
            <w:shd w:val="clear" w:color="auto" w:fill="auto"/>
            <w:vAlign w:val="center"/>
            <w:hideMark/>
          </w:tcPr>
          <w:p w14:paraId="14FB0705"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nil"/>
              <w:left w:val="nil"/>
              <w:bottom w:val="single" w:sz="8" w:space="0" w:color="80A1B6"/>
              <w:right w:val="single" w:sz="8" w:space="0" w:color="80A1B6"/>
            </w:tcBorders>
            <w:shd w:val="clear" w:color="auto" w:fill="auto"/>
            <w:vAlign w:val="center"/>
            <w:hideMark/>
          </w:tcPr>
          <w:p w14:paraId="7D4902EF"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75028CE6"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nil"/>
              <w:left w:val="nil"/>
              <w:bottom w:val="single" w:sz="8" w:space="0" w:color="80A1B6"/>
              <w:right w:val="single" w:sz="8" w:space="0" w:color="80A1B6"/>
            </w:tcBorders>
            <w:shd w:val="clear" w:color="auto" w:fill="auto"/>
            <w:vAlign w:val="center"/>
            <w:hideMark/>
          </w:tcPr>
          <w:p w14:paraId="7DE439FA"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379137B6"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221,48</w:t>
            </w:r>
          </w:p>
        </w:tc>
        <w:tc>
          <w:tcPr>
            <w:tcW w:w="243" w:type="pct"/>
            <w:tcBorders>
              <w:top w:val="nil"/>
              <w:left w:val="nil"/>
              <w:bottom w:val="single" w:sz="8" w:space="0" w:color="80A1B6"/>
              <w:right w:val="single" w:sz="8" w:space="0" w:color="80A1B6"/>
            </w:tcBorders>
            <w:shd w:val="clear" w:color="auto" w:fill="auto"/>
            <w:vAlign w:val="center"/>
            <w:hideMark/>
          </w:tcPr>
          <w:p w14:paraId="59131FC0"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4DB5F266"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881,48</w:t>
            </w:r>
          </w:p>
        </w:tc>
        <w:tc>
          <w:tcPr>
            <w:tcW w:w="167" w:type="pct"/>
            <w:tcBorders>
              <w:top w:val="nil"/>
              <w:left w:val="nil"/>
              <w:bottom w:val="single" w:sz="8" w:space="0" w:color="80A1B6"/>
              <w:right w:val="single" w:sz="8" w:space="0" w:color="80A1B6"/>
            </w:tcBorders>
            <w:shd w:val="clear" w:color="auto" w:fill="auto"/>
            <w:vAlign w:val="center"/>
            <w:hideMark/>
          </w:tcPr>
          <w:p w14:paraId="5821113D"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155,56</w:t>
            </w:r>
          </w:p>
        </w:tc>
        <w:tc>
          <w:tcPr>
            <w:tcW w:w="136" w:type="pct"/>
            <w:tcBorders>
              <w:top w:val="nil"/>
              <w:left w:val="nil"/>
              <w:bottom w:val="single" w:sz="8" w:space="0" w:color="80A1B6"/>
              <w:right w:val="single" w:sz="8" w:space="0" w:color="80A1B6"/>
            </w:tcBorders>
            <w:shd w:val="clear" w:color="auto" w:fill="auto"/>
            <w:vAlign w:val="center"/>
            <w:hideMark/>
          </w:tcPr>
          <w:p w14:paraId="079F375E"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163</w:t>
            </w:r>
          </w:p>
        </w:tc>
        <w:tc>
          <w:tcPr>
            <w:tcW w:w="142" w:type="pct"/>
            <w:tcBorders>
              <w:top w:val="nil"/>
              <w:left w:val="nil"/>
              <w:bottom w:val="single" w:sz="8" w:space="0" w:color="80A1B6"/>
              <w:right w:val="single" w:sz="8" w:space="0" w:color="80A1B6"/>
            </w:tcBorders>
            <w:shd w:val="clear" w:color="auto" w:fill="auto"/>
            <w:vAlign w:val="center"/>
            <w:hideMark/>
          </w:tcPr>
          <w:p w14:paraId="021BBB56"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52</w:t>
            </w:r>
          </w:p>
        </w:tc>
        <w:tc>
          <w:tcPr>
            <w:tcW w:w="920" w:type="pct"/>
            <w:tcBorders>
              <w:top w:val="nil"/>
              <w:left w:val="nil"/>
              <w:bottom w:val="single" w:sz="8" w:space="0" w:color="80A1B6"/>
              <w:right w:val="single" w:sz="8" w:space="0" w:color="80A1B6"/>
            </w:tcBorders>
            <w:shd w:val="clear" w:color="auto" w:fill="auto"/>
            <w:hideMark/>
          </w:tcPr>
          <w:p w14:paraId="7CEE8FD4"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SmAcc, Výstavba a provoz VaV center, Spolufinancování projektů z OP VVV, Stipendia, Informační servis a inovační poradenství</w:t>
            </w:r>
          </w:p>
        </w:tc>
        <w:tc>
          <w:tcPr>
            <w:tcW w:w="903" w:type="pct"/>
            <w:tcBorders>
              <w:top w:val="nil"/>
              <w:left w:val="nil"/>
              <w:bottom w:val="single" w:sz="8" w:space="0" w:color="80A1B6"/>
              <w:right w:val="single" w:sz="8" w:space="0" w:color="80A1B6"/>
            </w:tcBorders>
            <w:shd w:val="clear" w:color="auto" w:fill="auto"/>
            <w:vAlign w:val="center"/>
            <w:hideMark/>
          </w:tcPr>
          <w:p w14:paraId="4069A76C" w14:textId="77777777" w:rsidR="008E3DF9" w:rsidRDefault="008F74A0" w:rsidP="004A01EE">
            <w:pPr>
              <w:spacing w:after="0" w:line="240" w:lineRule="auto"/>
              <w:rPr>
                <w:sz w:val="18"/>
                <w:szCs w:val="18"/>
              </w:rPr>
            </w:pPr>
            <w:r w:rsidRPr="008F74A0">
              <w:rPr>
                <w:rFonts w:eastAsia="Times New Roman" w:cs="Arial"/>
                <w:sz w:val="18"/>
                <w:szCs w:val="18"/>
                <w:lang w:eastAsia="cs-CZ"/>
              </w:rPr>
              <w:t xml:space="preserve">Centra odborného vzdělávání – IROP, stipendia, </w:t>
            </w:r>
            <w:r w:rsidR="004A01EE">
              <w:rPr>
                <w:rFonts w:eastAsia="Times New Roman" w:cs="Arial"/>
                <w:sz w:val="18"/>
                <w:szCs w:val="18"/>
                <w:lang w:eastAsia="cs-CZ"/>
              </w:rPr>
              <w:t xml:space="preserve">Regionální inovační program – </w:t>
            </w:r>
            <w:r w:rsidRPr="008F74A0">
              <w:rPr>
                <w:rFonts w:eastAsia="Times New Roman" w:cs="Arial"/>
                <w:sz w:val="18"/>
                <w:szCs w:val="18"/>
                <w:lang w:eastAsia="cs-CZ"/>
              </w:rPr>
              <w:t>inovační vouchery,</w:t>
            </w:r>
            <w:r w:rsidR="004A01EE">
              <w:rPr>
                <w:rFonts w:eastAsia="Times New Roman" w:cs="Arial"/>
                <w:sz w:val="18"/>
                <w:szCs w:val="18"/>
                <w:lang w:eastAsia="cs-CZ"/>
              </w:rPr>
              <w:t xml:space="preserve"> startovací vouchery, </w:t>
            </w:r>
            <w:r w:rsidRPr="008F74A0">
              <w:rPr>
                <w:rFonts w:eastAsia="Times New Roman" w:cs="Arial"/>
                <w:sz w:val="18"/>
                <w:szCs w:val="18"/>
                <w:lang w:eastAsia="cs-CZ"/>
              </w:rPr>
              <w:t>Podnikatelský inkubátor Lipo.ink</w:t>
            </w:r>
            <w:r w:rsidR="004A01EE">
              <w:rPr>
                <w:rFonts w:eastAsia="Times New Roman" w:cs="Arial"/>
                <w:sz w:val="18"/>
                <w:szCs w:val="18"/>
                <w:lang w:eastAsia="cs-CZ"/>
              </w:rPr>
              <w:t xml:space="preserve"> a jeho programy – </w:t>
            </w:r>
            <w:r w:rsidR="007E0B97">
              <w:rPr>
                <w:sz w:val="18"/>
                <w:szCs w:val="18"/>
              </w:rPr>
              <w:t xml:space="preserve">Podnikatelská ambulance, Podnikatelská </w:t>
            </w:r>
          </w:p>
          <w:p w14:paraId="6710C40F" w14:textId="6E0EE725" w:rsidR="008F74A0" w:rsidRPr="008F74A0" w:rsidRDefault="008E3DF9" w:rsidP="004A01EE">
            <w:pPr>
              <w:spacing w:after="0" w:line="240" w:lineRule="auto"/>
              <w:rPr>
                <w:rFonts w:eastAsia="Times New Roman" w:cs="Arial"/>
                <w:sz w:val="18"/>
                <w:szCs w:val="18"/>
                <w:lang w:eastAsia="cs-CZ"/>
              </w:rPr>
            </w:pPr>
            <w:r>
              <w:rPr>
                <w:sz w:val="18"/>
                <w:szCs w:val="18"/>
              </w:rPr>
              <w:t>+</w:t>
            </w:r>
            <w:r w:rsidR="007E0B97">
              <w:rPr>
                <w:sz w:val="18"/>
                <w:szCs w:val="18"/>
              </w:rPr>
              <w:t>průpravka, Generátor, Starter, Booster, Platinn</w:t>
            </w:r>
            <w:r w:rsidR="00823DDD">
              <w:rPr>
                <w:rFonts w:eastAsia="Times New Roman" w:cs="Arial"/>
                <w:sz w:val="18"/>
                <w:szCs w:val="18"/>
                <w:lang w:eastAsia="cs-CZ"/>
              </w:rPr>
              <w:t>, klastrová organizace Nanoprogress</w:t>
            </w:r>
          </w:p>
        </w:tc>
      </w:tr>
      <w:tr w:rsidR="008F74A0" w:rsidRPr="005028B8" w14:paraId="2A7584AE" w14:textId="77777777" w:rsidTr="005F762C">
        <w:trPr>
          <w:trHeight w:val="1037"/>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36A65BDD"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Moravskoslezský</w:t>
            </w:r>
          </w:p>
        </w:tc>
        <w:tc>
          <w:tcPr>
            <w:tcW w:w="246" w:type="pct"/>
            <w:tcBorders>
              <w:top w:val="nil"/>
              <w:left w:val="nil"/>
              <w:bottom w:val="single" w:sz="8" w:space="0" w:color="80A1B6"/>
              <w:right w:val="single" w:sz="8" w:space="0" w:color="80A1B6"/>
            </w:tcBorders>
            <w:shd w:val="clear" w:color="auto" w:fill="auto"/>
            <w:vAlign w:val="center"/>
            <w:hideMark/>
          </w:tcPr>
          <w:p w14:paraId="271F112B"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140,74</w:t>
            </w:r>
          </w:p>
        </w:tc>
        <w:tc>
          <w:tcPr>
            <w:tcW w:w="226" w:type="pct"/>
            <w:tcBorders>
              <w:top w:val="nil"/>
              <w:left w:val="nil"/>
              <w:bottom w:val="single" w:sz="8" w:space="0" w:color="80A1B6"/>
              <w:right w:val="single" w:sz="8" w:space="0" w:color="80A1B6"/>
            </w:tcBorders>
            <w:shd w:val="clear" w:color="auto" w:fill="auto"/>
            <w:vAlign w:val="center"/>
            <w:hideMark/>
          </w:tcPr>
          <w:p w14:paraId="6DE256F7"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25,93</w:t>
            </w:r>
          </w:p>
        </w:tc>
        <w:tc>
          <w:tcPr>
            <w:tcW w:w="162" w:type="pct"/>
            <w:tcBorders>
              <w:top w:val="nil"/>
              <w:left w:val="nil"/>
              <w:bottom w:val="single" w:sz="8" w:space="0" w:color="80A1B6"/>
              <w:right w:val="single" w:sz="8" w:space="0" w:color="80A1B6"/>
            </w:tcBorders>
            <w:shd w:val="clear" w:color="auto" w:fill="auto"/>
            <w:vAlign w:val="center"/>
            <w:hideMark/>
          </w:tcPr>
          <w:p w14:paraId="1F2F325A" w14:textId="77777777" w:rsidR="008F74A0" w:rsidRPr="008F74A0" w:rsidRDefault="008F74A0" w:rsidP="005F762C">
            <w:pPr>
              <w:spacing w:after="0" w:line="240" w:lineRule="auto"/>
              <w:rPr>
                <w:rFonts w:eastAsia="Times New Roman" w:cs="Arial"/>
                <w:sz w:val="18"/>
                <w:szCs w:val="18"/>
                <w:lang w:eastAsia="cs-CZ"/>
              </w:rPr>
            </w:pPr>
          </w:p>
        </w:tc>
        <w:tc>
          <w:tcPr>
            <w:tcW w:w="157" w:type="pct"/>
            <w:tcBorders>
              <w:top w:val="nil"/>
              <w:left w:val="nil"/>
              <w:bottom w:val="single" w:sz="8" w:space="0" w:color="80A1B6"/>
              <w:right w:val="single" w:sz="8" w:space="0" w:color="80A1B6"/>
            </w:tcBorders>
            <w:shd w:val="clear" w:color="auto" w:fill="auto"/>
            <w:vAlign w:val="center"/>
            <w:hideMark/>
          </w:tcPr>
          <w:p w14:paraId="70AB5A78" w14:textId="77777777" w:rsidR="008F74A0" w:rsidRPr="008F74A0" w:rsidRDefault="008F74A0" w:rsidP="005F762C">
            <w:pPr>
              <w:spacing w:after="0" w:line="240" w:lineRule="auto"/>
              <w:rPr>
                <w:rFonts w:eastAsia="Times New Roman" w:cs="Arial"/>
                <w:sz w:val="18"/>
                <w:szCs w:val="18"/>
                <w:lang w:eastAsia="cs-CZ"/>
              </w:rPr>
            </w:pPr>
          </w:p>
        </w:tc>
        <w:tc>
          <w:tcPr>
            <w:tcW w:w="216" w:type="pct"/>
            <w:tcBorders>
              <w:top w:val="nil"/>
              <w:left w:val="nil"/>
              <w:bottom w:val="single" w:sz="8" w:space="0" w:color="80A1B6"/>
              <w:right w:val="single" w:sz="8" w:space="0" w:color="80A1B6"/>
            </w:tcBorders>
            <w:shd w:val="clear" w:color="auto" w:fill="auto"/>
            <w:vAlign w:val="center"/>
            <w:hideMark/>
          </w:tcPr>
          <w:p w14:paraId="78BA9B23"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nil"/>
              <w:left w:val="nil"/>
              <w:bottom w:val="single" w:sz="8" w:space="0" w:color="80A1B6"/>
              <w:right w:val="single" w:sz="8" w:space="0" w:color="80A1B6"/>
            </w:tcBorders>
            <w:shd w:val="clear" w:color="auto" w:fill="auto"/>
            <w:vAlign w:val="center"/>
            <w:hideMark/>
          </w:tcPr>
          <w:p w14:paraId="29DE7D23"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57735F16"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nil"/>
              <w:left w:val="nil"/>
              <w:bottom w:val="single" w:sz="8" w:space="0" w:color="80A1B6"/>
              <w:right w:val="single" w:sz="8" w:space="0" w:color="80A1B6"/>
            </w:tcBorders>
            <w:shd w:val="clear" w:color="auto" w:fill="auto"/>
            <w:vAlign w:val="center"/>
            <w:hideMark/>
          </w:tcPr>
          <w:p w14:paraId="0013B1C0"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0E96D5AA"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2 155,56</w:t>
            </w:r>
          </w:p>
        </w:tc>
        <w:tc>
          <w:tcPr>
            <w:tcW w:w="243" w:type="pct"/>
            <w:tcBorders>
              <w:top w:val="nil"/>
              <w:left w:val="nil"/>
              <w:bottom w:val="single" w:sz="8" w:space="0" w:color="80A1B6"/>
              <w:right w:val="single" w:sz="8" w:space="0" w:color="80A1B6"/>
            </w:tcBorders>
            <w:shd w:val="clear" w:color="auto" w:fill="auto"/>
            <w:vAlign w:val="center"/>
            <w:hideMark/>
          </w:tcPr>
          <w:p w14:paraId="4B8F961A"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1115</w:t>
            </w:r>
          </w:p>
        </w:tc>
        <w:tc>
          <w:tcPr>
            <w:tcW w:w="242" w:type="pct"/>
            <w:tcBorders>
              <w:top w:val="nil"/>
              <w:left w:val="nil"/>
              <w:bottom w:val="single" w:sz="8" w:space="0" w:color="80A1B6"/>
              <w:right w:val="single" w:sz="8" w:space="0" w:color="80A1B6"/>
            </w:tcBorders>
            <w:shd w:val="clear" w:color="auto" w:fill="auto"/>
            <w:vAlign w:val="center"/>
            <w:hideMark/>
          </w:tcPr>
          <w:p w14:paraId="5E7E458B"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1 514,87</w:t>
            </w:r>
          </w:p>
        </w:tc>
        <w:tc>
          <w:tcPr>
            <w:tcW w:w="167" w:type="pct"/>
            <w:tcBorders>
              <w:top w:val="nil"/>
              <w:left w:val="nil"/>
              <w:bottom w:val="single" w:sz="8" w:space="0" w:color="80A1B6"/>
              <w:right w:val="single" w:sz="8" w:space="0" w:color="80A1B6"/>
            </w:tcBorders>
            <w:shd w:val="clear" w:color="auto" w:fill="auto"/>
            <w:vAlign w:val="center"/>
            <w:hideMark/>
          </w:tcPr>
          <w:p w14:paraId="2D3ED4EA"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433,33</w:t>
            </w:r>
          </w:p>
        </w:tc>
        <w:tc>
          <w:tcPr>
            <w:tcW w:w="136" w:type="pct"/>
            <w:tcBorders>
              <w:top w:val="nil"/>
              <w:left w:val="nil"/>
              <w:bottom w:val="single" w:sz="8" w:space="0" w:color="80A1B6"/>
              <w:right w:val="single" w:sz="8" w:space="0" w:color="80A1B6"/>
            </w:tcBorders>
            <w:shd w:val="clear" w:color="auto" w:fill="auto"/>
            <w:vAlign w:val="center"/>
            <w:hideMark/>
          </w:tcPr>
          <w:p w14:paraId="5E7AF2AB"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160</w:t>
            </w:r>
          </w:p>
        </w:tc>
        <w:tc>
          <w:tcPr>
            <w:tcW w:w="142" w:type="pct"/>
            <w:tcBorders>
              <w:top w:val="nil"/>
              <w:left w:val="nil"/>
              <w:bottom w:val="single" w:sz="8" w:space="0" w:color="80A1B6"/>
              <w:right w:val="single" w:sz="8" w:space="0" w:color="80A1B6"/>
            </w:tcBorders>
            <w:shd w:val="clear" w:color="auto" w:fill="auto"/>
            <w:vAlign w:val="center"/>
            <w:hideMark/>
          </w:tcPr>
          <w:p w14:paraId="2DBC65E9"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28</w:t>
            </w:r>
          </w:p>
        </w:tc>
        <w:tc>
          <w:tcPr>
            <w:tcW w:w="920" w:type="pct"/>
            <w:tcBorders>
              <w:top w:val="nil"/>
              <w:left w:val="nil"/>
              <w:bottom w:val="single" w:sz="8" w:space="0" w:color="80A1B6"/>
              <w:right w:val="single" w:sz="8" w:space="0" w:color="80A1B6"/>
            </w:tcBorders>
            <w:shd w:val="clear" w:color="auto" w:fill="auto"/>
            <w:hideMark/>
          </w:tcPr>
          <w:p w14:paraId="2F9E62AE"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Agentura pro regionální rozvoj a.s, Náklady na inovační infrastrukturu, Věda a výzkum – vlastní programy, Mobilita výzkumníků, Zvyšování kvalifikace – inovační potenciál, Inovační vouchery, Půjčky a mikropůjčky </w:t>
            </w:r>
          </w:p>
        </w:tc>
        <w:tc>
          <w:tcPr>
            <w:tcW w:w="903" w:type="pct"/>
            <w:tcBorders>
              <w:top w:val="nil"/>
              <w:left w:val="nil"/>
              <w:bottom w:val="single" w:sz="8" w:space="0" w:color="80A1B6"/>
              <w:right w:val="single" w:sz="8" w:space="0" w:color="80A1B6"/>
            </w:tcBorders>
            <w:shd w:val="clear" w:color="auto" w:fill="auto"/>
            <w:vAlign w:val="center"/>
            <w:hideMark/>
          </w:tcPr>
          <w:p w14:paraId="6A3C682D"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MSIC - Moravskoslezské Investice a Development; dotační program - Podpora podnikání a Podpora VaV v MSK; DP Stáže studentů ve firmách</w:t>
            </w:r>
          </w:p>
        </w:tc>
      </w:tr>
      <w:tr w:rsidR="008F74A0" w:rsidRPr="005028B8" w14:paraId="294D8595" w14:textId="77777777" w:rsidTr="005F762C">
        <w:trPr>
          <w:trHeight w:val="450"/>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796FC420"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Olomoucký</w:t>
            </w:r>
          </w:p>
        </w:tc>
        <w:tc>
          <w:tcPr>
            <w:tcW w:w="246" w:type="pct"/>
            <w:tcBorders>
              <w:top w:val="nil"/>
              <w:left w:val="nil"/>
              <w:bottom w:val="single" w:sz="8" w:space="0" w:color="80A1B6"/>
              <w:right w:val="single" w:sz="8" w:space="0" w:color="80A1B6"/>
            </w:tcBorders>
            <w:shd w:val="clear" w:color="auto" w:fill="auto"/>
            <w:vAlign w:val="center"/>
            <w:hideMark/>
          </w:tcPr>
          <w:p w14:paraId="4FC3F350"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876,67</w:t>
            </w:r>
          </w:p>
        </w:tc>
        <w:tc>
          <w:tcPr>
            <w:tcW w:w="226" w:type="pct"/>
            <w:tcBorders>
              <w:top w:val="nil"/>
              <w:left w:val="nil"/>
              <w:bottom w:val="single" w:sz="8" w:space="0" w:color="80A1B6"/>
              <w:right w:val="single" w:sz="8" w:space="0" w:color="80A1B6"/>
            </w:tcBorders>
            <w:shd w:val="clear" w:color="auto" w:fill="auto"/>
            <w:vAlign w:val="center"/>
            <w:hideMark/>
          </w:tcPr>
          <w:p w14:paraId="2B5A2F49"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46,30</w:t>
            </w:r>
          </w:p>
        </w:tc>
        <w:tc>
          <w:tcPr>
            <w:tcW w:w="162" w:type="pct"/>
            <w:tcBorders>
              <w:top w:val="nil"/>
              <w:left w:val="nil"/>
              <w:bottom w:val="single" w:sz="8" w:space="0" w:color="80A1B6"/>
              <w:right w:val="single" w:sz="8" w:space="0" w:color="80A1B6"/>
            </w:tcBorders>
            <w:shd w:val="clear" w:color="auto" w:fill="auto"/>
            <w:vAlign w:val="center"/>
          </w:tcPr>
          <w:p w14:paraId="3DD4DA96" w14:textId="77777777" w:rsidR="008F74A0" w:rsidRPr="008F74A0" w:rsidRDefault="008F74A0" w:rsidP="005F762C">
            <w:pPr>
              <w:spacing w:after="0" w:line="240" w:lineRule="auto"/>
              <w:rPr>
                <w:rFonts w:eastAsia="Times New Roman" w:cs="Arial"/>
                <w:sz w:val="18"/>
                <w:szCs w:val="18"/>
                <w:lang w:eastAsia="cs-CZ"/>
              </w:rPr>
            </w:pPr>
          </w:p>
        </w:tc>
        <w:tc>
          <w:tcPr>
            <w:tcW w:w="157" w:type="pct"/>
            <w:tcBorders>
              <w:top w:val="nil"/>
              <w:left w:val="nil"/>
              <w:bottom w:val="single" w:sz="8" w:space="0" w:color="80A1B6"/>
              <w:right w:val="single" w:sz="8" w:space="0" w:color="80A1B6"/>
            </w:tcBorders>
            <w:shd w:val="clear" w:color="auto" w:fill="auto"/>
            <w:vAlign w:val="center"/>
          </w:tcPr>
          <w:p w14:paraId="29D288E1" w14:textId="77777777" w:rsidR="008F74A0" w:rsidRPr="008F74A0" w:rsidRDefault="008F74A0" w:rsidP="005F762C">
            <w:pPr>
              <w:spacing w:after="0" w:line="240" w:lineRule="auto"/>
              <w:rPr>
                <w:rFonts w:eastAsia="Times New Roman" w:cs="Arial"/>
                <w:sz w:val="18"/>
                <w:szCs w:val="18"/>
                <w:lang w:eastAsia="cs-CZ"/>
              </w:rPr>
            </w:pPr>
          </w:p>
        </w:tc>
        <w:tc>
          <w:tcPr>
            <w:tcW w:w="216" w:type="pct"/>
            <w:tcBorders>
              <w:top w:val="nil"/>
              <w:left w:val="nil"/>
              <w:bottom w:val="single" w:sz="8" w:space="0" w:color="80A1B6"/>
              <w:right w:val="single" w:sz="8" w:space="0" w:color="80A1B6"/>
            </w:tcBorders>
            <w:shd w:val="clear" w:color="auto" w:fill="auto"/>
            <w:vAlign w:val="center"/>
            <w:hideMark/>
          </w:tcPr>
          <w:p w14:paraId="0CD9F828"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133,33</w:t>
            </w:r>
          </w:p>
        </w:tc>
        <w:tc>
          <w:tcPr>
            <w:tcW w:w="277" w:type="pct"/>
            <w:tcBorders>
              <w:top w:val="nil"/>
              <w:left w:val="nil"/>
              <w:bottom w:val="single" w:sz="8" w:space="0" w:color="80A1B6"/>
              <w:right w:val="single" w:sz="8" w:space="0" w:color="80A1B6"/>
            </w:tcBorders>
            <w:shd w:val="clear" w:color="auto" w:fill="auto"/>
            <w:vAlign w:val="center"/>
            <w:hideMark/>
          </w:tcPr>
          <w:p w14:paraId="2111D6E6"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934,81</w:t>
            </w:r>
          </w:p>
        </w:tc>
        <w:tc>
          <w:tcPr>
            <w:tcW w:w="242" w:type="pct"/>
            <w:tcBorders>
              <w:top w:val="nil"/>
              <w:left w:val="nil"/>
              <w:bottom w:val="single" w:sz="8" w:space="0" w:color="80A1B6"/>
              <w:right w:val="single" w:sz="8" w:space="0" w:color="80A1B6"/>
            </w:tcBorders>
            <w:shd w:val="clear" w:color="auto" w:fill="auto"/>
            <w:vAlign w:val="center"/>
          </w:tcPr>
          <w:p w14:paraId="446DEA28"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nil"/>
              <w:left w:val="nil"/>
              <w:bottom w:val="single" w:sz="8" w:space="0" w:color="80A1B6"/>
              <w:right w:val="single" w:sz="8" w:space="0" w:color="80A1B6"/>
            </w:tcBorders>
            <w:shd w:val="clear" w:color="auto" w:fill="auto"/>
            <w:vAlign w:val="center"/>
          </w:tcPr>
          <w:p w14:paraId="47BCC7A3"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3043A084"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1 904,44</w:t>
            </w:r>
          </w:p>
        </w:tc>
        <w:tc>
          <w:tcPr>
            <w:tcW w:w="243" w:type="pct"/>
            <w:tcBorders>
              <w:top w:val="nil"/>
              <w:left w:val="nil"/>
              <w:bottom w:val="single" w:sz="8" w:space="0" w:color="80A1B6"/>
              <w:right w:val="single" w:sz="8" w:space="0" w:color="80A1B6"/>
            </w:tcBorders>
            <w:shd w:val="clear" w:color="auto" w:fill="auto"/>
            <w:vAlign w:val="center"/>
            <w:hideMark/>
          </w:tcPr>
          <w:p w14:paraId="2D71BBCD"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1475</w:t>
            </w:r>
          </w:p>
        </w:tc>
        <w:tc>
          <w:tcPr>
            <w:tcW w:w="242" w:type="pct"/>
            <w:tcBorders>
              <w:top w:val="nil"/>
              <w:left w:val="nil"/>
              <w:bottom w:val="single" w:sz="8" w:space="0" w:color="80A1B6"/>
              <w:right w:val="single" w:sz="8" w:space="0" w:color="80A1B6"/>
            </w:tcBorders>
            <w:shd w:val="clear" w:color="auto" w:fill="auto"/>
            <w:vAlign w:val="center"/>
            <w:hideMark/>
          </w:tcPr>
          <w:p w14:paraId="7F3E64C3"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1 415,56</w:t>
            </w:r>
          </w:p>
        </w:tc>
        <w:tc>
          <w:tcPr>
            <w:tcW w:w="167" w:type="pct"/>
            <w:tcBorders>
              <w:top w:val="nil"/>
              <w:left w:val="nil"/>
              <w:bottom w:val="single" w:sz="8" w:space="0" w:color="80A1B6"/>
              <w:right w:val="single" w:sz="8" w:space="0" w:color="80A1B6"/>
            </w:tcBorders>
            <w:shd w:val="clear" w:color="auto" w:fill="auto"/>
            <w:vAlign w:val="center"/>
            <w:hideMark/>
          </w:tcPr>
          <w:p w14:paraId="17AC7D03"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249,63</w:t>
            </w:r>
          </w:p>
        </w:tc>
        <w:tc>
          <w:tcPr>
            <w:tcW w:w="136" w:type="pct"/>
            <w:tcBorders>
              <w:top w:val="nil"/>
              <w:left w:val="nil"/>
              <w:bottom w:val="single" w:sz="8" w:space="0" w:color="80A1B6"/>
              <w:right w:val="single" w:sz="8" w:space="0" w:color="80A1B6"/>
            </w:tcBorders>
            <w:shd w:val="clear" w:color="auto" w:fill="auto"/>
            <w:vAlign w:val="center"/>
            <w:hideMark/>
          </w:tcPr>
          <w:p w14:paraId="4F448C6B"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490</w:t>
            </w:r>
          </w:p>
        </w:tc>
        <w:tc>
          <w:tcPr>
            <w:tcW w:w="142" w:type="pct"/>
            <w:tcBorders>
              <w:top w:val="nil"/>
              <w:left w:val="nil"/>
              <w:bottom w:val="single" w:sz="8" w:space="0" w:color="80A1B6"/>
              <w:right w:val="single" w:sz="8" w:space="0" w:color="80A1B6"/>
            </w:tcBorders>
            <w:shd w:val="clear" w:color="auto" w:fill="auto"/>
            <w:vAlign w:val="center"/>
            <w:hideMark/>
          </w:tcPr>
          <w:p w14:paraId="13CBC4C8"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87</w:t>
            </w:r>
          </w:p>
        </w:tc>
        <w:tc>
          <w:tcPr>
            <w:tcW w:w="920" w:type="pct"/>
            <w:tcBorders>
              <w:top w:val="single" w:sz="8" w:space="0" w:color="80A1B6"/>
              <w:left w:val="nil"/>
              <w:bottom w:val="single" w:sz="8" w:space="0" w:color="80A1B6"/>
              <w:right w:val="single" w:sz="8" w:space="0" w:color="80A1B6"/>
            </w:tcBorders>
            <w:shd w:val="clear" w:color="auto" w:fill="auto"/>
            <w:hideMark/>
          </w:tcPr>
          <w:p w14:paraId="0B48F351"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RRA - regionální rozvojová agentura, Osobní náklady - management, Spolufinancování projektů z OP VVV, Stipendia, nadaní žáci - SŠ, STŠ, Lidské zdroje, Inovační vouchery </w:t>
            </w:r>
          </w:p>
        </w:tc>
        <w:tc>
          <w:tcPr>
            <w:tcW w:w="903" w:type="pct"/>
            <w:tcBorders>
              <w:top w:val="single" w:sz="8" w:space="0" w:color="80A1B6"/>
              <w:left w:val="nil"/>
              <w:bottom w:val="single" w:sz="8" w:space="0" w:color="80A1B6"/>
              <w:right w:val="single" w:sz="8" w:space="0" w:color="80A1B6"/>
            </w:tcBorders>
            <w:shd w:val="clear" w:color="auto" w:fill="auto"/>
          </w:tcPr>
          <w:p w14:paraId="08AB28EB" w14:textId="779E8586" w:rsidR="008F74A0" w:rsidRPr="008F74A0" w:rsidRDefault="008F74A0" w:rsidP="00213109">
            <w:pPr>
              <w:spacing w:after="0" w:line="240" w:lineRule="auto"/>
              <w:rPr>
                <w:rFonts w:eastAsia="Times New Roman" w:cs="Arial"/>
                <w:sz w:val="18"/>
                <w:szCs w:val="18"/>
                <w:lang w:eastAsia="cs-CZ"/>
              </w:rPr>
            </w:pPr>
            <w:r w:rsidRPr="008F74A0">
              <w:rPr>
                <w:rFonts w:eastAsia="Times New Roman" w:cs="Arial"/>
                <w:sz w:val="18"/>
                <w:szCs w:val="18"/>
                <w:lang w:eastAsia="cs-CZ"/>
              </w:rPr>
              <w:t>Regionální rozvojová agentura; klastry - Dotační program na podporu podnikání Olomouckého kraje, v jehož rámci je potenciálně možná podpora klastrů; stipendia - Studijní stipendium Olomouckého kraje na studium v zahraničí, Podpora polytechnického vzdělávání a řemesel v</w:t>
            </w:r>
            <w:r w:rsidR="00213109">
              <w:rPr>
                <w:rFonts w:eastAsia="Times New Roman" w:cs="Arial"/>
                <w:sz w:val="18"/>
                <w:szCs w:val="18"/>
                <w:lang w:eastAsia="cs-CZ"/>
              </w:rPr>
              <w:t> </w:t>
            </w:r>
            <w:r w:rsidRPr="008F74A0">
              <w:rPr>
                <w:rFonts w:eastAsia="Times New Roman" w:cs="Arial"/>
                <w:sz w:val="18"/>
                <w:szCs w:val="18"/>
                <w:lang w:eastAsia="cs-CZ"/>
              </w:rPr>
              <w:t>Olomouckém kraji</w:t>
            </w:r>
          </w:p>
        </w:tc>
      </w:tr>
      <w:tr w:rsidR="008F74A0" w:rsidRPr="005028B8" w14:paraId="67EC67E1" w14:textId="77777777" w:rsidTr="005F762C">
        <w:trPr>
          <w:trHeight w:val="596"/>
        </w:trPr>
        <w:tc>
          <w:tcPr>
            <w:tcW w:w="333" w:type="pct"/>
            <w:tcBorders>
              <w:top w:val="single" w:sz="8" w:space="0" w:color="80A1B6"/>
              <w:left w:val="single" w:sz="8" w:space="0" w:color="80A1B6"/>
              <w:bottom w:val="single" w:sz="8" w:space="0" w:color="80A1B6"/>
              <w:right w:val="single" w:sz="8" w:space="0" w:color="80A1B6"/>
            </w:tcBorders>
            <w:shd w:val="clear" w:color="auto" w:fill="auto"/>
            <w:vAlign w:val="center"/>
            <w:hideMark/>
          </w:tcPr>
          <w:p w14:paraId="1E0A602D"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Pardubický</w:t>
            </w:r>
          </w:p>
        </w:tc>
        <w:tc>
          <w:tcPr>
            <w:tcW w:w="246" w:type="pct"/>
            <w:tcBorders>
              <w:top w:val="single" w:sz="8" w:space="0" w:color="80A1B6"/>
              <w:left w:val="nil"/>
              <w:bottom w:val="single" w:sz="8" w:space="0" w:color="80A1B6"/>
              <w:right w:val="single" w:sz="8" w:space="0" w:color="80A1B6"/>
            </w:tcBorders>
            <w:shd w:val="clear" w:color="auto" w:fill="auto"/>
            <w:vAlign w:val="center"/>
            <w:hideMark/>
          </w:tcPr>
          <w:p w14:paraId="0F1856E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7 666,67</w:t>
            </w:r>
          </w:p>
        </w:tc>
        <w:tc>
          <w:tcPr>
            <w:tcW w:w="226" w:type="pct"/>
            <w:tcBorders>
              <w:top w:val="single" w:sz="8" w:space="0" w:color="80A1B6"/>
              <w:left w:val="nil"/>
              <w:bottom w:val="single" w:sz="8" w:space="0" w:color="80A1B6"/>
              <w:right w:val="single" w:sz="8" w:space="0" w:color="80A1B6"/>
            </w:tcBorders>
            <w:shd w:val="clear" w:color="auto" w:fill="auto"/>
            <w:vAlign w:val="center"/>
            <w:hideMark/>
          </w:tcPr>
          <w:p w14:paraId="33CB5488"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851,85</w:t>
            </w:r>
          </w:p>
        </w:tc>
        <w:tc>
          <w:tcPr>
            <w:tcW w:w="162" w:type="pct"/>
            <w:tcBorders>
              <w:top w:val="single" w:sz="8" w:space="0" w:color="80A1B6"/>
              <w:left w:val="nil"/>
              <w:bottom w:val="single" w:sz="8" w:space="0" w:color="80A1B6"/>
              <w:right w:val="single" w:sz="8" w:space="0" w:color="80A1B6"/>
            </w:tcBorders>
            <w:shd w:val="clear" w:color="auto" w:fill="auto"/>
            <w:vAlign w:val="center"/>
            <w:hideMark/>
          </w:tcPr>
          <w:p w14:paraId="1A76B31C"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8 042</w:t>
            </w:r>
          </w:p>
        </w:tc>
        <w:tc>
          <w:tcPr>
            <w:tcW w:w="157" w:type="pct"/>
            <w:tcBorders>
              <w:top w:val="single" w:sz="8" w:space="0" w:color="80A1B6"/>
              <w:left w:val="nil"/>
              <w:bottom w:val="single" w:sz="8" w:space="0" w:color="80A1B6"/>
              <w:right w:val="single" w:sz="8" w:space="0" w:color="80A1B6"/>
            </w:tcBorders>
            <w:shd w:val="clear" w:color="auto" w:fill="auto"/>
            <w:vAlign w:val="center"/>
            <w:hideMark/>
          </w:tcPr>
          <w:p w14:paraId="56C1FA82"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1649</w:t>
            </w:r>
          </w:p>
        </w:tc>
        <w:tc>
          <w:tcPr>
            <w:tcW w:w="216" w:type="pct"/>
            <w:tcBorders>
              <w:top w:val="single" w:sz="8" w:space="0" w:color="80A1B6"/>
              <w:left w:val="nil"/>
              <w:bottom w:val="single" w:sz="8" w:space="0" w:color="80A1B6"/>
              <w:right w:val="single" w:sz="8" w:space="0" w:color="80A1B6"/>
            </w:tcBorders>
            <w:shd w:val="clear" w:color="auto" w:fill="auto"/>
            <w:vAlign w:val="center"/>
            <w:hideMark/>
          </w:tcPr>
          <w:p w14:paraId="6AB4360D"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473</w:t>
            </w:r>
          </w:p>
        </w:tc>
        <w:tc>
          <w:tcPr>
            <w:tcW w:w="277" w:type="pct"/>
            <w:tcBorders>
              <w:top w:val="single" w:sz="8" w:space="0" w:color="80A1B6"/>
              <w:left w:val="nil"/>
              <w:bottom w:val="single" w:sz="8" w:space="0" w:color="80A1B6"/>
              <w:right w:val="single" w:sz="8" w:space="0" w:color="80A1B6"/>
            </w:tcBorders>
            <w:shd w:val="clear" w:color="auto" w:fill="auto"/>
            <w:vAlign w:val="center"/>
            <w:hideMark/>
          </w:tcPr>
          <w:p w14:paraId="1E8A6EFC"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single" w:sz="8" w:space="0" w:color="80A1B6"/>
              <w:left w:val="nil"/>
              <w:bottom w:val="single" w:sz="8" w:space="0" w:color="80A1B6"/>
              <w:right w:val="single" w:sz="8" w:space="0" w:color="80A1B6"/>
            </w:tcBorders>
            <w:shd w:val="clear" w:color="auto" w:fill="auto"/>
            <w:vAlign w:val="center"/>
            <w:hideMark/>
          </w:tcPr>
          <w:p w14:paraId="3FD0805B"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single" w:sz="8" w:space="0" w:color="80A1B6"/>
              <w:left w:val="nil"/>
              <w:bottom w:val="single" w:sz="8" w:space="0" w:color="80A1B6"/>
              <w:right w:val="single" w:sz="8" w:space="0" w:color="80A1B6"/>
            </w:tcBorders>
            <w:shd w:val="clear" w:color="auto" w:fill="auto"/>
            <w:vAlign w:val="center"/>
            <w:hideMark/>
          </w:tcPr>
          <w:p w14:paraId="3CD8EF7C"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single" w:sz="8" w:space="0" w:color="80A1B6"/>
              <w:left w:val="nil"/>
              <w:bottom w:val="single" w:sz="8" w:space="0" w:color="80A1B6"/>
              <w:right w:val="single" w:sz="8" w:space="0" w:color="80A1B6"/>
            </w:tcBorders>
            <w:shd w:val="clear" w:color="auto" w:fill="auto"/>
            <w:vAlign w:val="center"/>
            <w:hideMark/>
          </w:tcPr>
          <w:p w14:paraId="69684C60"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2 952,22</w:t>
            </w:r>
          </w:p>
        </w:tc>
        <w:tc>
          <w:tcPr>
            <w:tcW w:w="243" w:type="pct"/>
            <w:tcBorders>
              <w:top w:val="single" w:sz="8" w:space="0" w:color="80A1B6"/>
              <w:left w:val="nil"/>
              <w:bottom w:val="single" w:sz="8" w:space="0" w:color="80A1B6"/>
              <w:right w:val="single" w:sz="8" w:space="0" w:color="80A1B6"/>
            </w:tcBorders>
            <w:shd w:val="clear" w:color="auto" w:fill="auto"/>
            <w:vAlign w:val="center"/>
            <w:hideMark/>
          </w:tcPr>
          <w:p w14:paraId="6146E108"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787,78</w:t>
            </w:r>
          </w:p>
        </w:tc>
        <w:tc>
          <w:tcPr>
            <w:tcW w:w="242" w:type="pct"/>
            <w:tcBorders>
              <w:top w:val="single" w:sz="8" w:space="0" w:color="80A1B6"/>
              <w:left w:val="nil"/>
              <w:bottom w:val="single" w:sz="8" w:space="0" w:color="80A1B6"/>
              <w:right w:val="single" w:sz="8" w:space="0" w:color="80A1B6"/>
            </w:tcBorders>
            <w:shd w:val="clear" w:color="auto" w:fill="auto"/>
            <w:vAlign w:val="center"/>
            <w:hideMark/>
          </w:tcPr>
          <w:p w14:paraId="7733C7CB"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503,70</w:t>
            </w:r>
          </w:p>
        </w:tc>
        <w:tc>
          <w:tcPr>
            <w:tcW w:w="167" w:type="pct"/>
            <w:tcBorders>
              <w:top w:val="single" w:sz="8" w:space="0" w:color="80A1B6"/>
              <w:left w:val="nil"/>
              <w:bottom w:val="single" w:sz="8" w:space="0" w:color="80A1B6"/>
              <w:right w:val="single" w:sz="8" w:space="0" w:color="80A1B6"/>
            </w:tcBorders>
            <w:shd w:val="clear" w:color="auto" w:fill="auto"/>
            <w:vAlign w:val="center"/>
            <w:hideMark/>
          </w:tcPr>
          <w:p w14:paraId="1884B96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88,89</w:t>
            </w:r>
          </w:p>
        </w:tc>
        <w:tc>
          <w:tcPr>
            <w:tcW w:w="136" w:type="pct"/>
            <w:tcBorders>
              <w:top w:val="single" w:sz="8" w:space="0" w:color="80A1B6"/>
              <w:left w:val="nil"/>
              <w:bottom w:val="single" w:sz="8" w:space="0" w:color="80A1B6"/>
              <w:right w:val="single" w:sz="8" w:space="0" w:color="80A1B6"/>
            </w:tcBorders>
            <w:shd w:val="clear" w:color="auto" w:fill="auto"/>
            <w:vAlign w:val="center"/>
            <w:hideMark/>
          </w:tcPr>
          <w:p w14:paraId="36CA35AF"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392</w:t>
            </w:r>
          </w:p>
        </w:tc>
        <w:tc>
          <w:tcPr>
            <w:tcW w:w="142" w:type="pct"/>
            <w:tcBorders>
              <w:top w:val="single" w:sz="8" w:space="0" w:color="80A1B6"/>
              <w:left w:val="nil"/>
              <w:bottom w:val="single" w:sz="8" w:space="0" w:color="80A1B6"/>
              <w:right w:val="single" w:sz="8" w:space="0" w:color="80A1B6"/>
            </w:tcBorders>
            <w:shd w:val="clear" w:color="auto" w:fill="auto"/>
            <w:vAlign w:val="center"/>
            <w:hideMark/>
          </w:tcPr>
          <w:p w14:paraId="067A3F10"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46</w:t>
            </w:r>
          </w:p>
        </w:tc>
        <w:tc>
          <w:tcPr>
            <w:tcW w:w="920" w:type="pct"/>
            <w:tcBorders>
              <w:top w:val="single" w:sz="8" w:space="0" w:color="80A1B6"/>
              <w:left w:val="nil"/>
              <w:bottom w:val="single" w:sz="8" w:space="0" w:color="80A1B6"/>
              <w:right w:val="single" w:sz="8" w:space="0" w:color="80A1B6"/>
            </w:tcBorders>
            <w:shd w:val="clear" w:color="auto" w:fill="auto"/>
            <w:hideMark/>
          </w:tcPr>
          <w:p w14:paraId="1AD1FD0A"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RRA - regionální rozvojová agentura, Spolufinancování projektů z dalších OP (souvisejících s RIS3 strategií), Náklady na pořízení analytických a strategických dokumentů, Náklady na inovační infrastrukturu, Stipendia </w:t>
            </w:r>
          </w:p>
        </w:tc>
        <w:tc>
          <w:tcPr>
            <w:tcW w:w="903" w:type="pct"/>
            <w:tcBorders>
              <w:top w:val="single" w:sz="8" w:space="0" w:color="80A1B6"/>
              <w:left w:val="nil"/>
              <w:bottom w:val="single" w:sz="8" w:space="0" w:color="80A1B6"/>
              <w:right w:val="single" w:sz="8" w:space="0" w:color="80A1B6"/>
            </w:tcBorders>
            <w:shd w:val="clear" w:color="auto" w:fill="auto"/>
          </w:tcPr>
          <w:p w14:paraId="04E53344"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Business innovation centre - podnikatelský inkubátor; stipendia nadaní žáci SŠ</w:t>
            </w:r>
          </w:p>
        </w:tc>
      </w:tr>
      <w:tr w:rsidR="008F74A0" w:rsidRPr="005028B8" w14:paraId="2D87F034" w14:textId="77777777" w:rsidTr="005F762C">
        <w:trPr>
          <w:trHeight w:val="891"/>
        </w:trPr>
        <w:tc>
          <w:tcPr>
            <w:tcW w:w="333" w:type="pct"/>
            <w:tcBorders>
              <w:top w:val="single" w:sz="8" w:space="0" w:color="FFFFFF" w:themeColor="background1"/>
              <w:left w:val="single" w:sz="8" w:space="0" w:color="80A1B6"/>
              <w:bottom w:val="single" w:sz="8" w:space="0" w:color="80A1B6"/>
              <w:right w:val="single" w:sz="8" w:space="0" w:color="80A1B6"/>
            </w:tcBorders>
            <w:shd w:val="clear" w:color="auto" w:fill="auto"/>
            <w:vAlign w:val="center"/>
            <w:hideMark/>
          </w:tcPr>
          <w:p w14:paraId="735A1B12"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Plzeňský</w:t>
            </w:r>
          </w:p>
        </w:tc>
        <w:tc>
          <w:tcPr>
            <w:tcW w:w="246"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62CD76CD" w14:textId="77777777" w:rsidR="008F74A0" w:rsidRPr="008F74A0" w:rsidRDefault="008F74A0" w:rsidP="005F762C">
            <w:pPr>
              <w:spacing w:after="0" w:line="240" w:lineRule="auto"/>
              <w:rPr>
                <w:rFonts w:eastAsia="Times New Roman" w:cs="Arial"/>
                <w:sz w:val="18"/>
                <w:szCs w:val="18"/>
                <w:lang w:eastAsia="cs-CZ"/>
              </w:rPr>
            </w:pPr>
          </w:p>
        </w:tc>
        <w:tc>
          <w:tcPr>
            <w:tcW w:w="226"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7F537AA6" w14:textId="77777777" w:rsidR="008F74A0" w:rsidRPr="008F74A0" w:rsidRDefault="008F74A0" w:rsidP="005F762C">
            <w:pPr>
              <w:spacing w:after="0" w:line="240" w:lineRule="auto"/>
              <w:rPr>
                <w:rFonts w:eastAsia="Times New Roman" w:cs="Arial"/>
                <w:sz w:val="18"/>
                <w:szCs w:val="18"/>
                <w:lang w:eastAsia="cs-CZ"/>
              </w:rPr>
            </w:pPr>
          </w:p>
        </w:tc>
        <w:tc>
          <w:tcPr>
            <w:tcW w:w="162"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40952CE3" w14:textId="77777777" w:rsidR="008F74A0" w:rsidRPr="008F74A0" w:rsidRDefault="008F74A0" w:rsidP="005F762C">
            <w:pPr>
              <w:spacing w:after="0" w:line="240" w:lineRule="auto"/>
              <w:rPr>
                <w:rFonts w:eastAsia="Times New Roman" w:cs="Arial"/>
                <w:sz w:val="18"/>
                <w:szCs w:val="18"/>
                <w:lang w:eastAsia="cs-CZ"/>
              </w:rPr>
            </w:pPr>
          </w:p>
        </w:tc>
        <w:tc>
          <w:tcPr>
            <w:tcW w:w="157"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35E7E099" w14:textId="77777777" w:rsidR="008F74A0" w:rsidRPr="008F74A0" w:rsidRDefault="008F74A0" w:rsidP="005F762C">
            <w:pPr>
              <w:spacing w:after="0" w:line="240" w:lineRule="auto"/>
              <w:rPr>
                <w:rFonts w:eastAsia="Times New Roman" w:cs="Arial"/>
                <w:sz w:val="18"/>
                <w:szCs w:val="18"/>
                <w:lang w:eastAsia="cs-CZ"/>
              </w:rPr>
            </w:pPr>
          </w:p>
        </w:tc>
        <w:tc>
          <w:tcPr>
            <w:tcW w:w="216"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1BA02926"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6A5748EE"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3195C028"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58F9955F"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79E44B5A"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4 857,04</w:t>
            </w:r>
          </w:p>
        </w:tc>
        <w:tc>
          <w:tcPr>
            <w:tcW w:w="243"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462BC6D6"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3 692</w:t>
            </w:r>
          </w:p>
        </w:tc>
        <w:tc>
          <w:tcPr>
            <w:tcW w:w="242"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1877E56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472,22</w:t>
            </w:r>
          </w:p>
        </w:tc>
        <w:tc>
          <w:tcPr>
            <w:tcW w:w="167"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4AA9265E"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3,338</w:t>
            </w:r>
          </w:p>
        </w:tc>
        <w:tc>
          <w:tcPr>
            <w:tcW w:w="136"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5631BE96"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615</w:t>
            </w:r>
          </w:p>
        </w:tc>
        <w:tc>
          <w:tcPr>
            <w:tcW w:w="142" w:type="pct"/>
            <w:tcBorders>
              <w:top w:val="single" w:sz="8" w:space="0" w:color="FFFFFF" w:themeColor="background1"/>
              <w:left w:val="nil"/>
              <w:bottom w:val="single" w:sz="8" w:space="0" w:color="80A1B6"/>
              <w:right w:val="single" w:sz="8" w:space="0" w:color="80A1B6"/>
            </w:tcBorders>
            <w:shd w:val="clear" w:color="auto" w:fill="auto"/>
            <w:vAlign w:val="center"/>
            <w:hideMark/>
          </w:tcPr>
          <w:p w14:paraId="4D69638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109</w:t>
            </w:r>
          </w:p>
        </w:tc>
        <w:tc>
          <w:tcPr>
            <w:tcW w:w="920" w:type="pct"/>
            <w:tcBorders>
              <w:top w:val="single" w:sz="8" w:space="0" w:color="FFFFFF" w:themeColor="background1"/>
              <w:left w:val="nil"/>
              <w:bottom w:val="single" w:sz="8" w:space="0" w:color="80A1B6"/>
              <w:right w:val="single" w:sz="8" w:space="0" w:color="80A1B6"/>
            </w:tcBorders>
            <w:shd w:val="clear" w:color="auto" w:fill="auto"/>
            <w:hideMark/>
          </w:tcPr>
          <w:p w14:paraId="5F1CD0A4"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Budování a posílení kapacit pro výzkum a vývoj, Náklady na konkrétní „měkké“ projekty, Inovační vouchery, Popularizace, propagace a marketing VVI, Ostatní výše nespecifikované náklady kraje v souvislosti s RIS3 strategií, Budování a posílení kapacit pro výzkum a vývoj, Podpora inovačních podniků a podnikání, Popularizace, propagace a marketing VVI </w:t>
            </w:r>
          </w:p>
        </w:tc>
        <w:tc>
          <w:tcPr>
            <w:tcW w:w="903" w:type="pct"/>
            <w:tcBorders>
              <w:top w:val="single" w:sz="8" w:space="0" w:color="FFFFFF" w:themeColor="background1"/>
              <w:left w:val="nil"/>
              <w:bottom w:val="single" w:sz="8" w:space="0" w:color="80A1B6"/>
              <w:right w:val="single" w:sz="8" w:space="0" w:color="80A1B6"/>
            </w:tcBorders>
            <w:shd w:val="clear" w:color="auto" w:fill="auto"/>
          </w:tcPr>
          <w:p w14:paraId="6F7D1B29"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Podpora talentovaných žáků; podpora Techmania Scince center; Podpora technického vzdělávání v PK (soutěže, olympiády); Motivace pro technické vzdělávání mládeže</w:t>
            </w:r>
          </w:p>
        </w:tc>
      </w:tr>
      <w:tr w:rsidR="008F74A0" w:rsidRPr="005028B8" w14:paraId="176405C6" w14:textId="77777777" w:rsidTr="005F762C">
        <w:trPr>
          <w:trHeight w:val="1185"/>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5316BB8E"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Praha</w:t>
            </w:r>
          </w:p>
        </w:tc>
        <w:tc>
          <w:tcPr>
            <w:tcW w:w="246" w:type="pct"/>
            <w:tcBorders>
              <w:top w:val="nil"/>
              <w:left w:val="nil"/>
              <w:bottom w:val="single" w:sz="8" w:space="0" w:color="80A1B6"/>
              <w:right w:val="single" w:sz="8" w:space="0" w:color="80A1B6"/>
            </w:tcBorders>
            <w:shd w:val="clear" w:color="auto" w:fill="auto"/>
            <w:vAlign w:val="center"/>
            <w:hideMark/>
          </w:tcPr>
          <w:p w14:paraId="2A260710"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17 592,59</w:t>
            </w:r>
          </w:p>
        </w:tc>
        <w:tc>
          <w:tcPr>
            <w:tcW w:w="226" w:type="pct"/>
            <w:tcBorders>
              <w:top w:val="nil"/>
              <w:left w:val="nil"/>
              <w:bottom w:val="single" w:sz="8" w:space="0" w:color="80A1B6"/>
              <w:right w:val="single" w:sz="8" w:space="0" w:color="80A1B6"/>
            </w:tcBorders>
            <w:shd w:val="clear" w:color="auto" w:fill="auto"/>
            <w:vAlign w:val="center"/>
            <w:hideMark/>
          </w:tcPr>
          <w:p w14:paraId="0FE9A770"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21 111,11</w:t>
            </w:r>
          </w:p>
        </w:tc>
        <w:tc>
          <w:tcPr>
            <w:tcW w:w="162" w:type="pct"/>
            <w:tcBorders>
              <w:top w:val="nil"/>
              <w:left w:val="nil"/>
              <w:bottom w:val="single" w:sz="8" w:space="0" w:color="80A1B6"/>
              <w:right w:val="single" w:sz="8" w:space="0" w:color="80A1B6"/>
            </w:tcBorders>
            <w:shd w:val="clear" w:color="auto" w:fill="auto"/>
            <w:vAlign w:val="center"/>
          </w:tcPr>
          <w:p w14:paraId="11C93720"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22 713</w:t>
            </w:r>
          </w:p>
        </w:tc>
        <w:tc>
          <w:tcPr>
            <w:tcW w:w="157" w:type="pct"/>
            <w:tcBorders>
              <w:top w:val="nil"/>
              <w:left w:val="nil"/>
              <w:bottom w:val="single" w:sz="8" w:space="0" w:color="80A1B6"/>
              <w:right w:val="single" w:sz="8" w:space="0" w:color="80A1B6"/>
            </w:tcBorders>
            <w:shd w:val="clear" w:color="auto" w:fill="auto"/>
            <w:vAlign w:val="center"/>
          </w:tcPr>
          <w:p w14:paraId="6F548C61"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21 615</w:t>
            </w:r>
          </w:p>
        </w:tc>
        <w:tc>
          <w:tcPr>
            <w:tcW w:w="216" w:type="pct"/>
            <w:tcBorders>
              <w:top w:val="nil"/>
              <w:left w:val="nil"/>
              <w:bottom w:val="single" w:sz="8" w:space="0" w:color="80A1B6"/>
              <w:right w:val="single" w:sz="8" w:space="0" w:color="80A1B6"/>
            </w:tcBorders>
            <w:shd w:val="clear" w:color="auto" w:fill="auto"/>
            <w:vAlign w:val="center"/>
            <w:hideMark/>
          </w:tcPr>
          <w:p w14:paraId="199A6990"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nil"/>
              <w:left w:val="nil"/>
              <w:bottom w:val="single" w:sz="8" w:space="0" w:color="80A1B6"/>
              <w:right w:val="single" w:sz="8" w:space="0" w:color="80A1B6"/>
            </w:tcBorders>
            <w:shd w:val="clear" w:color="auto" w:fill="auto"/>
            <w:vAlign w:val="center"/>
            <w:hideMark/>
          </w:tcPr>
          <w:p w14:paraId="53D08AC2"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02681F54"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nil"/>
              <w:left w:val="nil"/>
              <w:bottom w:val="single" w:sz="8" w:space="0" w:color="80A1B6"/>
              <w:right w:val="single" w:sz="8" w:space="0" w:color="80A1B6"/>
            </w:tcBorders>
            <w:shd w:val="clear" w:color="auto" w:fill="auto"/>
            <w:vAlign w:val="center"/>
            <w:hideMark/>
          </w:tcPr>
          <w:p w14:paraId="6F868DBD"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17F87CA8"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362,96</w:t>
            </w:r>
          </w:p>
        </w:tc>
        <w:tc>
          <w:tcPr>
            <w:tcW w:w="243" w:type="pct"/>
            <w:tcBorders>
              <w:top w:val="nil"/>
              <w:left w:val="nil"/>
              <w:bottom w:val="single" w:sz="8" w:space="0" w:color="80A1B6"/>
              <w:right w:val="single" w:sz="8" w:space="0" w:color="80A1B6"/>
            </w:tcBorders>
            <w:shd w:val="clear" w:color="auto" w:fill="auto"/>
            <w:vAlign w:val="center"/>
            <w:hideMark/>
          </w:tcPr>
          <w:p w14:paraId="32D3004A"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63BEE6C1" w14:textId="77777777" w:rsidR="008F74A0" w:rsidRPr="008F74A0" w:rsidRDefault="008F74A0" w:rsidP="005F762C">
            <w:pPr>
              <w:spacing w:after="0" w:line="240" w:lineRule="auto"/>
              <w:rPr>
                <w:rFonts w:eastAsia="Times New Roman" w:cs="Arial"/>
                <w:sz w:val="18"/>
                <w:szCs w:val="18"/>
                <w:lang w:eastAsia="cs-CZ"/>
              </w:rPr>
            </w:pPr>
          </w:p>
        </w:tc>
        <w:tc>
          <w:tcPr>
            <w:tcW w:w="167" w:type="pct"/>
            <w:tcBorders>
              <w:top w:val="nil"/>
              <w:left w:val="nil"/>
              <w:bottom w:val="single" w:sz="8" w:space="0" w:color="80A1B6"/>
              <w:right w:val="single" w:sz="8" w:space="0" w:color="80A1B6"/>
            </w:tcBorders>
            <w:shd w:val="clear" w:color="auto" w:fill="auto"/>
            <w:vAlign w:val="center"/>
            <w:hideMark/>
          </w:tcPr>
          <w:p w14:paraId="2DA76C15" w14:textId="77777777" w:rsidR="008F74A0" w:rsidRPr="008F74A0" w:rsidRDefault="008F74A0" w:rsidP="005F762C">
            <w:pPr>
              <w:spacing w:after="0" w:line="240" w:lineRule="auto"/>
              <w:rPr>
                <w:rFonts w:eastAsia="Times New Roman" w:cs="Arial"/>
                <w:sz w:val="18"/>
                <w:szCs w:val="18"/>
                <w:lang w:eastAsia="cs-CZ"/>
              </w:rPr>
            </w:pPr>
          </w:p>
        </w:tc>
        <w:tc>
          <w:tcPr>
            <w:tcW w:w="136" w:type="pct"/>
            <w:tcBorders>
              <w:top w:val="nil"/>
              <w:left w:val="nil"/>
              <w:bottom w:val="single" w:sz="8" w:space="0" w:color="80A1B6"/>
              <w:right w:val="single" w:sz="8" w:space="0" w:color="80A1B6"/>
            </w:tcBorders>
            <w:shd w:val="clear" w:color="auto" w:fill="auto"/>
            <w:vAlign w:val="center"/>
            <w:hideMark/>
          </w:tcPr>
          <w:p w14:paraId="0AEA1FAC" w14:textId="77777777" w:rsidR="008F74A0" w:rsidRPr="008F74A0" w:rsidRDefault="008F74A0" w:rsidP="005F762C">
            <w:pPr>
              <w:spacing w:after="0" w:line="240" w:lineRule="auto"/>
              <w:rPr>
                <w:rFonts w:eastAsia="Times New Roman" w:cs="Arial"/>
                <w:sz w:val="18"/>
                <w:szCs w:val="18"/>
                <w:lang w:eastAsia="cs-CZ"/>
              </w:rPr>
            </w:pPr>
          </w:p>
        </w:tc>
        <w:tc>
          <w:tcPr>
            <w:tcW w:w="142" w:type="pct"/>
            <w:tcBorders>
              <w:top w:val="nil"/>
              <w:left w:val="nil"/>
              <w:bottom w:val="single" w:sz="8" w:space="0" w:color="80A1B6"/>
              <w:right w:val="single" w:sz="8" w:space="0" w:color="80A1B6"/>
            </w:tcBorders>
            <w:shd w:val="clear" w:color="auto" w:fill="auto"/>
            <w:vAlign w:val="center"/>
            <w:hideMark/>
          </w:tcPr>
          <w:p w14:paraId="52CDCC3F" w14:textId="77777777" w:rsidR="008F74A0" w:rsidRPr="008F74A0" w:rsidRDefault="008F74A0" w:rsidP="005F762C">
            <w:pPr>
              <w:spacing w:after="0" w:line="240" w:lineRule="auto"/>
              <w:rPr>
                <w:rFonts w:eastAsia="Times New Roman" w:cs="Arial"/>
                <w:sz w:val="18"/>
                <w:szCs w:val="18"/>
                <w:lang w:eastAsia="cs-CZ"/>
              </w:rPr>
            </w:pPr>
          </w:p>
        </w:tc>
        <w:tc>
          <w:tcPr>
            <w:tcW w:w="920" w:type="pct"/>
            <w:tcBorders>
              <w:top w:val="nil"/>
              <w:left w:val="nil"/>
              <w:bottom w:val="single" w:sz="8" w:space="0" w:color="80A1B6"/>
              <w:right w:val="single" w:sz="8" w:space="0" w:color="80A1B6"/>
            </w:tcBorders>
            <w:shd w:val="clear" w:color="auto" w:fill="auto"/>
            <w:hideMark/>
          </w:tcPr>
          <w:p w14:paraId="3C2160A8"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Náklady na inovační infrastrukturu, Náklady na pořízení analytických a strategických dokumentů, Osobní náklady - management, Spolufinancování projektů z dalších OP (souvisejících s RIS3 strategií) = OP PPR, Lidské zdroje, Podpora inovačních podniků a podnikání </w:t>
            </w:r>
          </w:p>
        </w:tc>
        <w:tc>
          <w:tcPr>
            <w:tcW w:w="903" w:type="pct"/>
            <w:tcBorders>
              <w:top w:val="nil"/>
              <w:left w:val="nil"/>
              <w:bottom w:val="single" w:sz="8" w:space="0" w:color="80A1B6"/>
              <w:right w:val="single" w:sz="8" w:space="0" w:color="80A1B6"/>
            </w:tcBorders>
            <w:shd w:val="clear" w:color="auto" w:fill="auto"/>
            <w:hideMark/>
          </w:tcPr>
          <w:p w14:paraId="6785E9B7"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Vedecko-technický park - financování projektů výzev OP PPR; vlastní výzvy OP PPR typu proof-of-concept, výzvy OP PPR typu inovační partnerství; Specializované vouchery</w:t>
            </w:r>
          </w:p>
        </w:tc>
      </w:tr>
      <w:tr w:rsidR="008F74A0" w:rsidRPr="005028B8" w14:paraId="72ED7ECF" w14:textId="77777777" w:rsidTr="005F762C">
        <w:trPr>
          <w:trHeight w:val="743"/>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733E2CCE"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Středočeský</w:t>
            </w:r>
          </w:p>
        </w:tc>
        <w:tc>
          <w:tcPr>
            <w:tcW w:w="246" w:type="pct"/>
            <w:tcBorders>
              <w:top w:val="nil"/>
              <w:left w:val="nil"/>
              <w:bottom w:val="single" w:sz="8" w:space="0" w:color="80A1B6"/>
              <w:right w:val="single" w:sz="8" w:space="0" w:color="80A1B6"/>
            </w:tcBorders>
            <w:shd w:val="clear" w:color="auto" w:fill="auto"/>
            <w:vAlign w:val="center"/>
            <w:hideMark/>
          </w:tcPr>
          <w:p w14:paraId="3349DDA9" w14:textId="77777777" w:rsidR="008F74A0" w:rsidRPr="008F74A0" w:rsidRDefault="008F74A0" w:rsidP="005F762C">
            <w:pPr>
              <w:spacing w:after="0" w:line="240" w:lineRule="auto"/>
              <w:rPr>
                <w:rFonts w:eastAsia="Times New Roman" w:cs="Arial"/>
                <w:sz w:val="18"/>
                <w:szCs w:val="18"/>
                <w:lang w:eastAsia="cs-CZ"/>
              </w:rPr>
            </w:pPr>
          </w:p>
        </w:tc>
        <w:tc>
          <w:tcPr>
            <w:tcW w:w="226" w:type="pct"/>
            <w:tcBorders>
              <w:top w:val="nil"/>
              <w:left w:val="nil"/>
              <w:bottom w:val="single" w:sz="8" w:space="0" w:color="80A1B6"/>
              <w:right w:val="single" w:sz="8" w:space="0" w:color="80A1B6"/>
            </w:tcBorders>
            <w:shd w:val="clear" w:color="auto" w:fill="auto"/>
            <w:vAlign w:val="center"/>
            <w:hideMark/>
          </w:tcPr>
          <w:p w14:paraId="33C97BEE" w14:textId="77777777" w:rsidR="008F74A0" w:rsidRPr="008F74A0" w:rsidRDefault="008F74A0" w:rsidP="005F762C">
            <w:pPr>
              <w:spacing w:after="0" w:line="240" w:lineRule="auto"/>
              <w:rPr>
                <w:rFonts w:eastAsia="Times New Roman" w:cs="Arial"/>
                <w:sz w:val="18"/>
                <w:szCs w:val="18"/>
                <w:lang w:eastAsia="cs-CZ"/>
              </w:rPr>
            </w:pPr>
          </w:p>
        </w:tc>
        <w:tc>
          <w:tcPr>
            <w:tcW w:w="162" w:type="pct"/>
            <w:tcBorders>
              <w:top w:val="nil"/>
              <w:left w:val="nil"/>
              <w:bottom w:val="single" w:sz="8" w:space="0" w:color="80A1B6"/>
              <w:right w:val="single" w:sz="8" w:space="0" w:color="80A1B6"/>
            </w:tcBorders>
            <w:shd w:val="clear" w:color="auto" w:fill="auto"/>
            <w:vAlign w:val="center"/>
            <w:hideMark/>
          </w:tcPr>
          <w:p w14:paraId="53A423A4"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514</w:t>
            </w:r>
          </w:p>
        </w:tc>
        <w:tc>
          <w:tcPr>
            <w:tcW w:w="157" w:type="pct"/>
            <w:tcBorders>
              <w:top w:val="nil"/>
              <w:left w:val="nil"/>
              <w:bottom w:val="single" w:sz="8" w:space="0" w:color="80A1B6"/>
              <w:right w:val="single" w:sz="8" w:space="0" w:color="80A1B6"/>
            </w:tcBorders>
            <w:shd w:val="clear" w:color="auto" w:fill="auto"/>
            <w:vAlign w:val="center"/>
            <w:hideMark/>
          </w:tcPr>
          <w:p w14:paraId="5AF81DAC" w14:textId="72CFE88C" w:rsidR="008F74A0" w:rsidRPr="003D4218" w:rsidRDefault="008F74A0" w:rsidP="005F762C">
            <w:pPr>
              <w:spacing w:after="0" w:line="240" w:lineRule="auto"/>
              <w:rPr>
                <w:rFonts w:eastAsia="Times New Roman" w:cs="Arial"/>
                <w:sz w:val="18"/>
                <w:szCs w:val="18"/>
                <w:lang w:eastAsia="cs-CZ"/>
              </w:rPr>
            </w:pPr>
            <w:r w:rsidRPr="003D4218">
              <w:rPr>
                <w:rFonts w:eastAsia="Times New Roman" w:cs="Arial"/>
                <w:sz w:val="18"/>
                <w:szCs w:val="18"/>
                <w:lang w:eastAsia="cs-CZ"/>
              </w:rPr>
              <w:t>1</w:t>
            </w:r>
            <w:r w:rsidR="00084BF4">
              <w:rPr>
                <w:rFonts w:eastAsia="Times New Roman" w:cs="Arial"/>
                <w:sz w:val="18"/>
                <w:szCs w:val="18"/>
                <w:lang w:eastAsia="cs-CZ"/>
              </w:rPr>
              <w:t xml:space="preserve"> </w:t>
            </w:r>
            <w:r w:rsidRPr="003D4218">
              <w:rPr>
                <w:rFonts w:eastAsia="Times New Roman" w:cs="Arial"/>
                <w:sz w:val="18"/>
                <w:szCs w:val="18"/>
                <w:lang w:eastAsia="cs-CZ"/>
              </w:rPr>
              <w:t>945</w:t>
            </w:r>
          </w:p>
        </w:tc>
        <w:tc>
          <w:tcPr>
            <w:tcW w:w="216" w:type="pct"/>
            <w:tcBorders>
              <w:top w:val="nil"/>
              <w:left w:val="nil"/>
              <w:bottom w:val="single" w:sz="8" w:space="0" w:color="80A1B6"/>
              <w:right w:val="single" w:sz="8" w:space="0" w:color="80A1B6"/>
            </w:tcBorders>
            <w:shd w:val="clear" w:color="auto" w:fill="auto"/>
            <w:vAlign w:val="center"/>
            <w:hideMark/>
          </w:tcPr>
          <w:p w14:paraId="7B973A2E" w14:textId="2D193F3E" w:rsidR="008F74A0" w:rsidRPr="003D4218" w:rsidRDefault="008F74A0" w:rsidP="00084BF4">
            <w:pPr>
              <w:spacing w:after="0" w:line="240" w:lineRule="auto"/>
              <w:rPr>
                <w:rFonts w:eastAsia="Times New Roman" w:cs="Arial"/>
                <w:sz w:val="18"/>
                <w:szCs w:val="18"/>
                <w:lang w:eastAsia="cs-CZ"/>
              </w:rPr>
            </w:pPr>
            <w:r w:rsidRPr="003D4218">
              <w:rPr>
                <w:rFonts w:cs="Arial"/>
                <w:sz w:val="18"/>
                <w:szCs w:val="18"/>
              </w:rPr>
              <w:t>59878,52</w:t>
            </w:r>
          </w:p>
        </w:tc>
        <w:tc>
          <w:tcPr>
            <w:tcW w:w="277" w:type="pct"/>
            <w:tcBorders>
              <w:top w:val="nil"/>
              <w:left w:val="nil"/>
              <w:bottom w:val="single" w:sz="8" w:space="0" w:color="80A1B6"/>
              <w:right w:val="single" w:sz="8" w:space="0" w:color="80A1B6"/>
            </w:tcBorders>
            <w:shd w:val="clear" w:color="auto" w:fill="auto"/>
            <w:vAlign w:val="center"/>
            <w:hideMark/>
          </w:tcPr>
          <w:p w14:paraId="739FE9B9" w14:textId="77777777" w:rsidR="008F74A0" w:rsidRPr="003D4218"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58D65784" w14:textId="77777777" w:rsidR="008F74A0" w:rsidRPr="003D4218" w:rsidRDefault="008F74A0" w:rsidP="005F762C">
            <w:pPr>
              <w:spacing w:after="0" w:line="240" w:lineRule="auto"/>
              <w:rPr>
                <w:rFonts w:eastAsia="Times New Roman" w:cs="Arial"/>
                <w:sz w:val="18"/>
                <w:szCs w:val="18"/>
                <w:lang w:eastAsia="cs-CZ"/>
              </w:rPr>
            </w:pPr>
            <w:r w:rsidRPr="003D4218">
              <w:rPr>
                <w:rFonts w:eastAsia="Times New Roman" w:cs="Arial"/>
                <w:sz w:val="18"/>
                <w:szCs w:val="18"/>
                <w:lang w:eastAsia="cs-CZ"/>
              </w:rPr>
              <w:t>18</w:t>
            </w:r>
          </w:p>
        </w:tc>
        <w:tc>
          <w:tcPr>
            <w:tcW w:w="131" w:type="pct"/>
            <w:tcBorders>
              <w:top w:val="nil"/>
              <w:left w:val="nil"/>
              <w:bottom w:val="single" w:sz="8" w:space="0" w:color="80A1B6"/>
              <w:right w:val="single" w:sz="8" w:space="0" w:color="80A1B6"/>
            </w:tcBorders>
            <w:shd w:val="clear" w:color="auto" w:fill="auto"/>
            <w:vAlign w:val="center"/>
            <w:hideMark/>
          </w:tcPr>
          <w:p w14:paraId="31E83FCA"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35E4043F"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11 413,33</w:t>
            </w:r>
          </w:p>
        </w:tc>
        <w:tc>
          <w:tcPr>
            <w:tcW w:w="243" w:type="pct"/>
            <w:tcBorders>
              <w:top w:val="nil"/>
              <w:left w:val="nil"/>
              <w:bottom w:val="single" w:sz="8" w:space="0" w:color="80A1B6"/>
              <w:right w:val="single" w:sz="8" w:space="0" w:color="80A1B6"/>
            </w:tcBorders>
            <w:shd w:val="clear" w:color="auto" w:fill="auto"/>
            <w:vAlign w:val="center"/>
            <w:hideMark/>
          </w:tcPr>
          <w:p w14:paraId="0783B2E4"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62728BAD"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2 465,19</w:t>
            </w:r>
          </w:p>
        </w:tc>
        <w:tc>
          <w:tcPr>
            <w:tcW w:w="167" w:type="pct"/>
            <w:tcBorders>
              <w:top w:val="nil"/>
              <w:left w:val="nil"/>
              <w:bottom w:val="single" w:sz="8" w:space="0" w:color="80A1B6"/>
              <w:right w:val="single" w:sz="8" w:space="0" w:color="80A1B6"/>
            </w:tcBorders>
            <w:shd w:val="clear" w:color="auto" w:fill="auto"/>
            <w:vAlign w:val="center"/>
            <w:hideMark/>
          </w:tcPr>
          <w:p w14:paraId="5F654430"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93,70</w:t>
            </w:r>
          </w:p>
        </w:tc>
        <w:tc>
          <w:tcPr>
            <w:tcW w:w="136" w:type="pct"/>
            <w:tcBorders>
              <w:top w:val="nil"/>
              <w:left w:val="nil"/>
              <w:bottom w:val="single" w:sz="8" w:space="0" w:color="80A1B6"/>
              <w:right w:val="single" w:sz="8" w:space="0" w:color="80A1B6"/>
            </w:tcBorders>
            <w:shd w:val="clear" w:color="auto" w:fill="auto"/>
            <w:vAlign w:val="center"/>
            <w:hideMark/>
          </w:tcPr>
          <w:p w14:paraId="4AF5C532"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363</w:t>
            </w:r>
          </w:p>
        </w:tc>
        <w:tc>
          <w:tcPr>
            <w:tcW w:w="142" w:type="pct"/>
            <w:tcBorders>
              <w:top w:val="nil"/>
              <w:left w:val="nil"/>
              <w:bottom w:val="single" w:sz="8" w:space="0" w:color="80A1B6"/>
              <w:right w:val="single" w:sz="8" w:space="0" w:color="80A1B6"/>
            </w:tcBorders>
            <w:shd w:val="clear" w:color="auto" w:fill="auto"/>
            <w:vAlign w:val="center"/>
            <w:hideMark/>
          </w:tcPr>
          <w:p w14:paraId="519AEE3F"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64</w:t>
            </w:r>
          </w:p>
        </w:tc>
        <w:tc>
          <w:tcPr>
            <w:tcW w:w="920" w:type="pct"/>
            <w:tcBorders>
              <w:top w:val="nil"/>
              <w:left w:val="nil"/>
              <w:bottom w:val="single" w:sz="8" w:space="0" w:color="80A1B6"/>
              <w:right w:val="single" w:sz="8" w:space="0" w:color="80A1B6"/>
            </w:tcBorders>
            <w:shd w:val="clear" w:color="auto" w:fill="auto"/>
            <w:hideMark/>
          </w:tcPr>
          <w:p w14:paraId="3FB2D3FC"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Osobní náklady - management, Věda a výzkum – vlastní programy, Lidské zdroje, Stipendia, Inovační vouchery, Ostatní výše nespecifikované náklady kraje v souvislosti s RIS3 strategií </w:t>
            </w:r>
          </w:p>
        </w:tc>
        <w:tc>
          <w:tcPr>
            <w:tcW w:w="903" w:type="pct"/>
            <w:tcBorders>
              <w:top w:val="nil"/>
              <w:left w:val="nil"/>
              <w:bottom w:val="single" w:sz="8" w:space="0" w:color="80A1B6"/>
              <w:right w:val="single" w:sz="8" w:space="0" w:color="80A1B6"/>
            </w:tcBorders>
            <w:shd w:val="clear" w:color="auto" w:fill="auto"/>
            <w:hideMark/>
          </w:tcPr>
          <w:p w14:paraId="4A7B3001"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 Středočeské inovační centrum; kreativní vouchery; Aktualizace územní energetické koncepce</w:t>
            </w:r>
          </w:p>
        </w:tc>
      </w:tr>
      <w:tr w:rsidR="008F74A0" w:rsidRPr="005028B8" w14:paraId="15A639CA" w14:textId="77777777" w:rsidTr="005F762C">
        <w:trPr>
          <w:trHeight w:val="596"/>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1C26D359"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Ústecký</w:t>
            </w:r>
          </w:p>
        </w:tc>
        <w:tc>
          <w:tcPr>
            <w:tcW w:w="246" w:type="pct"/>
            <w:tcBorders>
              <w:top w:val="nil"/>
              <w:left w:val="nil"/>
              <w:bottom w:val="single" w:sz="8" w:space="0" w:color="80A1B6"/>
              <w:right w:val="single" w:sz="8" w:space="0" w:color="80A1B6"/>
            </w:tcBorders>
            <w:shd w:val="clear" w:color="auto" w:fill="auto"/>
            <w:vAlign w:val="center"/>
            <w:hideMark/>
          </w:tcPr>
          <w:p w14:paraId="1886B275" w14:textId="77777777" w:rsidR="008F74A0" w:rsidRPr="008F74A0" w:rsidRDefault="008F74A0" w:rsidP="005F762C">
            <w:pPr>
              <w:spacing w:after="0" w:line="240" w:lineRule="auto"/>
              <w:rPr>
                <w:rFonts w:eastAsia="Times New Roman" w:cs="Arial"/>
                <w:sz w:val="18"/>
                <w:szCs w:val="18"/>
                <w:lang w:eastAsia="cs-CZ"/>
              </w:rPr>
            </w:pPr>
          </w:p>
        </w:tc>
        <w:tc>
          <w:tcPr>
            <w:tcW w:w="226" w:type="pct"/>
            <w:tcBorders>
              <w:top w:val="nil"/>
              <w:left w:val="nil"/>
              <w:bottom w:val="single" w:sz="8" w:space="0" w:color="80A1B6"/>
              <w:right w:val="single" w:sz="8" w:space="0" w:color="80A1B6"/>
            </w:tcBorders>
            <w:shd w:val="clear" w:color="auto" w:fill="auto"/>
            <w:vAlign w:val="center"/>
            <w:hideMark/>
          </w:tcPr>
          <w:p w14:paraId="02790408" w14:textId="77777777" w:rsidR="008F74A0" w:rsidRPr="008F74A0" w:rsidRDefault="008F74A0" w:rsidP="005F762C">
            <w:pPr>
              <w:spacing w:after="0" w:line="240" w:lineRule="auto"/>
              <w:rPr>
                <w:rFonts w:eastAsia="Times New Roman" w:cs="Arial"/>
                <w:sz w:val="18"/>
                <w:szCs w:val="18"/>
                <w:lang w:eastAsia="cs-CZ"/>
              </w:rPr>
            </w:pPr>
          </w:p>
        </w:tc>
        <w:tc>
          <w:tcPr>
            <w:tcW w:w="162" w:type="pct"/>
            <w:tcBorders>
              <w:top w:val="nil"/>
              <w:left w:val="nil"/>
              <w:bottom w:val="single" w:sz="8" w:space="0" w:color="80A1B6"/>
              <w:right w:val="single" w:sz="8" w:space="0" w:color="80A1B6"/>
            </w:tcBorders>
            <w:shd w:val="clear" w:color="auto" w:fill="auto"/>
            <w:vAlign w:val="center"/>
          </w:tcPr>
          <w:p w14:paraId="779C4BFE" w14:textId="77777777" w:rsidR="008F74A0" w:rsidRPr="008F74A0" w:rsidRDefault="008F74A0" w:rsidP="005F762C">
            <w:pPr>
              <w:spacing w:after="0" w:line="240" w:lineRule="auto"/>
              <w:rPr>
                <w:rFonts w:eastAsia="Times New Roman" w:cs="Arial"/>
                <w:sz w:val="18"/>
                <w:szCs w:val="18"/>
                <w:lang w:eastAsia="cs-CZ"/>
              </w:rPr>
            </w:pPr>
          </w:p>
        </w:tc>
        <w:tc>
          <w:tcPr>
            <w:tcW w:w="157" w:type="pct"/>
            <w:tcBorders>
              <w:top w:val="nil"/>
              <w:left w:val="nil"/>
              <w:bottom w:val="single" w:sz="8" w:space="0" w:color="80A1B6"/>
              <w:right w:val="single" w:sz="8" w:space="0" w:color="80A1B6"/>
            </w:tcBorders>
            <w:shd w:val="clear" w:color="auto" w:fill="auto"/>
            <w:vAlign w:val="center"/>
          </w:tcPr>
          <w:p w14:paraId="421C4C1B" w14:textId="77777777" w:rsidR="008F74A0" w:rsidRPr="008F74A0" w:rsidRDefault="008F74A0" w:rsidP="005F762C">
            <w:pPr>
              <w:spacing w:after="0" w:line="240" w:lineRule="auto"/>
              <w:rPr>
                <w:rFonts w:eastAsia="Times New Roman" w:cs="Arial"/>
                <w:sz w:val="18"/>
                <w:szCs w:val="18"/>
                <w:lang w:eastAsia="cs-CZ"/>
              </w:rPr>
            </w:pPr>
          </w:p>
        </w:tc>
        <w:tc>
          <w:tcPr>
            <w:tcW w:w="216" w:type="pct"/>
            <w:tcBorders>
              <w:top w:val="nil"/>
              <w:left w:val="nil"/>
              <w:bottom w:val="single" w:sz="8" w:space="0" w:color="80A1B6"/>
              <w:right w:val="single" w:sz="8" w:space="0" w:color="80A1B6"/>
            </w:tcBorders>
            <w:shd w:val="clear" w:color="auto" w:fill="auto"/>
            <w:vAlign w:val="center"/>
            <w:hideMark/>
          </w:tcPr>
          <w:p w14:paraId="52A089E4"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nil"/>
              <w:left w:val="nil"/>
              <w:bottom w:val="single" w:sz="8" w:space="0" w:color="80A1B6"/>
              <w:right w:val="single" w:sz="8" w:space="0" w:color="80A1B6"/>
            </w:tcBorders>
            <w:shd w:val="clear" w:color="auto" w:fill="auto"/>
            <w:vAlign w:val="center"/>
            <w:hideMark/>
          </w:tcPr>
          <w:p w14:paraId="73D6C0BF"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10AD6630"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nil"/>
              <w:left w:val="nil"/>
              <w:bottom w:val="single" w:sz="8" w:space="0" w:color="80A1B6"/>
              <w:right w:val="single" w:sz="8" w:space="0" w:color="80A1B6"/>
            </w:tcBorders>
            <w:shd w:val="clear" w:color="auto" w:fill="auto"/>
            <w:vAlign w:val="center"/>
            <w:hideMark/>
          </w:tcPr>
          <w:p w14:paraId="6735EA38"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1A675BAF"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1 977,78</w:t>
            </w:r>
          </w:p>
        </w:tc>
        <w:tc>
          <w:tcPr>
            <w:tcW w:w="243" w:type="pct"/>
            <w:tcBorders>
              <w:top w:val="nil"/>
              <w:left w:val="nil"/>
              <w:bottom w:val="single" w:sz="8" w:space="0" w:color="80A1B6"/>
              <w:right w:val="single" w:sz="8" w:space="0" w:color="80A1B6"/>
            </w:tcBorders>
            <w:shd w:val="clear" w:color="auto" w:fill="auto"/>
            <w:vAlign w:val="center"/>
            <w:hideMark/>
          </w:tcPr>
          <w:p w14:paraId="0A350D49" w14:textId="3C9BF515"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2</w:t>
            </w:r>
            <w:r w:rsidR="00084BF4">
              <w:rPr>
                <w:rFonts w:eastAsia="Times New Roman" w:cs="Arial"/>
                <w:sz w:val="18"/>
                <w:szCs w:val="18"/>
                <w:lang w:eastAsia="cs-CZ"/>
              </w:rPr>
              <w:t xml:space="preserve"> </w:t>
            </w:r>
            <w:r w:rsidRPr="008F74A0">
              <w:rPr>
                <w:rFonts w:eastAsia="Times New Roman" w:cs="Arial"/>
                <w:sz w:val="18"/>
                <w:szCs w:val="18"/>
                <w:lang w:eastAsia="cs-CZ"/>
              </w:rPr>
              <w:t>626</w:t>
            </w:r>
          </w:p>
        </w:tc>
        <w:tc>
          <w:tcPr>
            <w:tcW w:w="242" w:type="pct"/>
            <w:tcBorders>
              <w:top w:val="nil"/>
              <w:left w:val="nil"/>
              <w:bottom w:val="single" w:sz="8" w:space="0" w:color="80A1B6"/>
              <w:right w:val="single" w:sz="8" w:space="0" w:color="80A1B6"/>
            </w:tcBorders>
            <w:shd w:val="clear" w:color="auto" w:fill="auto"/>
            <w:vAlign w:val="center"/>
            <w:hideMark/>
          </w:tcPr>
          <w:p w14:paraId="304B72A7"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899,26</w:t>
            </w:r>
          </w:p>
        </w:tc>
        <w:tc>
          <w:tcPr>
            <w:tcW w:w="167" w:type="pct"/>
            <w:tcBorders>
              <w:top w:val="nil"/>
              <w:left w:val="nil"/>
              <w:bottom w:val="single" w:sz="8" w:space="0" w:color="80A1B6"/>
              <w:right w:val="single" w:sz="8" w:space="0" w:color="80A1B6"/>
            </w:tcBorders>
            <w:shd w:val="clear" w:color="auto" w:fill="auto"/>
            <w:vAlign w:val="center"/>
            <w:hideMark/>
          </w:tcPr>
          <w:p w14:paraId="597A2EEF"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158,52</w:t>
            </w:r>
          </w:p>
        </w:tc>
        <w:tc>
          <w:tcPr>
            <w:tcW w:w="136" w:type="pct"/>
            <w:tcBorders>
              <w:top w:val="nil"/>
              <w:left w:val="nil"/>
              <w:bottom w:val="single" w:sz="8" w:space="0" w:color="80A1B6"/>
              <w:right w:val="single" w:sz="8" w:space="0" w:color="80A1B6"/>
            </w:tcBorders>
            <w:shd w:val="clear" w:color="auto" w:fill="auto"/>
            <w:vAlign w:val="center"/>
            <w:hideMark/>
          </w:tcPr>
          <w:p w14:paraId="3F675E7E"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523</w:t>
            </w:r>
          </w:p>
        </w:tc>
        <w:tc>
          <w:tcPr>
            <w:tcW w:w="142" w:type="pct"/>
            <w:tcBorders>
              <w:top w:val="nil"/>
              <w:left w:val="nil"/>
              <w:bottom w:val="single" w:sz="8" w:space="0" w:color="80A1B6"/>
              <w:right w:val="single" w:sz="8" w:space="0" w:color="80A1B6"/>
            </w:tcBorders>
            <w:shd w:val="clear" w:color="auto" w:fill="auto"/>
            <w:vAlign w:val="center"/>
            <w:hideMark/>
          </w:tcPr>
          <w:p w14:paraId="7BA0CF2D"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92</w:t>
            </w:r>
          </w:p>
        </w:tc>
        <w:tc>
          <w:tcPr>
            <w:tcW w:w="920" w:type="pct"/>
            <w:tcBorders>
              <w:top w:val="single" w:sz="8" w:space="0" w:color="80A1B6"/>
              <w:left w:val="nil"/>
              <w:bottom w:val="single" w:sz="8" w:space="0" w:color="80A1B6"/>
              <w:right w:val="single" w:sz="8" w:space="0" w:color="80A1B6"/>
            </w:tcBorders>
            <w:shd w:val="clear" w:color="auto" w:fill="auto"/>
            <w:hideMark/>
          </w:tcPr>
          <w:p w14:paraId="6338F585"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Náklady na vlastní (příspěvkové aj.) v.v.i., Inovační centrum ÚK, členský příspěvek, Náklady na pořízení analytických a strategických dokumentů, Stipendia, Inovační vouchery, Rozvoj talentů; podpora polytechnické výchovy a odborné vzdělávání;  konference/workshop na podporu inovativních aktivit podnikatelských subjektůVýstavy a veletrhy </w:t>
            </w:r>
          </w:p>
        </w:tc>
        <w:tc>
          <w:tcPr>
            <w:tcW w:w="903" w:type="pct"/>
            <w:tcBorders>
              <w:top w:val="single" w:sz="8" w:space="0" w:color="80A1B6"/>
              <w:left w:val="nil"/>
              <w:bottom w:val="single" w:sz="8" w:space="0" w:color="80A1B6"/>
              <w:right w:val="single" w:sz="8" w:space="0" w:color="80A1B6"/>
            </w:tcBorders>
            <w:shd w:val="clear" w:color="auto" w:fill="auto"/>
          </w:tcPr>
          <w:p w14:paraId="1B2FD90B"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Výstavba a provoz VaV center;  mezinárodní spolupráce regionů ve VaVaI; stipendia; inovační vouchery</w:t>
            </w:r>
          </w:p>
        </w:tc>
      </w:tr>
      <w:tr w:rsidR="008F74A0" w:rsidRPr="005028B8" w14:paraId="79F86729" w14:textId="77777777" w:rsidTr="005F762C">
        <w:trPr>
          <w:trHeight w:val="308"/>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2503B61A"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Vysočina</w:t>
            </w:r>
          </w:p>
        </w:tc>
        <w:tc>
          <w:tcPr>
            <w:tcW w:w="246" w:type="pct"/>
            <w:tcBorders>
              <w:top w:val="nil"/>
              <w:left w:val="nil"/>
              <w:bottom w:val="single" w:sz="8" w:space="0" w:color="80A1B6"/>
              <w:right w:val="single" w:sz="8" w:space="0" w:color="80A1B6"/>
            </w:tcBorders>
            <w:shd w:val="clear" w:color="auto" w:fill="auto"/>
            <w:vAlign w:val="center"/>
            <w:hideMark/>
          </w:tcPr>
          <w:p w14:paraId="1A6DD45F" w14:textId="77777777" w:rsidR="008F74A0" w:rsidRPr="008F74A0" w:rsidRDefault="008F74A0" w:rsidP="005F762C">
            <w:pPr>
              <w:spacing w:after="0" w:line="240" w:lineRule="auto"/>
              <w:rPr>
                <w:rFonts w:eastAsia="Times New Roman" w:cs="Arial"/>
                <w:sz w:val="18"/>
                <w:szCs w:val="18"/>
                <w:lang w:eastAsia="cs-CZ"/>
              </w:rPr>
            </w:pPr>
          </w:p>
        </w:tc>
        <w:tc>
          <w:tcPr>
            <w:tcW w:w="226" w:type="pct"/>
            <w:tcBorders>
              <w:top w:val="nil"/>
              <w:left w:val="nil"/>
              <w:bottom w:val="single" w:sz="8" w:space="0" w:color="80A1B6"/>
              <w:right w:val="single" w:sz="8" w:space="0" w:color="80A1B6"/>
            </w:tcBorders>
            <w:shd w:val="clear" w:color="auto" w:fill="auto"/>
            <w:vAlign w:val="center"/>
            <w:hideMark/>
          </w:tcPr>
          <w:p w14:paraId="0278FA96" w14:textId="77777777" w:rsidR="008F74A0" w:rsidRPr="008F74A0" w:rsidRDefault="008F74A0" w:rsidP="005F762C">
            <w:pPr>
              <w:spacing w:after="0" w:line="240" w:lineRule="auto"/>
              <w:rPr>
                <w:rFonts w:eastAsia="Times New Roman" w:cs="Arial"/>
                <w:sz w:val="18"/>
                <w:szCs w:val="18"/>
                <w:lang w:eastAsia="cs-CZ"/>
              </w:rPr>
            </w:pPr>
          </w:p>
        </w:tc>
        <w:tc>
          <w:tcPr>
            <w:tcW w:w="162" w:type="pct"/>
            <w:tcBorders>
              <w:top w:val="nil"/>
              <w:left w:val="nil"/>
              <w:bottom w:val="single" w:sz="8" w:space="0" w:color="80A1B6"/>
              <w:right w:val="single" w:sz="8" w:space="0" w:color="80A1B6"/>
            </w:tcBorders>
            <w:shd w:val="clear" w:color="auto" w:fill="auto"/>
            <w:vAlign w:val="center"/>
            <w:hideMark/>
          </w:tcPr>
          <w:p w14:paraId="7631F733" w14:textId="77777777" w:rsidR="008F74A0" w:rsidRPr="008F74A0" w:rsidRDefault="008F74A0" w:rsidP="005F762C">
            <w:pPr>
              <w:spacing w:after="0" w:line="240" w:lineRule="auto"/>
              <w:rPr>
                <w:rFonts w:eastAsia="Times New Roman" w:cs="Arial"/>
                <w:sz w:val="18"/>
                <w:szCs w:val="18"/>
                <w:lang w:eastAsia="cs-CZ"/>
              </w:rPr>
            </w:pPr>
          </w:p>
        </w:tc>
        <w:tc>
          <w:tcPr>
            <w:tcW w:w="157" w:type="pct"/>
            <w:tcBorders>
              <w:top w:val="nil"/>
              <w:left w:val="nil"/>
              <w:bottom w:val="single" w:sz="8" w:space="0" w:color="80A1B6"/>
              <w:right w:val="single" w:sz="8" w:space="0" w:color="80A1B6"/>
            </w:tcBorders>
            <w:shd w:val="clear" w:color="auto" w:fill="auto"/>
            <w:vAlign w:val="center"/>
            <w:hideMark/>
          </w:tcPr>
          <w:p w14:paraId="75E54DE5" w14:textId="77777777" w:rsidR="008F74A0" w:rsidRPr="008F74A0" w:rsidRDefault="008F74A0" w:rsidP="005F762C">
            <w:pPr>
              <w:spacing w:after="0" w:line="240" w:lineRule="auto"/>
              <w:rPr>
                <w:rFonts w:eastAsia="Times New Roman" w:cs="Arial"/>
                <w:sz w:val="18"/>
                <w:szCs w:val="18"/>
                <w:lang w:eastAsia="cs-CZ"/>
              </w:rPr>
            </w:pPr>
          </w:p>
        </w:tc>
        <w:tc>
          <w:tcPr>
            <w:tcW w:w="216" w:type="pct"/>
            <w:tcBorders>
              <w:top w:val="nil"/>
              <w:left w:val="nil"/>
              <w:bottom w:val="single" w:sz="8" w:space="0" w:color="80A1B6"/>
              <w:right w:val="single" w:sz="8" w:space="0" w:color="80A1B6"/>
            </w:tcBorders>
            <w:shd w:val="clear" w:color="auto" w:fill="auto"/>
            <w:vAlign w:val="center"/>
            <w:hideMark/>
          </w:tcPr>
          <w:p w14:paraId="78EA5063"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nil"/>
              <w:left w:val="nil"/>
              <w:bottom w:val="single" w:sz="8" w:space="0" w:color="80A1B6"/>
              <w:right w:val="single" w:sz="8" w:space="0" w:color="80A1B6"/>
            </w:tcBorders>
            <w:shd w:val="clear" w:color="auto" w:fill="auto"/>
            <w:vAlign w:val="center"/>
            <w:hideMark/>
          </w:tcPr>
          <w:p w14:paraId="501ACC17"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2F147E60" w14:textId="77777777" w:rsidR="008F74A0" w:rsidRPr="008F74A0" w:rsidRDefault="008F74A0" w:rsidP="005F762C">
            <w:pPr>
              <w:spacing w:after="0" w:line="240" w:lineRule="auto"/>
              <w:rPr>
                <w:rFonts w:eastAsia="Times New Roman" w:cs="Arial"/>
                <w:sz w:val="18"/>
                <w:szCs w:val="18"/>
                <w:lang w:eastAsia="cs-CZ"/>
              </w:rPr>
            </w:pPr>
          </w:p>
        </w:tc>
        <w:tc>
          <w:tcPr>
            <w:tcW w:w="131" w:type="pct"/>
            <w:tcBorders>
              <w:top w:val="nil"/>
              <w:left w:val="nil"/>
              <w:bottom w:val="single" w:sz="8" w:space="0" w:color="80A1B6"/>
              <w:right w:val="single" w:sz="8" w:space="0" w:color="80A1B6"/>
            </w:tcBorders>
            <w:shd w:val="clear" w:color="auto" w:fill="auto"/>
            <w:vAlign w:val="center"/>
            <w:hideMark/>
          </w:tcPr>
          <w:p w14:paraId="4040F18E"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167FB5C5"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855,56</w:t>
            </w:r>
          </w:p>
        </w:tc>
        <w:tc>
          <w:tcPr>
            <w:tcW w:w="243" w:type="pct"/>
            <w:tcBorders>
              <w:top w:val="nil"/>
              <w:left w:val="nil"/>
              <w:bottom w:val="single" w:sz="8" w:space="0" w:color="80A1B6"/>
              <w:right w:val="single" w:sz="8" w:space="0" w:color="80A1B6"/>
            </w:tcBorders>
            <w:shd w:val="clear" w:color="auto" w:fill="auto"/>
            <w:vAlign w:val="center"/>
            <w:hideMark/>
          </w:tcPr>
          <w:p w14:paraId="3C6D1099" w14:textId="4615EC03"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1</w:t>
            </w:r>
            <w:r w:rsidR="00084BF4">
              <w:rPr>
                <w:rFonts w:eastAsia="Times New Roman" w:cs="Arial"/>
                <w:sz w:val="18"/>
                <w:szCs w:val="18"/>
                <w:lang w:eastAsia="cs-CZ"/>
              </w:rPr>
              <w:t xml:space="preserve"> </w:t>
            </w:r>
            <w:r w:rsidRPr="008F74A0">
              <w:rPr>
                <w:rFonts w:eastAsia="Times New Roman" w:cs="Arial"/>
                <w:sz w:val="18"/>
                <w:szCs w:val="18"/>
                <w:lang w:eastAsia="cs-CZ"/>
              </w:rPr>
              <w:t>163</w:t>
            </w:r>
          </w:p>
        </w:tc>
        <w:tc>
          <w:tcPr>
            <w:tcW w:w="242" w:type="pct"/>
            <w:tcBorders>
              <w:top w:val="nil"/>
              <w:left w:val="nil"/>
              <w:bottom w:val="single" w:sz="8" w:space="0" w:color="80A1B6"/>
              <w:right w:val="single" w:sz="8" w:space="0" w:color="80A1B6"/>
            </w:tcBorders>
            <w:shd w:val="clear" w:color="auto" w:fill="auto"/>
            <w:vAlign w:val="center"/>
            <w:hideMark/>
          </w:tcPr>
          <w:p w14:paraId="3F2282BE"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197,04</w:t>
            </w:r>
          </w:p>
        </w:tc>
        <w:tc>
          <w:tcPr>
            <w:tcW w:w="167" w:type="pct"/>
            <w:tcBorders>
              <w:top w:val="nil"/>
              <w:left w:val="nil"/>
              <w:bottom w:val="single" w:sz="8" w:space="0" w:color="80A1B6"/>
              <w:right w:val="single" w:sz="8" w:space="0" w:color="80A1B6"/>
            </w:tcBorders>
            <w:shd w:val="clear" w:color="auto" w:fill="auto"/>
            <w:vAlign w:val="center"/>
            <w:hideMark/>
          </w:tcPr>
          <w:p w14:paraId="29FE7F9A"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34,81</w:t>
            </w:r>
          </w:p>
        </w:tc>
        <w:tc>
          <w:tcPr>
            <w:tcW w:w="136" w:type="pct"/>
            <w:tcBorders>
              <w:top w:val="nil"/>
              <w:left w:val="nil"/>
              <w:bottom w:val="single" w:sz="8" w:space="0" w:color="80A1B6"/>
              <w:right w:val="single" w:sz="8" w:space="0" w:color="80A1B6"/>
            </w:tcBorders>
            <w:shd w:val="clear" w:color="auto" w:fill="auto"/>
            <w:vAlign w:val="center"/>
            <w:hideMark/>
          </w:tcPr>
          <w:p w14:paraId="237202DA" w14:textId="77777777" w:rsidR="008F74A0" w:rsidRPr="008F74A0" w:rsidRDefault="008F74A0" w:rsidP="005F762C">
            <w:pPr>
              <w:spacing w:after="0" w:line="240" w:lineRule="auto"/>
              <w:rPr>
                <w:rFonts w:eastAsia="Times New Roman" w:cs="Arial"/>
                <w:sz w:val="18"/>
                <w:szCs w:val="18"/>
                <w:lang w:eastAsia="cs-CZ"/>
              </w:rPr>
            </w:pPr>
          </w:p>
        </w:tc>
        <w:tc>
          <w:tcPr>
            <w:tcW w:w="142" w:type="pct"/>
            <w:tcBorders>
              <w:top w:val="nil"/>
              <w:left w:val="nil"/>
              <w:bottom w:val="single" w:sz="8" w:space="0" w:color="80A1B6"/>
              <w:right w:val="single" w:sz="8" w:space="0" w:color="80A1B6"/>
            </w:tcBorders>
            <w:shd w:val="clear" w:color="auto" w:fill="auto"/>
            <w:vAlign w:val="center"/>
            <w:hideMark/>
          </w:tcPr>
          <w:p w14:paraId="67E418BE" w14:textId="77777777" w:rsidR="008F74A0" w:rsidRPr="008F74A0" w:rsidRDefault="008F74A0" w:rsidP="005F762C">
            <w:pPr>
              <w:spacing w:after="0" w:line="240" w:lineRule="auto"/>
              <w:rPr>
                <w:rFonts w:eastAsia="Times New Roman" w:cs="Arial"/>
                <w:sz w:val="18"/>
                <w:szCs w:val="18"/>
                <w:lang w:eastAsia="cs-CZ"/>
              </w:rPr>
            </w:pPr>
          </w:p>
        </w:tc>
        <w:tc>
          <w:tcPr>
            <w:tcW w:w="920" w:type="pct"/>
            <w:tcBorders>
              <w:top w:val="single" w:sz="8" w:space="0" w:color="80A1B6"/>
              <w:left w:val="nil"/>
              <w:bottom w:val="single" w:sz="8" w:space="0" w:color="80A1B6"/>
              <w:right w:val="single" w:sz="8" w:space="0" w:color="80A1B6"/>
            </w:tcBorders>
            <w:shd w:val="clear" w:color="auto" w:fill="auto"/>
            <w:hideMark/>
          </w:tcPr>
          <w:p w14:paraId="34963007"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Náklady na pořízení analytických a strategických dokumentů, Osobní náklady - management, udržitelnost projektu "Přírodní a technické obory - výzva pro budoucnost" (OP VK), podpora spolupráce kraje s ústavy Akademie věd ČR, systémová podpora polytechnické výchovy formou motivačních stipendií pro žáky učebních oborů, po kterých je dlouhodobá poptávka ze strany firem; rozvoj talentů - Talent Vysočiny, Cena hejtmana, studijní stipendia pro SŠ a VŠ studenty, Inovační vouchery, konference či workshop na podporu inovativních aktivit podnikatelských subjektů </w:t>
            </w:r>
          </w:p>
        </w:tc>
        <w:tc>
          <w:tcPr>
            <w:tcW w:w="903" w:type="pct"/>
            <w:tcBorders>
              <w:top w:val="single" w:sz="8" w:space="0" w:color="80A1B6"/>
              <w:left w:val="nil"/>
              <w:bottom w:val="single" w:sz="8" w:space="0" w:color="80A1B6"/>
              <w:right w:val="single" w:sz="8" w:space="0" w:color="80A1B6"/>
            </w:tcBorders>
            <w:shd w:val="clear" w:color="auto" w:fill="auto"/>
          </w:tcPr>
          <w:p w14:paraId="00BD51D1"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Rozvoj talentů; podpora polytechnické výchovy a odborné vzdělávání;  konference/workshop na podporu inovativních aktivit podnikatelských subjektů</w:t>
            </w:r>
          </w:p>
        </w:tc>
      </w:tr>
      <w:tr w:rsidR="008F74A0" w:rsidRPr="005028B8" w14:paraId="5EEE2744" w14:textId="77777777" w:rsidTr="005F762C">
        <w:trPr>
          <w:trHeight w:val="596"/>
        </w:trPr>
        <w:tc>
          <w:tcPr>
            <w:tcW w:w="333" w:type="pct"/>
            <w:tcBorders>
              <w:top w:val="nil"/>
              <w:left w:val="single" w:sz="8" w:space="0" w:color="80A1B6"/>
              <w:bottom w:val="single" w:sz="8" w:space="0" w:color="80A1B6"/>
              <w:right w:val="single" w:sz="8" w:space="0" w:color="80A1B6"/>
            </w:tcBorders>
            <w:shd w:val="clear" w:color="auto" w:fill="auto"/>
            <w:vAlign w:val="center"/>
            <w:hideMark/>
          </w:tcPr>
          <w:p w14:paraId="499A7E7D"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Zlínský</w:t>
            </w:r>
          </w:p>
        </w:tc>
        <w:tc>
          <w:tcPr>
            <w:tcW w:w="246" w:type="pct"/>
            <w:tcBorders>
              <w:top w:val="nil"/>
              <w:left w:val="nil"/>
              <w:bottom w:val="single" w:sz="8" w:space="0" w:color="80A1B6"/>
              <w:right w:val="single" w:sz="8" w:space="0" w:color="80A1B6"/>
            </w:tcBorders>
            <w:shd w:val="clear" w:color="auto" w:fill="auto"/>
            <w:vAlign w:val="center"/>
            <w:hideMark/>
          </w:tcPr>
          <w:p w14:paraId="46F36AAF" w14:textId="77777777" w:rsidR="008F74A0" w:rsidRPr="008F74A0" w:rsidRDefault="008F74A0" w:rsidP="005F762C">
            <w:pPr>
              <w:spacing w:after="0" w:line="240" w:lineRule="auto"/>
              <w:rPr>
                <w:rFonts w:eastAsia="Times New Roman" w:cs="Arial"/>
                <w:sz w:val="18"/>
                <w:szCs w:val="18"/>
                <w:lang w:eastAsia="cs-CZ"/>
              </w:rPr>
            </w:pPr>
          </w:p>
        </w:tc>
        <w:tc>
          <w:tcPr>
            <w:tcW w:w="226" w:type="pct"/>
            <w:tcBorders>
              <w:top w:val="nil"/>
              <w:left w:val="nil"/>
              <w:bottom w:val="single" w:sz="8" w:space="0" w:color="80A1B6"/>
              <w:right w:val="single" w:sz="8" w:space="0" w:color="80A1B6"/>
            </w:tcBorders>
            <w:shd w:val="clear" w:color="auto" w:fill="auto"/>
            <w:vAlign w:val="center"/>
            <w:hideMark/>
          </w:tcPr>
          <w:p w14:paraId="03509D49" w14:textId="77777777" w:rsidR="008F74A0" w:rsidRPr="008F74A0" w:rsidRDefault="008F74A0" w:rsidP="005F762C">
            <w:pPr>
              <w:spacing w:after="0" w:line="240" w:lineRule="auto"/>
              <w:rPr>
                <w:rFonts w:eastAsia="Times New Roman" w:cs="Arial"/>
                <w:sz w:val="18"/>
                <w:szCs w:val="18"/>
                <w:lang w:eastAsia="cs-CZ"/>
              </w:rPr>
            </w:pPr>
          </w:p>
        </w:tc>
        <w:tc>
          <w:tcPr>
            <w:tcW w:w="162" w:type="pct"/>
            <w:tcBorders>
              <w:top w:val="nil"/>
              <w:left w:val="nil"/>
              <w:bottom w:val="single" w:sz="8" w:space="0" w:color="80A1B6"/>
              <w:right w:val="single" w:sz="8" w:space="0" w:color="80A1B6"/>
            </w:tcBorders>
            <w:shd w:val="clear" w:color="auto" w:fill="auto"/>
            <w:vAlign w:val="center"/>
            <w:hideMark/>
          </w:tcPr>
          <w:p w14:paraId="46AEA79A"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2 468</w:t>
            </w:r>
          </w:p>
        </w:tc>
        <w:tc>
          <w:tcPr>
            <w:tcW w:w="157" w:type="pct"/>
            <w:tcBorders>
              <w:top w:val="nil"/>
              <w:left w:val="nil"/>
              <w:bottom w:val="single" w:sz="8" w:space="0" w:color="80A1B6"/>
              <w:right w:val="single" w:sz="8" w:space="0" w:color="80A1B6"/>
            </w:tcBorders>
            <w:shd w:val="clear" w:color="auto" w:fill="auto"/>
            <w:vAlign w:val="center"/>
            <w:hideMark/>
          </w:tcPr>
          <w:p w14:paraId="35608DA0"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712</w:t>
            </w:r>
          </w:p>
        </w:tc>
        <w:tc>
          <w:tcPr>
            <w:tcW w:w="216" w:type="pct"/>
            <w:tcBorders>
              <w:top w:val="nil"/>
              <w:left w:val="nil"/>
              <w:bottom w:val="single" w:sz="8" w:space="0" w:color="80A1B6"/>
              <w:right w:val="single" w:sz="8" w:space="0" w:color="80A1B6"/>
            </w:tcBorders>
            <w:shd w:val="clear" w:color="auto" w:fill="auto"/>
            <w:vAlign w:val="center"/>
            <w:hideMark/>
          </w:tcPr>
          <w:p w14:paraId="5425F2F7" w14:textId="77777777" w:rsidR="008F74A0" w:rsidRPr="008F74A0" w:rsidRDefault="008F74A0" w:rsidP="005F762C">
            <w:pPr>
              <w:spacing w:after="0" w:line="240" w:lineRule="auto"/>
              <w:rPr>
                <w:rFonts w:eastAsia="Times New Roman" w:cs="Arial"/>
                <w:sz w:val="18"/>
                <w:szCs w:val="18"/>
                <w:lang w:eastAsia="cs-CZ"/>
              </w:rPr>
            </w:pPr>
          </w:p>
        </w:tc>
        <w:tc>
          <w:tcPr>
            <w:tcW w:w="277" w:type="pct"/>
            <w:tcBorders>
              <w:top w:val="nil"/>
              <w:left w:val="nil"/>
              <w:bottom w:val="single" w:sz="8" w:space="0" w:color="80A1B6"/>
              <w:right w:val="single" w:sz="8" w:space="0" w:color="80A1B6"/>
            </w:tcBorders>
            <w:shd w:val="clear" w:color="auto" w:fill="auto"/>
            <w:vAlign w:val="center"/>
            <w:hideMark/>
          </w:tcPr>
          <w:p w14:paraId="4EE6BE47"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051E8DC0"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52</w:t>
            </w:r>
          </w:p>
        </w:tc>
        <w:tc>
          <w:tcPr>
            <w:tcW w:w="131" w:type="pct"/>
            <w:tcBorders>
              <w:top w:val="nil"/>
              <w:left w:val="nil"/>
              <w:bottom w:val="single" w:sz="8" w:space="0" w:color="80A1B6"/>
              <w:right w:val="single" w:sz="8" w:space="0" w:color="80A1B6"/>
            </w:tcBorders>
            <w:shd w:val="clear" w:color="auto" w:fill="auto"/>
            <w:vAlign w:val="center"/>
            <w:hideMark/>
          </w:tcPr>
          <w:p w14:paraId="0030BE12" w14:textId="77777777" w:rsidR="008F74A0" w:rsidRPr="008F74A0" w:rsidRDefault="008F74A0" w:rsidP="005F762C">
            <w:pPr>
              <w:spacing w:after="0" w:line="240" w:lineRule="auto"/>
              <w:rPr>
                <w:rFonts w:eastAsia="Times New Roman" w:cs="Arial"/>
                <w:sz w:val="18"/>
                <w:szCs w:val="18"/>
                <w:lang w:eastAsia="cs-CZ"/>
              </w:rPr>
            </w:pPr>
          </w:p>
        </w:tc>
        <w:tc>
          <w:tcPr>
            <w:tcW w:w="257" w:type="pct"/>
            <w:tcBorders>
              <w:top w:val="nil"/>
              <w:left w:val="nil"/>
              <w:bottom w:val="single" w:sz="8" w:space="0" w:color="80A1B6"/>
              <w:right w:val="single" w:sz="8" w:space="0" w:color="80A1B6"/>
            </w:tcBorders>
            <w:shd w:val="clear" w:color="auto" w:fill="auto"/>
            <w:vAlign w:val="center"/>
            <w:hideMark/>
          </w:tcPr>
          <w:p w14:paraId="68F8584E"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980</w:t>
            </w:r>
          </w:p>
        </w:tc>
        <w:tc>
          <w:tcPr>
            <w:tcW w:w="243" w:type="pct"/>
            <w:tcBorders>
              <w:top w:val="nil"/>
              <w:left w:val="nil"/>
              <w:bottom w:val="single" w:sz="8" w:space="0" w:color="80A1B6"/>
              <w:right w:val="single" w:sz="8" w:space="0" w:color="80A1B6"/>
            </w:tcBorders>
            <w:shd w:val="clear" w:color="auto" w:fill="auto"/>
            <w:vAlign w:val="center"/>
            <w:hideMark/>
          </w:tcPr>
          <w:p w14:paraId="1A60A924" w14:textId="77777777" w:rsidR="008F74A0" w:rsidRPr="008F74A0" w:rsidRDefault="008F74A0" w:rsidP="005F762C">
            <w:pPr>
              <w:spacing w:after="0" w:line="240" w:lineRule="auto"/>
              <w:rPr>
                <w:rFonts w:eastAsia="Times New Roman" w:cs="Arial"/>
                <w:sz w:val="18"/>
                <w:szCs w:val="18"/>
                <w:lang w:eastAsia="cs-CZ"/>
              </w:rPr>
            </w:pPr>
          </w:p>
        </w:tc>
        <w:tc>
          <w:tcPr>
            <w:tcW w:w="242" w:type="pct"/>
            <w:tcBorders>
              <w:top w:val="nil"/>
              <w:left w:val="nil"/>
              <w:bottom w:val="single" w:sz="8" w:space="0" w:color="80A1B6"/>
              <w:right w:val="single" w:sz="8" w:space="0" w:color="80A1B6"/>
            </w:tcBorders>
            <w:shd w:val="clear" w:color="auto" w:fill="auto"/>
            <w:vAlign w:val="center"/>
            <w:hideMark/>
          </w:tcPr>
          <w:p w14:paraId="09459529"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810,33</w:t>
            </w:r>
          </w:p>
        </w:tc>
        <w:tc>
          <w:tcPr>
            <w:tcW w:w="167" w:type="pct"/>
            <w:tcBorders>
              <w:top w:val="nil"/>
              <w:left w:val="nil"/>
              <w:bottom w:val="single" w:sz="8" w:space="0" w:color="80A1B6"/>
              <w:right w:val="single" w:sz="8" w:space="0" w:color="80A1B6"/>
            </w:tcBorders>
            <w:shd w:val="clear" w:color="auto" w:fill="auto"/>
            <w:vAlign w:val="center"/>
            <w:hideMark/>
          </w:tcPr>
          <w:p w14:paraId="4D77F985"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143</w:t>
            </w:r>
          </w:p>
        </w:tc>
        <w:tc>
          <w:tcPr>
            <w:tcW w:w="136" w:type="pct"/>
            <w:tcBorders>
              <w:top w:val="nil"/>
              <w:left w:val="nil"/>
              <w:bottom w:val="single" w:sz="8" w:space="0" w:color="80A1B6"/>
              <w:right w:val="single" w:sz="8" w:space="0" w:color="80A1B6"/>
            </w:tcBorders>
            <w:shd w:val="clear" w:color="auto" w:fill="auto"/>
            <w:vAlign w:val="center"/>
            <w:hideMark/>
          </w:tcPr>
          <w:p w14:paraId="0EAC42EE"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554</w:t>
            </w:r>
          </w:p>
        </w:tc>
        <w:tc>
          <w:tcPr>
            <w:tcW w:w="142" w:type="pct"/>
            <w:tcBorders>
              <w:top w:val="nil"/>
              <w:left w:val="nil"/>
              <w:bottom w:val="single" w:sz="8" w:space="0" w:color="80A1B6"/>
              <w:right w:val="single" w:sz="8" w:space="0" w:color="80A1B6"/>
            </w:tcBorders>
            <w:shd w:val="clear" w:color="auto" w:fill="auto"/>
            <w:vAlign w:val="center"/>
            <w:hideMark/>
          </w:tcPr>
          <w:p w14:paraId="01904F40"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98</w:t>
            </w:r>
          </w:p>
        </w:tc>
        <w:tc>
          <w:tcPr>
            <w:tcW w:w="920" w:type="pct"/>
            <w:tcBorders>
              <w:top w:val="single" w:sz="8" w:space="0" w:color="80A1B6"/>
              <w:left w:val="nil"/>
              <w:bottom w:val="single" w:sz="8" w:space="0" w:color="80A1B6"/>
              <w:right w:val="single" w:sz="8" w:space="0" w:color="80A1B6"/>
            </w:tcBorders>
            <w:shd w:val="clear" w:color="auto" w:fill="auto"/>
            <w:hideMark/>
          </w:tcPr>
          <w:p w14:paraId="183CF2DD" w14:textId="77777777" w:rsidR="008F74A0" w:rsidRPr="008F74A0" w:rsidRDefault="008F74A0" w:rsidP="005F762C">
            <w:pPr>
              <w:spacing w:after="0" w:line="240" w:lineRule="auto"/>
              <w:rPr>
                <w:rFonts w:eastAsia="Times New Roman" w:cs="Arial"/>
                <w:sz w:val="18"/>
                <w:szCs w:val="18"/>
                <w:lang w:eastAsia="cs-CZ"/>
              </w:rPr>
            </w:pPr>
            <w:r w:rsidRPr="008F74A0">
              <w:rPr>
                <w:sz w:val="18"/>
                <w:szCs w:val="18"/>
              </w:rPr>
              <w:t xml:space="preserve">SmAcc, Spolufinancování projektů z OP VVV, Popularizace, propagace a marketing VVI, Informační servis a inovační poradenství, Služby inovačním firmám, start-upům aj., Podpora inovačních podniků a podnikání, Stipendia </w:t>
            </w:r>
          </w:p>
        </w:tc>
        <w:tc>
          <w:tcPr>
            <w:tcW w:w="903" w:type="pct"/>
            <w:tcBorders>
              <w:top w:val="single" w:sz="8" w:space="0" w:color="80A1B6"/>
              <w:left w:val="nil"/>
              <w:bottom w:val="single" w:sz="8" w:space="0" w:color="80A1B6"/>
              <w:right w:val="single" w:sz="8" w:space="0" w:color="80A1B6"/>
            </w:tcBorders>
            <w:shd w:val="clear" w:color="auto" w:fill="auto"/>
          </w:tcPr>
          <w:p w14:paraId="753DCCFE" w14:textId="77777777" w:rsidR="008F74A0" w:rsidRPr="008F74A0" w:rsidRDefault="008F74A0" w:rsidP="005F762C">
            <w:pPr>
              <w:spacing w:after="0" w:line="240" w:lineRule="auto"/>
              <w:rPr>
                <w:rFonts w:eastAsia="Times New Roman" w:cs="Arial"/>
                <w:sz w:val="18"/>
                <w:szCs w:val="18"/>
                <w:lang w:eastAsia="cs-CZ"/>
              </w:rPr>
            </w:pPr>
            <w:r w:rsidRPr="008F74A0">
              <w:rPr>
                <w:rFonts w:eastAsia="Times New Roman" w:cs="Arial"/>
                <w:sz w:val="18"/>
                <w:szCs w:val="18"/>
                <w:lang w:eastAsia="cs-CZ"/>
              </w:rPr>
              <w:t>Mezinárodní spolupráce regionů ve VVI; inovační vouchery</w:t>
            </w:r>
          </w:p>
        </w:tc>
      </w:tr>
    </w:tbl>
    <w:p w14:paraId="3741F848" w14:textId="77777777" w:rsidR="002D01B4" w:rsidRDefault="002D01B4" w:rsidP="002D01B4">
      <w:pPr>
        <w:rPr>
          <w:lang w:eastAsia="cs-CZ"/>
        </w:rPr>
      </w:pPr>
    </w:p>
    <w:p w14:paraId="78DEAFA1" w14:textId="74DFB171" w:rsidR="002D01B4" w:rsidRPr="002D01B4" w:rsidRDefault="008F74A0" w:rsidP="002D01B4">
      <w:pPr>
        <w:rPr>
          <w:color w:val="C00000"/>
          <w:lang w:eastAsia="cs-CZ"/>
        </w:rPr>
        <w:sectPr w:rsidR="002D01B4" w:rsidRPr="002D01B4" w:rsidSect="008F74A0">
          <w:pgSz w:w="23814" w:h="16839" w:orient="landscape" w:code="8"/>
          <w:pgMar w:top="1417" w:right="1417" w:bottom="1417" w:left="1417" w:header="708" w:footer="708" w:gutter="0"/>
          <w:cols w:space="708"/>
          <w:docGrid w:linePitch="360"/>
        </w:sectPr>
      </w:pPr>
      <w:r>
        <w:rPr>
          <w:color w:val="C00000"/>
          <w:lang w:eastAsia="cs-CZ"/>
        </w:rPr>
        <w:t xml:space="preserve"> </w:t>
      </w:r>
    </w:p>
    <w:p w14:paraId="78049B13" w14:textId="34C04E6C" w:rsidR="006E6688" w:rsidRPr="00EF4A38" w:rsidRDefault="006E6688" w:rsidP="00EF4A38">
      <w:pPr>
        <w:pStyle w:val="Nadpis1"/>
      </w:pPr>
      <w:bookmarkStart w:id="223" w:name="_Toc525716272"/>
      <w:r w:rsidRPr="00EF4A38">
        <w:t>Přílohy</w:t>
      </w:r>
      <w:bookmarkEnd w:id="223"/>
    </w:p>
    <w:p w14:paraId="63BE1765" w14:textId="3AF0725C" w:rsidR="006E6688" w:rsidRDefault="00043C37" w:rsidP="00EF4A38">
      <w:pPr>
        <w:pStyle w:val="Nadpis2"/>
      </w:pPr>
      <w:bookmarkStart w:id="224" w:name="_Ref521331535"/>
      <w:bookmarkStart w:id="225" w:name="_Ref521331549"/>
      <w:bookmarkStart w:id="226" w:name="_Ref521331576"/>
      <w:bookmarkStart w:id="227" w:name="_Ref521331698"/>
      <w:bookmarkStart w:id="228" w:name="_Ref521331703"/>
      <w:bookmarkStart w:id="229" w:name="_Ref521331715"/>
      <w:bookmarkStart w:id="230" w:name="_Ref521331720"/>
      <w:bookmarkStart w:id="231" w:name="_Toc525716273"/>
      <w:r w:rsidRPr="00EF4A38">
        <w:t>Trendy vývoje výchozích</w:t>
      </w:r>
      <w:r w:rsidR="00B70F7D">
        <w:t xml:space="preserve"> a průběžných</w:t>
      </w:r>
      <w:r w:rsidRPr="00EF4A38">
        <w:t xml:space="preserve"> hodnot pro měření vize</w:t>
      </w:r>
      <w:bookmarkEnd w:id="224"/>
      <w:bookmarkEnd w:id="225"/>
      <w:bookmarkEnd w:id="226"/>
      <w:bookmarkEnd w:id="227"/>
      <w:bookmarkEnd w:id="228"/>
      <w:bookmarkEnd w:id="229"/>
      <w:bookmarkEnd w:id="230"/>
      <w:bookmarkEnd w:id="231"/>
    </w:p>
    <w:p w14:paraId="45E64B5E" w14:textId="77777777" w:rsidR="004A29A4" w:rsidRDefault="004A29A4" w:rsidP="00AC3E83">
      <w:pPr>
        <w:spacing w:before="240"/>
        <w:rPr>
          <w:b/>
        </w:rPr>
      </w:pPr>
    </w:p>
    <w:p w14:paraId="7913B485" w14:textId="77777777" w:rsidR="00976D8A" w:rsidRPr="00AC3E83" w:rsidRDefault="00976D8A" w:rsidP="00AC3E83">
      <w:pPr>
        <w:spacing w:before="240"/>
        <w:rPr>
          <w:b/>
        </w:rPr>
      </w:pPr>
      <w:r w:rsidRPr="00AC3E83">
        <w:rPr>
          <w:b/>
        </w:rPr>
        <w:t>ČR bude zemí s rostoucí intenzitou podnikatelské činnosti na 1 000 obyvatel</w:t>
      </w:r>
    </w:p>
    <w:p w14:paraId="6E627EA2" w14:textId="32C5B50A" w:rsidR="00976D8A" w:rsidRPr="00BA4F8E" w:rsidRDefault="00167331" w:rsidP="00580DE3">
      <w:pPr>
        <w:pStyle w:val="Titulek"/>
      </w:pPr>
      <w:bookmarkStart w:id="232" w:name="_Toc525716319"/>
      <w:r w:rsidRPr="00BA4F8E">
        <w:rPr>
          <w:noProof/>
        </w:rPr>
        <w:drawing>
          <wp:anchor distT="0" distB="0" distL="114300" distR="114300" simplePos="0" relativeHeight="251671552" behindDoc="1" locked="0" layoutInCell="1" allowOverlap="1" wp14:anchorId="2F262D2E" wp14:editId="62D7482B">
            <wp:simplePos x="0" y="0"/>
            <wp:positionH relativeFrom="margin">
              <wp:align>center</wp:align>
            </wp:positionH>
            <wp:positionV relativeFrom="paragraph">
              <wp:posOffset>243494</wp:posOffset>
            </wp:positionV>
            <wp:extent cx="5759450" cy="2626360"/>
            <wp:effectExtent l="0" t="0" r="12700" b="2540"/>
            <wp:wrapSquare wrapText="bothSides"/>
            <wp:docPr id="23" name="Graf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margin">
              <wp14:pctWidth>0</wp14:pctWidth>
            </wp14:sizeRelH>
            <wp14:sizeRelV relativeFrom="margin">
              <wp14:pctHeight>0</wp14:pctHeight>
            </wp14:sizeRelV>
          </wp:anchor>
        </w:drawing>
      </w:r>
      <w:r w:rsidR="00976D8A"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17</w:t>
      </w:r>
      <w:r w:rsidR="00EE7C52">
        <w:rPr>
          <w:noProof/>
        </w:rPr>
        <w:fldChar w:fldCharType="end"/>
      </w:r>
      <w:r w:rsidR="00976D8A" w:rsidRPr="00BA4F8E">
        <w:t xml:space="preserve"> - Počet nově vzniklých firem na 1 000 obyvatel, 2008–2017</w:t>
      </w:r>
      <w:bookmarkEnd w:id="232"/>
    </w:p>
    <w:p w14:paraId="6E9BB387" w14:textId="7F91C9EF" w:rsidR="00976D8A" w:rsidRPr="00222E9F" w:rsidRDefault="00222E9F" w:rsidP="00222E9F">
      <w:pPr>
        <w:rPr>
          <w:i/>
          <w:sz w:val="18"/>
          <w:szCs w:val="18"/>
        </w:rPr>
      </w:pPr>
      <w:r>
        <w:rPr>
          <w:i/>
          <w:sz w:val="18"/>
          <w:szCs w:val="18"/>
        </w:rPr>
        <w:t xml:space="preserve">      </w:t>
      </w:r>
      <w:r w:rsidR="00976D8A" w:rsidRPr="00222E9F">
        <w:rPr>
          <w:i/>
          <w:sz w:val="18"/>
          <w:szCs w:val="18"/>
        </w:rPr>
        <w:t>Zdroj: ČSÚ, Organizační statistika</w:t>
      </w:r>
    </w:p>
    <w:p w14:paraId="7BE920F5" w14:textId="77777777" w:rsidR="00F319FA" w:rsidRDefault="00F319FA" w:rsidP="00412A18">
      <w:pPr>
        <w:rPr>
          <w:b/>
          <w:color w:val="0096D6"/>
        </w:rPr>
      </w:pPr>
    </w:p>
    <w:p w14:paraId="2EE62566" w14:textId="77777777" w:rsidR="004A29A4" w:rsidRDefault="004A29A4" w:rsidP="00412A18">
      <w:pPr>
        <w:rPr>
          <w:b/>
        </w:rPr>
      </w:pPr>
    </w:p>
    <w:p w14:paraId="71E52B57" w14:textId="77777777" w:rsidR="00412A18" w:rsidRPr="00AC3E83" w:rsidRDefault="00412A18" w:rsidP="00412A18">
      <w:pPr>
        <w:rPr>
          <w:b/>
        </w:rPr>
      </w:pPr>
      <w:r w:rsidRPr="00AC3E83">
        <w:rPr>
          <w:b/>
        </w:rPr>
        <w:t>ČR bude zemí s rostoucím podílem mladých lidí do 39 let, kteří se živí podnikáním</w:t>
      </w:r>
    </w:p>
    <w:p w14:paraId="108C4D82" w14:textId="77777777" w:rsidR="00412A18" w:rsidRPr="00BA4F8E" w:rsidRDefault="00412A18" w:rsidP="00580DE3">
      <w:pPr>
        <w:pStyle w:val="Titulek"/>
        <w:rPr>
          <w:i/>
        </w:rPr>
      </w:pPr>
      <w:bookmarkStart w:id="233" w:name="_Toc524677679"/>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19</w:t>
      </w:r>
      <w:r w:rsidR="00EE7C52">
        <w:rPr>
          <w:noProof/>
        </w:rPr>
        <w:fldChar w:fldCharType="end"/>
      </w:r>
      <w:r w:rsidRPr="00BA4F8E">
        <w:t xml:space="preserve"> -  Podíl podnikajících do 39 let, 2013–2017</w:t>
      </w:r>
      <w:bookmarkEnd w:id="233"/>
    </w:p>
    <w:tbl>
      <w:tblPr>
        <w:tblW w:w="5000" w:type="pct"/>
        <w:jc w:val="center"/>
        <w:tblCellMar>
          <w:left w:w="70" w:type="dxa"/>
          <w:right w:w="70" w:type="dxa"/>
        </w:tblCellMar>
        <w:tblLook w:val="04A0" w:firstRow="1" w:lastRow="0" w:firstColumn="1" w:lastColumn="0" w:noHBand="0" w:noVBand="1"/>
      </w:tblPr>
      <w:tblGrid>
        <w:gridCol w:w="2171"/>
        <w:gridCol w:w="1229"/>
        <w:gridCol w:w="1232"/>
        <w:gridCol w:w="1267"/>
        <w:gridCol w:w="1267"/>
        <w:gridCol w:w="1230"/>
        <w:gridCol w:w="1232"/>
      </w:tblGrid>
      <w:tr w:rsidR="00412A18" w:rsidRPr="00BA4F8E" w14:paraId="3A870D2A" w14:textId="77777777" w:rsidTr="00167331">
        <w:trPr>
          <w:trHeight w:val="255"/>
          <w:jc w:val="center"/>
        </w:trPr>
        <w:tc>
          <w:tcPr>
            <w:tcW w:w="1133" w:type="pct"/>
            <w:vMerge w:val="restart"/>
            <w:tcBorders>
              <w:top w:val="single" w:sz="4" w:space="0" w:color="000000"/>
              <w:left w:val="single" w:sz="4" w:space="0" w:color="000000"/>
              <w:bottom w:val="single" w:sz="4" w:space="0" w:color="000000"/>
              <w:right w:val="single" w:sz="4" w:space="0" w:color="000000"/>
            </w:tcBorders>
            <w:shd w:val="clear" w:color="auto" w:fill="004B8D"/>
            <w:noWrap/>
            <w:vAlign w:val="bottom"/>
            <w:hideMark/>
          </w:tcPr>
          <w:p w14:paraId="71863436" w14:textId="77777777" w:rsidR="00412A18" w:rsidRPr="00BA4F8E" w:rsidRDefault="00412A18">
            <w:pPr>
              <w:spacing w:before="240" w:after="0" w:line="240" w:lineRule="auto"/>
              <w:rPr>
                <w:rFonts w:eastAsia="Times New Roman" w:cs="Arial"/>
                <w:b/>
                <w:bCs/>
                <w:lang w:eastAsia="cs-CZ"/>
              </w:rPr>
            </w:pPr>
            <w:r w:rsidRPr="00BA4F8E">
              <w:rPr>
                <w:rFonts w:eastAsia="Times New Roman" w:cs="Arial"/>
                <w:b/>
                <w:bCs/>
                <w:lang w:eastAsia="cs-CZ"/>
              </w:rPr>
              <w:t> </w:t>
            </w:r>
          </w:p>
        </w:tc>
        <w:tc>
          <w:tcPr>
            <w:tcW w:w="1289" w:type="pct"/>
            <w:gridSpan w:val="2"/>
            <w:tcBorders>
              <w:top w:val="single" w:sz="4" w:space="0" w:color="000000"/>
              <w:left w:val="nil"/>
              <w:bottom w:val="single" w:sz="4" w:space="0" w:color="000000"/>
              <w:right w:val="single" w:sz="4" w:space="0" w:color="000000"/>
            </w:tcBorders>
            <w:shd w:val="clear" w:color="auto" w:fill="004B8D"/>
            <w:noWrap/>
            <w:vAlign w:val="bottom"/>
            <w:hideMark/>
          </w:tcPr>
          <w:p w14:paraId="448E0077"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sebezaměstnaní (v tis.)</w:t>
            </w:r>
          </w:p>
        </w:tc>
        <w:tc>
          <w:tcPr>
            <w:tcW w:w="1289" w:type="pct"/>
            <w:gridSpan w:val="2"/>
            <w:tcBorders>
              <w:top w:val="single" w:sz="4" w:space="0" w:color="000000"/>
              <w:left w:val="nil"/>
              <w:bottom w:val="single" w:sz="4" w:space="0" w:color="000000"/>
              <w:right w:val="single" w:sz="4" w:space="0" w:color="000000"/>
            </w:tcBorders>
            <w:shd w:val="clear" w:color="auto" w:fill="004B8D"/>
            <w:noWrap/>
            <w:vAlign w:val="bottom"/>
            <w:hideMark/>
          </w:tcPr>
          <w:p w14:paraId="16B4B105"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ekonomicky aktivní (v tis.)</w:t>
            </w:r>
          </w:p>
        </w:tc>
        <w:tc>
          <w:tcPr>
            <w:tcW w:w="1289" w:type="pct"/>
            <w:gridSpan w:val="2"/>
            <w:tcBorders>
              <w:top w:val="single" w:sz="4" w:space="0" w:color="000000"/>
              <w:left w:val="nil"/>
              <w:bottom w:val="single" w:sz="4" w:space="0" w:color="000000"/>
              <w:right w:val="single" w:sz="4" w:space="0" w:color="000000"/>
            </w:tcBorders>
            <w:shd w:val="clear" w:color="auto" w:fill="004B8D"/>
            <w:noWrap/>
            <w:vAlign w:val="bottom"/>
            <w:hideMark/>
          </w:tcPr>
          <w:p w14:paraId="2CF7D3DA"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 sebezaměstnaných</w:t>
            </w:r>
          </w:p>
        </w:tc>
      </w:tr>
      <w:tr w:rsidR="00167331" w:rsidRPr="00BA4F8E" w14:paraId="6C66F378" w14:textId="77777777" w:rsidTr="00167331">
        <w:trPr>
          <w:trHeight w:val="255"/>
          <w:jc w:val="center"/>
        </w:trPr>
        <w:tc>
          <w:tcPr>
            <w:tcW w:w="0" w:type="auto"/>
            <w:vMerge/>
            <w:tcBorders>
              <w:top w:val="single" w:sz="4" w:space="0" w:color="000000"/>
              <w:left w:val="single" w:sz="4" w:space="0" w:color="000000"/>
              <w:bottom w:val="single" w:sz="4" w:space="0" w:color="000000"/>
              <w:right w:val="single" w:sz="4" w:space="0" w:color="000000"/>
            </w:tcBorders>
            <w:shd w:val="clear" w:color="auto" w:fill="004B8D"/>
            <w:vAlign w:val="center"/>
            <w:hideMark/>
          </w:tcPr>
          <w:p w14:paraId="6A10DC39" w14:textId="77777777" w:rsidR="00412A18" w:rsidRPr="00BA4F8E" w:rsidRDefault="00412A18">
            <w:pPr>
              <w:spacing w:after="0"/>
              <w:rPr>
                <w:rFonts w:eastAsia="Times New Roman" w:cs="Arial"/>
                <w:b/>
                <w:bCs/>
                <w:lang w:eastAsia="cs-CZ"/>
              </w:rPr>
            </w:pPr>
          </w:p>
        </w:tc>
        <w:tc>
          <w:tcPr>
            <w:tcW w:w="644" w:type="pct"/>
            <w:tcBorders>
              <w:top w:val="nil"/>
              <w:left w:val="nil"/>
              <w:bottom w:val="nil"/>
              <w:right w:val="single" w:sz="4" w:space="0" w:color="000000"/>
            </w:tcBorders>
            <w:shd w:val="clear" w:color="auto" w:fill="004B8D"/>
            <w:noWrap/>
            <w:vAlign w:val="bottom"/>
            <w:hideMark/>
          </w:tcPr>
          <w:p w14:paraId="23DD59FD"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2013</w:t>
            </w:r>
          </w:p>
        </w:tc>
        <w:tc>
          <w:tcPr>
            <w:tcW w:w="645" w:type="pct"/>
            <w:tcBorders>
              <w:top w:val="nil"/>
              <w:left w:val="nil"/>
              <w:bottom w:val="nil"/>
              <w:right w:val="single" w:sz="4" w:space="0" w:color="000000"/>
            </w:tcBorders>
            <w:shd w:val="clear" w:color="auto" w:fill="004B8D"/>
            <w:noWrap/>
            <w:vAlign w:val="bottom"/>
            <w:hideMark/>
          </w:tcPr>
          <w:p w14:paraId="7DD20C3C"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2017</w:t>
            </w:r>
          </w:p>
        </w:tc>
        <w:tc>
          <w:tcPr>
            <w:tcW w:w="644" w:type="pct"/>
            <w:tcBorders>
              <w:top w:val="nil"/>
              <w:left w:val="nil"/>
              <w:bottom w:val="nil"/>
              <w:right w:val="single" w:sz="4" w:space="0" w:color="000000"/>
            </w:tcBorders>
            <w:shd w:val="clear" w:color="auto" w:fill="004B8D"/>
            <w:noWrap/>
            <w:vAlign w:val="bottom"/>
            <w:hideMark/>
          </w:tcPr>
          <w:p w14:paraId="7E2C4504"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2013</w:t>
            </w:r>
          </w:p>
        </w:tc>
        <w:tc>
          <w:tcPr>
            <w:tcW w:w="645" w:type="pct"/>
            <w:tcBorders>
              <w:top w:val="nil"/>
              <w:left w:val="nil"/>
              <w:bottom w:val="nil"/>
              <w:right w:val="single" w:sz="4" w:space="0" w:color="000000"/>
            </w:tcBorders>
            <w:shd w:val="clear" w:color="auto" w:fill="004B8D"/>
            <w:noWrap/>
            <w:vAlign w:val="bottom"/>
            <w:hideMark/>
          </w:tcPr>
          <w:p w14:paraId="0360A7F6"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2017</w:t>
            </w:r>
          </w:p>
        </w:tc>
        <w:tc>
          <w:tcPr>
            <w:tcW w:w="644" w:type="pct"/>
            <w:tcBorders>
              <w:top w:val="nil"/>
              <w:left w:val="nil"/>
              <w:bottom w:val="nil"/>
              <w:right w:val="single" w:sz="4" w:space="0" w:color="000000"/>
            </w:tcBorders>
            <w:shd w:val="clear" w:color="auto" w:fill="004B8D"/>
            <w:noWrap/>
            <w:vAlign w:val="bottom"/>
            <w:hideMark/>
          </w:tcPr>
          <w:p w14:paraId="2E18456F"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2013</w:t>
            </w:r>
          </w:p>
        </w:tc>
        <w:tc>
          <w:tcPr>
            <w:tcW w:w="645" w:type="pct"/>
            <w:tcBorders>
              <w:top w:val="nil"/>
              <w:left w:val="nil"/>
              <w:bottom w:val="nil"/>
              <w:right w:val="single" w:sz="4" w:space="0" w:color="000000"/>
            </w:tcBorders>
            <w:shd w:val="clear" w:color="auto" w:fill="004B8D"/>
            <w:noWrap/>
            <w:vAlign w:val="bottom"/>
            <w:hideMark/>
          </w:tcPr>
          <w:p w14:paraId="742C8E96"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2017</w:t>
            </w:r>
          </w:p>
        </w:tc>
      </w:tr>
      <w:tr w:rsidR="00412A18" w:rsidRPr="00BA4F8E" w14:paraId="18BF1C80" w14:textId="77777777" w:rsidTr="000C3DA3">
        <w:trPr>
          <w:trHeight w:val="255"/>
          <w:jc w:val="center"/>
        </w:trPr>
        <w:tc>
          <w:tcPr>
            <w:tcW w:w="1133" w:type="pct"/>
            <w:tcBorders>
              <w:top w:val="nil"/>
              <w:left w:val="single" w:sz="4" w:space="0" w:color="auto"/>
              <w:bottom w:val="single" w:sz="4" w:space="0" w:color="auto"/>
              <w:right w:val="single" w:sz="4" w:space="0" w:color="auto"/>
            </w:tcBorders>
            <w:noWrap/>
            <w:vAlign w:val="bottom"/>
            <w:hideMark/>
          </w:tcPr>
          <w:p w14:paraId="449740D9"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od 15 do 24 let</w:t>
            </w:r>
          </w:p>
        </w:tc>
        <w:tc>
          <w:tcPr>
            <w:tcW w:w="644" w:type="pct"/>
            <w:tcBorders>
              <w:top w:val="single" w:sz="4" w:space="0" w:color="000000"/>
              <w:left w:val="nil"/>
              <w:bottom w:val="single" w:sz="4" w:space="0" w:color="000000"/>
              <w:right w:val="single" w:sz="4" w:space="0" w:color="000000"/>
            </w:tcBorders>
            <w:noWrap/>
            <w:vAlign w:val="bottom"/>
            <w:hideMark/>
          </w:tcPr>
          <w:p w14:paraId="799FA137"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24,2</w:t>
            </w:r>
          </w:p>
        </w:tc>
        <w:tc>
          <w:tcPr>
            <w:tcW w:w="645" w:type="pct"/>
            <w:tcBorders>
              <w:top w:val="single" w:sz="4" w:space="0" w:color="000000"/>
              <w:left w:val="nil"/>
              <w:bottom w:val="single" w:sz="4" w:space="0" w:color="000000"/>
              <w:right w:val="single" w:sz="4" w:space="0" w:color="000000"/>
            </w:tcBorders>
            <w:noWrap/>
            <w:vAlign w:val="bottom"/>
            <w:hideMark/>
          </w:tcPr>
          <w:p w14:paraId="7BF8B9C1"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19,8</w:t>
            </w:r>
          </w:p>
        </w:tc>
        <w:tc>
          <w:tcPr>
            <w:tcW w:w="644" w:type="pct"/>
            <w:tcBorders>
              <w:top w:val="single" w:sz="4" w:space="0" w:color="000000"/>
              <w:left w:val="nil"/>
              <w:bottom w:val="single" w:sz="4" w:space="0" w:color="000000"/>
              <w:right w:val="single" w:sz="4" w:space="0" w:color="000000"/>
            </w:tcBorders>
            <w:noWrap/>
            <w:vAlign w:val="bottom"/>
            <w:hideMark/>
          </w:tcPr>
          <w:p w14:paraId="0FFB2E35"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362,3</w:t>
            </w:r>
          </w:p>
        </w:tc>
        <w:tc>
          <w:tcPr>
            <w:tcW w:w="645" w:type="pct"/>
            <w:tcBorders>
              <w:top w:val="single" w:sz="4" w:space="0" w:color="000000"/>
              <w:left w:val="nil"/>
              <w:bottom w:val="single" w:sz="4" w:space="0" w:color="000000"/>
              <w:right w:val="single" w:sz="4" w:space="0" w:color="000000"/>
            </w:tcBorders>
            <w:noWrap/>
            <w:vAlign w:val="bottom"/>
            <w:hideMark/>
          </w:tcPr>
          <w:p w14:paraId="32285BEE"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316,4</w:t>
            </w:r>
          </w:p>
        </w:tc>
        <w:tc>
          <w:tcPr>
            <w:tcW w:w="644" w:type="pct"/>
            <w:tcBorders>
              <w:top w:val="single" w:sz="4" w:space="0" w:color="000000"/>
              <w:left w:val="nil"/>
              <w:bottom w:val="single" w:sz="4" w:space="0" w:color="000000"/>
              <w:right w:val="single" w:sz="4" w:space="0" w:color="000000"/>
            </w:tcBorders>
            <w:noWrap/>
            <w:vAlign w:val="bottom"/>
            <w:hideMark/>
          </w:tcPr>
          <w:p w14:paraId="515B8789"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6,7</w:t>
            </w:r>
          </w:p>
        </w:tc>
        <w:tc>
          <w:tcPr>
            <w:tcW w:w="645" w:type="pct"/>
            <w:tcBorders>
              <w:top w:val="single" w:sz="4" w:space="0" w:color="000000"/>
              <w:left w:val="nil"/>
              <w:bottom w:val="single" w:sz="4" w:space="0" w:color="000000"/>
              <w:right w:val="single" w:sz="4" w:space="0" w:color="000000"/>
            </w:tcBorders>
            <w:noWrap/>
            <w:vAlign w:val="bottom"/>
            <w:hideMark/>
          </w:tcPr>
          <w:p w14:paraId="3F6B76F3"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6,3</w:t>
            </w:r>
          </w:p>
        </w:tc>
      </w:tr>
      <w:tr w:rsidR="00412A18" w:rsidRPr="00BA4F8E" w14:paraId="1D522629" w14:textId="77777777" w:rsidTr="000C3DA3">
        <w:trPr>
          <w:trHeight w:val="255"/>
          <w:jc w:val="center"/>
        </w:trPr>
        <w:tc>
          <w:tcPr>
            <w:tcW w:w="1133" w:type="pct"/>
            <w:tcBorders>
              <w:top w:val="nil"/>
              <w:left w:val="single" w:sz="4" w:space="0" w:color="auto"/>
              <w:bottom w:val="single" w:sz="4" w:space="0" w:color="auto"/>
              <w:right w:val="single" w:sz="4" w:space="0" w:color="auto"/>
            </w:tcBorders>
            <w:noWrap/>
            <w:vAlign w:val="bottom"/>
            <w:hideMark/>
          </w:tcPr>
          <w:p w14:paraId="76B51444"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od 25 do 29 let</w:t>
            </w:r>
          </w:p>
        </w:tc>
        <w:tc>
          <w:tcPr>
            <w:tcW w:w="644" w:type="pct"/>
            <w:tcBorders>
              <w:top w:val="nil"/>
              <w:left w:val="nil"/>
              <w:bottom w:val="single" w:sz="4" w:space="0" w:color="000000"/>
              <w:right w:val="single" w:sz="4" w:space="0" w:color="000000"/>
            </w:tcBorders>
            <w:noWrap/>
            <w:vAlign w:val="bottom"/>
            <w:hideMark/>
          </w:tcPr>
          <w:p w14:paraId="1BD776A2"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56,9</w:t>
            </w:r>
          </w:p>
        </w:tc>
        <w:tc>
          <w:tcPr>
            <w:tcW w:w="645" w:type="pct"/>
            <w:tcBorders>
              <w:top w:val="nil"/>
              <w:left w:val="nil"/>
              <w:bottom w:val="single" w:sz="4" w:space="0" w:color="000000"/>
              <w:right w:val="single" w:sz="4" w:space="0" w:color="000000"/>
            </w:tcBorders>
            <w:noWrap/>
            <w:vAlign w:val="bottom"/>
            <w:hideMark/>
          </w:tcPr>
          <w:p w14:paraId="33EED721"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53,6</w:t>
            </w:r>
          </w:p>
        </w:tc>
        <w:tc>
          <w:tcPr>
            <w:tcW w:w="644" w:type="pct"/>
            <w:tcBorders>
              <w:top w:val="nil"/>
              <w:left w:val="nil"/>
              <w:bottom w:val="single" w:sz="4" w:space="0" w:color="000000"/>
              <w:right w:val="single" w:sz="4" w:space="0" w:color="000000"/>
            </w:tcBorders>
            <w:noWrap/>
            <w:vAlign w:val="bottom"/>
            <w:hideMark/>
          </w:tcPr>
          <w:p w14:paraId="6CBFE241"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575,6</w:t>
            </w:r>
          </w:p>
        </w:tc>
        <w:tc>
          <w:tcPr>
            <w:tcW w:w="645" w:type="pct"/>
            <w:tcBorders>
              <w:top w:val="nil"/>
              <w:left w:val="nil"/>
              <w:bottom w:val="single" w:sz="4" w:space="0" w:color="000000"/>
              <w:right w:val="single" w:sz="4" w:space="0" w:color="000000"/>
            </w:tcBorders>
            <w:noWrap/>
            <w:vAlign w:val="bottom"/>
            <w:hideMark/>
          </w:tcPr>
          <w:p w14:paraId="1857CC94"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551,4</w:t>
            </w:r>
          </w:p>
        </w:tc>
        <w:tc>
          <w:tcPr>
            <w:tcW w:w="644" w:type="pct"/>
            <w:tcBorders>
              <w:top w:val="nil"/>
              <w:left w:val="nil"/>
              <w:bottom w:val="single" w:sz="4" w:space="0" w:color="000000"/>
              <w:right w:val="single" w:sz="4" w:space="0" w:color="000000"/>
            </w:tcBorders>
            <w:noWrap/>
            <w:vAlign w:val="bottom"/>
            <w:hideMark/>
          </w:tcPr>
          <w:p w14:paraId="7B501211"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9,9</w:t>
            </w:r>
          </w:p>
        </w:tc>
        <w:tc>
          <w:tcPr>
            <w:tcW w:w="645" w:type="pct"/>
            <w:tcBorders>
              <w:top w:val="nil"/>
              <w:left w:val="nil"/>
              <w:bottom w:val="single" w:sz="4" w:space="0" w:color="000000"/>
              <w:right w:val="single" w:sz="4" w:space="0" w:color="000000"/>
            </w:tcBorders>
            <w:noWrap/>
            <w:vAlign w:val="bottom"/>
            <w:hideMark/>
          </w:tcPr>
          <w:p w14:paraId="49D2213E"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9,7</w:t>
            </w:r>
          </w:p>
        </w:tc>
      </w:tr>
      <w:tr w:rsidR="00412A18" w:rsidRPr="00BA4F8E" w14:paraId="66CCEDF4" w14:textId="77777777" w:rsidTr="000C3DA3">
        <w:trPr>
          <w:trHeight w:val="255"/>
          <w:jc w:val="center"/>
        </w:trPr>
        <w:tc>
          <w:tcPr>
            <w:tcW w:w="1133" w:type="pct"/>
            <w:tcBorders>
              <w:top w:val="nil"/>
              <w:left w:val="single" w:sz="4" w:space="0" w:color="auto"/>
              <w:bottom w:val="single" w:sz="4" w:space="0" w:color="auto"/>
              <w:right w:val="single" w:sz="4" w:space="0" w:color="auto"/>
            </w:tcBorders>
            <w:noWrap/>
            <w:vAlign w:val="bottom"/>
            <w:hideMark/>
          </w:tcPr>
          <w:p w14:paraId="738EB62D"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od 30 do 39 let</w:t>
            </w:r>
          </w:p>
        </w:tc>
        <w:tc>
          <w:tcPr>
            <w:tcW w:w="644" w:type="pct"/>
            <w:tcBorders>
              <w:top w:val="nil"/>
              <w:left w:val="nil"/>
              <w:bottom w:val="single" w:sz="4" w:space="0" w:color="000000"/>
              <w:right w:val="single" w:sz="4" w:space="0" w:color="000000"/>
            </w:tcBorders>
            <w:noWrap/>
            <w:vAlign w:val="bottom"/>
            <w:hideMark/>
          </w:tcPr>
          <w:p w14:paraId="44EFE0E5"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224,0</w:t>
            </w:r>
          </w:p>
        </w:tc>
        <w:tc>
          <w:tcPr>
            <w:tcW w:w="645" w:type="pct"/>
            <w:tcBorders>
              <w:top w:val="nil"/>
              <w:left w:val="nil"/>
              <w:bottom w:val="single" w:sz="4" w:space="0" w:color="000000"/>
              <w:right w:val="single" w:sz="4" w:space="0" w:color="000000"/>
            </w:tcBorders>
            <w:noWrap/>
            <w:vAlign w:val="bottom"/>
            <w:hideMark/>
          </w:tcPr>
          <w:p w14:paraId="41939778"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199,1</w:t>
            </w:r>
          </w:p>
        </w:tc>
        <w:tc>
          <w:tcPr>
            <w:tcW w:w="644" w:type="pct"/>
            <w:tcBorders>
              <w:top w:val="nil"/>
              <w:left w:val="nil"/>
              <w:bottom w:val="single" w:sz="4" w:space="0" w:color="000000"/>
              <w:right w:val="single" w:sz="4" w:space="0" w:color="000000"/>
            </w:tcBorders>
            <w:noWrap/>
            <w:vAlign w:val="bottom"/>
            <w:hideMark/>
          </w:tcPr>
          <w:p w14:paraId="5626AE1C"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1495,9</w:t>
            </w:r>
          </w:p>
        </w:tc>
        <w:tc>
          <w:tcPr>
            <w:tcW w:w="645" w:type="pct"/>
            <w:tcBorders>
              <w:top w:val="nil"/>
              <w:left w:val="nil"/>
              <w:bottom w:val="single" w:sz="4" w:space="0" w:color="000000"/>
              <w:right w:val="single" w:sz="4" w:space="0" w:color="000000"/>
            </w:tcBorders>
            <w:noWrap/>
            <w:vAlign w:val="bottom"/>
            <w:hideMark/>
          </w:tcPr>
          <w:p w14:paraId="24F24802"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1338,1</w:t>
            </w:r>
          </w:p>
        </w:tc>
        <w:tc>
          <w:tcPr>
            <w:tcW w:w="644" w:type="pct"/>
            <w:tcBorders>
              <w:top w:val="nil"/>
              <w:left w:val="nil"/>
              <w:bottom w:val="single" w:sz="4" w:space="0" w:color="000000"/>
              <w:right w:val="single" w:sz="4" w:space="0" w:color="000000"/>
            </w:tcBorders>
            <w:noWrap/>
            <w:vAlign w:val="bottom"/>
            <w:hideMark/>
          </w:tcPr>
          <w:p w14:paraId="7DC1346A"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15</w:t>
            </w:r>
          </w:p>
        </w:tc>
        <w:tc>
          <w:tcPr>
            <w:tcW w:w="645" w:type="pct"/>
            <w:tcBorders>
              <w:top w:val="nil"/>
              <w:left w:val="nil"/>
              <w:bottom w:val="single" w:sz="4" w:space="0" w:color="000000"/>
              <w:right w:val="single" w:sz="4" w:space="0" w:color="000000"/>
            </w:tcBorders>
            <w:noWrap/>
            <w:vAlign w:val="bottom"/>
            <w:hideMark/>
          </w:tcPr>
          <w:p w14:paraId="7804AF7B" w14:textId="77777777" w:rsidR="00412A18" w:rsidRPr="00BA4F8E" w:rsidRDefault="00412A18">
            <w:pPr>
              <w:spacing w:after="0" w:line="240" w:lineRule="auto"/>
              <w:rPr>
                <w:rFonts w:eastAsia="Times New Roman" w:cs="Arial"/>
                <w:lang w:eastAsia="cs-CZ"/>
              </w:rPr>
            </w:pPr>
            <w:r w:rsidRPr="00BA4F8E">
              <w:rPr>
                <w:rFonts w:eastAsia="Times New Roman" w:cs="Arial"/>
                <w:lang w:eastAsia="cs-CZ"/>
              </w:rPr>
              <w:t>14,9</w:t>
            </w:r>
          </w:p>
        </w:tc>
      </w:tr>
      <w:tr w:rsidR="00412A18" w:rsidRPr="00BA4F8E" w14:paraId="2E0462E3" w14:textId="77777777" w:rsidTr="000C3DA3">
        <w:trPr>
          <w:trHeight w:val="255"/>
          <w:jc w:val="center"/>
        </w:trPr>
        <w:tc>
          <w:tcPr>
            <w:tcW w:w="1133" w:type="pct"/>
            <w:tcBorders>
              <w:top w:val="nil"/>
              <w:left w:val="single" w:sz="4" w:space="0" w:color="auto"/>
              <w:bottom w:val="single" w:sz="4" w:space="0" w:color="auto"/>
              <w:right w:val="single" w:sz="4" w:space="0" w:color="auto"/>
            </w:tcBorders>
            <w:noWrap/>
            <w:vAlign w:val="bottom"/>
            <w:hideMark/>
          </w:tcPr>
          <w:p w14:paraId="5ED1959C"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Celkem 15–39 let</w:t>
            </w:r>
          </w:p>
        </w:tc>
        <w:tc>
          <w:tcPr>
            <w:tcW w:w="644" w:type="pct"/>
            <w:tcBorders>
              <w:top w:val="nil"/>
              <w:left w:val="nil"/>
              <w:bottom w:val="single" w:sz="4" w:space="0" w:color="000000"/>
              <w:right w:val="single" w:sz="4" w:space="0" w:color="000000"/>
            </w:tcBorders>
            <w:noWrap/>
            <w:vAlign w:val="bottom"/>
            <w:hideMark/>
          </w:tcPr>
          <w:p w14:paraId="2965780F"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305,1</w:t>
            </w:r>
          </w:p>
        </w:tc>
        <w:tc>
          <w:tcPr>
            <w:tcW w:w="645" w:type="pct"/>
            <w:tcBorders>
              <w:top w:val="nil"/>
              <w:left w:val="nil"/>
              <w:bottom w:val="single" w:sz="4" w:space="0" w:color="000000"/>
              <w:right w:val="single" w:sz="4" w:space="0" w:color="000000"/>
            </w:tcBorders>
            <w:noWrap/>
            <w:vAlign w:val="bottom"/>
            <w:hideMark/>
          </w:tcPr>
          <w:p w14:paraId="34BBB0FD"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272,5</w:t>
            </w:r>
          </w:p>
        </w:tc>
        <w:tc>
          <w:tcPr>
            <w:tcW w:w="644" w:type="pct"/>
            <w:tcBorders>
              <w:top w:val="nil"/>
              <w:left w:val="nil"/>
              <w:bottom w:val="single" w:sz="4" w:space="0" w:color="000000"/>
              <w:right w:val="single" w:sz="4" w:space="0" w:color="000000"/>
            </w:tcBorders>
            <w:noWrap/>
            <w:vAlign w:val="bottom"/>
            <w:hideMark/>
          </w:tcPr>
          <w:p w14:paraId="1F81B613"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2433,8</w:t>
            </w:r>
          </w:p>
        </w:tc>
        <w:tc>
          <w:tcPr>
            <w:tcW w:w="645" w:type="pct"/>
            <w:tcBorders>
              <w:top w:val="nil"/>
              <w:left w:val="nil"/>
              <w:bottom w:val="single" w:sz="4" w:space="0" w:color="000000"/>
              <w:right w:val="single" w:sz="4" w:space="0" w:color="000000"/>
            </w:tcBorders>
            <w:noWrap/>
            <w:vAlign w:val="bottom"/>
            <w:hideMark/>
          </w:tcPr>
          <w:p w14:paraId="4E32BA6A"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2205,9</w:t>
            </w:r>
          </w:p>
        </w:tc>
        <w:tc>
          <w:tcPr>
            <w:tcW w:w="644" w:type="pct"/>
            <w:tcBorders>
              <w:top w:val="nil"/>
              <w:left w:val="nil"/>
              <w:bottom w:val="single" w:sz="4" w:space="0" w:color="000000"/>
              <w:right w:val="single" w:sz="4" w:space="0" w:color="000000"/>
            </w:tcBorders>
            <w:noWrap/>
            <w:vAlign w:val="bottom"/>
            <w:hideMark/>
          </w:tcPr>
          <w:p w14:paraId="0B26413D"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12,5</w:t>
            </w:r>
          </w:p>
        </w:tc>
        <w:tc>
          <w:tcPr>
            <w:tcW w:w="645" w:type="pct"/>
            <w:tcBorders>
              <w:top w:val="nil"/>
              <w:left w:val="nil"/>
              <w:bottom w:val="single" w:sz="4" w:space="0" w:color="000000"/>
              <w:right w:val="single" w:sz="4" w:space="0" w:color="000000"/>
            </w:tcBorders>
            <w:noWrap/>
            <w:vAlign w:val="bottom"/>
            <w:hideMark/>
          </w:tcPr>
          <w:p w14:paraId="55A174A3" w14:textId="77777777" w:rsidR="00412A18" w:rsidRPr="00BA4F8E" w:rsidRDefault="00412A18">
            <w:pPr>
              <w:spacing w:after="0" w:line="240" w:lineRule="auto"/>
              <w:rPr>
                <w:rFonts w:eastAsia="Times New Roman" w:cs="Arial"/>
                <w:b/>
                <w:bCs/>
                <w:lang w:eastAsia="cs-CZ"/>
              </w:rPr>
            </w:pPr>
            <w:r w:rsidRPr="00BA4F8E">
              <w:rPr>
                <w:rFonts w:eastAsia="Times New Roman" w:cs="Arial"/>
                <w:b/>
                <w:bCs/>
                <w:lang w:eastAsia="cs-CZ"/>
              </w:rPr>
              <w:t>12,4</w:t>
            </w:r>
          </w:p>
        </w:tc>
      </w:tr>
    </w:tbl>
    <w:p w14:paraId="0DF375AC" w14:textId="77777777" w:rsidR="00412A18" w:rsidRPr="00222E9F" w:rsidRDefault="00412A18" w:rsidP="00412A18">
      <w:pPr>
        <w:spacing w:before="120"/>
        <w:rPr>
          <w:i/>
          <w:sz w:val="18"/>
          <w:szCs w:val="18"/>
        </w:rPr>
      </w:pPr>
      <w:r w:rsidRPr="00222E9F">
        <w:rPr>
          <w:i/>
          <w:sz w:val="18"/>
          <w:szCs w:val="18"/>
        </w:rPr>
        <w:t>Zdroj: Eurostat, LFS</w:t>
      </w:r>
    </w:p>
    <w:p w14:paraId="3B6C2278" w14:textId="77777777" w:rsidR="00412A18" w:rsidRDefault="00412A18" w:rsidP="00412A18">
      <w:pPr>
        <w:rPr>
          <w:b/>
          <w:color w:val="0E87AF" w:themeColor="accent6" w:themeShade="BF"/>
        </w:rPr>
      </w:pPr>
    </w:p>
    <w:p w14:paraId="05D89797" w14:textId="77777777" w:rsidR="00222E9F" w:rsidRPr="00BA4F8E" w:rsidRDefault="00222E9F" w:rsidP="00412A18">
      <w:pPr>
        <w:rPr>
          <w:b/>
          <w:color w:val="0E87AF" w:themeColor="accent6" w:themeShade="BF"/>
        </w:rPr>
      </w:pPr>
    </w:p>
    <w:p w14:paraId="4E358223" w14:textId="77777777" w:rsidR="004A29A4" w:rsidRDefault="004A29A4" w:rsidP="00412A18">
      <w:pPr>
        <w:rPr>
          <w:b/>
        </w:rPr>
      </w:pPr>
    </w:p>
    <w:p w14:paraId="75CE4883" w14:textId="77777777" w:rsidR="004A29A4" w:rsidRDefault="004A29A4" w:rsidP="00412A18">
      <w:pPr>
        <w:rPr>
          <w:b/>
        </w:rPr>
      </w:pPr>
    </w:p>
    <w:p w14:paraId="05C0B497" w14:textId="77777777" w:rsidR="004A29A4" w:rsidRDefault="004A29A4" w:rsidP="00412A18">
      <w:pPr>
        <w:rPr>
          <w:b/>
        </w:rPr>
      </w:pPr>
    </w:p>
    <w:p w14:paraId="25369E85" w14:textId="74253A53" w:rsidR="00412A18" w:rsidRPr="00AC3E83" w:rsidRDefault="00412A18" w:rsidP="00412A18">
      <w:pPr>
        <w:rPr>
          <w:b/>
        </w:rPr>
      </w:pPr>
      <w:r w:rsidRPr="00AC3E83">
        <w:rPr>
          <w:b/>
        </w:rPr>
        <w:t>ČR bude zemí se zlepšujícím se poměrem fir</w:t>
      </w:r>
      <w:r w:rsidR="009D209E">
        <w:rPr>
          <w:b/>
        </w:rPr>
        <w:t>em nově zakládaných a aktivn</w:t>
      </w:r>
      <w:r w:rsidRPr="00AC3E83">
        <w:rPr>
          <w:b/>
        </w:rPr>
        <w:t>ích</w:t>
      </w:r>
    </w:p>
    <w:p w14:paraId="54C63447" w14:textId="77777777" w:rsidR="00412A18" w:rsidRPr="00BA4F8E" w:rsidRDefault="00412A18" w:rsidP="00580DE3">
      <w:pPr>
        <w:pStyle w:val="Titulek"/>
      </w:pPr>
      <w:bookmarkStart w:id="234" w:name="_Toc524677680"/>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20</w:t>
      </w:r>
      <w:r w:rsidR="00EE7C52">
        <w:rPr>
          <w:noProof/>
        </w:rPr>
        <w:fldChar w:fldCharType="end"/>
      </w:r>
      <w:r w:rsidRPr="00BA4F8E">
        <w:t xml:space="preserve"> - Podíl nově vzniklých firem na celkovém počtu aktivních subjektů, 2010–2017</w:t>
      </w:r>
      <w:bookmarkEnd w:id="234"/>
    </w:p>
    <w:tbl>
      <w:tblPr>
        <w:tblW w:w="5000" w:type="pct"/>
        <w:jc w:val="center"/>
        <w:tblCellMar>
          <w:left w:w="70" w:type="dxa"/>
          <w:right w:w="70" w:type="dxa"/>
        </w:tblCellMar>
        <w:tblLook w:val="04A0" w:firstRow="1" w:lastRow="0" w:firstColumn="1" w:lastColumn="0" w:noHBand="0" w:noVBand="1"/>
      </w:tblPr>
      <w:tblGrid>
        <w:gridCol w:w="2406"/>
        <w:gridCol w:w="904"/>
        <w:gridCol w:w="904"/>
        <w:gridCol w:w="905"/>
        <w:gridCol w:w="903"/>
        <w:gridCol w:w="903"/>
        <w:gridCol w:w="903"/>
        <w:gridCol w:w="905"/>
        <w:gridCol w:w="895"/>
      </w:tblGrid>
      <w:tr w:rsidR="00412A18" w:rsidRPr="00BA4F8E" w14:paraId="7A99E931" w14:textId="77777777" w:rsidTr="00167331">
        <w:trPr>
          <w:trHeight w:val="255"/>
          <w:jc w:val="center"/>
        </w:trPr>
        <w:tc>
          <w:tcPr>
            <w:tcW w:w="1249" w:type="pct"/>
            <w:tcBorders>
              <w:top w:val="single" w:sz="4" w:space="0" w:color="auto"/>
              <w:left w:val="single" w:sz="4" w:space="0" w:color="auto"/>
              <w:bottom w:val="single" w:sz="4" w:space="0" w:color="auto"/>
              <w:right w:val="single" w:sz="4" w:space="0" w:color="auto"/>
            </w:tcBorders>
            <w:shd w:val="clear" w:color="auto" w:fill="004B8D"/>
            <w:noWrap/>
            <w:vAlign w:val="bottom"/>
            <w:hideMark/>
          </w:tcPr>
          <w:p w14:paraId="4B288D66" w14:textId="77777777" w:rsidR="00412A18" w:rsidRPr="00167331" w:rsidRDefault="00412A18">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 </w:t>
            </w:r>
          </w:p>
        </w:tc>
        <w:tc>
          <w:tcPr>
            <w:tcW w:w="469" w:type="pct"/>
            <w:tcBorders>
              <w:top w:val="single" w:sz="4" w:space="0" w:color="auto"/>
              <w:left w:val="nil"/>
              <w:bottom w:val="single" w:sz="4" w:space="0" w:color="auto"/>
              <w:right w:val="single" w:sz="4" w:space="0" w:color="auto"/>
            </w:tcBorders>
            <w:shd w:val="clear" w:color="auto" w:fill="004B8D"/>
            <w:noWrap/>
            <w:vAlign w:val="bottom"/>
            <w:hideMark/>
          </w:tcPr>
          <w:p w14:paraId="6DC56149" w14:textId="77777777" w:rsidR="00412A18" w:rsidRPr="00167331" w:rsidRDefault="00412A18">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2010</w:t>
            </w:r>
          </w:p>
        </w:tc>
        <w:tc>
          <w:tcPr>
            <w:tcW w:w="469" w:type="pct"/>
            <w:tcBorders>
              <w:top w:val="single" w:sz="4" w:space="0" w:color="auto"/>
              <w:left w:val="nil"/>
              <w:bottom w:val="single" w:sz="4" w:space="0" w:color="auto"/>
              <w:right w:val="single" w:sz="4" w:space="0" w:color="auto"/>
            </w:tcBorders>
            <w:shd w:val="clear" w:color="auto" w:fill="004B8D"/>
            <w:noWrap/>
            <w:vAlign w:val="bottom"/>
            <w:hideMark/>
          </w:tcPr>
          <w:p w14:paraId="4832288D" w14:textId="77777777" w:rsidR="00412A18" w:rsidRPr="00167331" w:rsidRDefault="00412A18">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2011</w:t>
            </w:r>
          </w:p>
        </w:tc>
        <w:tc>
          <w:tcPr>
            <w:tcW w:w="470" w:type="pct"/>
            <w:tcBorders>
              <w:top w:val="single" w:sz="4" w:space="0" w:color="auto"/>
              <w:left w:val="nil"/>
              <w:bottom w:val="single" w:sz="4" w:space="0" w:color="auto"/>
              <w:right w:val="single" w:sz="4" w:space="0" w:color="auto"/>
            </w:tcBorders>
            <w:shd w:val="clear" w:color="auto" w:fill="004B8D"/>
            <w:noWrap/>
            <w:vAlign w:val="bottom"/>
            <w:hideMark/>
          </w:tcPr>
          <w:p w14:paraId="474A8CF4" w14:textId="77777777" w:rsidR="00412A18" w:rsidRPr="00167331" w:rsidRDefault="00412A18">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2012</w:t>
            </w:r>
          </w:p>
        </w:tc>
        <w:tc>
          <w:tcPr>
            <w:tcW w:w="469" w:type="pct"/>
            <w:tcBorders>
              <w:top w:val="single" w:sz="4" w:space="0" w:color="auto"/>
              <w:left w:val="nil"/>
              <w:bottom w:val="single" w:sz="4" w:space="0" w:color="auto"/>
              <w:right w:val="single" w:sz="4" w:space="0" w:color="auto"/>
            </w:tcBorders>
            <w:shd w:val="clear" w:color="auto" w:fill="004B8D"/>
            <w:noWrap/>
            <w:vAlign w:val="bottom"/>
            <w:hideMark/>
          </w:tcPr>
          <w:p w14:paraId="120E3D6B" w14:textId="77777777" w:rsidR="00412A18" w:rsidRPr="00167331" w:rsidRDefault="00412A18">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2013</w:t>
            </w:r>
          </w:p>
        </w:tc>
        <w:tc>
          <w:tcPr>
            <w:tcW w:w="469" w:type="pct"/>
            <w:tcBorders>
              <w:top w:val="single" w:sz="4" w:space="0" w:color="auto"/>
              <w:left w:val="nil"/>
              <w:bottom w:val="single" w:sz="4" w:space="0" w:color="auto"/>
              <w:right w:val="single" w:sz="4" w:space="0" w:color="auto"/>
            </w:tcBorders>
            <w:shd w:val="clear" w:color="auto" w:fill="004B8D"/>
            <w:noWrap/>
            <w:vAlign w:val="bottom"/>
            <w:hideMark/>
          </w:tcPr>
          <w:p w14:paraId="4756DE01" w14:textId="77777777" w:rsidR="00412A18" w:rsidRPr="00167331" w:rsidRDefault="00412A18">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2014</w:t>
            </w:r>
          </w:p>
        </w:tc>
        <w:tc>
          <w:tcPr>
            <w:tcW w:w="469" w:type="pct"/>
            <w:tcBorders>
              <w:top w:val="single" w:sz="4" w:space="0" w:color="auto"/>
              <w:left w:val="nil"/>
              <w:bottom w:val="single" w:sz="4" w:space="0" w:color="auto"/>
              <w:right w:val="single" w:sz="4" w:space="0" w:color="auto"/>
            </w:tcBorders>
            <w:shd w:val="clear" w:color="auto" w:fill="004B8D"/>
            <w:noWrap/>
            <w:vAlign w:val="bottom"/>
            <w:hideMark/>
          </w:tcPr>
          <w:p w14:paraId="6A8FA5AD" w14:textId="77777777" w:rsidR="00412A18" w:rsidRPr="00167331" w:rsidRDefault="00412A18">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2015</w:t>
            </w:r>
          </w:p>
        </w:tc>
        <w:tc>
          <w:tcPr>
            <w:tcW w:w="470" w:type="pct"/>
            <w:tcBorders>
              <w:top w:val="single" w:sz="4" w:space="0" w:color="auto"/>
              <w:left w:val="nil"/>
              <w:bottom w:val="single" w:sz="4" w:space="0" w:color="auto"/>
              <w:right w:val="single" w:sz="4" w:space="0" w:color="auto"/>
            </w:tcBorders>
            <w:shd w:val="clear" w:color="auto" w:fill="004B8D"/>
            <w:noWrap/>
            <w:vAlign w:val="bottom"/>
            <w:hideMark/>
          </w:tcPr>
          <w:p w14:paraId="23D3CB78" w14:textId="77777777" w:rsidR="00412A18" w:rsidRPr="00167331" w:rsidRDefault="00412A18">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2016</w:t>
            </w:r>
          </w:p>
        </w:tc>
        <w:tc>
          <w:tcPr>
            <w:tcW w:w="465" w:type="pct"/>
            <w:tcBorders>
              <w:top w:val="single" w:sz="4" w:space="0" w:color="auto"/>
              <w:left w:val="nil"/>
              <w:bottom w:val="single" w:sz="4" w:space="0" w:color="auto"/>
              <w:right w:val="single" w:sz="4" w:space="0" w:color="auto"/>
            </w:tcBorders>
            <w:shd w:val="clear" w:color="auto" w:fill="004B8D"/>
            <w:noWrap/>
            <w:vAlign w:val="bottom"/>
            <w:hideMark/>
          </w:tcPr>
          <w:p w14:paraId="0F318A78" w14:textId="77777777" w:rsidR="00412A18" w:rsidRPr="00167331" w:rsidRDefault="00412A18">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2017</w:t>
            </w:r>
          </w:p>
        </w:tc>
      </w:tr>
      <w:tr w:rsidR="00412A18" w:rsidRPr="00BA4F8E" w14:paraId="4183C21F" w14:textId="77777777" w:rsidTr="000C3DA3">
        <w:trPr>
          <w:trHeight w:val="439"/>
          <w:jc w:val="center"/>
        </w:trPr>
        <w:tc>
          <w:tcPr>
            <w:tcW w:w="1249" w:type="pct"/>
            <w:tcBorders>
              <w:top w:val="nil"/>
              <w:left w:val="single" w:sz="4" w:space="0" w:color="auto"/>
              <w:bottom w:val="single" w:sz="4" w:space="0" w:color="auto"/>
              <w:right w:val="single" w:sz="4" w:space="0" w:color="auto"/>
            </w:tcBorders>
            <w:vAlign w:val="center"/>
            <w:hideMark/>
          </w:tcPr>
          <w:p w14:paraId="7D940791"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nově vzniklé firmy</w:t>
            </w:r>
          </w:p>
        </w:tc>
        <w:tc>
          <w:tcPr>
            <w:tcW w:w="469" w:type="pct"/>
            <w:tcBorders>
              <w:top w:val="nil"/>
              <w:left w:val="nil"/>
              <w:bottom w:val="single" w:sz="4" w:space="0" w:color="auto"/>
              <w:right w:val="single" w:sz="4" w:space="0" w:color="auto"/>
            </w:tcBorders>
            <w:noWrap/>
            <w:vAlign w:val="center"/>
            <w:hideMark/>
          </w:tcPr>
          <w:p w14:paraId="32F32ECD"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120 475</w:t>
            </w:r>
          </w:p>
        </w:tc>
        <w:tc>
          <w:tcPr>
            <w:tcW w:w="469" w:type="pct"/>
            <w:tcBorders>
              <w:top w:val="nil"/>
              <w:left w:val="nil"/>
              <w:bottom w:val="single" w:sz="4" w:space="0" w:color="auto"/>
              <w:right w:val="single" w:sz="4" w:space="0" w:color="auto"/>
            </w:tcBorders>
            <w:noWrap/>
            <w:vAlign w:val="center"/>
            <w:hideMark/>
          </w:tcPr>
          <w:p w14:paraId="36574251"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117 652</w:t>
            </w:r>
          </w:p>
        </w:tc>
        <w:tc>
          <w:tcPr>
            <w:tcW w:w="470" w:type="pct"/>
            <w:tcBorders>
              <w:top w:val="nil"/>
              <w:left w:val="nil"/>
              <w:bottom w:val="single" w:sz="4" w:space="0" w:color="auto"/>
              <w:right w:val="single" w:sz="4" w:space="0" w:color="auto"/>
            </w:tcBorders>
            <w:noWrap/>
            <w:vAlign w:val="center"/>
            <w:hideMark/>
          </w:tcPr>
          <w:p w14:paraId="4C980114"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104 952</w:t>
            </w:r>
          </w:p>
        </w:tc>
        <w:tc>
          <w:tcPr>
            <w:tcW w:w="469" w:type="pct"/>
            <w:tcBorders>
              <w:top w:val="nil"/>
              <w:left w:val="nil"/>
              <w:bottom w:val="single" w:sz="4" w:space="0" w:color="auto"/>
              <w:right w:val="single" w:sz="4" w:space="0" w:color="auto"/>
            </w:tcBorders>
            <w:noWrap/>
            <w:vAlign w:val="center"/>
            <w:hideMark/>
          </w:tcPr>
          <w:p w14:paraId="7E6E4C6E"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99 287</w:t>
            </w:r>
          </w:p>
        </w:tc>
        <w:tc>
          <w:tcPr>
            <w:tcW w:w="469" w:type="pct"/>
            <w:tcBorders>
              <w:top w:val="nil"/>
              <w:left w:val="nil"/>
              <w:bottom w:val="single" w:sz="4" w:space="0" w:color="auto"/>
              <w:right w:val="single" w:sz="4" w:space="0" w:color="auto"/>
            </w:tcBorders>
            <w:noWrap/>
            <w:vAlign w:val="center"/>
            <w:hideMark/>
          </w:tcPr>
          <w:p w14:paraId="687714F0"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91 889</w:t>
            </w:r>
          </w:p>
        </w:tc>
        <w:tc>
          <w:tcPr>
            <w:tcW w:w="469" w:type="pct"/>
            <w:tcBorders>
              <w:top w:val="nil"/>
              <w:left w:val="nil"/>
              <w:bottom w:val="single" w:sz="4" w:space="0" w:color="auto"/>
              <w:right w:val="single" w:sz="4" w:space="0" w:color="auto"/>
            </w:tcBorders>
            <w:noWrap/>
            <w:vAlign w:val="center"/>
            <w:hideMark/>
          </w:tcPr>
          <w:p w14:paraId="3B6B3A7E"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96 392</w:t>
            </w:r>
          </w:p>
        </w:tc>
        <w:tc>
          <w:tcPr>
            <w:tcW w:w="470" w:type="pct"/>
            <w:tcBorders>
              <w:top w:val="nil"/>
              <w:left w:val="nil"/>
              <w:bottom w:val="single" w:sz="4" w:space="0" w:color="auto"/>
              <w:right w:val="single" w:sz="4" w:space="0" w:color="auto"/>
            </w:tcBorders>
            <w:noWrap/>
            <w:vAlign w:val="center"/>
            <w:hideMark/>
          </w:tcPr>
          <w:p w14:paraId="1BAFBE8E"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97 859</w:t>
            </w:r>
          </w:p>
        </w:tc>
        <w:tc>
          <w:tcPr>
            <w:tcW w:w="465" w:type="pct"/>
            <w:tcBorders>
              <w:top w:val="nil"/>
              <w:left w:val="nil"/>
              <w:bottom w:val="single" w:sz="4" w:space="0" w:color="auto"/>
              <w:right w:val="single" w:sz="4" w:space="0" w:color="auto"/>
            </w:tcBorders>
            <w:noWrap/>
            <w:vAlign w:val="center"/>
            <w:hideMark/>
          </w:tcPr>
          <w:p w14:paraId="402E0BB4"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101 808</w:t>
            </w:r>
          </w:p>
        </w:tc>
      </w:tr>
      <w:tr w:rsidR="00412A18" w:rsidRPr="00BA4F8E" w14:paraId="642C57BA" w14:textId="77777777" w:rsidTr="000C3DA3">
        <w:trPr>
          <w:trHeight w:val="439"/>
          <w:jc w:val="center"/>
        </w:trPr>
        <w:tc>
          <w:tcPr>
            <w:tcW w:w="1249" w:type="pct"/>
            <w:tcBorders>
              <w:top w:val="nil"/>
              <w:left w:val="single" w:sz="4" w:space="0" w:color="auto"/>
              <w:bottom w:val="single" w:sz="4" w:space="0" w:color="auto"/>
              <w:right w:val="single" w:sz="4" w:space="0" w:color="auto"/>
            </w:tcBorders>
            <w:vAlign w:val="center"/>
            <w:hideMark/>
          </w:tcPr>
          <w:p w14:paraId="76BAEEE8"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v % všech aktivních ek. subjektů</w:t>
            </w:r>
          </w:p>
        </w:tc>
        <w:tc>
          <w:tcPr>
            <w:tcW w:w="469" w:type="pct"/>
            <w:tcBorders>
              <w:top w:val="nil"/>
              <w:left w:val="nil"/>
              <w:bottom w:val="single" w:sz="4" w:space="0" w:color="auto"/>
              <w:right w:val="single" w:sz="4" w:space="0" w:color="auto"/>
            </w:tcBorders>
            <w:noWrap/>
            <w:vAlign w:val="center"/>
            <w:hideMark/>
          </w:tcPr>
          <w:p w14:paraId="7C6C3DB4"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 xml:space="preserve">     8,6</w:t>
            </w:r>
          </w:p>
        </w:tc>
        <w:tc>
          <w:tcPr>
            <w:tcW w:w="469" w:type="pct"/>
            <w:tcBorders>
              <w:top w:val="nil"/>
              <w:left w:val="nil"/>
              <w:bottom w:val="single" w:sz="4" w:space="0" w:color="auto"/>
              <w:right w:val="single" w:sz="4" w:space="0" w:color="auto"/>
            </w:tcBorders>
            <w:noWrap/>
            <w:vAlign w:val="center"/>
            <w:hideMark/>
          </w:tcPr>
          <w:p w14:paraId="5F88134E"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 xml:space="preserve">    8,1</w:t>
            </w:r>
          </w:p>
        </w:tc>
        <w:tc>
          <w:tcPr>
            <w:tcW w:w="470" w:type="pct"/>
            <w:tcBorders>
              <w:top w:val="nil"/>
              <w:left w:val="nil"/>
              <w:bottom w:val="single" w:sz="4" w:space="0" w:color="auto"/>
              <w:right w:val="single" w:sz="4" w:space="0" w:color="auto"/>
            </w:tcBorders>
            <w:noWrap/>
            <w:vAlign w:val="center"/>
            <w:hideMark/>
          </w:tcPr>
          <w:p w14:paraId="02598D5A"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 xml:space="preserve">    6,9</w:t>
            </w:r>
          </w:p>
        </w:tc>
        <w:tc>
          <w:tcPr>
            <w:tcW w:w="469" w:type="pct"/>
            <w:tcBorders>
              <w:top w:val="nil"/>
              <w:left w:val="nil"/>
              <w:bottom w:val="single" w:sz="4" w:space="0" w:color="auto"/>
              <w:right w:val="single" w:sz="4" w:space="0" w:color="auto"/>
            </w:tcBorders>
            <w:noWrap/>
            <w:vAlign w:val="center"/>
            <w:hideMark/>
          </w:tcPr>
          <w:p w14:paraId="40906C65"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 xml:space="preserve">    6,7</w:t>
            </w:r>
          </w:p>
        </w:tc>
        <w:tc>
          <w:tcPr>
            <w:tcW w:w="469" w:type="pct"/>
            <w:tcBorders>
              <w:top w:val="nil"/>
              <w:left w:val="nil"/>
              <w:bottom w:val="single" w:sz="4" w:space="0" w:color="auto"/>
              <w:right w:val="single" w:sz="4" w:space="0" w:color="auto"/>
            </w:tcBorders>
            <w:noWrap/>
            <w:vAlign w:val="center"/>
            <w:hideMark/>
          </w:tcPr>
          <w:p w14:paraId="7F9B2918"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 xml:space="preserve">    6,4</w:t>
            </w:r>
          </w:p>
        </w:tc>
        <w:tc>
          <w:tcPr>
            <w:tcW w:w="469" w:type="pct"/>
            <w:tcBorders>
              <w:top w:val="nil"/>
              <w:left w:val="nil"/>
              <w:bottom w:val="single" w:sz="4" w:space="0" w:color="auto"/>
              <w:right w:val="single" w:sz="4" w:space="0" w:color="auto"/>
            </w:tcBorders>
            <w:noWrap/>
            <w:vAlign w:val="center"/>
            <w:hideMark/>
          </w:tcPr>
          <w:p w14:paraId="7E847CB8"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 xml:space="preserve">    6,7</w:t>
            </w:r>
          </w:p>
        </w:tc>
        <w:tc>
          <w:tcPr>
            <w:tcW w:w="470" w:type="pct"/>
            <w:tcBorders>
              <w:top w:val="nil"/>
              <w:left w:val="nil"/>
              <w:bottom w:val="single" w:sz="4" w:space="0" w:color="auto"/>
              <w:right w:val="single" w:sz="4" w:space="0" w:color="auto"/>
            </w:tcBorders>
            <w:noWrap/>
            <w:vAlign w:val="center"/>
            <w:hideMark/>
          </w:tcPr>
          <w:p w14:paraId="3BB19A8D"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 xml:space="preserve">   6,8</w:t>
            </w:r>
          </w:p>
        </w:tc>
        <w:tc>
          <w:tcPr>
            <w:tcW w:w="465" w:type="pct"/>
            <w:tcBorders>
              <w:top w:val="nil"/>
              <w:left w:val="nil"/>
              <w:bottom w:val="single" w:sz="4" w:space="0" w:color="auto"/>
              <w:right w:val="single" w:sz="4" w:space="0" w:color="auto"/>
            </w:tcBorders>
            <w:noWrap/>
            <w:vAlign w:val="center"/>
            <w:hideMark/>
          </w:tcPr>
          <w:p w14:paraId="2782E8DE" w14:textId="77777777" w:rsidR="00412A18" w:rsidRPr="00BA4F8E" w:rsidRDefault="00412A18">
            <w:pPr>
              <w:spacing w:after="0" w:line="240" w:lineRule="auto"/>
              <w:rPr>
                <w:rFonts w:eastAsia="Times New Roman" w:cs="Times New Roman"/>
                <w:color w:val="000000"/>
                <w:lang w:eastAsia="cs-CZ"/>
              </w:rPr>
            </w:pPr>
            <w:r w:rsidRPr="00BA4F8E">
              <w:rPr>
                <w:rFonts w:eastAsia="Times New Roman" w:cs="Times New Roman"/>
                <w:color w:val="000000"/>
                <w:lang w:eastAsia="cs-CZ"/>
              </w:rPr>
              <w:t xml:space="preserve">    6,9</w:t>
            </w:r>
          </w:p>
        </w:tc>
      </w:tr>
    </w:tbl>
    <w:p w14:paraId="2B67BC1A" w14:textId="77777777" w:rsidR="00412A18" w:rsidRPr="00222E9F" w:rsidRDefault="00412A18" w:rsidP="00412A18">
      <w:pPr>
        <w:spacing w:before="120"/>
        <w:rPr>
          <w:i/>
          <w:sz w:val="18"/>
          <w:szCs w:val="18"/>
        </w:rPr>
      </w:pPr>
      <w:r w:rsidRPr="00222E9F">
        <w:rPr>
          <w:i/>
          <w:sz w:val="18"/>
          <w:szCs w:val="18"/>
        </w:rPr>
        <w:t>Zdroj: ČSÚ, Organizační statistika</w:t>
      </w:r>
    </w:p>
    <w:p w14:paraId="4CCBCD34" w14:textId="77777777" w:rsidR="004A29A4" w:rsidRDefault="004A29A4" w:rsidP="00F319FA">
      <w:pPr>
        <w:jc w:val="both"/>
        <w:rPr>
          <w:b/>
        </w:rPr>
      </w:pPr>
    </w:p>
    <w:p w14:paraId="418C1B2F" w14:textId="77777777" w:rsidR="004A29A4" w:rsidRDefault="004A29A4" w:rsidP="00F319FA">
      <w:pPr>
        <w:jc w:val="both"/>
        <w:rPr>
          <w:b/>
        </w:rPr>
      </w:pPr>
    </w:p>
    <w:p w14:paraId="00B4E2A8" w14:textId="01304541" w:rsidR="00EC2977" w:rsidRDefault="00EC2977" w:rsidP="00F319FA">
      <w:pPr>
        <w:jc w:val="both"/>
        <w:rPr>
          <w:b/>
        </w:rPr>
      </w:pPr>
      <w:r w:rsidRPr="00AC3E83">
        <w:rPr>
          <w:b/>
        </w:rPr>
        <w:t>V ČR poroste množství firem podnikajících v kulturních, kreativních a podobných odvětvích (např. vč.</w:t>
      </w:r>
      <w:r w:rsidR="00F319FA" w:rsidRPr="00AC3E83">
        <w:rPr>
          <w:b/>
        </w:rPr>
        <w:t> </w:t>
      </w:r>
      <w:r w:rsidRPr="00AC3E83">
        <w:rPr>
          <w:b/>
        </w:rPr>
        <w:t>průmyslového designu)</w:t>
      </w:r>
    </w:p>
    <w:p w14:paraId="4CD0AFD2" w14:textId="77777777" w:rsidR="00A84507" w:rsidRPr="00AC3E83" w:rsidRDefault="00A84507" w:rsidP="00F319FA">
      <w:pPr>
        <w:jc w:val="both"/>
        <w:rPr>
          <w:b/>
        </w:rPr>
      </w:pPr>
    </w:p>
    <w:p w14:paraId="3667EA40" w14:textId="09A4CF3E" w:rsidR="00EC2977" w:rsidRDefault="00167331" w:rsidP="00580DE3">
      <w:pPr>
        <w:pStyle w:val="Titulek"/>
      </w:pPr>
      <w:bookmarkStart w:id="235" w:name="_Toc524677681"/>
      <w:r>
        <w:rPr>
          <w:noProof/>
        </w:rPr>
        <w:drawing>
          <wp:anchor distT="0" distB="0" distL="114300" distR="114300" simplePos="0" relativeHeight="251689984" behindDoc="0" locked="0" layoutInCell="1" allowOverlap="1" wp14:anchorId="68A60803" wp14:editId="647B23F8">
            <wp:simplePos x="0" y="0"/>
            <wp:positionH relativeFrom="margin">
              <wp:align>center</wp:align>
            </wp:positionH>
            <wp:positionV relativeFrom="paragraph">
              <wp:posOffset>195135</wp:posOffset>
            </wp:positionV>
            <wp:extent cx="6805827" cy="4166559"/>
            <wp:effectExtent l="0" t="0" r="0" b="5715"/>
            <wp:wrapNone/>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8316" t="13783" r="20068" b="8267"/>
                    <a:stretch/>
                  </pic:blipFill>
                  <pic:spPr bwMode="auto">
                    <a:xfrm>
                      <a:off x="0" y="0"/>
                      <a:ext cx="6805827" cy="4166559"/>
                    </a:xfrm>
                    <a:prstGeom prst="rect">
                      <a:avLst/>
                    </a:prstGeom>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C2977"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21</w:t>
      </w:r>
      <w:r w:rsidR="00EE7C52">
        <w:rPr>
          <w:noProof/>
        </w:rPr>
        <w:fldChar w:fldCharType="end"/>
      </w:r>
      <w:r w:rsidR="00EC2977" w:rsidRPr="00BA4F8E">
        <w:t xml:space="preserve"> -  Účty kulturního a kreativního průmyslu v roce 2010</w:t>
      </w:r>
      <w:bookmarkEnd w:id="235"/>
    </w:p>
    <w:p w14:paraId="26866F8A" w14:textId="50DEAD22" w:rsidR="00402C7E" w:rsidRDefault="00402C7E" w:rsidP="00402C7E">
      <w:pPr>
        <w:rPr>
          <w:lang w:eastAsia="cs-CZ"/>
        </w:rPr>
      </w:pPr>
    </w:p>
    <w:p w14:paraId="0E71CC4A" w14:textId="165A11E6" w:rsidR="00402C7E" w:rsidRPr="00402C7E" w:rsidRDefault="00402C7E" w:rsidP="00402C7E">
      <w:pPr>
        <w:rPr>
          <w:lang w:eastAsia="cs-CZ"/>
        </w:rPr>
      </w:pPr>
    </w:p>
    <w:p w14:paraId="5528B4AA" w14:textId="51A6C710" w:rsidR="00EC2977" w:rsidRPr="00BA4F8E" w:rsidRDefault="00EC2977" w:rsidP="00EC2977">
      <w:pPr>
        <w:rPr>
          <w:lang w:eastAsia="cs-CZ"/>
        </w:rPr>
      </w:pPr>
    </w:p>
    <w:p w14:paraId="4B925AF7" w14:textId="77777777" w:rsidR="00EC2977" w:rsidRPr="00BA4F8E" w:rsidRDefault="00EC2977" w:rsidP="00412A18">
      <w:pPr>
        <w:spacing w:before="120"/>
        <w:rPr>
          <w:i/>
        </w:rPr>
      </w:pPr>
    </w:p>
    <w:p w14:paraId="48B88022" w14:textId="77777777" w:rsidR="00EC2977" w:rsidRPr="00BA4F8E" w:rsidRDefault="00EC2977" w:rsidP="00412A18">
      <w:pPr>
        <w:spacing w:before="120"/>
        <w:rPr>
          <w:i/>
        </w:rPr>
      </w:pPr>
    </w:p>
    <w:p w14:paraId="6918805A" w14:textId="77777777" w:rsidR="00EC2977" w:rsidRPr="00BA4F8E" w:rsidRDefault="00EC2977" w:rsidP="00412A18">
      <w:pPr>
        <w:spacing w:before="120"/>
        <w:rPr>
          <w:i/>
        </w:rPr>
      </w:pPr>
    </w:p>
    <w:p w14:paraId="6C00DB07" w14:textId="77777777" w:rsidR="00EC2977" w:rsidRPr="00BA4F8E" w:rsidRDefault="00EC2977" w:rsidP="00412A18">
      <w:pPr>
        <w:spacing w:before="120"/>
        <w:rPr>
          <w:i/>
        </w:rPr>
      </w:pPr>
    </w:p>
    <w:p w14:paraId="77DF8FAE" w14:textId="77777777" w:rsidR="00EC2977" w:rsidRPr="00BA4F8E" w:rsidRDefault="00EC2977" w:rsidP="00412A18">
      <w:pPr>
        <w:spacing w:before="120"/>
        <w:rPr>
          <w:i/>
        </w:rPr>
      </w:pPr>
    </w:p>
    <w:p w14:paraId="5697F507" w14:textId="77777777" w:rsidR="00EC2977" w:rsidRPr="00BA4F8E" w:rsidRDefault="00EC2977" w:rsidP="00412A18">
      <w:pPr>
        <w:spacing w:before="120"/>
        <w:rPr>
          <w:i/>
        </w:rPr>
      </w:pPr>
    </w:p>
    <w:p w14:paraId="1EA00043" w14:textId="77777777" w:rsidR="00EC2977" w:rsidRPr="00BA4F8E" w:rsidRDefault="00EC2977" w:rsidP="00412A18">
      <w:pPr>
        <w:spacing w:before="120"/>
        <w:rPr>
          <w:i/>
        </w:rPr>
      </w:pPr>
    </w:p>
    <w:p w14:paraId="7B36C155" w14:textId="77777777" w:rsidR="00EC2977" w:rsidRPr="00BA4F8E" w:rsidRDefault="00EC2977" w:rsidP="00412A18">
      <w:pPr>
        <w:spacing w:before="120"/>
        <w:rPr>
          <w:i/>
        </w:rPr>
      </w:pPr>
    </w:p>
    <w:p w14:paraId="7EA3E684" w14:textId="77777777" w:rsidR="00EC2977" w:rsidRPr="00BA4F8E" w:rsidRDefault="00EC2977" w:rsidP="00412A18">
      <w:pPr>
        <w:spacing w:before="120"/>
        <w:rPr>
          <w:i/>
        </w:rPr>
      </w:pPr>
    </w:p>
    <w:p w14:paraId="70CF53E8" w14:textId="77777777" w:rsidR="00EC2977" w:rsidRPr="00BA4F8E" w:rsidRDefault="00EC2977" w:rsidP="00412A18">
      <w:pPr>
        <w:spacing w:before="120"/>
        <w:rPr>
          <w:i/>
        </w:rPr>
      </w:pPr>
    </w:p>
    <w:p w14:paraId="0997E109" w14:textId="25108E1D" w:rsidR="004C6650" w:rsidRDefault="004C6650" w:rsidP="00EC2977">
      <w:pPr>
        <w:spacing w:after="0"/>
        <w:rPr>
          <w:i/>
        </w:rPr>
      </w:pPr>
    </w:p>
    <w:p w14:paraId="50FD597B" w14:textId="0A693347" w:rsidR="00EC2977" w:rsidRPr="00222E9F" w:rsidRDefault="00EC2977" w:rsidP="00EC2977">
      <w:pPr>
        <w:spacing w:after="0"/>
        <w:rPr>
          <w:rStyle w:val="Hypertextovodkaz"/>
          <w:sz w:val="18"/>
          <w:szCs w:val="18"/>
        </w:rPr>
      </w:pPr>
      <w:r w:rsidRPr="00222E9F">
        <w:rPr>
          <w:i/>
          <w:sz w:val="18"/>
          <w:szCs w:val="18"/>
        </w:rPr>
        <w:t xml:space="preserve">Zdroj: </w:t>
      </w:r>
      <w:r w:rsidR="004C6650" w:rsidRPr="00222E9F">
        <w:rPr>
          <w:i/>
          <w:sz w:val="18"/>
          <w:szCs w:val="18"/>
        </w:rPr>
        <w:t>ČSÚ</w:t>
      </w:r>
    </w:p>
    <w:p w14:paraId="2B7667AA" w14:textId="455E1790" w:rsidR="00F319FA" w:rsidRDefault="00F319FA">
      <w:pPr>
        <w:spacing w:after="200" w:line="276" w:lineRule="auto"/>
        <w:rPr>
          <w:i/>
        </w:rPr>
      </w:pPr>
      <w:r>
        <w:rPr>
          <w:i/>
        </w:rPr>
        <w:br w:type="page"/>
      </w:r>
    </w:p>
    <w:p w14:paraId="32E150FB" w14:textId="7500E6F8" w:rsidR="005641F9" w:rsidRDefault="005641F9" w:rsidP="00580DE3">
      <w:pPr>
        <w:pStyle w:val="Titulek"/>
      </w:pPr>
      <w:bookmarkStart w:id="236" w:name="_Toc524677682"/>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22</w:t>
      </w:r>
      <w:r w:rsidR="00EE7C52">
        <w:rPr>
          <w:noProof/>
        </w:rPr>
        <w:fldChar w:fldCharType="end"/>
      </w:r>
      <w:r w:rsidRPr="00BA4F8E">
        <w:t xml:space="preserve"> - Vybrané ukazatele v trojsektorovém členění kultury za rok 2016</w:t>
      </w:r>
      <w:bookmarkEnd w:id="236"/>
    </w:p>
    <w:p w14:paraId="09E29F69" w14:textId="0A38BDA1" w:rsidR="00402C7E" w:rsidRDefault="00167331" w:rsidP="00402C7E">
      <w:pPr>
        <w:rPr>
          <w:lang w:eastAsia="cs-CZ"/>
        </w:rPr>
      </w:pPr>
      <w:r>
        <w:rPr>
          <w:noProof/>
          <w:lang w:eastAsia="cs-CZ"/>
        </w:rPr>
        <w:drawing>
          <wp:anchor distT="0" distB="0" distL="114300" distR="114300" simplePos="0" relativeHeight="251692032" behindDoc="0" locked="0" layoutInCell="1" allowOverlap="1" wp14:anchorId="28A8207C" wp14:editId="7F6396E9">
            <wp:simplePos x="0" y="0"/>
            <wp:positionH relativeFrom="margin">
              <wp:align>center</wp:align>
            </wp:positionH>
            <wp:positionV relativeFrom="paragraph">
              <wp:posOffset>60960</wp:posOffset>
            </wp:positionV>
            <wp:extent cx="6788988" cy="4313207"/>
            <wp:effectExtent l="0" t="0" r="0" b="0"/>
            <wp:wrapNone/>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4431" t="12913" r="12290" b="4305"/>
                    <a:stretch/>
                  </pic:blipFill>
                  <pic:spPr bwMode="auto">
                    <a:xfrm>
                      <a:off x="0" y="0"/>
                      <a:ext cx="6788988" cy="431320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60A3265" w14:textId="11622376" w:rsidR="00402C7E" w:rsidRDefault="00402C7E" w:rsidP="00402C7E">
      <w:pPr>
        <w:rPr>
          <w:lang w:eastAsia="cs-CZ"/>
        </w:rPr>
      </w:pPr>
    </w:p>
    <w:p w14:paraId="603C2FD2" w14:textId="0F549C95" w:rsidR="00402C7E" w:rsidRDefault="00402C7E" w:rsidP="00402C7E">
      <w:pPr>
        <w:rPr>
          <w:lang w:eastAsia="cs-CZ"/>
        </w:rPr>
      </w:pPr>
    </w:p>
    <w:p w14:paraId="33C315F6" w14:textId="77777777" w:rsidR="00F319FA" w:rsidRDefault="00F319FA" w:rsidP="00402C7E">
      <w:pPr>
        <w:rPr>
          <w:lang w:eastAsia="cs-CZ"/>
        </w:rPr>
      </w:pPr>
    </w:p>
    <w:p w14:paraId="0D6C0924" w14:textId="77777777" w:rsidR="00F319FA" w:rsidRDefault="00F319FA" w:rsidP="00402C7E">
      <w:pPr>
        <w:rPr>
          <w:lang w:eastAsia="cs-CZ"/>
        </w:rPr>
      </w:pPr>
    </w:p>
    <w:p w14:paraId="04A7547E" w14:textId="77777777" w:rsidR="00F319FA" w:rsidRDefault="00F319FA" w:rsidP="00402C7E">
      <w:pPr>
        <w:rPr>
          <w:lang w:eastAsia="cs-CZ"/>
        </w:rPr>
      </w:pPr>
    </w:p>
    <w:p w14:paraId="226111E9" w14:textId="77777777" w:rsidR="00F319FA" w:rsidRDefault="00F319FA" w:rsidP="00402C7E">
      <w:pPr>
        <w:rPr>
          <w:lang w:eastAsia="cs-CZ"/>
        </w:rPr>
      </w:pPr>
    </w:p>
    <w:p w14:paraId="00F8CA9A" w14:textId="77777777" w:rsidR="00F319FA" w:rsidRDefault="00F319FA" w:rsidP="00402C7E">
      <w:pPr>
        <w:rPr>
          <w:lang w:eastAsia="cs-CZ"/>
        </w:rPr>
      </w:pPr>
    </w:p>
    <w:p w14:paraId="1F14801A" w14:textId="3928CF42" w:rsidR="00402C7E" w:rsidRDefault="00402C7E" w:rsidP="00402C7E">
      <w:pPr>
        <w:rPr>
          <w:lang w:eastAsia="cs-CZ"/>
        </w:rPr>
      </w:pPr>
    </w:p>
    <w:p w14:paraId="70831566" w14:textId="6D78B56A" w:rsidR="00402C7E" w:rsidRDefault="00402C7E" w:rsidP="00402C7E">
      <w:pPr>
        <w:rPr>
          <w:lang w:eastAsia="cs-CZ"/>
        </w:rPr>
      </w:pPr>
    </w:p>
    <w:p w14:paraId="6FD8DB4E" w14:textId="222AA147" w:rsidR="00402C7E" w:rsidRDefault="00402C7E" w:rsidP="00402C7E">
      <w:pPr>
        <w:rPr>
          <w:lang w:eastAsia="cs-CZ"/>
        </w:rPr>
      </w:pPr>
    </w:p>
    <w:p w14:paraId="6D62417C" w14:textId="44C3CC78" w:rsidR="00402C7E" w:rsidRDefault="00402C7E" w:rsidP="00402C7E">
      <w:pPr>
        <w:rPr>
          <w:lang w:eastAsia="cs-CZ"/>
        </w:rPr>
      </w:pPr>
    </w:p>
    <w:p w14:paraId="6D771F84" w14:textId="47F664FE" w:rsidR="00402C7E" w:rsidRPr="00402C7E" w:rsidRDefault="00402C7E" w:rsidP="00402C7E">
      <w:pPr>
        <w:rPr>
          <w:lang w:eastAsia="cs-CZ"/>
        </w:rPr>
      </w:pPr>
    </w:p>
    <w:p w14:paraId="7873BFF1" w14:textId="33B03346" w:rsidR="00EC2977" w:rsidRPr="00BA4F8E" w:rsidRDefault="00EC2977" w:rsidP="00412A18">
      <w:pPr>
        <w:spacing w:before="120"/>
        <w:rPr>
          <w:i/>
        </w:rPr>
      </w:pPr>
    </w:p>
    <w:p w14:paraId="54541133" w14:textId="77777777" w:rsidR="00AC3E83" w:rsidRDefault="00AC3E83" w:rsidP="005641F9">
      <w:pPr>
        <w:spacing w:after="0"/>
        <w:rPr>
          <w:i/>
        </w:rPr>
      </w:pPr>
    </w:p>
    <w:p w14:paraId="058B4806" w14:textId="77777777" w:rsidR="005641F9" w:rsidRPr="00222E9F" w:rsidRDefault="005641F9" w:rsidP="005641F9">
      <w:pPr>
        <w:spacing w:after="0"/>
        <w:rPr>
          <w:i/>
          <w:sz w:val="18"/>
          <w:szCs w:val="18"/>
        </w:rPr>
      </w:pPr>
      <w:r w:rsidRPr="00222E9F">
        <w:rPr>
          <w:i/>
          <w:sz w:val="18"/>
          <w:szCs w:val="18"/>
        </w:rPr>
        <w:t>Zdroj: ČSÚ</w:t>
      </w:r>
    </w:p>
    <w:p w14:paraId="77B04CA6" w14:textId="77777777" w:rsidR="00783DB6" w:rsidRDefault="00783DB6" w:rsidP="005641F9">
      <w:pPr>
        <w:spacing w:after="0"/>
        <w:rPr>
          <w:i/>
        </w:rPr>
      </w:pPr>
    </w:p>
    <w:p w14:paraId="3824BAE1" w14:textId="77777777" w:rsidR="00AC3E83" w:rsidRDefault="00AC3E83" w:rsidP="005641F9">
      <w:pPr>
        <w:spacing w:after="0"/>
        <w:rPr>
          <w:i/>
        </w:rPr>
      </w:pPr>
    </w:p>
    <w:p w14:paraId="4A1CA9B9" w14:textId="77777777" w:rsidR="00281DC2" w:rsidRDefault="00281DC2" w:rsidP="005641F9">
      <w:pPr>
        <w:spacing w:after="0"/>
        <w:rPr>
          <w:i/>
        </w:rPr>
      </w:pPr>
    </w:p>
    <w:p w14:paraId="5CC9D1A5" w14:textId="77777777" w:rsidR="005E4EE9" w:rsidRPr="00AC3E83" w:rsidRDefault="005E4EE9" w:rsidP="005E4EE9">
      <w:pPr>
        <w:spacing w:after="0" w:line="240" w:lineRule="auto"/>
        <w:rPr>
          <w:b/>
        </w:rPr>
      </w:pPr>
      <w:r w:rsidRPr="00AC3E83">
        <w:rPr>
          <w:b/>
        </w:rPr>
        <w:t>ČR bude zemí s rostoucím trendem technologické platební bilance – zahraničního obchodu s vyspělými technologickými službami</w:t>
      </w:r>
    </w:p>
    <w:p w14:paraId="1A0EC776" w14:textId="77777777" w:rsidR="005E4EE9" w:rsidRDefault="005E4EE9" w:rsidP="00580DE3">
      <w:pPr>
        <w:pStyle w:val="Titulek"/>
      </w:pPr>
    </w:p>
    <w:p w14:paraId="173652AF" w14:textId="77777777" w:rsidR="005E4EE9" w:rsidRDefault="005E4EE9" w:rsidP="00580DE3">
      <w:pPr>
        <w:pStyle w:val="Titulek"/>
      </w:pPr>
      <w:bookmarkStart w:id="237" w:name="_Toc524677683"/>
      <w:r>
        <w:t xml:space="preserve">Tabulka </w:t>
      </w:r>
      <w:r w:rsidR="00BE65D6">
        <w:rPr>
          <w:noProof/>
        </w:rPr>
        <w:fldChar w:fldCharType="begin"/>
      </w:r>
      <w:r w:rsidR="00BE65D6">
        <w:rPr>
          <w:noProof/>
        </w:rPr>
        <w:instrText xml:space="preserve"> SEQ Tabulka \* ARABIC </w:instrText>
      </w:r>
      <w:r w:rsidR="00BE65D6">
        <w:rPr>
          <w:noProof/>
        </w:rPr>
        <w:fldChar w:fldCharType="separate"/>
      </w:r>
      <w:r w:rsidR="00DE40D4">
        <w:rPr>
          <w:noProof/>
        </w:rPr>
        <w:t>23</w:t>
      </w:r>
      <w:r w:rsidR="00BE65D6">
        <w:rPr>
          <w:noProof/>
        </w:rPr>
        <w:fldChar w:fldCharType="end"/>
      </w:r>
      <w:r>
        <w:t xml:space="preserve"> - Technologická platební bilance, služby (mil. Kč), 2012 a 2017</w:t>
      </w:r>
      <w:bookmarkEnd w:id="237"/>
      <w:r>
        <w:t xml:space="preserve"> </w:t>
      </w:r>
    </w:p>
    <w:tbl>
      <w:tblPr>
        <w:tblW w:w="5000" w:type="pct"/>
        <w:jc w:val="center"/>
        <w:tblCellMar>
          <w:left w:w="70" w:type="dxa"/>
          <w:right w:w="70" w:type="dxa"/>
        </w:tblCellMar>
        <w:tblLook w:val="04A0" w:firstRow="1" w:lastRow="0" w:firstColumn="1" w:lastColumn="0" w:noHBand="0" w:noVBand="1"/>
      </w:tblPr>
      <w:tblGrid>
        <w:gridCol w:w="2911"/>
        <w:gridCol w:w="1028"/>
        <w:gridCol w:w="1207"/>
        <w:gridCol w:w="1118"/>
        <w:gridCol w:w="1118"/>
        <w:gridCol w:w="1062"/>
        <w:gridCol w:w="1174"/>
      </w:tblGrid>
      <w:tr w:rsidR="005E4EE9" w14:paraId="521B117E" w14:textId="77777777" w:rsidTr="00167331">
        <w:trPr>
          <w:trHeight w:val="20"/>
          <w:jc w:val="center"/>
        </w:trPr>
        <w:tc>
          <w:tcPr>
            <w:tcW w:w="2500" w:type="dxa"/>
            <w:vMerge w:val="restart"/>
            <w:tcBorders>
              <w:top w:val="single" w:sz="8" w:space="0" w:color="auto"/>
              <w:left w:val="single" w:sz="8" w:space="0" w:color="auto"/>
              <w:bottom w:val="single" w:sz="8" w:space="0" w:color="000000"/>
              <w:right w:val="single" w:sz="8" w:space="0" w:color="auto"/>
            </w:tcBorders>
            <w:shd w:val="clear" w:color="auto" w:fill="004B8D"/>
            <w:noWrap/>
            <w:vAlign w:val="bottom"/>
            <w:hideMark/>
          </w:tcPr>
          <w:p w14:paraId="42404A04" w14:textId="77777777" w:rsidR="005E4EE9" w:rsidRPr="00324509" w:rsidRDefault="005E4EE9">
            <w:pPr>
              <w:spacing w:after="0" w:line="240" w:lineRule="auto"/>
              <w:rPr>
                <w:rFonts w:ascii="Calibri" w:eastAsia="Times New Roman" w:hAnsi="Calibri" w:cs="Times New Roman"/>
                <w:color w:val="FFFFFF" w:themeColor="background1"/>
                <w:lang w:eastAsia="cs-CZ"/>
              </w:rPr>
            </w:pPr>
            <w:r w:rsidRPr="00324509">
              <w:rPr>
                <w:rFonts w:ascii="Calibri" w:eastAsia="Times New Roman" w:hAnsi="Calibri" w:cs="Times New Roman"/>
                <w:color w:val="FFFFFF" w:themeColor="background1"/>
                <w:lang w:eastAsia="cs-CZ"/>
              </w:rPr>
              <w:t> </w:t>
            </w:r>
          </w:p>
        </w:tc>
        <w:tc>
          <w:tcPr>
            <w:tcW w:w="1920" w:type="dxa"/>
            <w:gridSpan w:val="2"/>
            <w:tcBorders>
              <w:top w:val="single" w:sz="8" w:space="0" w:color="auto"/>
              <w:left w:val="nil"/>
              <w:bottom w:val="single" w:sz="8" w:space="0" w:color="auto"/>
              <w:right w:val="single" w:sz="8" w:space="0" w:color="000000"/>
            </w:tcBorders>
            <w:shd w:val="clear" w:color="auto" w:fill="004B8D"/>
            <w:noWrap/>
            <w:vAlign w:val="center"/>
            <w:hideMark/>
          </w:tcPr>
          <w:p w14:paraId="376450A6" w14:textId="77777777" w:rsidR="005E4EE9" w:rsidRPr="00324509" w:rsidRDefault="005E4EE9">
            <w:pPr>
              <w:spacing w:after="0" w:line="240" w:lineRule="auto"/>
              <w:rPr>
                <w:rFonts w:ascii="Calibri" w:eastAsia="Times New Roman" w:hAnsi="Calibri" w:cs="Times New Roman"/>
                <w:b/>
                <w:bCs/>
                <w:color w:val="FFFFFF" w:themeColor="background1"/>
                <w:lang w:eastAsia="cs-CZ"/>
              </w:rPr>
            </w:pPr>
            <w:r w:rsidRPr="00324509">
              <w:rPr>
                <w:rFonts w:ascii="Calibri" w:eastAsia="Times New Roman" w:hAnsi="Calibri" w:cs="Times New Roman"/>
                <w:b/>
                <w:bCs/>
                <w:color w:val="FFFFFF" w:themeColor="background1"/>
                <w:lang w:eastAsia="cs-CZ"/>
              </w:rPr>
              <w:t>Vývoz</w:t>
            </w:r>
          </w:p>
        </w:tc>
        <w:tc>
          <w:tcPr>
            <w:tcW w:w="1920" w:type="dxa"/>
            <w:gridSpan w:val="2"/>
            <w:tcBorders>
              <w:top w:val="single" w:sz="8" w:space="0" w:color="auto"/>
              <w:left w:val="nil"/>
              <w:bottom w:val="single" w:sz="8" w:space="0" w:color="auto"/>
              <w:right w:val="single" w:sz="8" w:space="0" w:color="000000"/>
            </w:tcBorders>
            <w:shd w:val="clear" w:color="auto" w:fill="004B8D"/>
            <w:noWrap/>
            <w:vAlign w:val="center"/>
            <w:hideMark/>
          </w:tcPr>
          <w:p w14:paraId="1E76B7F0" w14:textId="77777777" w:rsidR="005E4EE9" w:rsidRPr="00324509" w:rsidRDefault="005E4EE9">
            <w:pPr>
              <w:spacing w:after="0" w:line="240" w:lineRule="auto"/>
              <w:rPr>
                <w:rFonts w:ascii="Calibri" w:eastAsia="Times New Roman" w:hAnsi="Calibri" w:cs="Times New Roman"/>
                <w:b/>
                <w:bCs/>
                <w:color w:val="FFFFFF" w:themeColor="background1"/>
                <w:lang w:eastAsia="cs-CZ"/>
              </w:rPr>
            </w:pPr>
            <w:r w:rsidRPr="00324509">
              <w:rPr>
                <w:rFonts w:ascii="Calibri" w:eastAsia="Times New Roman" w:hAnsi="Calibri" w:cs="Times New Roman"/>
                <w:b/>
                <w:bCs/>
                <w:color w:val="FFFFFF" w:themeColor="background1"/>
                <w:lang w:eastAsia="cs-CZ"/>
              </w:rPr>
              <w:t>Dovoz</w:t>
            </w:r>
          </w:p>
        </w:tc>
        <w:tc>
          <w:tcPr>
            <w:tcW w:w="1920" w:type="dxa"/>
            <w:gridSpan w:val="2"/>
            <w:tcBorders>
              <w:top w:val="single" w:sz="8" w:space="0" w:color="auto"/>
              <w:left w:val="nil"/>
              <w:bottom w:val="single" w:sz="8" w:space="0" w:color="auto"/>
              <w:right w:val="single" w:sz="8" w:space="0" w:color="000000"/>
            </w:tcBorders>
            <w:shd w:val="clear" w:color="auto" w:fill="004B8D"/>
            <w:noWrap/>
            <w:vAlign w:val="center"/>
            <w:hideMark/>
          </w:tcPr>
          <w:p w14:paraId="4B7B3E8A" w14:textId="77777777" w:rsidR="005E4EE9" w:rsidRPr="00324509" w:rsidRDefault="005E4EE9">
            <w:pPr>
              <w:spacing w:after="0" w:line="240" w:lineRule="auto"/>
              <w:rPr>
                <w:rFonts w:ascii="Calibri" w:eastAsia="Times New Roman" w:hAnsi="Calibri" w:cs="Times New Roman"/>
                <w:b/>
                <w:bCs/>
                <w:color w:val="FFFFFF" w:themeColor="background1"/>
                <w:lang w:eastAsia="cs-CZ"/>
              </w:rPr>
            </w:pPr>
            <w:r w:rsidRPr="00324509">
              <w:rPr>
                <w:rFonts w:ascii="Calibri" w:eastAsia="Times New Roman" w:hAnsi="Calibri" w:cs="Times New Roman"/>
                <w:b/>
                <w:bCs/>
                <w:color w:val="FFFFFF" w:themeColor="background1"/>
                <w:lang w:eastAsia="cs-CZ"/>
              </w:rPr>
              <w:t>Bilance</w:t>
            </w:r>
          </w:p>
        </w:tc>
      </w:tr>
      <w:tr w:rsidR="005E4EE9" w14:paraId="6077D698" w14:textId="77777777" w:rsidTr="00167331">
        <w:trPr>
          <w:trHeight w:val="20"/>
          <w:jc w:val="center"/>
        </w:trPr>
        <w:tc>
          <w:tcPr>
            <w:tcW w:w="0" w:type="auto"/>
            <w:vMerge/>
            <w:tcBorders>
              <w:top w:val="single" w:sz="8" w:space="0" w:color="auto"/>
              <w:left w:val="single" w:sz="8" w:space="0" w:color="auto"/>
              <w:bottom w:val="single" w:sz="8" w:space="0" w:color="000000"/>
              <w:right w:val="single" w:sz="8" w:space="0" w:color="auto"/>
            </w:tcBorders>
            <w:shd w:val="clear" w:color="auto" w:fill="004B8D"/>
            <w:vAlign w:val="center"/>
            <w:hideMark/>
          </w:tcPr>
          <w:p w14:paraId="737AF50C" w14:textId="77777777" w:rsidR="005E4EE9" w:rsidRPr="00324509" w:rsidRDefault="005E4EE9">
            <w:pPr>
              <w:spacing w:after="0"/>
              <w:rPr>
                <w:rFonts w:ascii="Calibri" w:eastAsia="Times New Roman" w:hAnsi="Calibri" w:cs="Times New Roman"/>
                <w:color w:val="FFFFFF" w:themeColor="background1"/>
                <w:lang w:eastAsia="cs-CZ"/>
              </w:rPr>
            </w:pPr>
          </w:p>
        </w:tc>
        <w:tc>
          <w:tcPr>
            <w:tcW w:w="883" w:type="dxa"/>
            <w:tcBorders>
              <w:top w:val="nil"/>
              <w:left w:val="nil"/>
              <w:bottom w:val="single" w:sz="8" w:space="0" w:color="auto"/>
              <w:right w:val="single" w:sz="8" w:space="0" w:color="auto"/>
            </w:tcBorders>
            <w:shd w:val="clear" w:color="auto" w:fill="004B8D"/>
            <w:noWrap/>
            <w:vAlign w:val="center"/>
            <w:hideMark/>
          </w:tcPr>
          <w:p w14:paraId="4F17CB3D" w14:textId="77777777" w:rsidR="005E4EE9" w:rsidRPr="00324509" w:rsidRDefault="005E4EE9">
            <w:pPr>
              <w:spacing w:after="0" w:line="240" w:lineRule="auto"/>
              <w:rPr>
                <w:rFonts w:ascii="Calibri" w:eastAsia="Times New Roman" w:hAnsi="Calibri" w:cs="Times New Roman"/>
                <w:b/>
                <w:bCs/>
                <w:color w:val="FFFFFF" w:themeColor="background1"/>
                <w:lang w:eastAsia="cs-CZ"/>
              </w:rPr>
            </w:pPr>
            <w:r w:rsidRPr="00324509">
              <w:rPr>
                <w:rFonts w:ascii="Calibri" w:eastAsia="Times New Roman" w:hAnsi="Calibri" w:cs="Times New Roman"/>
                <w:b/>
                <w:bCs/>
                <w:color w:val="FFFFFF" w:themeColor="background1"/>
                <w:lang w:eastAsia="cs-CZ"/>
              </w:rPr>
              <w:t>2012</w:t>
            </w:r>
          </w:p>
        </w:tc>
        <w:tc>
          <w:tcPr>
            <w:tcW w:w="1037" w:type="dxa"/>
            <w:tcBorders>
              <w:top w:val="nil"/>
              <w:left w:val="nil"/>
              <w:bottom w:val="single" w:sz="8" w:space="0" w:color="auto"/>
              <w:right w:val="single" w:sz="8" w:space="0" w:color="auto"/>
            </w:tcBorders>
            <w:shd w:val="clear" w:color="auto" w:fill="004B8D"/>
            <w:noWrap/>
            <w:vAlign w:val="center"/>
            <w:hideMark/>
          </w:tcPr>
          <w:p w14:paraId="5EDCC2FE" w14:textId="77777777" w:rsidR="005E4EE9" w:rsidRPr="00324509" w:rsidRDefault="005E4EE9">
            <w:pPr>
              <w:spacing w:after="0" w:line="240" w:lineRule="auto"/>
              <w:rPr>
                <w:rFonts w:ascii="Calibri" w:eastAsia="Times New Roman" w:hAnsi="Calibri" w:cs="Times New Roman"/>
                <w:b/>
                <w:bCs/>
                <w:color w:val="FFFFFF" w:themeColor="background1"/>
                <w:lang w:eastAsia="cs-CZ"/>
              </w:rPr>
            </w:pPr>
            <w:r w:rsidRPr="00324509">
              <w:rPr>
                <w:rFonts w:ascii="Calibri" w:eastAsia="Times New Roman" w:hAnsi="Calibri" w:cs="Times New Roman"/>
                <w:b/>
                <w:bCs/>
                <w:color w:val="FFFFFF" w:themeColor="background1"/>
                <w:lang w:eastAsia="cs-CZ"/>
              </w:rPr>
              <w:t>2017*</w:t>
            </w:r>
          </w:p>
        </w:tc>
        <w:tc>
          <w:tcPr>
            <w:tcW w:w="960" w:type="dxa"/>
            <w:tcBorders>
              <w:top w:val="nil"/>
              <w:left w:val="nil"/>
              <w:bottom w:val="single" w:sz="8" w:space="0" w:color="auto"/>
              <w:right w:val="single" w:sz="8" w:space="0" w:color="auto"/>
            </w:tcBorders>
            <w:shd w:val="clear" w:color="auto" w:fill="004B8D"/>
            <w:noWrap/>
            <w:vAlign w:val="center"/>
            <w:hideMark/>
          </w:tcPr>
          <w:p w14:paraId="56317053" w14:textId="77777777" w:rsidR="005E4EE9" w:rsidRPr="00324509" w:rsidRDefault="005E4EE9">
            <w:pPr>
              <w:spacing w:after="0" w:line="240" w:lineRule="auto"/>
              <w:rPr>
                <w:rFonts w:ascii="Calibri" w:eastAsia="Times New Roman" w:hAnsi="Calibri" w:cs="Times New Roman"/>
                <w:b/>
                <w:bCs/>
                <w:color w:val="FFFFFF" w:themeColor="background1"/>
                <w:lang w:eastAsia="cs-CZ"/>
              </w:rPr>
            </w:pPr>
            <w:r w:rsidRPr="00324509">
              <w:rPr>
                <w:rFonts w:ascii="Calibri" w:eastAsia="Times New Roman" w:hAnsi="Calibri" w:cs="Times New Roman"/>
                <w:b/>
                <w:bCs/>
                <w:color w:val="FFFFFF" w:themeColor="background1"/>
                <w:lang w:eastAsia="cs-CZ"/>
              </w:rPr>
              <w:t>2012</w:t>
            </w:r>
          </w:p>
        </w:tc>
        <w:tc>
          <w:tcPr>
            <w:tcW w:w="960" w:type="dxa"/>
            <w:tcBorders>
              <w:top w:val="nil"/>
              <w:left w:val="nil"/>
              <w:bottom w:val="single" w:sz="8" w:space="0" w:color="auto"/>
              <w:right w:val="single" w:sz="8" w:space="0" w:color="auto"/>
            </w:tcBorders>
            <w:shd w:val="clear" w:color="auto" w:fill="004B8D"/>
            <w:noWrap/>
            <w:vAlign w:val="center"/>
            <w:hideMark/>
          </w:tcPr>
          <w:p w14:paraId="41AF0921" w14:textId="77777777" w:rsidR="005E4EE9" w:rsidRPr="00324509" w:rsidRDefault="005E4EE9">
            <w:pPr>
              <w:spacing w:after="0" w:line="240" w:lineRule="auto"/>
              <w:rPr>
                <w:rFonts w:ascii="Calibri" w:eastAsia="Times New Roman" w:hAnsi="Calibri" w:cs="Times New Roman"/>
                <w:b/>
                <w:bCs/>
                <w:color w:val="FFFFFF" w:themeColor="background1"/>
                <w:lang w:eastAsia="cs-CZ"/>
              </w:rPr>
            </w:pPr>
            <w:r w:rsidRPr="00324509">
              <w:rPr>
                <w:rFonts w:ascii="Calibri" w:eastAsia="Times New Roman" w:hAnsi="Calibri" w:cs="Times New Roman"/>
                <w:b/>
                <w:bCs/>
                <w:color w:val="FFFFFF" w:themeColor="background1"/>
                <w:lang w:eastAsia="cs-CZ"/>
              </w:rPr>
              <w:t>2017*</w:t>
            </w:r>
          </w:p>
        </w:tc>
        <w:tc>
          <w:tcPr>
            <w:tcW w:w="912" w:type="dxa"/>
            <w:tcBorders>
              <w:top w:val="nil"/>
              <w:left w:val="nil"/>
              <w:bottom w:val="single" w:sz="8" w:space="0" w:color="auto"/>
              <w:right w:val="single" w:sz="8" w:space="0" w:color="auto"/>
            </w:tcBorders>
            <w:shd w:val="clear" w:color="auto" w:fill="004B8D"/>
            <w:noWrap/>
            <w:vAlign w:val="center"/>
            <w:hideMark/>
          </w:tcPr>
          <w:p w14:paraId="72FDFCD2" w14:textId="77777777" w:rsidR="005E4EE9" w:rsidRPr="00324509" w:rsidRDefault="005E4EE9">
            <w:pPr>
              <w:spacing w:after="0" w:line="240" w:lineRule="auto"/>
              <w:rPr>
                <w:rFonts w:ascii="Calibri" w:eastAsia="Times New Roman" w:hAnsi="Calibri" w:cs="Times New Roman"/>
                <w:b/>
                <w:bCs/>
                <w:color w:val="FFFFFF" w:themeColor="background1"/>
                <w:lang w:eastAsia="cs-CZ"/>
              </w:rPr>
            </w:pPr>
            <w:r w:rsidRPr="00324509">
              <w:rPr>
                <w:rFonts w:ascii="Calibri" w:eastAsia="Times New Roman" w:hAnsi="Calibri" w:cs="Times New Roman"/>
                <w:b/>
                <w:bCs/>
                <w:color w:val="FFFFFF" w:themeColor="background1"/>
                <w:lang w:eastAsia="cs-CZ"/>
              </w:rPr>
              <w:t>2012</w:t>
            </w:r>
          </w:p>
        </w:tc>
        <w:tc>
          <w:tcPr>
            <w:tcW w:w="1008" w:type="dxa"/>
            <w:tcBorders>
              <w:top w:val="nil"/>
              <w:left w:val="nil"/>
              <w:bottom w:val="single" w:sz="8" w:space="0" w:color="auto"/>
              <w:right w:val="single" w:sz="8" w:space="0" w:color="auto"/>
            </w:tcBorders>
            <w:shd w:val="clear" w:color="auto" w:fill="004B8D"/>
            <w:noWrap/>
            <w:vAlign w:val="center"/>
            <w:hideMark/>
          </w:tcPr>
          <w:p w14:paraId="14D8E938" w14:textId="77777777" w:rsidR="005E4EE9" w:rsidRPr="00324509" w:rsidRDefault="005E4EE9">
            <w:pPr>
              <w:spacing w:after="0" w:line="240" w:lineRule="auto"/>
              <w:rPr>
                <w:rFonts w:ascii="Calibri" w:eastAsia="Times New Roman" w:hAnsi="Calibri" w:cs="Times New Roman"/>
                <w:b/>
                <w:bCs/>
                <w:color w:val="FFFFFF" w:themeColor="background1"/>
                <w:lang w:eastAsia="cs-CZ"/>
              </w:rPr>
            </w:pPr>
            <w:r w:rsidRPr="00324509">
              <w:rPr>
                <w:rFonts w:ascii="Calibri" w:eastAsia="Times New Roman" w:hAnsi="Calibri" w:cs="Times New Roman"/>
                <w:b/>
                <w:bCs/>
                <w:color w:val="FFFFFF" w:themeColor="background1"/>
                <w:lang w:eastAsia="cs-CZ"/>
              </w:rPr>
              <w:t>2017*</w:t>
            </w:r>
          </w:p>
        </w:tc>
      </w:tr>
      <w:tr w:rsidR="005E4EE9" w14:paraId="38EC8199" w14:textId="77777777" w:rsidTr="00167331">
        <w:trPr>
          <w:trHeight w:val="20"/>
          <w:jc w:val="center"/>
        </w:trPr>
        <w:tc>
          <w:tcPr>
            <w:tcW w:w="2500" w:type="dxa"/>
            <w:tcBorders>
              <w:top w:val="nil"/>
              <w:left w:val="single" w:sz="8" w:space="0" w:color="auto"/>
              <w:bottom w:val="single" w:sz="8" w:space="0" w:color="auto"/>
              <w:right w:val="single" w:sz="8" w:space="0" w:color="auto"/>
            </w:tcBorders>
            <w:noWrap/>
            <w:vAlign w:val="center"/>
            <w:hideMark/>
          </w:tcPr>
          <w:p w14:paraId="70706978" w14:textId="77777777" w:rsidR="005E4EE9" w:rsidRPr="00324509" w:rsidRDefault="005E4EE9">
            <w:pPr>
              <w:spacing w:after="0" w:line="240" w:lineRule="auto"/>
              <w:rPr>
                <w:rFonts w:ascii="Calibri" w:eastAsia="Times New Roman" w:hAnsi="Calibri" w:cs="Times New Roman"/>
                <w:b/>
                <w:bCs/>
                <w:color w:val="000000"/>
                <w:lang w:eastAsia="cs-CZ"/>
              </w:rPr>
            </w:pPr>
            <w:r w:rsidRPr="00324509">
              <w:rPr>
                <w:rFonts w:ascii="Calibri" w:eastAsia="Times New Roman" w:hAnsi="Calibri" w:cs="Times New Roman"/>
                <w:b/>
                <w:bCs/>
                <w:color w:val="000000"/>
                <w:lang w:eastAsia="cs-CZ"/>
              </w:rPr>
              <w:t>Celkem</w:t>
            </w:r>
          </w:p>
        </w:tc>
        <w:tc>
          <w:tcPr>
            <w:tcW w:w="883" w:type="dxa"/>
            <w:tcBorders>
              <w:top w:val="nil"/>
              <w:left w:val="nil"/>
              <w:bottom w:val="single" w:sz="8" w:space="0" w:color="auto"/>
              <w:right w:val="single" w:sz="8" w:space="0" w:color="auto"/>
            </w:tcBorders>
            <w:noWrap/>
            <w:vAlign w:val="center"/>
            <w:hideMark/>
          </w:tcPr>
          <w:p w14:paraId="238B2226" w14:textId="77777777" w:rsidR="005E4EE9" w:rsidRPr="00324509" w:rsidRDefault="005E4EE9">
            <w:pPr>
              <w:spacing w:after="0" w:line="240" w:lineRule="auto"/>
              <w:rPr>
                <w:rFonts w:ascii="Calibri" w:eastAsia="Times New Roman" w:hAnsi="Calibri" w:cs="Times New Roman"/>
                <w:b/>
                <w:bCs/>
                <w:color w:val="000000"/>
                <w:lang w:eastAsia="cs-CZ"/>
              </w:rPr>
            </w:pPr>
            <w:r w:rsidRPr="00324509">
              <w:rPr>
                <w:rFonts w:ascii="Calibri" w:eastAsia="Times New Roman" w:hAnsi="Calibri" w:cs="Times New Roman"/>
                <w:b/>
                <w:bCs/>
                <w:color w:val="000000"/>
                <w:lang w:eastAsia="cs-CZ"/>
              </w:rPr>
              <w:t>66 784</w:t>
            </w:r>
          </w:p>
        </w:tc>
        <w:tc>
          <w:tcPr>
            <w:tcW w:w="1037" w:type="dxa"/>
            <w:tcBorders>
              <w:top w:val="nil"/>
              <w:left w:val="nil"/>
              <w:bottom w:val="single" w:sz="8" w:space="0" w:color="auto"/>
              <w:right w:val="single" w:sz="8" w:space="0" w:color="auto"/>
            </w:tcBorders>
            <w:noWrap/>
            <w:vAlign w:val="center"/>
            <w:hideMark/>
          </w:tcPr>
          <w:p w14:paraId="2BA9C188" w14:textId="77777777" w:rsidR="005E4EE9" w:rsidRPr="00324509" w:rsidRDefault="005E4EE9">
            <w:pPr>
              <w:spacing w:after="0" w:line="240" w:lineRule="auto"/>
              <w:rPr>
                <w:rFonts w:ascii="Calibri" w:eastAsia="Times New Roman" w:hAnsi="Calibri" w:cs="Times New Roman"/>
                <w:b/>
                <w:bCs/>
                <w:color w:val="000000"/>
                <w:lang w:eastAsia="cs-CZ"/>
              </w:rPr>
            </w:pPr>
            <w:r w:rsidRPr="00324509">
              <w:rPr>
                <w:rFonts w:ascii="Calibri" w:eastAsia="Times New Roman" w:hAnsi="Calibri" w:cs="Times New Roman"/>
                <w:b/>
                <w:bCs/>
                <w:color w:val="000000"/>
                <w:lang w:eastAsia="cs-CZ"/>
              </w:rPr>
              <w:t>102 202</w:t>
            </w:r>
          </w:p>
        </w:tc>
        <w:tc>
          <w:tcPr>
            <w:tcW w:w="960" w:type="dxa"/>
            <w:tcBorders>
              <w:top w:val="nil"/>
              <w:left w:val="nil"/>
              <w:bottom w:val="single" w:sz="8" w:space="0" w:color="auto"/>
              <w:right w:val="single" w:sz="8" w:space="0" w:color="auto"/>
            </w:tcBorders>
            <w:noWrap/>
            <w:vAlign w:val="center"/>
            <w:hideMark/>
          </w:tcPr>
          <w:p w14:paraId="2A723AF3" w14:textId="77777777" w:rsidR="005E4EE9" w:rsidRPr="00324509" w:rsidRDefault="005E4EE9">
            <w:pPr>
              <w:spacing w:after="0" w:line="240" w:lineRule="auto"/>
              <w:rPr>
                <w:rFonts w:ascii="Calibri" w:eastAsia="Times New Roman" w:hAnsi="Calibri" w:cs="Times New Roman"/>
                <w:b/>
                <w:bCs/>
                <w:color w:val="000000"/>
                <w:lang w:eastAsia="cs-CZ"/>
              </w:rPr>
            </w:pPr>
            <w:r w:rsidRPr="00324509">
              <w:rPr>
                <w:rFonts w:ascii="Calibri" w:eastAsia="Times New Roman" w:hAnsi="Calibri" w:cs="Times New Roman"/>
                <w:b/>
                <w:bCs/>
                <w:color w:val="000000"/>
                <w:lang w:eastAsia="cs-CZ"/>
              </w:rPr>
              <w:t>65 445</w:t>
            </w:r>
          </w:p>
        </w:tc>
        <w:tc>
          <w:tcPr>
            <w:tcW w:w="960" w:type="dxa"/>
            <w:tcBorders>
              <w:top w:val="nil"/>
              <w:left w:val="nil"/>
              <w:bottom w:val="single" w:sz="8" w:space="0" w:color="auto"/>
              <w:right w:val="single" w:sz="8" w:space="0" w:color="auto"/>
            </w:tcBorders>
            <w:noWrap/>
            <w:vAlign w:val="center"/>
            <w:hideMark/>
          </w:tcPr>
          <w:p w14:paraId="7B4C4D1F" w14:textId="77777777" w:rsidR="005E4EE9" w:rsidRPr="00324509" w:rsidRDefault="005E4EE9">
            <w:pPr>
              <w:spacing w:after="0" w:line="240" w:lineRule="auto"/>
              <w:rPr>
                <w:rFonts w:ascii="Calibri" w:eastAsia="Times New Roman" w:hAnsi="Calibri" w:cs="Times New Roman"/>
                <w:b/>
                <w:bCs/>
                <w:color w:val="000000"/>
                <w:lang w:eastAsia="cs-CZ"/>
              </w:rPr>
            </w:pPr>
            <w:r w:rsidRPr="00324509">
              <w:rPr>
                <w:rFonts w:ascii="Calibri" w:eastAsia="Times New Roman" w:hAnsi="Calibri" w:cs="Times New Roman"/>
                <w:b/>
                <w:bCs/>
                <w:color w:val="000000"/>
                <w:lang w:eastAsia="cs-CZ"/>
              </w:rPr>
              <w:t>74 210</w:t>
            </w:r>
          </w:p>
        </w:tc>
        <w:tc>
          <w:tcPr>
            <w:tcW w:w="912" w:type="dxa"/>
            <w:tcBorders>
              <w:top w:val="nil"/>
              <w:left w:val="nil"/>
              <w:bottom w:val="single" w:sz="8" w:space="0" w:color="auto"/>
              <w:right w:val="single" w:sz="8" w:space="0" w:color="auto"/>
            </w:tcBorders>
            <w:noWrap/>
            <w:vAlign w:val="center"/>
            <w:hideMark/>
          </w:tcPr>
          <w:p w14:paraId="39379E17" w14:textId="77777777" w:rsidR="005E4EE9" w:rsidRPr="00324509" w:rsidRDefault="005E4EE9">
            <w:pPr>
              <w:spacing w:after="0" w:line="240" w:lineRule="auto"/>
              <w:rPr>
                <w:rFonts w:ascii="Calibri" w:eastAsia="Times New Roman" w:hAnsi="Calibri" w:cs="Times New Roman"/>
                <w:b/>
                <w:bCs/>
                <w:color w:val="000000"/>
                <w:lang w:eastAsia="cs-CZ"/>
              </w:rPr>
            </w:pPr>
            <w:r w:rsidRPr="00324509">
              <w:rPr>
                <w:rFonts w:ascii="Calibri" w:eastAsia="Times New Roman" w:hAnsi="Calibri" w:cs="Times New Roman"/>
                <w:b/>
                <w:bCs/>
                <w:color w:val="000000"/>
                <w:lang w:eastAsia="cs-CZ"/>
              </w:rPr>
              <w:t>1 339</w:t>
            </w:r>
          </w:p>
        </w:tc>
        <w:tc>
          <w:tcPr>
            <w:tcW w:w="1008" w:type="dxa"/>
            <w:tcBorders>
              <w:top w:val="nil"/>
              <w:left w:val="nil"/>
              <w:bottom w:val="single" w:sz="8" w:space="0" w:color="auto"/>
              <w:right w:val="single" w:sz="8" w:space="0" w:color="auto"/>
            </w:tcBorders>
            <w:noWrap/>
            <w:vAlign w:val="center"/>
            <w:hideMark/>
          </w:tcPr>
          <w:p w14:paraId="25B8ADB3" w14:textId="77777777" w:rsidR="005E4EE9" w:rsidRPr="00324509" w:rsidRDefault="005E4EE9">
            <w:pPr>
              <w:spacing w:after="0" w:line="240" w:lineRule="auto"/>
              <w:rPr>
                <w:rFonts w:ascii="Calibri" w:eastAsia="Times New Roman" w:hAnsi="Calibri" w:cs="Times New Roman"/>
                <w:b/>
                <w:bCs/>
                <w:color w:val="000000"/>
                <w:lang w:eastAsia="cs-CZ"/>
              </w:rPr>
            </w:pPr>
            <w:r w:rsidRPr="00324509">
              <w:rPr>
                <w:rFonts w:ascii="Calibri" w:eastAsia="Times New Roman" w:hAnsi="Calibri" w:cs="Times New Roman"/>
                <w:b/>
                <w:bCs/>
                <w:color w:val="000000"/>
                <w:lang w:eastAsia="cs-CZ"/>
              </w:rPr>
              <w:t>27 992</w:t>
            </w:r>
          </w:p>
        </w:tc>
      </w:tr>
      <w:tr w:rsidR="005E4EE9" w14:paraId="4B3D1AA4" w14:textId="77777777" w:rsidTr="00167331">
        <w:trPr>
          <w:trHeight w:val="20"/>
          <w:jc w:val="center"/>
        </w:trPr>
        <w:tc>
          <w:tcPr>
            <w:tcW w:w="2500" w:type="dxa"/>
            <w:tcBorders>
              <w:top w:val="nil"/>
              <w:left w:val="single" w:sz="8" w:space="0" w:color="auto"/>
              <w:bottom w:val="single" w:sz="8" w:space="0" w:color="auto"/>
              <w:right w:val="single" w:sz="8" w:space="0" w:color="auto"/>
            </w:tcBorders>
            <w:noWrap/>
            <w:vAlign w:val="center"/>
            <w:hideMark/>
          </w:tcPr>
          <w:p w14:paraId="64348EB1"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 xml:space="preserve">   počítačové služby a software</w:t>
            </w:r>
          </w:p>
        </w:tc>
        <w:tc>
          <w:tcPr>
            <w:tcW w:w="883" w:type="dxa"/>
            <w:tcBorders>
              <w:top w:val="nil"/>
              <w:left w:val="nil"/>
              <w:bottom w:val="single" w:sz="8" w:space="0" w:color="auto"/>
              <w:right w:val="single" w:sz="8" w:space="0" w:color="auto"/>
            </w:tcBorders>
            <w:noWrap/>
            <w:vAlign w:val="center"/>
            <w:hideMark/>
          </w:tcPr>
          <w:p w14:paraId="4F52FA69"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40 525</w:t>
            </w:r>
          </w:p>
        </w:tc>
        <w:tc>
          <w:tcPr>
            <w:tcW w:w="1037" w:type="dxa"/>
            <w:tcBorders>
              <w:top w:val="nil"/>
              <w:left w:val="nil"/>
              <w:bottom w:val="single" w:sz="8" w:space="0" w:color="auto"/>
              <w:right w:val="single" w:sz="8" w:space="0" w:color="auto"/>
            </w:tcBorders>
            <w:noWrap/>
            <w:vAlign w:val="center"/>
            <w:hideMark/>
          </w:tcPr>
          <w:p w14:paraId="3D5D6D61"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69 698</w:t>
            </w:r>
          </w:p>
        </w:tc>
        <w:tc>
          <w:tcPr>
            <w:tcW w:w="960" w:type="dxa"/>
            <w:tcBorders>
              <w:top w:val="nil"/>
              <w:left w:val="nil"/>
              <w:bottom w:val="single" w:sz="8" w:space="0" w:color="auto"/>
              <w:right w:val="single" w:sz="8" w:space="0" w:color="auto"/>
            </w:tcBorders>
            <w:noWrap/>
            <w:vAlign w:val="center"/>
            <w:hideMark/>
          </w:tcPr>
          <w:p w14:paraId="4439F6E8"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26 382</w:t>
            </w:r>
          </w:p>
        </w:tc>
        <w:tc>
          <w:tcPr>
            <w:tcW w:w="960" w:type="dxa"/>
            <w:tcBorders>
              <w:top w:val="nil"/>
              <w:left w:val="nil"/>
              <w:bottom w:val="single" w:sz="8" w:space="0" w:color="auto"/>
              <w:right w:val="single" w:sz="8" w:space="0" w:color="auto"/>
            </w:tcBorders>
            <w:noWrap/>
            <w:vAlign w:val="center"/>
            <w:hideMark/>
          </w:tcPr>
          <w:p w14:paraId="7EC205DC"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34 545</w:t>
            </w:r>
          </w:p>
        </w:tc>
        <w:tc>
          <w:tcPr>
            <w:tcW w:w="912" w:type="dxa"/>
            <w:tcBorders>
              <w:top w:val="nil"/>
              <w:left w:val="nil"/>
              <w:bottom w:val="single" w:sz="8" w:space="0" w:color="auto"/>
              <w:right w:val="single" w:sz="8" w:space="0" w:color="auto"/>
            </w:tcBorders>
            <w:noWrap/>
            <w:vAlign w:val="center"/>
            <w:hideMark/>
          </w:tcPr>
          <w:p w14:paraId="7467B21E"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14 143</w:t>
            </w:r>
          </w:p>
        </w:tc>
        <w:tc>
          <w:tcPr>
            <w:tcW w:w="1008" w:type="dxa"/>
            <w:tcBorders>
              <w:top w:val="nil"/>
              <w:left w:val="nil"/>
              <w:bottom w:val="single" w:sz="8" w:space="0" w:color="auto"/>
              <w:right w:val="single" w:sz="8" w:space="0" w:color="auto"/>
            </w:tcBorders>
            <w:noWrap/>
            <w:vAlign w:val="center"/>
            <w:hideMark/>
          </w:tcPr>
          <w:p w14:paraId="49292A00"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35 153</w:t>
            </w:r>
          </w:p>
        </w:tc>
      </w:tr>
      <w:tr w:rsidR="005E4EE9" w14:paraId="72C99828" w14:textId="77777777" w:rsidTr="00167331">
        <w:trPr>
          <w:trHeight w:val="20"/>
          <w:jc w:val="center"/>
        </w:trPr>
        <w:tc>
          <w:tcPr>
            <w:tcW w:w="2500" w:type="dxa"/>
            <w:tcBorders>
              <w:top w:val="nil"/>
              <w:left w:val="single" w:sz="8" w:space="0" w:color="auto"/>
              <w:bottom w:val="single" w:sz="8" w:space="0" w:color="auto"/>
              <w:right w:val="single" w:sz="8" w:space="0" w:color="auto"/>
            </w:tcBorders>
            <w:noWrap/>
            <w:vAlign w:val="center"/>
            <w:hideMark/>
          </w:tcPr>
          <w:p w14:paraId="0233DADA"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 xml:space="preserve">   technické služby</w:t>
            </w:r>
          </w:p>
        </w:tc>
        <w:tc>
          <w:tcPr>
            <w:tcW w:w="883" w:type="dxa"/>
            <w:tcBorders>
              <w:top w:val="nil"/>
              <w:left w:val="nil"/>
              <w:bottom w:val="single" w:sz="8" w:space="0" w:color="auto"/>
              <w:right w:val="single" w:sz="8" w:space="0" w:color="auto"/>
            </w:tcBorders>
            <w:noWrap/>
            <w:vAlign w:val="center"/>
            <w:hideMark/>
          </w:tcPr>
          <w:p w14:paraId="1A5F856F"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18 105</w:t>
            </w:r>
          </w:p>
        </w:tc>
        <w:tc>
          <w:tcPr>
            <w:tcW w:w="1037" w:type="dxa"/>
            <w:tcBorders>
              <w:top w:val="nil"/>
              <w:left w:val="nil"/>
              <w:bottom w:val="single" w:sz="8" w:space="0" w:color="auto"/>
              <w:right w:val="single" w:sz="8" w:space="0" w:color="auto"/>
            </w:tcBorders>
            <w:noWrap/>
            <w:vAlign w:val="center"/>
            <w:hideMark/>
          </w:tcPr>
          <w:p w14:paraId="5D8EBB8E"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14 312</w:t>
            </w:r>
          </w:p>
        </w:tc>
        <w:tc>
          <w:tcPr>
            <w:tcW w:w="960" w:type="dxa"/>
            <w:tcBorders>
              <w:top w:val="nil"/>
              <w:left w:val="nil"/>
              <w:bottom w:val="single" w:sz="8" w:space="0" w:color="auto"/>
              <w:right w:val="single" w:sz="8" w:space="0" w:color="auto"/>
            </w:tcBorders>
            <w:noWrap/>
            <w:vAlign w:val="center"/>
            <w:hideMark/>
          </w:tcPr>
          <w:p w14:paraId="47BE2B53"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15 347</w:t>
            </w:r>
          </w:p>
        </w:tc>
        <w:tc>
          <w:tcPr>
            <w:tcW w:w="960" w:type="dxa"/>
            <w:tcBorders>
              <w:top w:val="nil"/>
              <w:left w:val="nil"/>
              <w:bottom w:val="single" w:sz="8" w:space="0" w:color="auto"/>
              <w:right w:val="single" w:sz="8" w:space="0" w:color="auto"/>
            </w:tcBorders>
            <w:noWrap/>
            <w:vAlign w:val="center"/>
            <w:hideMark/>
          </w:tcPr>
          <w:p w14:paraId="6590E8D7"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8 740</w:t>
            </w:r>
          </w:p>
        </w:tc>
        <w:tc>
          <w:tcPr>
            <w:tcW w:w="912" w:type="dxa"/>
            <w:tcBorders>
              <w:top w:val="nil"/>
              <w:left w:val="nil"/>
              <w:bottom w:val="single" w:sz="8" w:space="0" w:color="auto"/>
              <w:right w:val="single" w:sz="8" w:space="0" w:color="auto"/>
            </w:tcBorders>
            <w:noWrap/>
            <w:vAlign w:val="center"/>
            <w:hideMark/>
          </w:tcPr>
          <w:p w14:paraId="03416A35"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2 758</w:t>
            </w:r>
          </w:p>
        </w:tc>
        <w:tc>
          <w:tcPr>
            <w:tcW w:w="1008" w:type="dxa"/>
            <w:tcBorders>
              <w:top w:val="nil"/>
              <w:left w:val="nil"/>
              <w:bottom w:val="single" w:sz="8" w:space="0" w:color="auto"/>
              <w:right w:val="single" w:sz="8" w:space="0" w:color="auto"/>
            </w:tcBorders>
            <w:noWrap/>
            <w:vAlign w:val="center"/>
            <w:hideMark/>
          </w:tcPr>
          <w:p w14:paraId="7F942E85"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5 572</w:t>
            </w:r>
          </w:p>
        </w:tc>
      </w:tr>
      <w:tr w:rsidR="005E4EE9" w14:paraId="2845742D" w14:textId="77777777" w:rsidTr="00167331">
        <w:trPr>
          <w:trHeight w:val="20"/>
          <w:jc w:val="center"/>
        </w:trPr>
        <w:tc>
          <w:tcPr>
            <w:tcW w:w="2500" w:type="dxa"/>
            <w:tcBorders>
              <w:top w:val="nil"/>
              <w:left w:val="single" w:sz="8" w:space="0" w:color="auto"/>
              <w:bottom w:val="single" w:sz="8" w:space="0" w:color="auto"/>
              <w:right w:val="single" w:sz="8" w:space="0" w:color="auto"/>
            </w:tcBorders>
            <w:noWrap/>
            <w:vAlign w:val="center"/>
            <w:hideMark/>
          </w:tcPr>
          <w:p w14:paraId="3ADF2068"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 xml:space="preserve">   služby výzkumu a vývoje </w:t>
            </w:r>
          </w:p>
        </w:tc>
        <w:tc>
          <w:tcPr>
            <w:tcW w:w="883" w:type="dxa"/>
            <w:tcBorders>
              <w:top w:val="nil"/>
              <w:left w:val="nil"/>
              <w:bottom w:val="single" w:sz="8" w:space="0" w:color="auto"/>
              <w:right w:val="single" w:sz="8" w:space="0" w:color="auto"/>
            </w:tcBorders>
            <w:noWrap/>
            <w:vAlign w:val="center"/>
            <w:hideMark/>
          </w:tcPr>
          <w:p w14:paraId="1CEB0296"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4 934</w:t>
            </w:r>
          </w:p>
        </w:tc>
        <w:tc>
          <w:tcPr>
            <w:tcW w:w="1037" w:type="dxa"/>
            <w:tcBorders>
              <w:top w:val="nil"/>
              <w:left w:val="nil"/>
              <w:bottom w:val="single" w:sz="8" w:space="0" w:color="auto"/>
              <w:right w:val="single" w:sz="8" w:space="0" w:color="auto"/>
            </w:tcBorders>
            <w:noWrap/>
            <w:vAlign w:val="center"/>
            <w:hideMark/>
          </w:tcPr>
          <w:p w14:paraId="7ECEEEEF"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15 464</w:t>
            </w:r>
          </w:p>
        </w:tc>
        <w:tc>
          <w:tcPr>
            <w:tcW w:w="960" w:type="dxa"/>
            <w:tcBorders>
              <w:top w:val="nil"/>
              <w:left w:val="nil"/>
              <w:bottom w:val="single" w:sz="8" w:space="0" w:color="auto"/>
              <w:right w:val="single" w:sz="8" w:space="0" w:color="auto"/>
            </w:tcBorders>
            <w:noWrap/>
            <w:vAlign w:val="center"/>
            <w:hideMark/>
          </w:tcPr>
          <w:p w14:paraId="63B13ABD"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13 352</w:t>
            </w:r>
          </w:p>
        </w:tc>
        <w:tc>
          <w:tcPr>
            <w:tcW w:w="960" w:type="dxa"/>
            <w:tcBorders>
              <w:top w:val="nil"/>
              <w:left w:val="nil"/>
              <w:bottom w:val="single" w:sz="8" w:space="0" w:color="auto"/>
              <w:right w:val="single" w:sz="8" w:space="0" w:color="auto"/>
            </w:tcBorders>
            <w:noWrap/>
            <w:vAlign w:val="center"/>
            <w:hideMark/>
          </w:tcPr>
          <w:p w14:paraId="21273E80"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18 061</w:t>
            </w:r>
          </w:p>
        </w:tc>
        <w:tc>
          <w:tcPr>
            <w:tcW w:w="912" w:type="dxa"/>
            <w:tcBorders>
              <w:top w:val="nil"/>
              <w:left w:val="nil"/>
              <w:bottom w:val="single" w:sz="8" w:space="0" w:color="auto"/>
              <w:right w:val="single" w:sz="8" w:space="0" w:color="auto"/>
            </w:tcBorders>
            <w:noWrap/>
            <w:vAlign w:val="center"/>
            <w:hideMark/>
          </w:tcPr>
          <w:p w14:paraId="7995862B"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-8 418</w:t>
            </w:r>
          </w:p>
        </w:tc>
        <w:tc>
          <w:tcPr>
            <w:tcW w:w="1008" w:type="dxa"/>
            <w:tcBorders>
              <w:top w:val="nil"/>
              <w:left w:val="nil"/>
              <w:bottom w:val="single" w:sz="8" w:space="0" w:color="auto"/>
              <w:right w:val="single" w:sz="8" w:space="0" w:color="auto"/>
            </w:tcBorders>
            <w:noWrap/>
            <w:vAlign w:val="center"/>
            <w:hideMark/>
          </w:tcPr>
          <w:p w14:paraId="78491F5F"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-2 597</w:t>
            </w:r>
          </w:p>
        </w:tc>
      </w:tr>
      <w:tr w:rsidR="005E4EE9" w14:paraId="06983869" w14:textId="77777777" w:rsidTr="00167331">
        <w:trPr>
          <w:trHeight w:val="20"/>
          <w:jc w:val="center"/>
        </w:trPr>
        <w:tc>
          <w:tcPr>
            <w:tcW w:w="2500" w:type="dxa"/>
            <w:tcBorders>
              <w:top w:val="nil"/>
              <w:left w:val="single" w:sz="8" w:space="0" w:color="auto"/>
              <w:bottom w:val="single" w:sz="8" w:space="0" w:color="auto"/>
              <w:right w:val="single" w:sz="8" w:space="0" w:color="auto"/>
            </w:tcBorders>
            <w:noWrap/>
            <w:vAlign w:val="center"/>
            <w:hideMark/>
          </w:tcPr>
          <w:p w14:paraId="0B86B526"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 xml:space="preserve">   licenční poplatky</w:t>
            </w:r>
          </w:p>
        </w:tc>
        <w:tc>
          <w:tcPr>
            <w:tcW w:w="883" w:type="dxa"/>
            <w:tcBorders>
              <w:top w:val="nil"/>
              <w:left w:val="nil"/>
              <w:bottom w:val="single" w:sz="8" w:space="0" w:color="auto"/>
              <w:right w:val="single" w:sz="8" w:space="0" w:color="auto"/>
            </w:tcBorders>
            <w:noWrap/>
            <w:vAlign w:val="center"/>
            <w:hideMark/>
          </w:tcPr>
          <w:p w14:paraId="49E01B44"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3 220</w:t>
            </w:r>
          </w:p>
        </w:tc>
        <w:tc>
          <w:tcPr>
            <w:tcW w:w="1037" w:type="dxa"/>
            <w:tcBorders>
              <w:top w:val="nil"/>
              <w:left w:val="nil"/>
              <w:bottom w:val="single" w:sz="8" w:space="0" w:color="auto"/>
              <w:right w:val="single" w:sz="8" w:space="0" w:color="auto"/>
            </w:tcBorders>
            <w:noWrap/>
            <w:vAlign w:val="center"/>
            <w:hideMark/>
          </w:tcPr>
          <w:p w14:paraId="3582DCD7"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2 728</w:t>
            </w:r>
          </w:p>
        </w:tc>
        <w:tc>
          <w:tcPr>
            <w:tcW w:w="960" w:type="dxa"/>
            <w:tcBorders>
              <w:top w:val="nil"/>
              <w:left w:val="nil"/>
              <w:bottom w:val="single" w:sz="8" w:space="0" w:color="auto"/>
              <w:right w:val="single" w:sz="8" w:space="0" w:color="auto"/>
            </w:tcBorders>
            <w:noWrap/>
            <w:vAlign w:val="center"/>
            <w:hideMark/>
          </w:tcPr>
          <w:p w14:paraId="785EF579"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10 363</w:t>
            </w:r>
          </w:p>
        </w:tc>
        <w:tc>
          <w:tcPr>
            <w:tcW w:w="960" w:type="dxa"/>
            <w:tcBorders>
              <w:top w:val="nil"/>
              <w:left w:val="nil"/>
              <w:bottom w:val="single" w:sz="8" w:space="0" w:color="auto"/>
              <w:right w:val="single" w:sz="8" w:space="0" w:color="auto"/>
            </w:tcBorders>
            <w:noWrap/>
            <w:vAlign w:val="center"/>
            <w:hideMark/>
          </w:tcPr>
          <w:p w14:paraId="6DFC2D32"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12 864</w:t>
            </w:r>
          </w:p>
        </w:tc>
        <w:tc>
          <w:tcPr>
            <w:tcW w:w="912" w:type="dxa"/>
            <w:tcBorders>
              <w:top w:val="nil"/>
              <w:left w:val="nil"/>
              <w:bottom w:val="single" w:sz="8" w:space="0" w:color="auto"/>
              <w:right w:val="single" w:sz="8" w:space="0" w:color="auto"/>
            </w:tcBorders>
            <w:noWrap/>
            <w:vAlign w:val="center"/>
            <w:hideMark/>
          </w:tcPr>
          <w:p w14:paraId="7E5EDC4F"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-7 143</w:t>
            </w:r>
          </w:p>
        </w:tc>
        <w:tc>
          <w:tcPr>
            <w:tcW w:w="1008" w:type="dxa"/>
            <w:tcBorders>
              <w:top w:val="nil"/>
              <w:left w:val="nil"/>
              <w:bottom w:val="single" w:sz="8" w:space="0" w:color="auto"/>
              <w:right w:val="single" w:sz="8" w:space="0" w:color="auto"/>
            </w:tcBorders>
            <w:noWrap/>
            <w:vAlign w:val="center"/>
            <w:hideMark/>
          </w:tcPr>
          <w:p w14:paraId="1836BA5D" w14:textId="77777777" w:rsidR="005E4EE9" w:rsidRPr="00324509" w:rsidRDefault="005E4EE9">
            <w:pPr>
              <w:spacing w:after="0" w:line="240" w:lineRule="auto"/>
              <w:rPr>
                <w:rFonts w:ascii="Calibri" w:eastAsia="Times New Roman" w:hAnsi="Calibri" w:cs="Times New Roman"/>
                <w:color w:val="000000"/>
                <w:lang w:eastAsia="cs-CZ"/>
              </w:rPr>
            </w:pPr>
            <w:r w:rsidRPr="00324509">
              <w:rPr>
                <w:rFonts w:ascii="Calibri" w:eastAsia="Times New Roman" w:hAnsi="Calibri" w:cs="Times New Roman"/>
                <w:color w:val="000000"/>
                <w:lang w:eastAsia="cs-CZ"/>
              </w:rPr>
              <w:t>-10 136</w:t>
            </w:r>
          </w:p>
        </w:tc>
      </w:tr>
    </w:tbl>
    <w:p w14:paraId="18B8D795" w14:textId="77777777" w:rsidR="005E4EE9" w:rsidRPr="00303B05" w:rsidRDefault="005E4EE9" w:rsidP="005E4EE9">
      <w:pPr>
        <w:spacing w:before="60" w:after="0"/>
        <w:rPr>
          <w:i/>
          <w:sz w:val="18"/>
        </w:rPr>
      </w:pPr>
      <w:r w:rsidRPr="00303B05">
        <w:rPr>
          <w:i/>
          <w:sz w:val="18"/>
        </w:rPr>
        <w:t>Zdroj: ČSÚ, Technologická platební bilance</w:t>
      </w:r>
    </w:p>
    <w:p w14:paraId="063334E4" w14:textId="77777777" w:rsidR="005E4EE9" w:rsidRDefault="005E4EE9" w:rsidP="005E4EE9">
      <w:pPr>
        <w:spacing w:after="0"/>
        <w:rPr>
          <w:sz w:val="18"/>
        </w:rPr>
      </w:pPr>
      <w:r w:rsidRPr="005E4EE9">
        <w:rPr>
          <w:sz w:val="18"/>
        </w:rPr>
        <w:t>Pozn.: *předběžná data</w:t>
      </w:r>
    </w:p>
    <w:p w14:paraId="55E181E0" w14:textId="77777777" w:rsidR="00342489" w:rsidRDefault="00342489" w:rsidP="005E4EE9">
      <w:pPr>
        <w:spacing w:after="0"/>
        <w:rPr>
          <w:sz w:val="18"/>
        </w:rPr>
      </w:pPr>
    </w:p>
    <w:p w14:paraId="0473AC0D" w14:textId="77777777" w:rsidR="00213F31" w:rsidRDefault="00213F31" w:rsidP="00580DE3">
      <w:pPr>
        <w:pStyle w:val="Titulek"/>
      </w:pPr>
    </w:p>
    <w:p w14:paraId="649C2E09" w14:textId="77777777" w:rsidR="00213F31" w:rsidRDefault="00213F31" w:rsidP="00580DE3">
      <w:pPr>
        <w:pStyle w:val="Titulek"/>
      </w:pPr>
    </w:p>
    <w:p w14:paraId="47405939" w14:textId="2C2D68A5" w:rsidR="00342489" w:rsidRPr="005E4EE9" w:rsidRDefault="00342489" w:rsidP="00580DE3">
      <w:pPr>
        <w:pStyle w:val="Titulek"/>
        <w:rPr>
          <w:sz w:val="18"/>
        </w:rPr>
      </w:pPr>
      <w:bookmarkStart w:id="238" w:name="_Toc524677684"/>
      <w:r>
        <w:t xml:space="preserve">Tabulka </w:t>
      </w:r>
      <w:r w:rsidR="00BE65D6">
        <w:rPr>
          <w:noProof/>
        </w:rPr>
        <w:fldChar w:fldCharType="begin"/>
      </w:r>
      <w:r w:rsidR="00BE65D6">
        <w:rPr>
          <w:noProof/>
        </w:rPr>
        <w:instrText xml:space="preserve"> SEQ Tabulka \* ARABIC </w:instrText>
      </w:r>
      <w:r w:rsidR="00BE65D6">
        <w:rPr>
          <w:noProof/>
        </w:rPr>
        <w:fldChar w:fldCharType="separate"/>
      </w:r>
      <w:r w:rsidR="00DE40D4">
        <w:rPr>
          <w:noProof/>
        </w:rPr>
        <w:t>24</w:t>
      </w:r>
      <w:r w:rsidR="00BE65D6">
        <w:rPr>
          <w:noProof/>
        </w:rPr>
        <w:fldChar w:fldCharType="end"/>
      </w:r>
      <w:r>
        <w:t xml:space="preserve"> - Technologická platební bilance, % vývozu a dovozu služeb na celku, 2012 a 2017</w:t>
      </w:r>
      <w:bookmarkEnd w:id="238"/>
    </w:p>
    <w:p w14:paraId="6F39949A" w14:textId="157F932B" w:rsidR="005E4EE9" w:rsidRPr="005E4EE9" w:rsidRDefault="005E4EE9" w:rsidP="00580DE3">
      <w:pPr>
        <w:pStyle w:val="Titulek"/>
      </w:pPr>
    </w:p>
    <w:tbl>
      <w:tblPr>
        <w:tblW w:w="9593" w:type="dxa"/>
        <w:jc w:val="center"/>
        <w:tblCellMar>
          <w:left w:w="70" w:type="dxa"/>
          <w:right w:w="70" w:type="dxa"/>
        </w:tblCellMar>
        <w:tblLook w:val="04A0" w:firstRow="1" w:lastRow="0" w:firstColumn="1" w:lastColumn="0" w:noHBand="0" w:noVBand="1"/>
      </w:tblPr>
      <w:tblGrid>
        <w:gridCol w:w="3257"/>
        <w:gridCol w:w="1056"/>
        <w:gridCol w:w="1056"/>
        <w:gridCol w:w="1056"/>
        <w:gridCol w:w="1056"/>
        <w:gridCol w:w="1056"/>
        <w:gridCol w:w="1056"/>
      </w:tblGrid>
      <w:tr w:rsidR="00342489" w14:paraId="3967A463" w14:textId="77777777" w:rsidTr="00167331">
        <w:trPr>
          <w:trHeight w:val="321"/>
          <w:jc w:val="center"/>
        </w:trPr>
        <w:tc>
          <w:tcPr>
            <w:tcW w:w="3257" w:type="dxa"/>
            <w:vMerge w:val="restart"/>
            <w:tcBorders>
              <w:top w:val="single" w:sz="8" w:space="0" w:color="auto"/>
              <w:left w:val="single" w:sz="8" w:space="0" w:color="auto"/>
              <w:bottom w:val="single" w:sz="8" w:space="0" w:color="auto"/>
              <w:right w:val="single" w:sz="8" w:space="0" w:color="auto"/>
            </w:tcBorders>
            <w:shd w:val="clear" w:color="auto" w:fill="004B8D"/>
            <w:noWrap/>
            <w:vAlign w:val="bottom"/>
            <w:hideMark/>
          </w:tcPr>
          <w:p w14:paraId="2F0C40E1" w14:textId="77777777" w:rsidR="00342489" w:rsidRPr="004C684E" w:rsidRDefault="00342489">
            <w:pPr>
              <w:spacing w:after="0" w:line="240" w:lineRule="auto"/>
              <w:rPr>
                <w:rFonts w:ascii="Calibri" w:eastAsia="Times New Roman" w:hAnsi="Calibri" w:cs="Times New Roman"/>
                <w:color w:val="FFFFFF" w:themeColor="background1"/>
                <w:lang w:eastAsia="cs-CZ"/>
              </w:rPr>
            </w:pPr>
            <w:r w:rsidRPr="004C684E">
              <w:rPr>
                <w:rFonts w:ascii="Calibri" w:eastAsia="Times New Roman" w:hAnsi="Calibri" w:cs="Times New Roman"/>
                <w:color w:val="FFFFFF" w:themeColor="background1"/>
                <w:lang w:eastAsia="cs-CZ"/>
              </w:rPr>
              <w:t> </w:t>
            </w:r>
          </w:p>
          <w:p w14:paraId="0421BA5A" w14:textId="77777777" w:rsidR="00342489" w:rsidRPr="004C684E" w:rsidRDefault="00342489">
            <w:pPr>
              <w:spacing w:after="0" w:line="240" w:lineRule="auto"/>
              <w:rPr>
                <w:rFonts w:ascii="Calibri" w:eastAsia="Times New Roman" w:hAnsi="Calibri" w:cs="Times New Roman"/>
                <w:color w:val="FFFFFF" w:themeColor="background1"/>
                <w:lang w:eastAsia="cs-CZ"/>
              </w:rPr>
            </w:pPr>
            <w:r w:rsidRPr="004C684E">
              <w:rPr>
                <w:rFonts w:ascii="Calibri" w:eastAsia="Times New Roman" w:hAnsi="Calibri" w:cs="Times New Roman"/>
                <w:color w:val="FFFFFF" w:themeColor="background1"/>
                <w:lang w:eastAsia="cs-CZ"/>
              </w:rPr>
              <w:t> </w:t>
            </w:r>
          </w:p>
        </w:tc>
        <w:tc>
          <w:tcPr>
            <w:tcW w:w="1056" w:type="dxa"/>
            <w:tcBorders>
              <w:top w:val="single" w:sz="8" w:space="0" w:color="auto"/>
              <w:left w:val="nil"/>
              <w:bottom w:val="single" w:sz="8" w:space="0" w:color="auto"/>
              <w:right w:val="nil"/>
            </w:tcBorders>
            <w:shd w:val="clear" w:color="auto" w:fill="004B8D"/>
            <w:noWrap/>
            <w:vAlign w:val="center"/>
            <w:hideMark/>
          </w:tcPr>
          <w:p w14:paraId="1CF6D488"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Vývoz</w:t>
            </w:r>
          </w:p>
        </w:tc>
        <w:tc>
          <w:tcPr>
            <w:tcW w:w="1056" w:type="dxa"/>
            <w:tcBorders>
              <w:top w:val="single" w:sz="8" w:space="0" w:color="auto"/>
              <w:left w:val="nil"/>
              <w:bottom w:val="single" w:sz="8" w:space="0" w:color="auto"/>
              <w:right w:val="single" w:sz="8" w:space="0" w:color="auto"/>
            </w:tcBorders>
            <w:shd w:val="clear" w:color="auto" w:fill="004B8D"/>
            <w:noWrap/>
            <w:vAlign w:val="center"/>
            <w:hideMark/>
          </w:tcPr>
          <w:p w14:paraId="444423F9"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 </w:t>
            </w:r>
          </w:p>
        </w:tc>
        <w:tc>
          <w:tcPr>
            <w:tcW w:w="1056" w:type="dxa"/>
            <w:tcBorders>
              <w:top w:val="single" w:sz="8" w:space="0" w:color="auto"/>
              <w:left w:val="nil"/>
              <w:bottom w:val="single" w:sz="8" w:space="0" w:color="auto"/>
              <w:right w:val="nil"/>
            </w:tcBorders>
            <w:shd w:val="clear" w:color="auto" w:fill="004B8D"/>
            <w:noWrap/>
            <w:vAlign w:val="center"/>
            <w:hideMark/>
          </w:tcPr>
          <w:p w14:paraId="0524D4A3"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Dovoz</w:t>
            </w:r>
          </w:p>
        </w:tc>
        <w:tc>
          <w:tcPr>
            <w:tcW w:w="1056" w:type="dxa"/>
            <w:tcBorders>
              <w:top w:val="single" w:sz="8" w:space="0" w:color="auto"/>
              <w:left w:val="nil"/>
              <w:bottom w:val="single" w:sz="8" w:space="0" w:color="auto"/>
              <w:right w:val="single" w:sz="8" w:space="0" w:color="auto"/>
            </w:tcBorders>
            <w:shd w:val="clear" w:color="auto" w:fill="004B8D"/>
            <w:noWrap/>
            <w:vAlign w:val="center"/>
            <w:hideMark/>
          </w:tcPr>
          <w:p w14:paraId="70FE2822"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 </w:t>
            </w:r>
          </w:p>
        </w:tc>
        <w:tc>
          <w:tcPr>
            <w:tcW w:w="1056" w:type="dxa"/>
            <w:tcBorders>
              <w:top w:val="single" w:sz="8" w:space="0" w:color="auto"/>
              <w:left w:val="nil"/>
              <w:bottom w:val="single" w:sz="8" w:space="0" w:color="auto"/>
              <w:right w:val="nil"/>
            </w:tcBorders>
            <w:shd w:val="clear" w:color="auto" w:fill="004B8D"/>
            <w:noWrap/>
            <w:vAlign w:val="center"/>
            <w:hideMark/>
          </w:tcPr>
          <w:p w14:paraId="6156A606"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Bilance</w:t>
            </w:r>
          </w:p>
        </w:tc>
        <w:tc>
          <w:tcPr>
            <w:tcW w:w="1056" w:type="dxa"/>
            <w:tcBorders>
              <w:top w:val="single" w:sz="8" w:space="0" w:color="auto"/>
              <w:left w:val="nil"/>
              <w:bottom w:val="single" w:sz="8" w:space="0" w:color="auto"/>
              <w:right w:val="single" w:sz="8" w:space="0" w:color="auto"/>
            </w:tcBorders>
            <w:shd w:val="clear" w:color="auto" w:fill="004B8D"/>
            <w:noWrap/>
            <w:vAlign w:val="center"/>
            <w:hideMark/>
          </w:tcPr>
          <w:p w14:paraId="542C0FD1"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 </w:t>
            </w:r>
          </w:p>
        </w:tc>
      </w:tr>
      <w:tr w:rsidR="00342489" w14:paraId="117937D8" w14:textId="77777777" w:rsidTr="00167331">
        <w:trPr>
          <w:trHeight w:val="321"/>
          <w:jc w:val="center"/>
        </w:trPr>
        <w:tc>
          <w:tcPr>
            <w:tcW w:w="0" w:type="auto"/>
            <w:vMerge/>
            <w:tcBorders>
              <w:top w:val="single" w:sz="8" w:space="0" w:color="auto"/>
              <w:left w:val="single" w:sz="8" w:space="0" w:color="auto"/>
              <w:bottom w:val="single" w:sz="8" w:space="0" w:color="auto"/>
              <w:right w:val="single" w:sz="8" w:space="0" w:color="auto"/>
            </w:tcBorders>
            <w:shd w:val="clear" w:color="auto" w:fill="004B8D"/>
            <w:vAlign w:val="center"/>
            <w:hideMark/>
          </w:tcPr>
          <w:p w14:paraId="581A2D2D" w14:textId="77777777" w:rsidR="00342489" w:rsidRPr="004C684E" w:rsidRDefault="00342489">
            <w:pPr>
              <w:spacing w:after="0"/>
              <w:rPr>
                <w:rFonts w:ascii="Calibri" w:eastAsia="Times New Roman" w:hAnsi="Calibri" w:cs="Times New Roman"/>
                <w:color w:val="FFFFFF" w:themeColor="background1"/>
                <w:lang w:eastAsia="cs-CZ"/>
              </w:rPr>
            </w:pPr>
          </w:p>
        </w:tc>
        <w:tc>
          <w:tcPr>
            <w:tcW w:w="1056" w:type="dxa"/>
            <w:tcBorders>
              <w:top w:val="nil"/>
              <w:left w:val="nil"/>
              <w:bottom w:val="single" w:sz="8" w:space="0" w:color="auto"/>
              <w:right w:val="single" w:sz="8" w:space="0" w:color="auto"/>
            </w:tcBorders>
            <w:shd w:val="clear" w:color="auto" w:fill="004B8D"/>
            <w:noWrap/>
            <w:vAlign w:val="center"/>
            <w:hideMark/>
          </w:tcPr>
          <w:p w14:paraId="7F43EE90"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2012</w:t>
            </w:r>
          </w:p>
        </w:tc>
        <w:tc>
          <w:tcPr>
            <w:tcW w:w="1056" w:type="dxa"/>
            <w:tcBorders>
              <w:top w:val="nil"/>
              <w:left w:val="nil"/>
              <w:bottom w:val="single" w:sz="8" w:space="0" w:color="auto"/>
              <w:right w:val="single" w:sz="8" w:space="0" w:color="auto"/>
            </w:tcBorders>
            <w:shd w:val="clear" w:color="auto" w:fill="004B8D"/>
            <w:noWrap/>
            <w:vAlign w:val="center"/>
            <w:hideMark/>
          </w:tcPr>
          <w:p w14:paraId="6C23F4A2"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2017</w:t>
            </w:r>
          </w:p>
        </w:tc>
        <w:tc>
          <w:tcPr>
            <w:tcW w:w="1056" w:type="dxa"/>
            <w:tcBorders>
              <w:top w:val="nil"/>
              <w:left w:val="nil"/>
              <w:bottom w:val="single" w:sz="8" w:space="0" w:color="auto"/>
              <w:right w:val="single" w:sz="8" w:space="0" w:color="auto"/>
            </w:tcBorders>
            <w:shd w:val="clear" w:color="auto" w:fill="004B8D"/>
            <w:noWrap/>
            <w:vAlign w:val="center"/>
            <w:hideMark/>
          </w:tcPr>
          <w:p w14:paraId="3A6CE177"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2012</w:t>
            </w:r>
          </w:p>
        </w:tc>
        <w:tc>
          <w:tcPr>
            <w:tcW w:w="1056" w:type="dxa"/>
            <w:tcBorders>
              <w:top w:val="nil"/>
              <w:left w:val="nil"/>
              <w:bottom w:val="single" w:sz="8" w:space="0" w:color="auto"/>
              <w:right w:val="single" w:sz="8" w:space="0" w:color="auto"/>
            </w:tcBorders>
            <w:shd w:val="clear" w:color="auto" w:fill="004B8D"/>
            <w:noWrap/>
            <w:vAlign w:val="center"/>
            <w:hideMark/>
          </w:tcPr>
          <w:p w14:paraId="7E125A62"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2017</w:t>
            </w:r>
          </w:p>
        </w:tc>
        <w:tc>
          <w:tcPr>
            <w:tcW w:w="1056" w:type="dxa"/>
            <w:tcBorders>
              <w:top w:val="nil"/>
              <w:left w:val="nil"/>
              <w:bottom w:val="single" w:sz="8" w:space="0" w:color="auto"/>
              <w:right w:val="single" w:sz="8" w:space="0" w:color="auto"/>
            </w:tcBorders>
            <w:shd w:val="clear" w:color="auto" w:fill="004B8D"/>
            <w:noWrap/>
            <w:vAlign w:val="center"/>
            <w:hideMark/>
          </w:tcPr>
          <w:p w14:paraId="21225EBC"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2012</w:t>
            </w:r>
          </w:p>
        </w:tc>
        <w:tc>
          <w:tcPr>
            <w:tcW w:w="1056" w:type="dxa"/>
            <w:tcBorders>
              <w:top w:val="nil"/>
              <w:left w:val="nil"/>
              <w:bottom w:val="single" w:sz="8" w:space="0" w:color="auto"/>
              <w:right w:val="single" w:sz="8" w:space="0" w:color="auto"/>
            </w:tcBorders>
            <w:shd w:val="clear" w:color="auto" w:fill="004B8D"/>
            <w:noWrap/>
            <w:vAlign w:val="center"/>
            <w:hideMark/>
          </w:tcPr>
          <w:p w14:paraId="3E9912F6" w14:textId="77777777" w:rsidR="00342489" w:rsidRPr="004C684E" w:rsidRDefault="00342489">
            <w:pPr>
              <w:spacing w:after="0" w:line="240" w:lineRule="auto"/>
              <w:rPr>
                <w:rFonts w:ascii="Calibri" w:eastAsia="Times New Roman" w:hAnsi="Calibri" w:cs="Times New Roman"/>
                <w:b/>
                <w:bCs/>
                <w:color w:val="FFFFFF" w:themeColor="background1"/>
                <w:lang w:eastAsia="cs-CZ"/>
              </w:rPr>
            </w:pPr>
            <w:r w:rsidRPr="004C684E">
              <w:rPr>
                <w:rFonts w:ascii="Calibri" w:eastAsia="Times New Roman" w:hAnsi="Calibri" w:cs="Times New Roman"/>
                <w:b/>
                <w:bCs/>
                <w:color w:val="FFFFFF" w:themeColor="background1"/>
                <w:lang w:eastAsia="cs-CZ"/>
              </w:rPr>
              <w:t>2017</w:t>
            </w:r>
          </w:p>
        </w:tc>
      </w:tr>
      <w:tr w:rsidR="00342489" w14:paraId="6B624A07" w14:textId="77777777" w:rsidTr="00167331">
        <w:trPr>
          <w:trHeight w:val="321"/>
          <w:jc w:val="center"/>
        </w:trPr>
        <w:tc>
          <w:tcPr>
            <w:tcW w:w="3257" w:type="dxa"/>
            <w:tcBorders>
              <w:top w:val="nil"/>
              <w:left w:val="single" w:sz="8" w:space="0" w:color="auto"/>
              <w:bottom w:val="single" w:sz="8" w:space="0" w:color="auto"/>
              <w:right w:val="single" w:sz="8" w:space="0" w:color="auto"/>
            </w:tcBorders>
            <w:noWrap/>
            <w:vAlign w:val="center"/>
            <w:hideMark/>
          </w:tcPr>
          <w:p w14:paraId="72601017" w14:textId="77777777" w:rsidR="00342489" w:rsidRPr="004C684E" w:rsidRDefault="00342489">
            <w:pPr>
              <w:spacing w:after="0" w:line="240" w:lineRule="auto"/>
              <w:rPr>
                <w:rFonts w:ascii="Calibri" w:eastAsia="Times New Roman" w:hAnsi="Calibri" w:cs="Times New Roman"/>
                <w:b/>
                <w:bCs/>
                <w:color w:val="000000"/>
                <w:lang w:eastAsia="cs-CZ"/>
              </w:rPr>
            </w:pPr>
            <w:r w:rsidRPr="004C684E">
              <w:rPr>
                <w:rFonts w:ascii="Calibri" w:eastAsia="Times New Roman" w:hAnsi="Calibri" w:cs="Times New Roman"/>
                <w:b/>
                <w:bCs/>
                <w:color w:val="000000"/>
                <w:lang w:eastAsia="cs-CZ"/>
              </w:rPr>
              <w:t>Celkem</w:t>
            </w:r>
          </w:p>
        </w:tc>
        <w:tc>
          <w:tcPr>
            <w:tcW w:w="1056" w:type="dxa"/>
            <w:tcBorders>
              <w:top w:val="nil"/>
              <w:left w:val="nil"/>
              <w:bottom w:val="single" w:sz="8" w:space="0" w:color="auto"/>
              <w:right w:val="single" w:sz="8" w:space="0" w:color="auto"/>
            </w:tcBorders>
            <w:noWrap/>
            <w:vAlign w:val="center"/>
            <w:hideMark/>
          </w:tcPr>
          <w:p w14:paraId="6A562C27" w14:textId="77777777" w:rsidR="00342489" w:rsidRPr="004C684E" w:rsidRDefault="00342489">
            <w:pPr>
              <w:spacing w:after="0" w:line="240" w:lineRule="auto"/>
              <w:rPr>
                <w:rFonts w:ascii="Calibri" w:eastAsia="Times New Roman" w:hAnsi="Calibri" w:cs="Times New Roman"/>
                <w:b/>
                <w:bCs/>
                <w:color w:val="000000"/>
                <w:lang w:eastAsia="cs-CZ"/>
              </w:rPr>
            </w:pPr>
            <w:r w:rsidRPr="004C684E">
              <w:rPr>
                <w:rFonts w:ascii="Calibri" w:eastAsia="Times New Roman" w:hAnsi="Calibri" w:cs="Times New Roman"/>
                <w:b/>
                <w:bCs/>
                <w:color w:val="000000"/>
                <w:lang w:eastAsia="cs-CZ"/>
              </w:rPr>
              <w:t>14,08%</w:t>
            </w:r>
          </w:p>
        </w:tc>
        <w:tc>
          <w:tcPr>
            <w:tcW w:w="1056" w:type="dxa"/>
            <w:tcBorders>
              <w:top w:val="nil"/>
              <w:left w:val="nil"/>
              <w:bottom w:val="single" w:sz="8" w:space="0" w:color="auto"/>
              <w:right w:val="single" w:sz="8" w:space="0" w:color="auto"/>
            </w:tcBorders>
            <w:noWrap/>
            <w:vAlign w:val="center"/>
            <w:hideMark/>
          </w:tcPr>
          <w:p w14:paraId="06E8C04B" w14:textId="77777777" w:rsidR="00342489" w:rsidRPr="004C684E" w:rsidRDefault="00342489">
            <w:pPr>
              <w:spacing w:after="0" w:line="240" w:lineRule="auto"/>
              <w:rPr>
                <w:rFonts w:ascii="Calibri" w:eastAsia="Times New Roman" w:hAnsi="Calibri" w:cs="Times New Roman"/>
                <w:b/>
                <w:bCs/>
                <w:color w:val="000000"/>
                <w:lang w:eastAsia="cs-CZ"/>
              </w:rPr>
            </w:pPr>
            <w:r w:rsidRPr="004C684E">
              <w:rPr>
                <w:rFonts w:ascii="Calibri" w:eastAsia="Times New Roman" w:hAnsi="Calibri" w:cs="Times New Roman"/>
                <w:b/>
                <w:bCs/>
                <w:color w:val="000000"/>
                <w:lang w:eastAsia="cs-CZ"/>
              </w:rPr>
              <w:t>16,25%</w:t>
            </w:r>
          </w:p>
        </w:tc>
        <w:tc>
          <w:tcPr>
            <w:tcW w:w="1056" w:type="dxa"/>
            <w:tcBorders>
              <w:top w:val="nil"/>
              <w:left w:val="nil"/>
              <w:bottom w:val="single" w:sz="8" w:space="0" w:color="auto"/>
              <w:right w:val="single" w:sz="8" w:space="0" w:color="auto"/>
            </w:tcBorders>
            <w:noWrap/>
            <w:vAlign w:val="center"/>
            <w:hideMark/>
          </w:tcPr>
          <w:p w14:paraId="2A25B4D8" w14:textId="77777777" w:rsidR="00342489" w:rsidRPr="004C684E" w:rsidRDefault="00342489">
            <w:pPr>
              <w:spacing w:after="0" w:line="240" w:lineRule="auto"/>
              <w:rPr>
                <w:rFonts w:ascii="Calibri" w:eastAsia="Times New Roman" w:hAnsi="Calibri" w:cs="Times New Roman"/>
                <w:b/>
                <w:bCs/>
                <w:color w:val="000000"/>
                <w:lang w:eastAsia="cs-CZ"/>
              </w:rPr>
            </w:pPr>
            <w:r w:rsidRPr="004C684E">
              <w:rPr>
                <w:rFonts w:ascii="Calibri" w:eastAsia="Times New Roman" w:hAnsi="Calibri" w:cs="Times New Roman"/>
                <w:b/>
                <w:bCs/>
                <w:color w:val="000000"/>
                <w:lang w:eastAsia="cs-CZ"/>
              </w:rPr>
              <w:t>16,49%</w:t>
            </w:r>
          </w:p>
        </w:tc>
        <w:tc>
          <w:tcPr>
            <w:tcW w:w="1056" w:type="dxa"/>
            <w:tcBorders>
              <w:top w:val="nil"/>
              <w:left w:val="nil"/>
              <w:bottom w:val="single" w:sz="8" w:space="0" w:color="auto"/>
              <w:right w:val="single" w:sz="8" w:space="0" w:color="auto"/>
            </w:tcBorders>
            <w:noWrap/>
            <w:vAlign w:val="center"/>
            <w:hideMark/>
          </w:tcPr>
          <w:p w14:paraId="039793C5" w14:textId="77777777" w:rsidR="00342489" w:rsidRPr="004C684E" w:rsidRDefault="00342489">
            <w:pPr>
              <w:spacing w:after="0" w:line="240" w:lineRule="auto"/>
              <w:rPr>
                <w:rFonts w:ascii="Calibri" w:eastAsia="Times New Roman" w:hAnsi="Calibri" w:cs="Times New Roman"/>
                <w:b/>
                <w:bCs/>
                <w:color w:val="000000"/>
                <w:lang w:eastAsia="cs-CZ"/>
              </w:rPr>
            </w:pPr>
            <w:r w:rsidRPr="004C684E">
              <w:rPr>
                <w:rFonts w:ascii="Calibri" w:eastAsia="Times New Roman" w:hAnsi="Calibri" w:cs="Times New Roman"/>
                <w:b/>
                <w:bCs/>
                <w:color w:val="000000"/>
                <w:lang w:eastAsia="cs-CZ"/>
              </w:rPr>
              <w:t>14,64%</w:t>
            </w:r>
          </w:p>
        </w:tc>
        <w:tc>
          <w:tcPr>
            <w:tcW w:w="1056" w:type="dxa"/>
            <w:tcBorders>
              <w:top w:val="nil"/>
              <w:left w:val="nil"/>
              <w:bottom w:val="single" w:sz="8" w:space="0" w:color="auto"/>
              <w:right w:val="single" w:sz="8" w:space="0" w:color="auto"/>
            </w:tcBorders>
            <w:noWrap/>
            <w:vAlign w:val="center"/>
            <w:hideMark/>
          </w:tcPr>
          <w:p w14:paraId="690CA31D" w14:textId="77777777" w:rsidR="00342489" w:rsidRPr="004C684E" w:rsidRDefault="00342489">
            <w:pPr>
              <w:spacing w:after="0" w:line="240" w:lineRule="auto"/>
              <w:rPr>
                <w:rFonts w:ascii="Calibri" w:eastAsia="Times New Roman" w:hAnsi="Calibri" w:cs="Times New Roman"/>
                <w:b/>
                <w:bCs/>
                <w:color w:val="000000"/>
                <w:lang w:eastAsia="cs-CZ"/>
              </w:rPr>
            </w:pPr>
            <w:r w:rsidRPr="004C684E">
              <w:rPr>
                <w:rFonts w:ascii="Calibri" w:eastAsia="Times New Roman" w:hAnsi="Calibri" w:cs="Times New Roman"/>
                <w:b/>
                <w:bCs/>
                <w:color w:val="000000"/>
                <w:lang w:eastAsia="cs-CZ"/>
              </w:rPr>
              <w:t>1,72%</w:t>
            </w:r>
          </w:p>
        </w:tc>
        <w:tc>
          <w:tcPr>
            <w:tcW w:w="1056" w:type="dxa"/>
            <w:tcBorders>
              <w:top w:val="nil"/>
              <w:left w:val="nil"/>
              <w:bottom w:val="single" w:sz="8" w:space="0" w:color="auto"/>
              <w:right w:val="single" w:sz="8" w:space="0" w:color="auto"/>
            </w:tcBorders>
            <w:noWrap/>
            <w:vAlign w:val="center"/>
            <w:hideMark/>
          </w:tcPr>
          <w:p w14:paraId="24DA725E" w14:textId="77777777" w:rsidR="00342489" w:rsidRPr="004C684E" w:rsidRDefault="00342489">
            <w:pPr>
              <w:spacing w:after="0" w:line="240" w:lineRule="auto"/>
              <w:rPr>
                <w:rFonts w:ascii="Calibri" w:eastAsia="Times New Roman" w:hAnsi="Calibri" w:cs="Times New Roman"/>
                <w:b/>
                <w:bCs/>
                <w:color w:val="000000"/>
                <w:lang w:eastAsia="cs-CZ"/>
              </w:rPr>
            </w:pPr>
            <w:r w:rsidRPr="004C684E">
              <w:rPr>
                <w:rFonts w:ascii="Calibri" w:eastAsia="Times New Roman" w:hAnsi="Calibri" w:cs="Times New Roman"/>
                <w:b/>
                <w:bCs/>
                <w:color w:val="000000"/>
                <w:lang w:eastAsia="cs-CZ"/>
              </w:rPr>
              <w:t>22,95%</w:t>
            </w:r>
          </w:p>
        </w:tc>
      </w:tr>
      <w:tr w:rsidR="00342489" w14:paraId="149161C2" w14:textId="77777777" w:rsidTr="00167331">
        <w:trPr>
          <w:trHeight w:val="321"/>
          <w:jc w:val="center"/>
        </w:trPr>
        <w:tc>
          <w:tcPr>
            <w:tcW w:w="3257" w:type="dxa"/>
            <w:tcBorders>
              <w:top w:val="nil"/>
              <w:left w:val="single" w:sz="8" w:space="0" w:color="auto"/>
              <w:bottom w:val="single" w:sz="8" w:space="0" w:color="auto"/>
              <w:right w:val="single" w:sz="8" w:space="0" w:color="auto"/>
            </w:tcBorders>
            <w:noWrap/>
            <w:vAlign w:val="center"/>
            <w:hideMark/>
          </w:tcPr>
          <w:p w14:paraId="34BECC21"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počítačové služby a software</w:t>
            </w:r>
          </w:p>
        </w:tc>
        <w:tc>
          <w:tcPr>
            <w:tcW w:w="1056" w:type="dxa"/>
            <w:tcBorders>
              <w:top w:val="nil"/>
              <w:left w:val="nil"/>
              <w:bottom w:val="single" w:sz="8" w:space="0" w:color="auto"/>
              <w:right w:val="single" w:sz="8" w:space="0" w:color="auto"/>
            </w:tcBorders>
            <w:noWrap/>
            <w:vAlign w:val="center"/>
            <w:hideMark/>
          </w:tcPr>
          <w:p w14:paraId="16A9E2E3"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8,54%</w:t>
            </w:r>
          </w:p>
        </w:tc>
        <w:tc>
          <w:tcPr>
            <w:tcW w:w="1056" w:type="dxa"/>
            <w:tcBorders>
              <w:top w:val="nil"/>
              <w:left w:val="nil"/>
              <w:bottom w:val="single" w:sz="8" w:space="0" w:color="auto"/>
              <w:right w:val="single" w:sz="8" w:space="0" w:color="auto"/>
            </w:tcBorders>
            <w:noWrap/>
            <w:vAlign w:val="center"/>
            <w:hideMark/>
          </w:tcPr>
          <w:p w14:paraId="0E71CA3A"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11,08%</w:t>
            </w:r>
          </w:p>
        </w:tc>
        <w:tc>
          <w:tcPr>
            <w:tcW w:w="1056" w:type="dxa"/>
            <w:tcBorders>
              <w:top w:val="nil"/>
              <w:left w:val="nil"/>
              <w:bottom w:val="single" w:sz="8" w:space="0" w:color="auto"/>
              <w:right w:val="single" w:sz="8" w:space="0" w:color="auto"/>
            </w:tcBorders>
            <w:noWrap/>
            <w:vAlign w:val="center"/>
            <w:hideMark/>
          </w:tcPr>
          <w:p w14:paraId="3E67C98B"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6,65%</w:t>
            </w:r>
          </w:p>
        </w:tc>
        <w:tc>
          <w:tcPr>
            <w:tcW w:w="1056" w:type="dxa"/>
            <w:tcBorders>
              <w:top w:val="nil"/>
              <w:left w:val="nil"/>
              <w:bottom w:val="single" w:sz="8" w:space="0" w:color="auto"/>
              <w:right w:val="single" w:sz="8" w:space="0" w:color="auto"/>
            </w:tcBorders>
            <w:noWrap/>
            <w:vAlign w:val="center"/>
            <w:hideMark/>
          </w:tcPr>
          <w:p w14:paraId="2EABB55C"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6,81%</w:t>
            </w:r>
          </w:p>
        </w:tc>
        <w:tc>
          <w:tcPr>
            <w:tcW w:w="1056" w:type="dxa"/>
            <w:tcBorders>
              <w:top w:val="nil"/>
              <w:left w:val="nil"/>
              <w:bottom w:val="single" w:sz="8" w:space="0" w:color="auto"/>
              <w:right w:val="single" w:sz="8" w:space="0" w:color="auto"/>
            </w:tcBorders>
            <w:noWrap/>
            <w:vAlign w:val="center"/>
            <w:hideMark/>
          </w:tcPr>
          <w:p w14:paraId="0C59586D"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18,22%</w:t>
            </w:r>
          </w:p>
        </w:tc>
        <w:tc>
          <w:tcPr>
            <w:tcW w:w="1056" w:type="dxa"/>
            <w:tcBorders>
              <w:top w:val="nil"/>
              <w:left w:val="nil"/>
              <w:bottom w:val="single" w:sz="8" w:space="0" w:color="auto"/>
              <w:right w:val="single" w:sz="8" w:space="0" w:color="auto"/>
            </w:tcBorders>
            <w:noWrap/>
            <w:vAlign w:val="center"/>
            <w:hideMark/>
          </w:tcPr>
          <w:p w14:paraId="5AA20472"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28,82%</w:t>
            </w:r>
          </w:p>
        </w:tc>
      </w:tr>
      <w:tr w:rsidR="00342489" w14:paraId="05E2244B" w14:textId="77777777" w:rsidTr="00167331">
        <w:trPr>
          <w:trHeight w:val="321"/>
          <w:jc w:val="center"/>
        </w:trPr>
        <w:tc>
          <w:tcPr>
            <w:tcW w:w="3257" w:type="dxa"/>
            <w:tcBorders>
              <w:top w:val="nil"/>
              <w:left w:val="single" w:sz="8" w:space="0" w:color="auto"/>
              <w:bottom w:val="single" w:sz="8" w:space="0" w:color="auto"/>
              <w:right w:val="single" w:sz="8" w:space="0" w:color="auto"/>
            </w:tcBorders>
            <w:noWrap/>
            <w:vAlign w:val="center"/>
            <w:hideMark/>
          </w:tcPr>
          <w:p w14:paraId="286008E0"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technické služby</w:t>
            </w:r>
          </w:p>
        </w:tc>
        <w:tc>
          <w:tcPr>
            <w:tcW w:w="1056" w:type="dxa"/>
            <w:tcBorders>
              <w:top w:val="nil"/>
              <w:left w:val="nil"/>
              <w:bottom w:val="single" w:sz="8" w:space="0" w:color="auto"/>
              <w:right w:val="single" w:sz="8" w:space="0" w:color="auto"/>
            </w:tcBorders>
            <w:noWrap/>
            <w:vAlign w:val="center"/>
            <w:hideMark/>
          </w:tcPr>
          <w:p w14:paraId="07413219"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3,82%</w:t>
            </w:r>
          </w:p>
        </w:tc>
        <w:tc>
          <w:tcPr>
            <w:tcW w:w="1056" w:type="dxa"/>
            <w:tcBorders>
              <w:top w:val="nil"/>
              <w:left w:val="nil"/>
              <w:bottom w:val="single" w:sz="8" w:space="0" w:color="auto"/>
              <w:right w:val="single" w:sz="8" w:space="0" w:color="auto"/>
            </w:tcBorders>
            <w:noWrap/>
            <w:vAlign w:val="center"/>
            <w:hideMark/>
          </w:tcPr>
          <w:p w14:paraId="6B2BAFD0"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2,28%</w:t>
            </w:r>
          </w:p>
        </w:tc>
        <w:tc>
          <w:tcPr>
            <w:tcW w:w="1056" w:type="dxa"/>
            <w:tcBorders>
              <w:top w:val="nil"/>
              <w:left w:val="nil"/>
              <w:bottom w:val="single" w:sz="8" w:space="0" w:color="auto"/>
              <w:right w:val="single" w:sz="8" w:space="0" w:color="auto"/>
            </w:tcBorders>
            <w:noWrap/>
            <w:vAlign w:val="center"/>
            <w:hideMark/>
          </w:tcPr>
          <w:p w14:paraId="0604AA63"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3,87%</w:t>
            </w:r>
          </w:p>
        </w:tc>
        <w:tc>
          <w:tcPr>
            <w:tcW w:w="1056" w:type="dxa"/>
            <w:tcBorders>
              <w:top w:val="nil"/>
              <w:left w:val="nil"/>
              <w:bottom w:val="single" w:sz="8" w:space="0" w:color="auto"/>
              <w:right w:val="single" w:sz="8" w:space="0" w:color="auto"/>
            </w:tcBorders>
            <w:noWrap/>
            <w:vAlign w:val="center"/>
            <w:hideMark/>
          </w:tcPr>
          <w:p w14:paraId="7C095A20"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1,72%</w:t>
            </w:r>
          </w:p>
        </w:tc>
        <w:tc>
          <w:tcPr>
            <w:tcW w:w="1056" w:type="dxa"/>
            <w:tcBorders>
              <w:top w:val="nil"/>
              <w:left w:val="nil"/>
              <w:bottom w:val="single" w:sz="8" w:space="0" w:color="auto"/>
              <w:right w:val="single" w:sz="8" w:space="0" w:color="auto"/>
            </w:tcBorders>
            <w:noWrap/>
            <w:vAlign w:val="center"/>
            <w:hideMark/>
          </w:tcPr>
          <w:p w14:paraId="0DD36661"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3,55%</w:t>
            </w:r>
          </w:p>
        </w:tc>
        <w:tc>
          <w:tcPr>
            <w:tcW w:w="1056" w:type="dxa"/>
            <w:tcBorders>
              <w:top w:val="nil"/>
              <w:left w:val="nil"/>
              <w:bottom w:val="single" w:sz="8" w:space="0" w:color="auto"/>
              <w:right w:val="single" w:sz="8" w:space="0" w:color="auto"/>
            </w:tcBorders>
            <w:noWrap/>
            <w:vAlign w:val="center"/>
            <w:hideMark/>
          </w:tcPr>
          <w:p w14:paraId="020B4852"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4,57%</w:t>
            </w:r>
          </w:p>
        </w:tc>
      </w:tr>
      <w:tr w:rsidR="00342489" w14:paraId="1DC9E9A6" w14:textId="77777777" w:rsidTr="00167331">
        <w:trPr>
          <w:trHeight w:val="321"/>
          <w:jc w:val="center"/>
        </w:trPr>
        <w:tc>
          <w:tcPr>
            <w:tcW w:w="3257" w:type="dxa"/>
            <w:tcBorders>
              <w:top w:val="nil"/>
              <w:left w:val="single" w:sz="8" w:space="0" w:color="auto"/>
              <w:bottom w:val="single" w:sz="8" w:space="0" w:color="auto"/>
              <w:right w:val="single" w:sz="8" w:space="0" w:color="auto"/>
            </w:tcBorders>
            <w:noWrap/>
            <w:vAlign w:val="center"/>
            <w:hideMark/>
          </w:tcPr>
          <w:p w14:paraId="4F97150F"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 xml:space="preserve">služby výzkumu a vývoje </w:t>
            </w:r>
          </w:p>
        </w:tc>
        <w:tc>
          <w:tcPr>
            <w:tcW w:w="1056" w:type="dxa"/>
            <w:tcBorders>
              <w:top w:val="nil"/>
              <w:left w:val="nil"/>
              <w:bottom w:val="single" w:sz="8" w:space="0" w:color="auto"/>
              <w:right w:val="single" w:sz="8" w:space="0" w:color="auto"/>
            </w:tcBorders>
            <w:noWrap/>
            <w:vAlign w:val="center"/>
            <w:hideMark/>
          </w:tcPr>
          <w:p w14:paraId="720FB9AD"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1,04%</w:t>
            </w:r>
          </w:p>
        </w:tc>
        <w:tc>
          <w:tcPr>
            <w:tcW w:w="1056" w:type="dxa"/>
            <w:tcBorders>
              <w:top w:val="nil"/>
              <w:left w:val="nil"/>
              <w:bottom w:val="single" w:sz="8" w:space="0" w:color="auto"/>
              <w:right w:val="single" w:sz="8" w:space="0" w:color="auto"/>
            </w:tcBorders>
            <w:noWrap/>
            <w:vAlign w:val="center"/>
            <w:hideMark/>
          </w:tcPr>
          <w:p w14:paraId="60531F93"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2,46%</w:t>
            </w:r>
          </w:p>
        </w:tc>
        <w:tc>
          <w:tcPr>
            <w:tcW w:w="1056" w:type="dxa"/>
            <w:tcBorders>
              <w:top w:val="nil"/>
              <w:left w:val="nil"/>
              <w:bottom w:val="single" w:sz="8" w:space="0" w:color="auto"/>
              <w:right w:val="single" w:sz="8" w:space="0" w:color="auto"/>
            </w:tcBorders>
            <w:noWrap/>
            <w:vAlign w:val="center"/>
            <w:hideMark/>
          </w:tcPr>
          <w:p w14:paraId="6FEF42CF"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3,37%</w:t>
            </w:r>
          </w:p>
        </w:tc>
        <w:tc>
          <w:tcPr>
            <w:tcW w:w="1056" w:type="dxa"/>
            <w:tcBorders>
              <w:top w:val="nil"/>
              <w:left w:val="nil"/>
              <w:bottom w:val="single" w:sz="8" w:space="0" w:color="auto"/>
              <w:right w:val="single" w:sz="8" w:space="0" w:color="auto"/>
            </w:tcBorders>
            <w:noWrap/>
            <w:vAlign w:val="center"/>
            <w:hideMark/>
          </w:tcPr>
          <w:p w14:paraId="48E2FB6E"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3,56%</w:t>
            </w:r>
          </w:p>
        </w:tc>
        <w:tc>
          <w:tcPr>
            <w:tcW w:w="1056" w:type="dxa"/>
            <w:tcBorders>
              <w:top w:val="nil"/>
              <w:left w:val="nil"/>
              <w:bottom w:val="single" w:sz="8" w:space="0" w:color="auto"/>
              <w:right w:val="single" w:sz="8" w:space="0" w:color="auto"/>
            </w:tcBorders>
            <w:noWrap/>
            <w:vAlign w:val="center"/>
            <w:hideMark/>
          </w:tcPr>
          <w:p w14:paraId="46D48B18"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-10,84%</w:t>
            </w:r>
          </w:p>
        </w:tc>
        <w:tc>
          <w:tcPr>
            <w:tcW w:w="1056" w:type="dxa"/>
            <w:tcBorders>
              <w:top w:val="nil"/>
              <w:left w:val="nil"/>
              <w:bottom w:val="single" w:sz="8" w:space="0" w:color="auto"/>
              <w:right w:val="single" w:sz="8" w:space="0" w:color="auto"/>
            </w:tcBorders>
            <w:noWrap/>
            <w:vAlign w:val="center"/>
            <w:hideMark/>
          </w:tcPr>
          <w:p w14:paraId="62E8F348"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-2,13%</w:t>
            </w:r>
          </w:p>
        </w:tc>
      </w:tr>
      <w:tr w:rsidR="00342489" w14:paraId="656D8E6F" w14:textId="77777777" w:rsidTr="00167331">
        <w:trPr>
          <w:trHeight w:val="321"/>
          <w:jc w:val="center"/>
        </w:trPr>
        <w:tc>
          <w:tcPr>
            <w:tcW w:w="3257" w:type="dxa"/>
            <w:tcBorders>
              <w:top w:val="nil"/>
              <w:left w:val="single" w:sz="8" w:space="0" w:color="auto"/>
              <w:bottom w:val="single" w:sz="8" w:space="0" w:color="auto"/>
              <w:right w:val="single" w:sz="8" w:space="0" w:color="auto"/>
            </w:tcBorders>
            <w:noWrap/>
            <w:vAlign w:val="center"/>
            <w:hideMark/>
          </w:tcPr>
          <w:p w14:paraId="66154CA2"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licenční poplatky</w:t>
            </w:r>
          </w:p>
        </w:tc>
        <w:tc>
          <w:tcPr>
            <w:tcW w:w="1056" w:type="dxa"/>
            <w:tcBorders>
              <w:top w:val="nil"/>
              <w:left w:val="nil"/>
              <w:bottom w:val="single" w:sz="8" w:space="0" w:color="auto"/>
              <w:right w:val="single" w:sz="8" w:space="0" w:color="auto"/>
            </w:tcBorders>
            <w:noWrap/>
            <w:vAlign w:val="center"/>
            <w:hideMark/>
          </w:tcPr>
          <w:p w14:paraId="5A29E00E"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0,68%</w:t>
            </w:r>
          </w:p>
        </w:tc>
        <w:tc>
          <w:tcPr>
            <w:tcW w:w="1056" w:type="dxa"/>
            <w:tcBorders>
              <w:top w:val="nil"/>
              <w:left w:val="nil"/>
              <w:bottom w:val="single" w:sz="8" w:space="0" w:color="auto"/>
              <w:right w:val="single" w:sz="8" w:space="0" w:color="auto"/>
            </w:tcBorders>
            <w:noWrap/>
            <w:vAlign w:val="center"/>
            <w:hideMark/>
          </w:tcPr>
          <w:p w14:paraId="138566EF"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0,43%</w:t>
            </w:r>
          </w:p>
        </w:tc>
        <w:tc>
          <w:tcPr>
            <w:tcW w:w="1056" w:type="dxa"/>
            <w:tcBorders>
              <w:top w:val="nil"/>
              <w:left w:val="nil"/>
              <w:bottom w:val="single" w:sz="8" w:space="0" w:color="auto"/>
              <w:right w:val="single" w:sz="8" w:space="0" w:color="auto"/>
            </w:tcBorders>
            <w:noWrap/>
            <w:vAlign w:val="center"/>
            <w:hideMark/>
          </w:tcPr>
          <w:p w14:paraId="7FCA9D3C"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2,61%</w:t>
            </w:r>
          </w:p>
        </w:tc>
        <w:tc>
          <w:tcPr>
            <w:tcW w:w="1056" w:type="dxa"/>
            <w:tcBorders>
              <w:top w:val="nil"/>
              <w:left w:val="nil"/>
              <w:bottom w:val="single" w:sz="8" w:space="0" w:color="auto"/>
              <w:right w:val="single" w:sz="8" w:space="0" w:color="auto"/>
            </w:tcBorders>
            <w:noWrap/>
            <w:vAlign w:val="center"/>
            <w:hideMark/>
          </w:tcPr>
          <w:p w14:paraId="1AFF12C4"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2,54%</w:t>
            </w:r>
          </w:p>
        </w:tc>
        <w:tc>
          <w:tcPr>
            <w:tcW w:w="1056" w:type="dxa"/>
            <w:tcBorders>
              <w:top w:val="nil"/>
              <w:left w:val="nil"/>
              <w:bottom w:val="single" w:sz="8" w:space="0" w:color="auto"/>
              <w:right w:val="single" w:sz="8" w:space="0" w:color="auto"/>
            </w:tcBorders>
            <w:noWrap/>
            <w:vAlign w:val="center"/>
            <w:hideMark/>
          </w:tcPr>
          <w:p w14:paraId="467FA85E"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-9,20%</w:t>
            </w:r>
          </w:p>
        </w:tc>
        <w:tc>
          <w:tcPr>
            <w:tcW w:w="1056" w:type="dxa"/>
            <w:tcBorders>
              <w:top w:val="nil"/>
              <w:left w:val="nil"/>
              <w:bottom w:val="single" w:sz="8" w:space="0" w:color="auto"/>
              <w:right w:val="single" w:sz="8" w:space="0" w:color="auto"/>
            </w:tcBorders>
            <w:noWrap/>
            <w:vAlign w:val="center"/>
            <w:hideMark/>
          </w:tcPr>
          <w:p w14:paraId="2A6AFCB6" w14:textId="77777777" w:rsidR="00342489" w:rsidRPr="004C684E" w:rsidRDefault="00342489">
            <w:pPr>
              <w:spacing w:after="0" w:line="240" w:lineRule="auto"/>
              <w:rPr>
                <w:rFonts w:ascii="Calibri" w:eastAsia="Times New Roman" w:hAnsi="Calibri" w:cs="Times New Roman"/>
                <w:color w:val="000000"/>
                <w:lang w:eastAsia="cs-CZ"/>
              </w:rPr>
            </w:pPr>
            <w:r w:rsidRPr="004C684E">
              <w:rPr>
                <w:rFonts w:ascii="Calibri" w:eastAsia="Times New Roman" w:hAnsi="Calibri" w:cs="Times New Roman"/>
                <w:color w:val="000000"/>
                <w:lang w:eastAsia="cs-CZ"/>
              </w:rPr>
              <w:t>-8,31%</w:t>
            </w:r>
          </w:p>
        </w:tc>
      </w:tr>
    </w:tbl>
    <w:p w14:paraId="36FE1AA2" w14:textId="77777777" w:rsidR="00342489" w:rsidRPr="00303B05" w:rsidRDefault="00342489" w:rsidP="00342489">
      <w:pPr>
        <w:spacing w:before="60" w:after="0"/>
        <w:rPr>
          <w:i/>
          <w:sz w:val="18"/>
        </w:rPr>
      </w:pPr>
      <w:r w:rsidRPr="00303B05">
        <w:rPr>
          <w:i/>
          <w:sz w:val="18"/>
        </w:rPr>
        <w:t>Zdroj: ČSÚ, Technologická platební bilance</w:t>
      </w:r>
    </w:p>
    <w:p w14:paraId="4D507851" w14:textId="77777777" w:rsidR="00342489" w:rsidRPr="004E5398" w:rsidRDefault="00342489" w:rsidP="00342489">
      <w:pPr>
        <w:spacing w:after="0"/>
        <w:rPr>
          <w:sz w:val="18"/>
        </w:rPr>
      </w:pPr>
      <w:r w:rsidRPr="004E5398">
        <w:rPr>
          <w:sz w:val="18"/>
        </w:rPr>
        <w:t>Pozn.: *předběžná data</w:t>
      </w:r>
    </w:p>
    <w:p w14:paraId="0E794D2D" w14:textId="77777777" w:rsidR="004D25F3" w:rsidRDefault="004D25F3" w:rsidP="005641F9">
      <w:pPr>
        <w:spacing w:after="0"/>
        <w:rPr>
          <w:i/>
        </w:rPr>
      </w:pPr>
    </w:p>
    <w:p w14:paraId="54B3ABA3" w14:textId="77777777" w:rsidR="00213F31" w:rsidRPr="00BA4F8E" w:rsidRDefault="00213F31" w:rsidP="005641F9">
      <w:pPr>
        <w:spacing w:after="0"/>
        <w:rPr>
          <w:i/>
        </w:rPr>
      </w:pPr>
    </w:p>
    <w:p w14:paraId="025A383F" w14:textId="77777777" w:rsidR="00783DB6" w:rsidRPr="00AC3E83" w:rsidRDefault="00783DB6" w:rsidP="004D25F3">
      <w:pPr>
        <w:jc w:val="both"/>
        <w:rPr>
          <w:b/>
        </w:rPr>
      </w:pPr>
      <w:r w:rsidRPr="00AC3E83">
        <w:rPr>
          <w:b/>
        </w:rPr>
        <w:t>ČR vytvoří a nabídne příznivé pracovní prostředí, tj. kreativní ekosystém pro podnikání (na všech úrovních)</w:t>
      </w:r>
    </w:p>
    <w:p w14:paraId="41797D08" w14:textId="3B994C65" w:rsidR="00783DB6" w:rsidRPr="00BA4F8E" w:rsidRDefault="00783DB6" w:rsidP="00580DE3">
      <w:pPr>
        <w:pStyle w:val="Titulek"/>
      </w:pPr>
      <w:bookmarkStart w:id="239" w:name="_Toc524677685"/>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25</w:t>
      </w:r>
      <w:r w:rsidR="00EE7C52">
        <w:rPr>
          <w:noProof/>
        </w:rPr>
        <w:fldChar w:fldCharType="end"/>
      </w:r>
      <w:r w:rsidRPr="00BA4F8E">
        <w:t xml:space="preserve"> - Snadnost podnikání</w:t>
      </w:r>
      <w:bookmarkEnd w:id="239"/>
    </w:p>
    <w:tbl>
      <w:tblPr>
        <w:tblW w:w="6164" w:type="dxa"/>
        <w:jc w:val="center"/>
        <w:tblCellMar>
          <w:left w:w="70" w:type="dxa"/>
          <w:right w:w="70" w:type="dxa"/>
        </w:tblCellMar>
        <w:tblLook w:val="04A0" w:firstRow="1" w:lastRow="0" w:firstColumn="1" w:lastColumn="0" w:noHBand="0" w:noVBand="1"/>
      </w:tblPr>
      <w:tblGrid>
        <w:gridCol w:w="3486"/>
        <w:gridCol w:w="1339"/>
        <w:gridCol w:w="1339"/>
      </w:tblGrid>
      <w:tr w:rsidR="00783DB6" w:rsidRPr="00BA4F8E" w14:paraId="449A478C" w14:textId="77777777" w:rsidTr="00167331">
        <w:trPr>
          <w:trHeight w:val="255"/>
          <w:jc w:val="center"/>
        </w:trPr>
        <w:tc>
          <w:tcPr>
            <w:tcW w:w="3486" w:type="dxa"/>
            <w:tcBorders>
              <w:top w:val="single" w:sz="4" w:space="0" w:color="auto"/>
              <w:left w:val="single" w:sz="4" w:space="0" w:color="auto"/>
              <w:bottom w:val="single" w:sz="4" w:space="0" w:color="auto"/>
              <w:right w:val="single" w:sz="4" w:space="0" w:color="auto"/>
            </w:tcBorders>
            <w:shd w:val="clear" w:color="auto" w:fill="004B8D"/>
            <w:noWrap/>
            <w:vAlign w:val="bottom"/>
            <w:hideMark/>
          </w:tcPr>
          <w:p w14:paraId="25F403A3" w14:textId="77777777" w:rsidR="00783DB6" w:rsidRPr="00167331" w:rsidRDefault="00783DB6">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Ukazatel</w:t>
            </w:r>
          </w:p>
        </w:tc>
        <w:tc>
          <w:tcPr>
            <w:tcW w:w="1339" w:type="dxa"/>
            <w:tcBorders>
              <w:top w:val="single" w:sz="4" w:space="0" w:color="auto"/>
              <w:left w:val="nil"/>
              <w:bottom w:val="single" w:sz="4" w:space="0" w:color="auto"/>
              <w:right w:val="nil"/>
            </w:tcBorders>
            <w:shd w:val="clear" w:color="auto" w:fill="004B8D"/>
            <w:vAlign w:val="bottom"/>
            <w:hideMark/>
          </w:tcPr>
          <w:p w14:paraId="1D3C5092" w14:textId="77777777" w:rsidR="00783DB6" w:rsidRPr="00167331" w:rsidRDefault="00783DB6">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pořadí 2014</w:t>
            </w:r>
          </w:p>
        </w:tc>
        <w:tc>
          <w:tcPr>
            <w:tcW w:w="1339" w:type="dxa"/>
            <w:tcBorders>
              <w:top w:val="single" w:sz="4" w:space="0" w:color="auto"/>
              <w:left w:val="single" w:sz="4" w:space="0" w:color="auto"/>
              <w:bottom w:val="single" w:sz="4" w:space="0" w:color="auto"/>
              <w:right w:val="single" w:sz="4" w:space="0" w:color="auto"/>
            </w:tcBorders>
            <w:shd w:val="clear" w:color="auto" w:fill="004B8D"/>
            <w:noWrap/>
            <w:vAlign w:val="bottom"/>
            <w:hideMark/>
          </w:tcPr>
          <w:p w14:paraId="2DEBA80A" w14:textId="77777777" w:rsidR="00783DB6" w:rsidRPr="00167331" w:rsidRDefault="00783DB6">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pořadí 2018</w:t>
            </w:r>
          </w:p>
        </w:tc>
      </w:tr>
      <w:tr w:rsidR="00783DB6" w:rsidRPr="00BA4F8E" w14:paraId="0DD55BAF"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6DB79D60"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Řešení insolvence</w:t>
            </w:r>
          </w:p>
        </w:tc>
        <w:tc>
          <w:tcPr>
            <w:tcW w:w="1339" w:type="dxa"/>
            <w:tcBorders>
              <w:top w:val="single" w:sz="4" w:space="0" w:color="auto"/>
              <w:left w:val="nil"/>
              <w:bottom w:val="single" w:sz="4" w:space="0" w:color="auto"/>
              <w:right w:val="nil"/>
            </w:tcBorders>
            <w:vAlign w:val="bottom"/>
            <w:hideMark/>
          </w:tcPr>
          <w:p w14:paraId="381D4BB6"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29</w:t>
            </w:r>
          </w:p>
        </w:tc>
        <w:tc>
          <w:tcPr>
            <w:tcW w:w="1339" w:type="dxa"/>
            <w:tcBorders>
              <w:top w:val="nil"/>
              <w:left w:val="single" w:sz="4" w:space="0" w:color="auto"/>
              <w:bottom w:val="single" w:sz="4" w:space="0" w:color="auto"/>
              <w:right w:val="single" w:sz="4" w:space="0" w:color="auto"/>
            </w:tcBorders>
            <w:noWrap/>
            <w:vAlign w:val="bottom"/>
            <w:hideMark/>
          </w:tcPr>
          <w:p w14:paraId="56EE44E1"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25</w:t>
            </w:r>
          </w:p>
        </w:tc>
      </w:tr>
      <w:tr w:rsidR="00783DB6" w:rsidRPr="00BA4F8E" w14:paraId="3A48D661"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4D2B0A49"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Registrování firmy</w:t>
            </w:r>
          </w:p>
        </w:tc>
        <w:tc>
          <w:tcPr>
            <w:tcW w:w="1339" w:type="dxa"/>
            <w:tcBorders>
              <w:top w:val="single" w:sz="4" w:space="0" w:color="auto"/>
              <w:left w:val="nil"/>
              <w:bottom w:val="single" w:sz="4" w:space="0" w:color="auto"/>
              <w:right w:val="nil"/>
            </w:tcBorders>
            <w:vAlign w:val="bottom"/>
            <w:hideMark/>
          </w:tcPr>
          <w:p w14:paraId="073677D4"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37</w:t>
            </w:r>
          </w:p>
        </w:tc>
        <w:tc>
          <w:tcPr>
            <w:tcW w:w="1339" w:type="dxa"/>
            <w:tcBorders>
              <w:top w:val="nil"/>
              <w:left w:val="single" w:sz="4" w:space="0" w:color="auto"/>
              <w:bottom w:val="single" w:sz="4" w:space="0" w:color="auto"/>
              <w:right w:val="single" w:sz="4" w:space="0" w:color="auto"/>
            </w:tcBorders>
            <w:noWrap/>
            <w:vAlign w:val="bottom"/>
            <w:hideMark/>
          </w:tcPr>
          <w:p w14:paraId="4F9FA34E"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32</w:t>
            </w:r>
          </w:p>
        </w:tc>
      </w:tr>
      <w:tr w:rsidR="00783DB6" w:rsidRPr="00BA4F8E" w14:paraId="436134DD"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1755286C"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Dostupnost úvěru</w:t>
            </w:r>
          </w:p>
        </w:tc>
        <w:tc>
          <w:tcPr>
            <w:tcW w:w="1339" w:type="dxa"/>
            <w:tcBorders>
              <w:top w:val="single" w:sz="4" w:space="0" w:color="auto"/>
              <w:left w:val="nil"/>
              <w:bottom w:val="single" w:sz="4" w:space="0" w:color="auto"/>
              <w:right w:val="nil"/>
            </w:tcBorders>
            <w:vAlign w:val="bottom"/>
            <w:hideMark/>
          </w:tcPr>
          <w:p w14:paraId="38FC8144"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55</w:t>
            </w:r>
          </w:p>
        </w:tc>
        <w:tc>
          <w:tcPr>
            <w:tcW w:w="1339" w:type="dxa"/>
            <w:tcBorders>
              <w:top w:val="nil"/>
              <w:left w:val="single" w:sz="4" w:space="0" w:color="auto"/>
              <w:bottom w:val="single" w:sz="4" w:space="0" w:color="auto"/>
              <w:right w:val="single" w:sz="4" w:space="0" w:color="auto"/>
            </w:tcBorders>
            <w:noWrap/>
            <w:vAlign w:val="bottom"/>
            <w:hideMark/>
          </w:tcPr>
          <w:p w14:paraId="49F7D2DD"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42</w:t>
            </w:r>
          </w:p>
        </w:tc>
      </w:tr>
      <w:tr w:rsidR="00783DB6" w:rsidRPr="00BA4F8E" w14:paraId="03215985"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0335CE31"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Zahraniční obchod</w:t>
            </w:r>
          </w:p>
        </w:tc>
        <w:tc>
          <w:tcPr>
            <w:tcW w:w="1339" w:type="dxa"/>
            <w:tcBorders>
              <w:top w:val="single" w:sz="4" w:space="0" w:color="auto"/>
              <w:left w:val="nil"/>
              <w:bottom w:val="single" w:sz="4" w:space="0" w:color="auto"/>
              <w:right w:val="nil"/>
            </w:tcBorders>
            <w:vAlign w:val="bottom"/>
            <w:hideMark/>
          </w:tcPr>
          <w:p w14:paraId="4233E15A"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68</w:t>
            </w:r>
          </w:p>
        </w:tc>
        <w:tc>
          <w:tcPr>
            <w:tcW w:w="1339" w:type="dxa"/>
            <w:tcBorders>
              <w:top w:val="nil"/>
              <w:left w:val="single" w:sz="4" w:space="0" w:color="auto"/>
              <w:bottom w:val="single" w:sz="4" w:space="0" w:color="auto"/>
              <w:right w:val="single" w:sz="4" w:space="0" w:color="auto"/>
            </w:tcBorders>
            <w:noWrap/>
            <w:vAlign w:val="bottom"/>
            <w:hideMark/>
          </w:tcPr>
          <w:p w14:paraId="5B591256"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1</w:t>
            </w:r>
          </w:p>
        </w:tc>
      </w:tr>
      <w:tr w:rsidR="00783DB6" w:rsidRPr="00BA4F8E" w14:paraId="593A36E9"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3173E27D"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Vymahatelnost smluv</w:t>
            </w:r>
          </w:p>
        </w:tc>
        <w:tc>
          <w:tcPr>
            <w:tcW w:w="1339" w:type="dxa"/>
            <w:tcBorders>
              <w:top w:val="single" w:sz="4" w:space="0" w:color="auto"/>
              <w:left w:val="nil"/>
              <w:bottom w:val="single" w:sz="4" w:space="0" w:color="auto"/>
              <w:right w:val="nil"/>
            </w:tcBorders>
            <w:vAlign w:val="bottom"/>
            <w:hideMark/>
          </w:tcPr>
          <w:p w14:paraId="45C49E78"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75</w:t>
            </w:r>
          </w:p>
        </w:tc>
        <w:tc>
          <w:tcPr>
            <w:tcW w:w="1339" w:type="dxa"/>
            <w:tcBorders>
              <w:top w:val="nil"/>
              <w:left w:val="single" w:sz="4" w:space="0" w:color="auto"/>
              <w:bottom w:val="single" w:sz="4" w:space="0" w:color="auto"/>
              <w:right w:val="single" w:sz="4" w:space="0" w:color="auto"/>
            </w:tcBorders>
            <w:noWrap/>
            <w:vAlign w:val="bottom"/>
            <w:hideMark/>
          </w:tcPr>
          <w:p w14:paraId="23002FE5"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91</w:t>
            </w:r>
          </w:p>
        </w:tc>
      </w:tr>
      <w:tr w:rsidR="00783DB6" w:rsidRPr="00BA4F8E" w14:paraId="77263F2C"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295976DE"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Získání stavebního povolení</w:t>
            </w:r>
          </w:p>
        </w:tc>
        <w:tc>
          <w:tcPr>
            <w:tcW w:w="1339" w:type="dxa"/>
            <w:tcBorders>
              <w:top w:val="single" w:sz="4" w:space="0" w:color="auto"/>
              <w:left w:val="nil"/>
              <w:bottom w:val="single" w:sz="4" w:space="0" w:color="auto"/>
              <w:right w:val="nil"/>
            </w:tcBorders>
            <w:vAlign w:val="bottom"/>
            <w:hideMark/>
          </w:tcPr>
          <w:p w14:paraId="6831DD8A"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86</w:t>
            </w:r>
          </w:p>
        </w:tc>
        <w:tc>
          <w:tcPr>
            <w:tcW w:w="1339" w:type="dxa"/>
            <w:tcBorders>
              <w:top w:val="nil"/>
              <w:left w:val="single" w:sz="4" w:space="0" w:color="auto"/>
              <w:bottom w:val="single" w:sz="4" w:space="0" w:color="auto"/>
              <w:right w:val="single" w:sz="4" w:space="0" w:color="auto"/>
            </w:tcBorders>
            <w:noWrap/>
            <w:vAlign w:val="bottom"/>
            <w:hideMark/>
          </w:tcPr>
          <w:p w14:paraId="5C0CEE7E"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127</w:t>
            </w:r>
          </w:p>
        </w:tc>
      </w:tr>
      <w:tr w:rsidR="00783DB6" w:rsidRPr="00BA4F8E" w14:paraId="1C97AA8E"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11526E4D"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Ochrana menšinových akcionářů</w:t>
            </w:r>
          </w:p>
        </w:tc>
        <w:tc>
          <w:tcPr>
            <w:tcW w:w="1339" w:type="dxa"/>
            <w:tcBorders>
              <w:top w:val="single" w:sz="4" w:space="0" w:color="auto"/>
              <w:left w:val="nil"/>
              <w:bottom w:val="single" w:sz="4" w:space="0" w:color="auto"/>
              <w:right w:val="nil"/>
            </w:tcBorders>
            <w:vAlign w:val="bottom"/>
            <w:hideMark/>
          </w:tcPr>
          <w:p w14:paraId="225E486E"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98</w:t>
            </w:r>
          </w:p>
        </w:tc>
        <w:tc>
          <w:tcPr>
            <w:tcW w:w="1339" w:type="dxa"/>
            <w:tcBorders>
              <w:top w:val="nil"/>
              <w:left w:val="single" w:sz="4" w:space="0" w:color="auto"/>
              <w:bottom w:val="single" w:sz="4" w:space="0" w:color="auto"/>
              <w:right w:val="single" w:sz="4" w:space="0" w:color="auto"/>
            </w:tcBorders>
            <w:noWrap/>
            <w:vAlign w:val="bottom"/>
            <w:hideMark/>
          </w:tcPr>
          <w:p w14:paraId="160D703E"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62</w:t>
            </w:r>
          </w:p>
        </w:tc>
      </w:tr>
      <w:tr w:rsidR="00783DB6" w:rsidRPr="00BA4F8E" w14:paraId="0E44B531"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0176CDA0"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Placení daní</w:t>
            </w:r>
          </w:p>
        </w:tc>
        <w:tc>
          <w:tcPr>
            <w:tcW w:w="1339" w:type="dxa"/>
            <w:tcBorders>
              <w:top w:val="single" w:sz="4" w:space="0" w:color="auto"/>
              <w:left w:val="nil"/>
              <w:bottom w:val="single" w:sz="4" w:space="0" w:color="auto"/>
              <w:right w:val="nil"/>
            </w:tcBorders>
            <w:vAlign w:val="bottom"/>
            <w:hideMark/>
          </w:tcPr>
          <w:p w14:paraId="45BB23E7"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122</w:t>
            </w:r>
          </w:p>
        </w:tc>
        <w:tc>
          <w:tcPr>
            <w:tcW w:w="1339" w:type="dxa"/>
            <w:tcBorders>
              <w:top w:val="nil"/>
              <w:left w:val="single" w:sz="4" w:space="0" w:color="auto"/>
              <w:bottom w:val="single" w:sz="4" w:space="0" w:color="auto"/>
              <w:right w:val="single" w:sz="4" w:space="0" w:color="auto"/>
            </w:tcBorders>
            <w:noWrap/>
            <w:vAlign w:val="bottom"/>
            <w:hideMark/>
          </w:tcPr>
          <w:p w14:paraId="375D3846"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53</w:t>
            </w:r>
          </w:p>
        </w:tc>
      </w:tr>
      <w:tr w:rsidR="00783DB6" w:rsidRPr="00BA4F8E" w14:paraId="77AE9F2D"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7CE7D185"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Založení firmy</w:t>
            </w:r>
          </w:p>
        </w:tc>
        <w:tc>
          <w:tcPr>
            <w:tcW w:w="1339" w:type="dxa"/>
            <w:tcBorders>
              <w:top w:val="single" w:sz="4" w:space="0" w:color="auto"/>
              <w:left w:val="nil"/>
              <w:bottom w:val="single" w:sz="4" w:space="0" w:color="auto"/>
              <w:right w:val="nil"/>
            </w:tcBorders>
            <w:vAlign w:val="bottom"/>
            <w:hideMark/>
          </w:tcPr>
          <w:p w14:paraId="645DC869"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146</w:t>
            </w:r>
          </w:p>
        </w:tc>
        <w:tc>
          <w:tcPr>
            <w:tcW w:w="1339" w:type="dxa"/>
            <w:tcBorders>
              <w:top w:val="nil"/>
              <w:left w:val="single" w:sz="4" w:space="0" w:color="auto"/>
              <w:bottom w:val="single" w:sz="4" w:space="0" w:color="auto"/>
              <w:right w:val="single" w:sz="4" w:space="0" w:color="auto"/>
            </w:tcBorders>
            <w:noWrap/>
            <w:vAlign w:val="bottom"/>
            <w:hideMark/>
          </w:tcPr>
          <w:p w14:paraId="7CDE4FF7"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81</w:t>
            </w:r>
          </w:p>
        </w:tc>
      </w:tr>
      <w:tr w:rsidR="00783DB6" w:rsidRPr="00BA4F8E" w14:paraId="1EA6369C"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011D89A5"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Zavedení elektřiny</w:t>
            </w:r>
          </w:p>
        </w:tc>
        <w:tc>
          <w:tcPr>
            <w:tcW w:w="1339" w:type="dxa"/>
            <w:tcBorders>
              <w:top w:val="single" w:sz="4" w:space="0" w:color="auto"/>
              <w:left w:val="nil"/>
              <w:bottom w:val="single" w:sz="4" w:space="0" w:color="auto"/>
              <w:right w:val="nil"/>
            </w:tcBorders>
            <w:vAlign w:val="bottom"/>
            <w:hideMark/>
          </w:tcPr>
          <w:p w14:paraId="65364200"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146</w:t>
            </w:r>
          </w:p>
        </w:tc>
        <w:tc>
          <w:tcPr>
            <w:tcW w:w="1339" w:type="dxa"/>
            <w:tcBorders>
              <w:top w:val="nil"/>
              <w:left w:val="single" w:sz="4" w:space="0" w:color="auto"/>
              <w:bottom w:val="single" w:sz="4" w:space="0" w:color="auto"/>
              <w:right w:val="single" w:sz="4" w:space="0" w:color="auto"/>
            </w:tcBorders>
            <w:noWrap/>
            <w:vAlign w:val="bottom"/>
            <w:hideMark/>
          </w:tcPr>
          <w:p w14:paraId="6D8EE9A4" w14:textId="77777777" w:rsidR="00783DB6" w:rsidRPr="00BA4F8E" w:rsidRDefault="00783DB6">
            <w:pPr>
              <w:spacing w:after="0" w:line="240" w:lineRule="auto"/>
              <w:rPr>
                <w:rFonts w:eastAsia="Times New Roman" w:cs="Times New Roman"/>
                <w:color w:val="000000"/>
                <w:lang w:eastAsia="cs-CZ"/>
              </w:rPr>
            </w:pPr>
            <w:r w:rsidRPr="00BA4F8E">
              <w:rPr>
                <w:rFonts w:eastAsia="Times New Roman" w:cs="Times New Roman"/>
                <w:color w:val="000000"/>
                <w:lang w:eastAsia="cs-CZ"/>
              </w:rPr>
              <w:t>15</w:t>
            </w:r>
          </w:p>
        </w:tc>
      </w:tr>
      <w:tr w:rsidR="00783DB6" w:rsidRPr="00BA4F8E" w14:paraId="0A415CB0" w14:textId="77777777" w:rsidTr="000C3DA3">
        <w:trPr>
          <w:trHeight w:val="255"/>
          <w:jc w:val="center"/>
        </w:trPr>
        <w:tc>
          <w:tcPr>
            <w:tcW w:w="3486" w:type="dxa"/>
            <w:tcBorders>
              <w:top w:val="nil"/>
              <w:left w:val="single" w:sz="4" w:space="0" w:color="auto"/>
              <w:bottom w:val="single" w:sz="4" w:space="0" w:color="auto"/>
              <w:right w:val="single" w:sz="4" w:space="0" w:color="auto"/>
            </w:tcBorders>
            <w:noWrap/>
            <w:vAlign w:val="bottom"/>
            <w:hideMark/>
          </w:tcPr>
          <w:p w14:paraId="6989C63A" w14:textId="77777777" w:rsidR="00783DB6" w:rsidRPr="00BA4F8E" w:rsidRDefault="00783DB6">
            <w:pPr>
              <w:spacing w:after="0" w:line="240" w:lineRule="auto"/>
              <w:rPr>
                <w:rFonts w:eastAsia="Times New Roman" w:cs="Times New Roman"/>
                <w:b/>
                <w:bCs/>
                <w:color w:val="000000"/>
                <w:lang w:eastAsia="cs-CZ"/>
              </w:rPr>
            </w:pPr>
            <w:r w:rsidRPr="00BA4F8E">
              <w:rPr>
                <w:rFonts w:eastAsia="Times New Roman" w:cs="Times New Roman"/>
                <w:b/>
                <w:bCs/>
                <w:color w:val="000000"/>
                <w:lang w:eastAsia="cs-CZ"/>
              </w:rPr>
              <w:t>Celkový index - easy of doing business</w:t>
            </w:r>
          </w:p>
        </w:tc>
        <w:tc>
          <w:tcPr>
            <w:tcW w:w="1339" w:type="dxa"/>
            <w:tcBorders>
              <w:top w:val="single" w:sz="4" w:space="0" w:color="auto"/>
              <w:left w:val="nil"/>
              <w:bottom w:val="single" w:sz="4" w:space="0" w:color="auto"/>
              <w:right w:val="nil"/>
            </w:tcBorders>
            <w:vAlign w:val="bottom"/>
            <w:hideMark/>
          </w:tcPr>
          <w:p w14:paraId="65868AD1" w14:textId="77777777" w:rsidR="00783DB6" w:rsidRPr="00BA4F8E" w:rsidRDefault="00783DB6">
            <w:pPr>
              <w:spacing w:after="0" w:line="240" w:lineRule="auto"/>
              <w:rPr>
                <w:rFonts w:eastAsia="Times New Roman" w:cs="Times New Roman"/>
                <w:b/>
                <w:bCs/>
                <w:color w:val="000000"/>
                <w:lang w:eastAsia="cs-CZ"/>
              </w:rPr>
            </w:pPr>
            <w:r w:rsidRPr="00BA4F8E">
              <w:rPr>
                <w:rFonts w:eastAsia="Times New Roman" w:cs="Times New Roman"/>
                <w:b/>
                <w:bCs/>
                <w:color w:val="000000"/>
                <w:lang w:eastAsia="cs-CZ"/>
              </w:rPr>
              <w:t>75</w:t>
            </w:r>
          </w:p>
        </w:tc>
        <w:tc>
          <w:tcPr>
            <w:tcW w:w="1339" w:type="dxa"/>
            <w:tcBorders>
              <w:top w:val="nil"/>
              <w:left w:val="single" w:sz="4" w:space="0" w:color="auto"/>
              <w:bottom w:val="single" w:sz="4" w:space="0" w:color="auto"/>
              <w:right w:val="single" w:sz="4" w:space="0" w:color="auto"/>
            </w:tcBorders>
            <w:noWrap/>
            <w:vAlign w:val="bottom"/>
            <w:hideMark/>
          </w:tcPr>
          <w:p w14:paraId="75885568" w14:textId="77777777" w:rsidR="00783DB6" w:rsidRPr="00BA4F8E" w:rsidRDefault="00783DB6">
            <w:pPr>
              <w:spacing w:after="0" w:line="240" w:lineRule="auto"/>
              <w:rPr>
                <w:rFonts w:eastAsia="Times New Roman" w:cs="Times New Roman"/>
                <w:b/>
                <w:bCs/>
                <w:color w:val="000000"/>
                <w:lang w:eastAsia="cs-CZ"/>
              </w:rPr>
            </w:pPr>
            <w:r w:rsidRPr="00BA4F8E">
              <w:rPr>
                <w:rFonts w:eastAsia="Times New Roman" w:cs="Times New Roman"/>
                <w:b/>
                <w:bCs/>
                <w:color w:val="000000"/>
                <w:lang w:eastAsia="cs-CZ"/>
              </w:rPr>
              <w:t>30</w:t>
            </w:r>
          </w:p>
        </w:tc>
      </w:tr>
    </w:tbl>
    <w:p w14:paraId="088D809E" w14:textId="68CDADF9" w:rsidR="00783DB6" w:rsidRPr="00303B05" w:rsidRDefault="00303B05" w:rsidP="00303B05">
      <w:pPr>
        <w:spacing w:before="60"/>
        <w:ind w:left="1416"/>
        <w:rPr>
          <w:i/>
          <w:sz w:val="18"/>
          <w:szCs w:val="18"/>
        </w:rPr>
      </w:pPr>
      <w:r>
        <w:rPr>
          <w:i/>
          <w:sz w:val="18"/>
          <w:szCs w:val="18"/>
        </w:rPr>
        <w:t xml:space="preserve">       </w:t>
      </w:r>
      <w:r w:rsidR="00783DB6" w:rsidRPr="00303B05">
        <w:rPr>
          <w:i/>
          <w:sz w:val="18"/>
          <w:szCs w:val="18"/>
        </w:rPr>
        <w:t>Zdroj: World Bank - Doing Business</w:t>
      </w:r>
    </w:p>
    <w:p w14:paraId="5049FC79" w14:textId="77777777" w:rsidR="00FC7B4F" w:rsidRDefault="00FC7B4F" w:rsidP="006A3C5C">
      <w:pPr>
        <w:spacing w:before="60" w:after="0" w:line="240" w:lineRule="auto"/>
        <w:rPr>
          <w:rFonts w:eastAsiaTheme="majorEastAsia" w:cstheme="majorBidi"/>
          <w:b/>
          <w:bCs/>
          <w:color w:val="0E87AF" w:themeColor="accent6" w:themeShade="BF"/>
        </w:rPr>
      </w:pPr>
    </w:p>
    <w:p w14:paraId="0BCC5D71" w14:textId="77777777" w:rsidR="00213F31" w:rsidRPr="00BA4F8E" w:rsidRDefault="00213F31" w:rsidP="006A3C5C">
      <w:pPr>
        <w:spacing w:before="60" w:after="0" w:line="240" w:lineRule="auto"/>
        <w:rPr>
          <w:rFonts w:eastAsiaTheme="majorEastAsia" w:cstheme="majorBidi"/>
          <w:b/>
          <w:bCs/>
          <w:color w:val="0E87AF" w:themeColor="accent6" w:themeShade="BF"/>
        </w:rPr>
      </w:pPr>
    </w:p>
    <w:p w14:paraId="5232D4EA" w14:textId="77777777" w:rsidR="006A3C5C" w:rsidRPr="00AC3E83" w:rsidRDefault="006A3C5C" w:rsidP="00DE2D30">
      <w:pPr>
        <w:rPr>
          <w:b/>
        </w:rPr>
      </w:pPr>
      <w:r w:rsidRPr="00AC3E83">
        <w:rPr>
          <w:b/>
        </w:rPr>
        <w:t>ČR bude mít pozitivní „bilanci talentů“ – BRAIN GAIN</w:t>
      </w:r>
    </w:p>
    <w:p w14:paraId="38D4A1A5" w14:textId="77777777" w:rsidR="00FC7B4F" w:rsidRPr="00BA4F8E" w:rsidRDefault="00FC7B4F" w:rsidP="006A3C5C">
      <w:pPr>
        <w:spacing w:before="60" w:after="0" w:line="240" w:lineRule="auto"/>
        <w:rPr>
          <w:rFonts w:eastAsiaTheme="majorEastAsia" w:cstheme="majorBidi"/>
          <w:b/>
          <w:bCs/>
          <w:color w:val="0E87AF" w:themeColor="accent6" w:themeShade="BF"/>
        </w:rPr>
      </w:pPr>
    </w:p>
    <w:p w14:paraId="54889C11" w14:textId="77F4A44E" w:rsidR="006A3C5C" w:rsidRPr="00BA4F8E" w:rsidRDefault="006A3C5C" w:rsidP="00580DE3">
      <w:pPr>
        <w:pStyle w:val="Titulek"/>
      </w:pPr>
      <w:bookmarkStart w:id="240" w:name="_Toc524677686"/>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26</w:t>
      </w:r>
      <w:r w:rsidR="00EE7C52">
        <w:rPr>
          <w:noProof/>
        </w:rPr>
        <w:fldChar w:fldCharType="end"/>
      </w:r>
      <w:r w:rsidRPr="00BA4F8E">
        <w:t xml:space="preserve"> - Kapacita udržet a přilákat talenty</w:t>
      </w:r>
      <w:bookmarkEnd w:id="240"/>
    </w:p>
    <w:tbl>
      <w:tblPr>
        <w:tblW w:w="8080" w:type="dxa"/>
        <w:jc w:val="center"/>
        <w:tblCellMar>
          <w:left w:w="70" w:type="dxa"/>
          <w:right w:w="70" w:type="dxa"/>
        </w:tblCellMar>
        <w:tblLook w:val="04A0" w:firstRow="1" w:lastRow="0" w:firstColumn="1" w:lastColumn="0" w:noHBand="0" w:noVBand="1"/>
      </w:tblPr>
      <w:tblGrid>
        <w:gridCol w:w="531"/>
        <w:gridCol w:w="3711"/>
        <w:gridCol w:w="1019"/>
        <w:gridCol w:w="901"/>
        <w:gridCol w:w="1019"/>
        <w:gridCol w:w="901"/>
      </w:tblGrid>
      <w:tr w:rsidR="00FC7B4F" w:rsidRPr="00BA4F8E" w14:paraId="24B4411E" w14:textId="77777777" w:rsidTr="00167331">
        <w:trPr>
          <w:trHeight w:val="255"/>
          <w:jc w:val="center"/>
        </w:trPr>
        <w:tc>
          <w:tcPr>
            <w:tcW w:w="4240" w:type="dxa"/>
            <w:gridSpan w:val="2"/>
            <w:vMerge w:val="restart"/>
            <w:tcBorders>
              <w:top w:val="single" w:sz="4" w:space="0" w:color="auto"/>
              <w:left w:val="single" w:sz="4" w:space="0" w:color="auto"/>
              <w:bottom w:val="single" w:sz="4" w:space="0" w:color="000000"/>
              <w:right w:val="single" w:sz="4" w:space="0" w:color="000000"/>
            </w:tcBorders>
            <w:shd w:val="clear" w:color="auto" w:fill="004B8D"/>
            <w:noWrap/>
            <w:vAlign w:val="center"/>
            <w:hideMark/>
          </w:tcPr>
          <w:p w14:paraId="346CE18B" w14:textId="77777777" w:rsidR="00FC7B4F" w:rsidRPr="00167331" w:rsidRDefault="00FC7B4F">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 xml:space="preserve">Global Competitiveness index </w:t>
            </w:r>
          </w:p>
        </w:tc>
        <w:tc>
          <w:tcPr>
            <w:tcW w:w="1920" w:type="dxa"/>
            <w:gridSpan w:val="2"/>
            <w:tcBorders>
              <w:top w:val="single" w:sz="4" w:space="0" w:color="auto"/>
              <w:left w:val="nil"/>
              <w:bottom w:val="single" w:sz="4" w:space="0" w:color="auto"/>
              <w:right w:val="single" w:sz="4" w:space="0" w:color="auto"/>
            </w:tcBorders>
            <w:shd w:val="clear" w:color="auto" w:fill="004B8D"/>
            <w:noWrap/>
            <w:vAlign w:val="bottom"/>
            <w:hideMark/>
          </w:tcPr>
          <w:p w14:paraId="501568C9" w14:textId="77777777" w:rsidR="00FC7B4F" w:rsidRPr="00167331" w:rsidRDefault="00FC7B4F">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2017–2018</w:t>
            </w:r>
          </w:p>
        </w:tc>
        <w:tc>
          <w:tcPr>
            <w:tcW w:w="1920" w:type="dxa"/>
            <w:gridSpan w:val="2"/>
            <w:tcBorders>
              <w:top w:val="single" w:sz="4" w:space="0" w:color="auto"/>
              <w:left w:val="nil"/>
              <w:bottom w:val="single" w:sz="4" w:space="0" w:color="auto"/>
              <w:right w:val="single" w:sz="4" w:space="0" w:color="auto"/>
            </w:tcBorders>
            <w:shd w:val="clear" w:color="auto" w:fill="004B8D"/>
            <w:noWrap/>
            <w:vAlign w:val="bottom"/>
            <w:hideMark/>
          </w:tcPr>
          <w:p w14:paraId="6061D84F" w14:textId="77777777" w:rsidR="00FC7B4F" w:rsidRPr="00167331" w:rsidRDefault="00FC7B4F">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2014–2015</w:t>
            </w:r>
          </w:p>
        </w:tc>
      </w:tr>
      <w:tr w:rsidR="00FC7B4F" w:rsidRPr="00BA4F8E" w14:paraId="5CA35062" w14:textId="77777777" w:rsidTr="00167331">
        <w:trPr>
          <w:trHeight w:val="255"/>
          <w:jc w:val="center"/>
        </w:trPr>
        <w:tc>
          <w:tcPr>
            <w:tcW w:w="0" w:type="auto"/>
            <w:gridSpan w:val="2"/>
            <w:vMerge/>
            <w:tcBorders>
              <w:top w:val="single" w:sz="4" w:space="0" w:color="auto"/>
              <w:left w:val="single" w:sz="4" w:space="0" w:color="auto"/>
              <w:bottom w:val="single" w:sz="4" w:space="0" w:color="000000"/>
              <w:right w:val="single" w:sz="4" w:space="0" w:color="000000"/>
            </w:tcBorders>
            <w:shd w:val="clear" w:color="auto" w:fill="004B8D"/>
            <w:vAlign w:val="center"/>
            <w:hideMark/>
          </w:tcPr>
          <w:p w14:paraId="3232DD63" w14:textId="77777777" w:rsidR="00FC7B4F" w:rsidRPr="00167331" w:rsidRDefault="00FC7B4F">
            <w:pPr>
              <w:spacing w:after="0"/>
              <w:rPr>
                <w:rFonts w:eastAsia="Times New Roman" w:cs="Times New Roman"/>
                <w:b/>
                <w:bCs/>
                <w:color w:val="FFFFFF" w:themeColor="background1"/>
                <w:lang w:eastAsia="cs-CZ"/>
              </w:rPr>
            </w:pPr>
          </w:p>
        </w:tc>
        <w:tc>
          <w:tcPr>
            <w:tcW w:w="1019" w:type="dxa"/>
            <w:tcBorders>
              <w:top w:val="nil"/>
              <w:left w:val="nil"/>
              <w:bottom w:val="single" w:sz="4" w:space="0" w:color="auto"/>
              <w:right w:val="single" w:sz="4" w:space="0" w:color="auto"/>
            </w:tcBorders>
            <w:shd w:val="clear" w:color="auto" w:fill="004B8D"/>
            <w:noWrap/>
            <w:vAlign w:val="bottom"/>
            <w:hideMark/>
          </w:tcPr>
          <w:p w14:paraId="6463EF5C" w14:textId="77777777" w:rsidR="00FC7B4F" w:rsidRPr="00167331" w:rsidRDefault="00FC7B4F">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Value</w:t>
            </w:r>
          </w:p>
        </w:tc>
        <w:tc>
          <w:tcPr>
            <w:tcW w:w="901" w:type="dxa"/>
            <w:tcBorders>
              <w:top w:val="nil"/>
              <w:left w:val="nil"/>
              <w:bottom w:val="single" w:sz="4" w:space="0" w:color="auto"/>
              <w:right w:val="single" w:sz="4" w:space="0" w:color="auto"/>
            </w:tcBorders>
            <w:shd w:val="clear" w:color="auto" w:fill="004B8D"/>
            <w:noWrap/>
            <w:vAlign w:val="bottom"/>
            <w:hideMark/>
          </w:tcPr>
          <w:p w14:paraId="68E298CD" w14:textId="77777777" w:rsidR="00FC7B4F" w:rsidRPr="00167331" w:rsidRDefault="00FC7B4F">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Rank</w:t>
            </w:r>
          </w:p>
        </w:tc>
        <w:tc>
          <w:tcPr>
            <w:tcW w:w="1019" w:type="dxa"/>
            <w:tcBorders>
              <w:top w:val="nil"/>
              <w:left w:val="nil"/>
              <w:bottom w:val="single" w:sz="4" w:space="0" w:color="auto"/>
              <w:right w:val="single" w:sz="4" w:space="0" w:color="auto"/>
            </w:tcBorders>
            <w:shd w:val="clear" w:color="auto" w:fill="004B8D"/>
            <w:noWrap/>
            <w:vAlign w:val="bottom"/>
            <w:hideMark/>
          </w:tcPr>
          <w:p w14:paraId="580CDE64" w14:textId="77777777" w:rsidR="00FC7B4F" w:rsidRPr="00167331" w:rsidRDefault="00FC7B4F">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Value</w:t>
            </w:r>
          </w:p>
        </w:tc>
        <w:tc>
          <w:tcPr>
            <w:tcW w:w="901" w:type="dxa"/>
            <w:tcBorders>
              <w:top w:val="nil"/>
              <w:left w:val="nil"/>
              <w:bottom w:val="single" w:sz="4" w:space="0" w:color="auto"/>
              <w:right w:val="single" w:sz="4" w:space="0" w:color="auto"/>
            </w:tcBorders>
            <w:shd w:val="clear" w:color="auto" w:fill="004B8D"/>
            <w:noWrap/>
            <w:vAlign w:val="bottom"/>
            <w:hideMark/>
          </w:tcPr>
          <w:p w14:paraId="00BC8E14" w14:textId="77777777" w:rsidR="00FC7B4F" w:rsidRPr="00167331" w:rsidRDefault="00FC7B4F">
            <w:pPr>
              <w:spacing w:after="0" w:line="240" w:lineRule="auto"/>
              <w:rPr>
                <w:rFonts w:eastAsia="Times New Roman" w:cs="Times New Roman"/>
                <w:b/>
                <w:bCs/>
                <w:color w:val="FFFFFF" w:themeColor="background1"/>
                <w:lang w:eastAsia="cs-CZ"/>
              </w:rPr>
            </w:pPr>
            <w:r w:rsidRPr="00167331">
              <w:rPr>
                <w:rFonts w:eastAsia="Times New Roman" w:cs="Times New Roman"/>
                <w:b/>
                <w:bCs/>
                <w:color w:val="FFFFFF" w:themeColor="background1"/>
                <w:lang w:eastAsia="cs-CZ"/>
              </w:rPr>
              <w:t>Rank</w:t>
            </w:r>
          </w:p>
        </w:tc>
      </w:tr>
      <w:tr w:rsidR="00FC7B4F" w:rsidRPr="00BA4F8E" w14:paraId="0A8D2C5E" w14:textId="77777777" w:rsidTr="000C3DA3">
        <w:trPr>
          <w:trHeight w:val="255"/>
          <w:jc w:val="center"/>
        </w:trPr>
        <w:tc>
          <w:tcPr>
            <w:tcW w:w="8080" w:type="dxa"/>
            <w:gridSpan w:val="6"/>
            <w:tcBorders>
              <w:top w:val="single" w:sz="4" w:space="0" w:color="auto"/>
              <w:left w:val="single" w:sz="4" w:space="0" w:color="auto"/>
              <w:bottom w:val="single" w:sz="4" w:space="0" w:color="auto"/>
              <w:right w:val="single" w:sz="4" w:space="0" w:color="000000"/>
            </w:tcBorders>
            <w:noWrap/>
            <w:vAlign w:val="bottom"/>
            <w:hideMark/>
          </w:tcPr>
          <w:p w14:paraId="004FA582" w14:textId="77777777" w:rsidR="00FC7B4F" w:rsidRPr="00BA4F8E" w:rsidRDefault="00FC7B4F">
            <w:pPr>
              <w:spacing w:after="0" w:line="240" w:lineRule="auto"/>
              <w:rPr>
                <w:rFonts w:eastAsia="Times New Roman" w:cs="Times New Roman"/>
                <w:b/>
                <w:bCs/>
                <w:color w:val="000000"/>
                <w:lang w:eastAsia="cs-CZ"/>
              </w:rPr>
            </w:pPr>
            <w:r w:rsidRPr="00BA4F8E">
              <w:rPr>
                <w:rFonts w:eastAsia="Times New Roman" w:cs="Times New Roman"/>
                <w:b/>
                <w:bCs/>
                <w:color w:val="000000"/>
                <w:lang w:eastAsia="cs-CZ"/>
              </w:rPr>
              <w:t>7th pillar: Labor market efficiency</w:t>
            </w:r>
          </w:p>
        </w:tc>
      </w:tr>
      <w:tr w:rsidR="00FC7B4F" w:rsidRPr="00BA4F8E" w14:paraId="00CE9017" w14:textId="77777777" w:rsidTr="000C3DA3">
        <w:trPr>
          <w:trHeight w:val="255"/>
          <w:jc w:val="center"/>
        </w:trPr>
        <w:tc>
          <w:tcPr>
            <w:tcW w:w="529" w:type="dxa"/>
            <w:tcBorders>
              <w:top w:val="nil"/>
              <w:left w:val="single" w:sz="4" w:space="0" w:color="auto"/>
              <w:bottom w:val="single" w:sz="4" w:space="0" w:color="auto"/>
              <w:right w:val="single" w:sz="4" w:space="0" w:color="auto"/>
            </w:tcBorders>
            <w:noWrap/>
            <w:vAlign w:val="bottom"/>
            <w:hideMark/>
          </w:tcPr>
          <w:p w14:paraId="64EBD835"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7.08</w:t>
            </w:r>
          </w:p>
        </w:tc>
        <w:tc>
          <w:tcPr>
            <w:tcW w:w="3711" w:type="dxa"/>
            <w:tcBorders>
              <w:top w:val="nil"/>
              <w:left w:val="nil"/>
              <w:bottom w:val="single" w:sz="4" w:space="0" w:color="auto"/>
              <w:right w:val="single" w:sz="4" w:space="0" w:color="auto"/>
            </w:tcBorders>
            <w:noWrap/>
            <w:vAlign w:val="bottom"/>
            <w:hideMark/>
          </w:tcPr>
          <w:p w14:paraId="46D24B1A"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Country capacity to retain talent</w:t>
            </w:r>
          </w:p>
        </w:tc>
        <w:tc>
          <w:tcPr>
            <w:tcW w:w="1019" w:type="dxa"/>
            <w:tcBorders>
              <w:top w:val="nil"/>
              <w:left w:val="nil"/>
              <w:bottom w:val="single" w:sz="4" w:space="0" w:color="auto"/>
              <w:right w:val="single" w:sz="4" w:space="0" w:color="auto"/>
            </w:tcBorders>
            <w:noWrap/>
            <w:vAlign w:val="bottom"/>
            <w:hideMark/>
          </w:tcPr>
          <w:p w14:paraId="0C97F78B"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3,7</w:t>
            </w:r>
          </w:p>
        </w:tc>
        <w:tc>
          <w:tcPr>
            <w:tcW w:w="901" w:type="dxa"/>
            <w:tcBorders>
              <w:top w:val="nil"/>
              <w:left w:val="nil"/>
              <w:bottom w:val="single" w:sz="4" w:space="0" w:color="auto"/>
              <w:right w:val="single" w:sz="4" w:space="0" w:color="auto"/>
            </w:tcBorders>
            <w:noWrap/>
            <w:vAlign w:val="bottom"/>
            <w:hideMark/>
          </w:tcPr>
          <w:p w14:paraId="3D0053D5"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51</w:t>
            </w:r>
          </w:p>
        </w:tc>
        <w:tc>
          <w:tcPr>
            <w:tcW w:w="1019" w:type="dxa"/>
            <w:tcBorders>
              <w:top w:val="nil"/>
              <w:left w:val="nil"/>
              <w:bottom w:val="single" w:sz="4" w:space="0" w:color="auto"/>
              <w:right w:val="single" w:sz="4" w:space="0" w:color="auto"/>
            </w:tcBorders>
            <w:noWrap/>
            <w:vAlign w:val="bottom"/>
            <w:hideMark/>
          </w:tcPr>
          <w:p w14:paraId="509CDF08"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3,3</w:t>
            </w:r>
          </w:p>
        </w:tc>
        <w:tc>
          <w:tcPr>
            <w:tcW w:w="901" w:type="dxa"/>
            <w:tcBorders>
              <w:top w:val="nil"/>
              <w:left w:val="nil"/>
              <w:bottom w:val="single" w:sz="4" w:space="0" w:color="auto"/>
              <w:right w:val="single" w:sz="4" w:space="0" w:color="auto"/>
            </w:tcBorders>
            <w:noWrap/>
            <w:vAlign w:val="bottom"/>
            <w:hideMark/>
          </w:tcPr>
          <w:p w14:paraId="2D2508C7"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80</w:t>
            </w:r>
          </w:p>
        </w:tc>
      </w:tr>
      <w:tr w:rsidR="00FC7B4F" w:rsidRPr="00BA4F8E" w14:paraId="1015538A" w14:textId="77777777" w:rsidTr="000C3DA3">
        <w:trPr>
          <w:trHeight w:val="255"/>
          <w:jc w:val="center"/>
        </w:trPr>
        <w:tc>
          <w:tcPr>
            <w:tcW w:w="529" w:type="dxa"/>
            <w:tcBorders>
              <w:top w:val="nil"/>
              <w:left w:val="single" w:sz="4" w:space="0" w:color="auto"/>
              <w:bottom w:val="single" w:sz="4" w:space="0" w:color="auto"/>
              <w:right w:val="single" w:sz="4" w:space="0" w:color="auto"/>
            </w:tcBorders>
            <w:noWrap/>
            <w:vAlign w:val="bottom"/>
            <w:hideMark/>
          </w:tcPr>
          <w:p w14:paraId="0F7A7503"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7.09</w:t>
            </w:r>
          </w:p>
        </w:tc>
        <w:tc>
          <w:tcPr>
            <w:tcW w:w="3711" w:type="dxa"/>
            <w:tcBorders>
              <w:top w:val="nil"/>
              <w:left w:val="nil"/>
              <w:bottom w:val="single" w:sz="4" w:space="0" w:color="auto"/>
              <w:right w:val="single" w:sz="4" w:space="0" w:color="auto"/>
            </w:tcBorders>
            <w:noWrap/>
            <w:vAlign w:val="bottom"/>
            <w:hideMark/>
          </w:tcPr>
          <w:p w14:paraId="67E79F79"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Country capacity to attract talent</w:t>
            </w:r>
          </w:p>
        </w:tc>
        <w:tc>
          <w:tcPr>
            <w:tcW w:w="1019" w:type="dxa"/>
            <w:tcBorders>
              <w:top w:val="nil"/>
              <w:left w:val="nil"/>
              <w:bottom w:val="single" w:sz="4" w:space="0" w:color="auto"/>
              <w:right w:val="single" w:sz="4" w:space="0" w:color="auto"/>
            </w:tcBorders>
            <w:noWrap/>
            <w:vAlign w:val="bottom"/>
            <w:hideMark/>
          </w:tcPr>
          <w:p w14:paraId="3BDDD0D1"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3,3</w:t>
            </w:r>
          </w:p>
        </w:tc>
        <w:tc>
          <w:tcPr>
            <w:tcW w:w="901" w:type="dxa"/>
            <w:tcBorders>
              <w:top w:val="nil"/>
              <w:left w:val="nil"/>
              <w:bottom w:val="single" w:sz="4" w:space="0" w:color="auto"/>
              <w:right w:val="single" w:sz="4" w:space="0" w:color="auto"/>
            </w:tcBorders>
            <w:noWrap/>
            <w:vAlign w:val="bottom"/>
            <w:hideMark/>
          </w:tcPr>
          <w:p w14:paraId="47A0BAA4"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74</w:t>
            </w:r>
          </w:p>
        </w:tc>
        <w:tc>
          <w:tcPr>
            <w:tcW w:w="1019" w:type="dxa"/>
            <w:tcBorders>
              <w:top w:val="nil"/>
              <w:left w:val="nil"/>
              <w:bottom w:val="single" w:sz="4" w:space="0" w:color="auto"/>
              <w:right w:val="single" w:sz="4" w:space="0" w:color="auto"/>
            </w:tcBorders>
            <w:noWrap/>
            <w:vAlign w:val="bottom"/>
            <w:hideMark/>
          </w:tcPr>
          <w:p w14:paraId="7C2501D0"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3,1</w:t>
            </w:r>
          </w:p>
        </w:tc>
        <w:tc>
          <w:tcPr>
            <w:tcW w:w="901" w:type="dxa"/>
            <w:tcBorders>
              <w:top w:val="nil"/>
              <w:left w:val="nil"/>
              <w:bottom w:val="single" w:sz="4" w:space="0" w:color="auto"/>
              <w:right w:val="single" w:sz="4" w:space="0" w:color="auto"/>
            </w:tcBorders>
            <w:noWrap/>
            <w:vAlign w:val="bottom"/>
            <w:hideMark/>
          </w:tcPr>
          <w:p w14:paraId="32C37968" w14:textId="77777777" w:rsidR="00FC7B4F" w:rsidRPr="00BA4F8E" w:rsidRDefault="00FC7B4F">
            <w:pPr>
              <w:spacing w:after="0" w:line="240" w:lineRule="auto"/>
              <w:rPr>
                <w:rFonts w:eastAsia="Times New Roman" w:cs="Times New Roman"/>
                <w:color w:val="000000"/>
                <w:lang w:eastAsia="cs-CZ"/>
              </w:rPr>
            </w:pPr>
            <w:r w:rsidRPr="00BA4F8E">
              <w:rPr>
                <w:rFonts w:eastAsia="Times New Roman" w:cs="Times New Roman"/>
                <w:color w:val="000000"/>
                <w:lang w:eastAsia="cs-CZ"/>
              </w:rPr>
              <w:t>93</w:t>
            </w:r>
          </w:p>
        </w:tc>
      </w:tr>
    </w:tbl>
    <w:p w14:paraId="1D3296EC" w14:textId="7C426A89" w:rsidR="00FC7B4F" w:rsidRPr="00303B05" w:rsidRDefault="00303B05" w:rsidP="00303B05">
      <w:pPr>
        <w:spacing w:after="0"/>
        <w:ind w:firstLine="708"/>
        <w:rPr>
          <w:i/>
          <w:sz w:val="18"/>
          <w:szCs w:val="18"/>
        </w:rPr>
      </w:pPr>
      <w:r>
        <w:rPr>
          <w:i/>
          <w:sz w:val="18"/>
          <w:szCs w:val="18"/>
        </w:rPr>
        <w:t xml:space="preserve"> </w:t>
      </w:r>
      <w:r w:rsidR="00FC7B4F" w:rsidRPr="00303B05">
        <w:rPr>
          <w:i/>
          <w:sz w:val="18"/>
          <w:szCs w:val="18"/>
        </w:rPr>
        <w:t>Zdroj: World Economic Forum – Global Competitiveness Report</w:t>
      </w:r>
    </w:p>
    <w:p w14:paraId="7F5032ED" w14:textId="7E052DD2" w:rsidR="00AC3E83" w:rsidRDefault="00AC3E83">
      <w:pPr>
        <w:spacing w:after="200" w:line="276" w:lineRule="auto"/>
        <w:rPr>
          <w:lang w:eastAsia="cs-CZ"/>
        </w:rPr>
      </w:pPr>
      <w:r>
        <w:rPr>
          <w:lang w:eastAsia="cs-CZ"/>
        </w:rPr>
        <w:br w:type="page"/>
      </w:r>
    </w:p>
    <w:p w14:paraId="0831137C" w14:textId="77777777" w:rsidR="00C93248" w:rsidRPr="00AC3E83" w:rsidRDefault="00C93248" w:rsidP="00DE2D30">
      <w:pPr>
        <w:rPr>
          <w:b/>
        </w:rPr>
      </w:pPr>
      <w:r w:rsidRPr="00AC3E83">
        <w:rPr>
          <w:b/>
        </w:rPr>
        <w:t>ČR bude mezi 10 zeměmi EU, které mají nejvyšší příliv přímých zahraničních investic v poměru k HDP</w:t>
      </w:r>
    </w:p>
    <w:p w14:paraId="21EF8A85" w14:textId="1C160E8E" w:rsidR="00C93248" w:rsidRPr="00BA4F8E" w:rsidRDefault="00C93248" w:rsidP="00580DE3">
      <w:pPr>
        <w:pStyle w:val="Titulek"/>
      </w:pPr>
      <w:bookmarkStart w:id="241" w:name="_Toc524677687"/>
      <w:r w:rsidRPr="00BA4F8E">
        <w:t xml:space="preserve">Tabulka </w:t>
      </w:r>
      <w:r w:rsidR="00EE7C52">
        <w:rPr>
          <w:noProof/>
        </w:rPr>
        <w:fldChar w:fldCharType="begin"/>
      </w:r>
      <w:r w:rsidR="00EE7C52">
        <w:rPr>
          <w:noProof/>
        </w:rPr>
        <w:instrText xml:space="preserve"> SEQ Tabulka \* ARABIC </w:instrText>
      </w:r>
      <w:r w:rsidR="00EE7C52">
        <w:rPr>
          <w:noProof/>
        </w:rPr>
        <w:fldChar w:fldCharType="separate"/>
      </w:r>
      <w:r w:rsidR="00DE40D4">
        <w:rPr>
          <w:noProof/>
        </w:rPr>
        <w:t>27</w:t>
      </w:r>
      <w:r w:rsidR="00EE7C52">
        <w:rPr>
          <w:noProof/>
        </w:rPr>
        <w:fldChar w:fldCharType="end"/>
      </w:r>
      <w:r w:rsidRPr="00BA4F8E">
        <w:t xml:space="preserve"> – PZI jako podíl HDP, průměr 2011-2013</w:t>
      </w:r>
      <w:bookmarkEnd w:id="241"/>
    </w:p>
    <w:p w14:paraId="6D4C4ABC" w14:textId="15392CA3" w:rsidR="00C93248" w:rsidRPr="00BA4F8E" w:rsidRDefault="004C05B4" w:rsidP="00C93248">
      <w:pPr>
        <w:rPr>
          <w:lang w:eastAsia="cs-CZ"/>
        </w:rPr>
      </w:pPr>
      <w:r w:rsidRPr="00BA4F8E">
        <w:rPr>
          <w:noProof/>
          <w:lang w:eastAsia="cs-CZ"/>
        </w:rPr>
        <w:drawing>
          <wp:anchor distT="0" distB="0" distL="114300" distR="114300" simplePos="0" relativeHeight="251675648" behindDoc="0" locked="0" layoutInCell="1" allowOverlap="1" wp14:anchorId="345952FC" wp14:editId="247E2CF0">
            <wp:simplePos x="0" y="0"/>
            <wp:positionH relativeFrom="margin">
              <wp:align>center</wp:align>
            </wp:positionH>
            <wp:positionV relativeFrom="paragraph">
              <wp:posOffset>10633</wp:posOffset>
            </wp:positionV>
            <wp:extent cx="5600700" cy="2743200"/>
            <wp:effectExtent l="0" t="0" r="0" b="0"/>
            <wp:wrapNone/>
            <wp:docPr id="27" name="Graf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margin">
              <wp14:pctWidth>0</wp14:pctWidth>
            </wp14:sizeRelH>
            <wp14:sizeRelV relativeFrom="margin">
              <wp14:pctHeight>0</wp14:pctHeight>
            </wp14:sizeRelV>
          </wp:anchor>
        </w:drawing>
      </w:r>
    </w:p>
    <w:p w14:paraId="378BD51C" w14:textId="77777777" w:rsidR="00783DB6" w:rsidRPr="00BA4F8E" w:rsidRDefault="00783DB6" w:rsidP="00783DB6">
      <w:pPr>
        <w:spacing w:before="60" w:after="0" w:line="240" w:lineRule="auto"/>
        <w:rPr>
          <w:rFonts w:eastAsiaTheme="majorEastAsia" w:cstheme="majorBidi"/>
          <w:b/>
          <w:bCs/>
          <w:color w:val="0E87AF" w:themeColor="accent6" w:themeShade="BF"/>
          <w:highlight w:val="yellow"/>
        </w:rPr>
      </w:pPr>
    </w:p>
    <w:p w14:paraId="03149C95" w14:textId="77777777" w:rsidR="00783DB6" w:rsidRPr="00BA4F8E" w:rsidRDefault="00783DB6" w:rsidP="00783DB6">
      <w:pPr>
        <w:rPr>
          <w:lang w:eastAsia="cs-CZ"/>
        </w:rPr>
      </w:pPr>
    </w:p>
    <w:p w14:paraId="2CA056D9" w14:textId="77777777" w:rsidR="00783DB6" w:rsidRPr="00BA4F8E" w:rsidRDefault="00783DB6" w:rsidP="005641F9">
      <w:pPr>
        <w:spacing w:after="0"/>
        <w:rPr>
          <w:i/>
        </w:rPr>
      </w:pPr>
    </w:p>
    <w:p w14:paraId="1E3085D2" w14:textId="77777777" w:rsidR="00783DB6" w:rsidRPr="00BA4F8E" w:rsidRDefault="00783DB6" w:rsidP="005641F9">
      <w:pPr>
        <w:spacing w:after="0"/>
        <w:rPr>
          <w:i/>
        </w:rPr>
      </w:pPr>
    </w:p>
    <w:p w14:paraId="468A8B9A" w14:textId="77777777" w:rsidR="00783DB6" w:rsidRPr="00BA4F8E" w:rsidRDefault="00783DB6" w:rsidP="005641F9">
      <w:pPr>
        <w:spacing w:after="0"/>
        <w:rPr>
          <w:i/>
        </w:rPr>
      </w:pPr>
    </w:p>
    <w:p w14:paraId="4C1A6345" w14:textId="77777777" w:rsidR="00783DB6" w:rsidRPr="00BA4F8E" w:rsidRDefault="00783DB6" w:rsidP="005641F9">
      <w:pPr>
        <w:spacing w:after="0"/>
        <w:rPr>
          <w:i/>
        </w:rPr>
      </w:pPr>
    </w:p>
    <w:p w14:paraId="2B5F1D1E" w14:textId="77777777" w:rsidR="00783DB6" w:rsidRPr="00BA4F8E" w:rsidRDefault="00783DB6" w:rsidP="005641F9">
      <w:pPr>
        <w:spacing w:after="0"/>
        <w:rPr>
          <w:i/>
        </w:rPr>
      </w:pPr>
    </w:p>
    <w:p w14:paraId="7AECD393" w14:textId="77777777" w:rsidR="00783DB6" w:rsidRPr="00BA4F8E" w:rsidRDefault="00783DB6" w:rsidP="005641F9">
      <w:pPr>
        <w:spacing w:after="0"/>
        <w:rPr>
          <w:i/>
        </w:rPr>
      </w:pPr>
    </w:p>
    <w:p w14:paraId="6A7D99C6" w14:textId="77777777" w:rsidR="00783DB6" w:rsidRPr="00BA4F8E" w:rsidRDefault="00783DB6" w:rsidP="005641F9">
      <w:pPr>
        <w:spacing w:after="0"/>
        <w:rPr>
          <w:i/>
        </w:rPr>
      </w:pPr>
    </w:p>
    <w:p w14:paraId="6F812601" w14:textId="77777777" w:rsidR="00783DB6" w:rsidRPr="00BA4F8E" w:rsidRDefault="00783DB6" w:rsidP="005641F9">
      <w:pPr>
        <w:spacing w:after="0"/>
        <w:rPr>
          <w:i/>
        </w:rPr>
      </w:pPr>
    </w:p>
    <w:p w14:paraId="489BF5D7" w14:textId="77777777" w:rsidR="00783DB6" w:rsidRPr="00BA4F8E" w:rsidRDefault="00783DB6" w:rsidP="005641F9">
      <w:pPr>
        <w:spacing w:after="0"/>
        <w:rPr>
          <w:i/>
        </w:rPr>
      </w:pPr>
    </w:p>
    <w:p w14:paraId="22330E27" w14:textId="77777777" w:rsidR="00783DB6" w:rsidRPr="00BA4F8E" w:rsidRDefault="00783DB6" w:rsidP="005641F9">
      <w:pPr>
        <w:spacing w:after="0"/>
        <w:rPr>
          <w:i/>
        </w:rPr>
      </w:pPr>
    </w:p>
    <w:p w14:paraId="3E9D27B7" w14:textId="77777777" w:rsidR="00C93248" w:rsidRPr="00303B05" w:rsidRDefault="00C93248" w:rsidP="00C93248">
      <w:pPr>
        <w:spacing w:after="0"/>
        <w:rPr>
          <w:rFonts w:eastAsia="Calibri" w:cs="Times New Roman"/>
          <w:i/>
          <w:sz w:val="18"/>
          <w:szCs w:val="18"/>
        </w:rPr>
      </w:pPr>
      <w:r w:rsidRPr="00303B05">
        <w:rPr>
          <w:rFonts w:eastAsia="Calibri" w:cs="Times New Roman"/>
          <w:i/>
          <w:sz w:val="18"/>
          <w:szCs w:val="18"/>
        </w:rPr>
        <w:t>Zdroj: Eurostat, Auxiliary indicators (tipsax)</w:t>
      </w:r>
    </w:p>
    <w:p w14:paraId="2E0968C7" w14:textId="77777777" w:rsidR="00C93248" w:rsidRPr="00303B05" w:rsidRDefault="00C93248" w:rsidP="00C93248">
      <w:pPr>
        <w:spacing w:after="0"/>
        <w:rPr>
          <w:rFonts w:eastAsia="Calibri" w:cs="Times New Roman"/>
          <w:sz w:val="18"/>
          <w:szCs w:val="18"/>
        </w:rPr>
      </w:pPr>
      <w:r w:rsidRPr="00303B05">
        <w:rPr>
          <w:rFonts w:eastAsia="Calibri" w:cs="Times New Roman"/>
          <w:sz w:val="18"/>
          <w:szCs w:val="18"/>
        </w:rPr>
        <w:t>Pozn.: Z důvodu vysoké podílu není v grafu zobrazeno Lucembursko (688 % HDP)</w:t>
      </w:r>
    </w:p>
    <w:p w14:paraId="3A057734" w14:textId="77777777" w:rsidR="00C93248" w:rsidRPr="00303B05" w:rsidRDefault="00C93248" w:rsidP="00C93248">
      <w:pPr>
        <w:spacing w:after="0"/>
        <w:rPr>
          <w:rFonts w:eastAsia="Calibri" w:cs="Times New Roman"/>
          <w:sz w:val="18"/>
          <w:szCs w:val="18"/>
        </w:rPr>
      </w:pPr>
      <w:r w:rsidRPr="00303B05">
        <w:rPr>
          <w:rFonts w:eastAsia="Calibri" w:cs="Times New Roman"/>
          <w:sz w:val="18"/>
          <w:szCs w:val="18"/>
        </w:rPr>
        <w:t xml:space="preserve">             Česká republika se nachází na 11. místě.</w:t>
      </w:r>
    </w:p>
    <w:p w14:paraId="7EBAE8B8" w14:textId="77777777" w:rsidR="00C93248" w:rsidRPr="00303B05" w:rsidRDefault="00C93248" w:rsidP="00C93248">
      <w:pPr>
        <w:rPr>
          <w:rFonts w:eastAsia="Calibri" w:cs="Times New Roman"/>
          <w:sz w:val="18"/>
          <w:szCs w:val="18"/>
        </w:rPr>
      </w:pPr>
      <w:r w:rsidRPr="00303B05">
        <w:rPr>
          <w:rFonts w:eastAsia="Calibri" w:cs="Times New Roman"/>
          <w:sz w:val="18"/>
          <w:szCs w:val="18"/>
        </w:rPr>
        <w:t xml:space="preserve">             Počítáno s tříletým průměrem z důvodu omezení náhodných výkyvů</w:t>
      </w:r>
    </w:p>
    <w:p w14:paraId="68418478" w14:textId="77777777" w:rsidR="00AC3E83" w:rsidRPr="00BA4F8E" w:rsidRDefault="00AC3E83" w:rsidP="00C93248">
      <w:pPr>
        <w:rPr>
          <w:rFonts w:eastAsia="Calibri" w:cs="Times New Roman"/>
        </w:rPr>
      </w:pPr>
    </w:p>
    <w:p w14:paraId="3E731A61" w14:textId="32C3F4F3" w:rsidR="00412A18" w:rsidRPr="00BA4F8E" w:rsidRDefault="00891BBA" w:rsidP="00580DE3">
      <w:pPr>
        <w:pStyle w:val="Titulek"/>
      </w:pPr>
      <w:bookmarkStart w:id="242" w:name="_Toc525716320"/>
      <w:r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18</w:t>
      </w:r>
      <w:r w:rsidR="00EE7C52">
        <w:rPr>
          <w:noProof/>
        </w:rPr>
        <w:fldChar w:fldCharType="end"/>
      </w:r>
      <w:r w:rsidRPr="00BA4F8E">
        <w:t xml:space="preserve"> - PZI jako podíl HDP v roce 2017</w:t>
      </w:r>
      <w:bookmarkEnd w:id="242"/>
    </w:p>
    <w:p w14:paraId="2298D3AA" w14:textId="316511DC" w:rsidR="00891BBA" w:rsidRPr="00BA4F8E" w:rsidRDefault="00891BBA" w:rsidP="00891BBA">
      <w:pPr>
        <w:rPr>
          <w:lang w:eastAsia="cs-CZ"/>
        </w:rPr>
      </w:pPr>
      <w:r w:rsidRPr="00BA4F8E">
        <w:rPr>
          <w:noProof/>
          <w:lang w:eastAsia="cs-CZ"/>
        </w:rPr>
        <w:drawing>
          <wp:anchor distT="0" distB="0" distL="114300" distR="114300" simplePos="0" relativeHeight="251677696" behindDoc="0" locked="0" layoutInCell="1" allowOverlap="1" wp14:anchorId="0D6B007D" wp14:editId="15D2BE7E">
            <wp:simplePos x="0" y="0"/>
            <wp:positionH relativeFrom="column">
              <wp:posOffset>138223</wp:posOffset>
            </wp:positionH>
            <wp:positionV relativeFrom="paragraph">
              <wp:posOffset>-635</wp:posOffset>
            </wp:positionV>
            <wp:extent cx="6097905" cy="2891155"/>
            <wp:effectExtent l="0" t="0" r="0" b="4445"/>
            <wp:wrapNone/>
            <wp:docPr id="5" name="Obrázek 5"/>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97905" cy="2891155"/>
                    </a:xfrm>
                    <a:prstGeom prst="rect">
                      <a:avLst/>
                    </a:prstGeom>
                    <a:noFill/>
                  </pic:spPr>
                </pic:pic>
              </a:graphicData>
            </a:graphic>
          </wp:anchor>
        </w:drawing>
      </w:r>
    </w:p>
    <w:p w14:paraId="14A200A1" w14:textId="29753559" w:rsidR="00412A18" w:rsidRPr="00BA4F8E" w:rsidRDefault="00412A18" w:rsidP="00580DE3">
      <w:pPr>
        <w:pStyle w:val="Titulek"/>
      </w:pPr>
    </w:p>
    <w:p w14:paraId="26FE9D62" w14:textId="77777777" w:rsidR="00976D8A" w:rsidRPr="00BA4F8E" w:rsidRDefault="00976D8A" w:rsidP="00976D8A">
      <w:pPr>
        <w:rPr>
          <w:lang w:eastAsia="cs-CZ"/>
        </w:rPr>
      </w:pPr>
    </w:p>
    <w:p w14:paraId="2DDF65E9" w14:textId="77777777" w:rsidR="00043C37" w:rsidRPr="00BA4F8E" w:rsidRDefault="00043C37" w:rsidP="00043C37"/>
    <w:p w14:paraId="27BD0E77" w14:textId="77777777" w:rsidR="00891BBA" w:rsidRPr="00BA4F8E" w:rsidRDefault="00891BBA" w:rsidP="00043C37"/>
    <w:p w14:paraId="1AE0C213" w14:textId="77777777" w:rsidR="00891BBA" w:rsidRPr="00BA4F8E" w:rsidRDefault="00891BBA" w:rsidP="00043C37"/>
    <w:p w14:paraId="3B821A62" w14:textId="77777777" w:rsidR="00891BBA" w:rsidRPr="00BA4F8E" w:rsidRDefault="00891BBA" w:rsidP="00043C37"/>
    <w:p w14:paraId="093B0662" w14:textId="77777777" w:rsidR="00891BBA" w:rsidRPr="00BA4F8E" w:rsidRDefault="00891BBA" w:rsidP="00043C37"/>
    <w:p w14:paraId="38709CD8" w14:textId="77777777" w:rsidR="00891BBA" w:rsidRPr="00BA4F8E" w:rsidRDefault="00891BBA" w:rsidP="00043C37"/>
    <w:p w14:paraId="533DC9A2" w14:textId="77777777" w:rsidR="00891BBA" w:rsidRPr="00BA4F8E" w:rsidRDefault="00891BBA" w:rsidP="00043C37"/>
    <w:p w14:paraId="36CFE026" w14:textId="77777777" w:rsidR="00891BBA" w:rsidRPr="007C784D" w:rsidRDefault="00891BBA" w:rsidP="00891BBA">
      <w:pPr>
        <w:spacing w:after="0"/>
        <w:rPr>
          <w:i/>
          <w:sz w:val="18"/>
          <w:szCs w:val="18"/>
        </w:rPr>
      </w:pPr>
      <w:r w:rsidRPr="007C784D">
        <w:rPr>
          <w:i/>
          <w:sz w:val="18"/>
          <w:szCs w:val="18"/>
        </w:rPr>
        <w:t>Zdroj: Eurostat, Auxiliary indicators (tipsax)</w:t>
      </w:r>
    </w:p>
    <w:p w14:paraId="5FD6D264" w14:textId="77777777" w:rsidR="00891BBA" w:rsidRPr="007C784D" w:rsidRDefault="00891BBA" w:rsidP="00891BBA">
      <w:pPr>
        <w:spacing w:after="0"/>
        <w:rPr>
          <w:sz w:val="18"/>
          <w:szCs w:val="18"/>
        </w:rPr>
      </w:pPr>
      <w:r w:rsidRPr="007C784D">
        <w:rPr>
          <w:sz w:val="18"/>
          <w:szCs w:val="18"/>
        </w:rPr>
        <w:t>Pozn.: Z důvodu vysoké podílu není v grafu zobrazeno Lucembursko (7867 % HDP)</w:t>
      </w:r>
    </w:p>
    <w:p w14:paraId="4F523632" w14:textId="77777777" w:rsidR="00891BBA" w:rsidRDefault="00891BBA" w:rsidP="00891BBA">
      <w:pPr>
        <w:spacing w:after="0"/>
        <w:rPr>
          <w:sz w:val="18"/>
          <w:szCs w:val="18"/>
        </w:rPr>
      </w:pPr>
      <w:r w:rsidRPr="007C784D">
        <w:rPr>
          <w:sz w:val="18"/>
          <w:szCs w:val="18"/>
        </w:rPr>
        <w:t xml:space="preserve">             Česká republika se nachází na 11. místě.</w:t>
      </w:r>
    </w:p>
    <w:p w14:paraId="7529BF2F" w14:textId="77777777" w:rsidR="007C784D" w:rsidRDefault="007C784D" w:rsidP="00891BBA">
      <w:pPr>
        <w:spacing w:after="0"/>
        <w:rPr>
          <w:sz w:val="18"/>
          <w:szCs w:val="18"/>
        </w:rPr>
      </w:pPr>
    </w:p>
    <w:p w14:paraId="5D98722C" w14:textId="77777777" w:rsidR="007C784D" w:rsidRDefault="007C784D" w:rsidP="00891BBA">
      <w:pPr>
        <w:spacing w:after="0"/>
        <w:rPr>
          <w:sz w:val="18"/>
          <w:szCs w:val="18"/>
        </w:rPr>
      </w:pPr>
    </w:p>
    <w:p w14:paraId="1775692F" w14:textId="77777777" w:rsidR="00213109" w:rsidRPr="007C784D" w:rsidRDefault="00213109" w:rsidP="00891BBA">
      <w:pPr>
        <w:spacing w:after="0"/>
        <w:rPr>
          <w:sz w:val="18"/>
          <w:szCs w:val="18"/>
        </w:rPr>
      </w:pPr>
    </w:p>
    <w:p w14:paraId="5A1DA2C9" w14:textId="77777777" w:rsidR="00FD2CE8" w:rsidRPr="00AC3E83" w:rsidRDefault="00FD2CE8" w:rsidP="00FD2CE8">
      <w:pPr>
        <w:rPr>
          <w:b/>
        </w:rPr>
      </w:pPr>
      <w:r w:rsidRPr="00AC3E83">
        <w:rPr>
          <w:b/>
        </w:rPr>
        <w:t>ČR bude mezi 10 zeměmi EU s největším objemem soukromých výdajů na vědu a výzkum na HDP</w:t>
      </w:r>
    </w:p>
    <w:p w14:paraId="601AAD53" w14:textId="3D9F610D" w:rsidR="00FD2CE8" w:rsidRPr="00BA4F8E" w:rsidRDefault="004C05B4" w:rsidP="00580DE3">
      <w:pPr>
        <w:pStyle w:val="Titulek"/>
      </w:pPr>
      <w:bookmarkStart w:id="243" w:name="_Toc525716321"/>
      <w:r w:rsidRPr="00BA4F8E">
        <w:rPr>
          <w:noProof/>
        </w:rPr>
        <w:drawing>
          <wp:anchor distT="0" distB="0" distL="114300" distR="114300" simplePos="0" relativeHeight="251679744" behindDoc="0" locked="0" layoutInCell="1" allowOverlap="1" wp14:anchorId="0CD6AA38" wp14:editId="237D5EE8">
            <wp:simplePos x="0" y="0"/>
            <wp:positionH relativeFrom="margin">
              <wp:align>center</wp:align>
            </wp:positionH>
            <wp:positionV relativeFrom="paragraph">
              <wp:posOffset>204470</wp:posOffset>
            </wp:positionV>
            <wp:extent cx="5715000" cy="2924175"/>
            <wp:effectExtent l="0" t="0" r="0" b="0"/>
            <wp:wrapNone/>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margin">
              <wp14:pctWidth>0</wp14:pctWidth>
            </wp14:sizeRelH>
            <wp14:sizeRelV relativeFrom="margin">
              <wp14:pctHeight>0</wp14:pctHeight>
            </wp14:sizeRelV>
          </wp:anchor>
        </w:drawing>
      </w:r>
      <w:r w:rsidR="00FD2CE8"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19</w:t>
      </w:r>
      <w:r w:rsidR="00EE7C52">
        <w:rPr>
          <w:noProof/>
        </w:rPr>
        <w:fldChar w:fldCharType="end"/>
      </w:r>
      <w:r w:rsidR="00FD2CE8" w:rsidRPr="00BA4F8E">
        <w:t xml:space="preserve"> – BERD jako podíl HDP, průměr 2010-2012</w:t>
      </w:r>
      <w:bookmarkEnd w:id="243"/>
    </w:p>
    <w:p w14:paraId="0CD7DF4B" w14:textId="3263E6F0" w:rsidR="00FD2CE8" w:rsidRPr="00BA4F8E" w:rsidRDefault="00FD2CE8" w:rsidP="00FD2CE8">
      <w:pPr>
        <w:rPr>
          <w:lang w:eastAsia="cs-CZ"/>
        </w:rPr>
      </w:pPr>
    </w:p>
    <w:p w14:paraId="7A78302D" w14:textId="77777777" w:rsidR="00FD2CE8" w:rsidRPr="00BA4F8E" w:rsidRDefault="00FD2CE8" w:rsidP="00043C37"/>
    <w:p w14:paraId="6FDD252E" w14:textId="77777777" w:rsidR="00FD2CE8" w:rsidRPr="00BA4F8E" w:rsidRDefault="00FD2CE8" w:rsidP="00043C37"/>
    <w:p w14:paraId="11E85937" w14:textId="77777777" w:rsidR="00FD2CE8" w:rsidRPr="00BA4F8E" w:rsidRDefault="00FD2CE8" w:rsidP="00043C37"/>
    <w:p w14:paraId="19B33E11" w14:textId="77777777" w:rsidR="00FD2CE8" w:rsidRPr="00BA4F8E" w:rsidRDefault="00FD2CE8" w:rsidP="00043C37"/>
    <w:p w14:paraId="0C60D6AA" w14:textId="77777777" w:rsidR="00FD2CE8" w:rsidRPr="00BA4F8E" w:rsidRDefault="00FD2CE8" w:rsidP="00043C37"/>
    <w:p w14:paraId="7A17EBFB" w14:textId="77777777" w:rsidR="00FD2CE8" w:rsidRPr="00BA4F8E" w:rsidRDefault="00FD2CE8" w:rsidP="00043C37"/>
    <w:p w14:paraId="02C4ED2E" w14:textId="77777777" w:rsidR="00FD2CE8" w:rsidRPr="00BA4F8E" w:rsidRDefault="00FD2CE8" w:rsidP="00043C37"/>
    <w:p w14:paraId="57CBADE4" w14:textId="77777777" w:rsidR="00FD2CE8" w:rsidRPr="00BA4F8E" w:rsidRDefault="00FD2CE8" w:rsidP="00043C37"/>
    <w:p w14:paraId="3BDAD5CD" w14:textId="77777777" w:rsidR="00FD2CE8" w:rsidRPr="00BA4F8E" w:rsidRDefault="00FD2CE8" w:rsidP="00043C37"/>
    <w:p w14:paraId="719E7400" w14:textId="77777777" w:rsidR="00123318" w:rsidRPr="007C784D" w:rsidRDefault="00123318" w:rsidP="00123318">
      <w:pPr>
        <w:spacing w:after="0"/>
        <w:rPr>
          <w:i/>
          <w:sz w:val="18"/>
          <w:szCs w:val="18"/>
        </w:rPr>
      </w:pPr>
      <w:r w:rsidRPr="007C784D">
        <w:rPr>
          <w:i/>
          <w:sz w:val="18"/>
          <w:szCs w:val="18"/>
        </w:rPr>
        <w:t>Zdroj: Eurostat, Statistics on research and development</w:t>
      </w:r>
    </w:p>
    <w:p w14:paraId="66D50B66" w14:textId="77777777" w:rsidR="00123318" w:rsidRPr="007C784D" w:rsidRDefault="00123318" w:rsidP="00123318">
      <w:pPr>
        <w:spacing w:after="0"/>
        <w:rPr>
          <w:sz w:val="18"/>
          <w:szCs w:val="18"/>
        </w:rPr>
      </w:pPr>
      <w:r w:rsidRPr="007C784D">
        <w:rPr>
          <w:sz w:val="18"/>
          <w:szCs w:val="18"/>
        </w:rPr>
        <w:t>Pozn.: Česká republika se nachází na 14. místě.</w:t>
      </w:r>
      <w:r w:rsidRPr="007C784D">
        <w:rPr>
          <w:sz w:val="18"/>
          <w:szCs w:val="18"/>
        </w:rPr>
        <w:tab/>
      </w:r>
    </w:p>
    <w:p w14:paraId="16233B5F" w14:textId="77777777" w:rsidR="00123318" w:rsidRPr="007C784D" w:rsidRDefault="00123318" w:rsidP="00123318">
      <w:pPr>
        <w:rPr>
          <w:sz w:val="18"/>
          <w:szCs w:val="18"/>
        </w:rPr>
      </w:pPr>
      <w:r w:rsidRPr="007C784D">
        <w:rPr>
          <w:sz w:val="18"/>
          <w:szCs w:val="18"/>
        </w:rPr>
        <w:t xml:space="preserve">            Počítáno s tříletým průměrem z důvodu omezení náhodných výkyvů</w:t>
      </w:r>
    </w:p>
    <w:p w14:paraId="3483F112" w14:textId="77777777" w:rsidR="00AC3E83" w:rsidRPr="00BA4F8E" w:rsidRDefault="00AC3E83" w:rsidP="00123318"/>
    <w:p w14:paraId="205D398E" w14:textId="65A40945" w:rsidR="00704A63" w:rsidRPr="00BA4F8E" w:rsidRDefault="00704A63" w:rsidP="00580DE3">
      <w:pPr>
        <w:pStyle w:val="Titulek"/>
      </w:pPr>
      <w:bookmarkStart w:id="244" w:name="_Toc525716322"/>
      <w:r w:rsidRPr="00BA4F8E">
        <w:t xml:space="preserve">Graf </w:t>
      </w:r>
      <w:r w:rsidR="00EE7C52">
        <w:rPr>
          <w:noProof/>
        </w:rPr>
        <w:fldChar w:fldCharType="begin"/>
      </w:r>
      <w:r w:rsidR="00EE7C52">
        <w:rPr>
          <w:noProof/>
        </w:rPr>
        <w:instrText xml:space="preserve"> SEQ Graf \* ARABIC </w:instrText>
      </w:r>
      <w:r w:rsidR="00EE7C52">
        <w:rPr>
          <w:noProof/>
        </w:rPr>
        <w:fldChar w:fldCharType="separate"/>
      </w:r>
      <w:r w:rsidR="00DE40D4">
        <w:rPr>
          <w:noProof/>
        </w:rPr>
        <w:t>20</w:t>
      </w:r>
      <w:r w:rsidR="00EE7C52">
        <w:rPr>
          <w:noProof/>
        </w:rPr>
        <w:fldChar w:fldCharType="end"/>
      </w:r>
      <w:r w:rsidRPr="00BA4F8E">
        <w:t xml:space="preserve"> - BERD jako podíl na HDP v roce 2016 (v %)</w:t>
      </w:r>
      <w:bookmarkEnd w:id="244"/>
    </w:p>
    <w:p w14:paraId="6C79E0E9" w14:textId="0337715E" w:rsidR="00FD2CE8" w:rsidRPr="00BA4F8E" w:rsidRDefault="004C05B4" w:rsidP="00043C37">
      <w:r w:rsidRPr="00BA4F8E">
        <w:rPr>
          <w:noProof/>
          <w:lang w:eastAsia="cs-CZ"/>
        </w:rPr>
        <w:drawing>
          <wp:anchor distT="0" distB="0" distL="114300" distR="114300" simplePos="0" relativeHeight="251681792" behindDoc="0" locked="0" layoutInCell="1" allowOverlap="1" wp14:anchorId="56BC8477" wp14:editId="4AC150D2">
            <wp:simplePos x="0" y="0"/>
            <wp:positionH relativeFrom="margin">
              <wp:align>right</wp:align>
            </wp:positionH>
            <wp:positionV relativeFrom="paragraph">
              <wp:posOffset>6601</wp:posOffset>
            </wp:positionV>
            <wp:extent cx="5974080" cy="2838450"/>
            <wp:effectExtent l="0" t="0" r="7620" b="0"/>
            <wp:wrapNone/>
            <wp:docPr id="29" name="Obrázek 29"/>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74080" cy="2838450"/>
                    </a:xfrm>
                    <a:prstGeom prst="rect">
                      <a:avLst/>
                    </a:prstGeom>
                    <a:noFill/>
                  </pic:spPr>
                </pic:pic>
              </a:graphicData>
            </a:graphic>
          </wp:anchor>
        </w:drawing>
      </w:r>
    </w:p>
    <w:p w14:paraId="1AB63F16" w14:textId="77777777" w:rsidR="00FD2CE8" w:rsidRPr="00BA4F8E" w:rsidRDefault="00FD2CE8" w:rsidP="00043C37"/>
    <w:p w14:paraId="5C9EECF5" w14:textId="77777777" w:rsidR="00FD2CE8" w:rsidRPr="00BA4F8E" w:rsidRDefault="00FD2CE8" w:rsidP="00043C37"/>
    <w:p w14:paraId="57F55529" w14:textId="77777777" w:rsidR="00FD2CE8" w:rsidRPr="00BA4F8E" w:rsidRDefault="00FD2CE8" w:rsidP="00043C37"/>
    <w:p w14:paraId="79D0DDC8" w14:textId="77777777" w:rsidR="00FD2CE8" w:rsidRPr="00BA4F8E" w:rsidRDefault="00FD2CE8" w:rsidP="00043C37"/>
    <w:p w14:paraId="5CD94454" w14:textId="77777777" w:rsidR="00FD2CE8" w:rsidRPr="00BA4F8E" w:rsidRDefault="00FD2CE8" w:rsidP="00043C37"/>
    <w:p w14:paraId="161F4254" w14:textId="77777777" w:rsidR="00FD2CE8" w:rsidRPr="00BA4F8E" w:rsidRDefault="00FD2CE8" w:rsidP="00043C37"/>
    <w:p w14:paraId="49361DB9" w14:textId="77777777" w:rsidR="002E4A7D" w:rsidRPr="00BA4F8E" w:rsidRDefault="002E4A7D" w:rsidP="00043C37"/>
    <w:p w14:paraId="3C1F2F14" w14:textId="77777777" w:rsidR="002E4A7D" w:rsidRPr="00BA4F8E" w:rsidRDefault="002E4A7D" w:rsidP="00043C37"/>
    <w:p w14:paraId="7546778E" w14:textId="77777777" w:rsidR="004C05B4" w:rsidRDefault="004C05B4" w:rsidP="002E4A7D">
      <w:pPr>
        <w:spacing w:after="0"/>
        <w:rPr>
          <w:i/>
        </w:rPr>
      </w:pPr>
    </w:p>
    <w:p w14:paraId="7F8F0749" w14:textId="77777777" w:rsidR="002E4A7D" w:rsidRPr="007C784D" w:rsidRDefault="002E4A7D" w:rsidP="002E4A7D">
      <w:pPr>
        <w:spacing w:after="0"/>
        <w:rPr>
          <w:i/>
          <w:sz w:val="18"/>
          <w:szCs w:val="18"/>
        </w:rPr>
      </w:pPr>
      <w:r w:rsidRPr="007C784D">
        <w:rPr>
          <w:i/>
          <w:sz w:val="18"/>
          <w:szCs w:val="18"/>
        </w:rPr>
        <w:t>Zdroj: Eurostat, Statistics on research and development</w:t>
      </w:r>
    </w:p>
    <w:p w14:paraId="2D177F52" w14:textId="77777777" w:rsidR="002E4A7D" w:rsidRPr="007C784D" w:rsidRDefault="002E4A7D" w:rsidP="002E4A7D">
      <w:pPr>
        <w:spacing w:after="0"/>
        <w:rPr>
          <w:sz w:val="18"/>
          <w:szCs w:val="18"/>
        </w:rPr>
      </w:pPr>
      <w:r w:rsidRPr="007C784D">
        <w:rPr>
          <w:sz w:val="18"/>
          <w:szCs w:val="18"/>
        </w:rPr>
        <w:t>Pozn.: Česká republika se nachází na 11. místě.</w:t>
      </w:r>
      <w:r w:rsidRPr="007C784D">
        <w:rPr>
          <w:sz w:val="18"/>
          <w:szCs w:val="18"/>
        </w:rPr>
        <w:tab/>
      </w:r>
    </w:p>
    <w:p w14:paraId="135DE92F" w14:textId="77777777" w:rsidR="002E4A7D" w:rsidRPr="00BA4F8E" w:rsidRDefault="002E4A7D" w:rsidP="00043C37"/>
    <w:p w14:paraId="6D8CBB74" w14:textId="39F27C2B" w:rsidR="006E6688" w:rsidRDefault="006E6688" w:rsidP="00EF4A38">
      <w:pPr>
        <w:pStyle w:val="Nadpis2"/>
      </w:pPr>
      <w:bookmarkStart w:id="245" w:name="_Ref521491484"/>
      <w:bookmarkStart w:id="246" w:name="_Ref521491491"/>
      <w:bookmarkStart w:id="247" w:name="_Ref521491499"/>
      <w:bookmarkStart w:id="248" w:name="_Ref521492604"/>
      <w:bookmarkStart w:id="249" w:name="_Ref521492615"/>
      <w:bookmarkStart w:id="250" w:name="_Toc525716274"/>
      <w:r w:rsidRPr="00EF4A38">
        <w:t>Priority výzkumu, vývoje a inovací zjištěné prostřednictvím EDP v rámci Národních inovačních platforem</w:t>
      </w:r>
      <w:bookmarkEnd w:id="245"/>
      <w:bookmarkEnd w:id="246"/>
      <w:bookmarkEnd w:id="247"/>
      <w:bookmarkEnd w:id="248"/>
      <w:bookmarkEnd w:id="249"/>
      <w:bookmarkEnd w:id="250"/>
    </w:p>
    <w:p w14:paraId="658C67A0" w14:textId="5E09ED23" w:rsidR="00BF09D7" w:rsidRDefault="00BF09D7" w:rsidP="0014077F">
      <w:pPr>
        <w:spacing w:before="240" w:line="360" w:lineRule="auto"/>
        <w:ind w:firstLine="576"/>
        <w:jc w:val="both"/>
      </w:pPr>
      <w:r>
        <w:t>Tato kapitola obsahuje podrobné výstupy EDP shromážděné v rámci NIP, na základě kterých byl zpracován text Národní RIS3 strategie</w:t>
      </w:r>
      <w:r w:rsidRPr="00E85EAA">
        <w:t xml:space="preserve"> (kap. </w:t>
      </w:r>
      <w:r w:rsidR="004C05B4" w:rsidRPr="00E85EAA">
        <w:fldChar w:fldCharType="begin"/>
      </w:r>
      <w:r w:rsidR="004C05B4" w:rsidRPr="00E85EAA">
        <w:instrText xml:space="preserve"> REF _Ref521663811 \r \h  \* MERGEFORMAT </w:instrText>
      </w:r>
      <w:r w:rsidR="004C05B4" w:rsidRPr="00E85EAA">
        <w:fldChar w:fldCharType="separate"/>
      </w:r>
      <w:r w:rsidR="00DE40D4">
        <w:t>7.1</w:t>
      </w:r>
      <w:r w:rsidR="004C05B4" w:rsidRPr="00E85EAA">
        <w:fldChar w:fldCharType="end"/>
      </w:r>
      <w:r w:rsidRPr="00E85EAA">
        <w:t xml:space="preserve"> </w:t>
      </w:r>
      <w:r w:rsidR="004C05B4" w:rsidRPr="00E85EAA">
        <w:fldChar w:fldCharType="begin"/>
      </w:r>
      <w:r w:rsidR="004C05B4" w:rsidRPr="00E85EAA">
        <w:instrText xml:space="preserve"> REF _Ref521663811 \h  \* MERGEFORMAT </w:instrText>
      </w:r>
      <w:r w:rsidR="004C05B4" w:rsidRPr="00E85EAA">
        <w:fldChar w:fldCharType="separate"/>
      </w:r>
      <w:r w:rsidR="00DE40D4">
        <w:t>Oblasti inteligentní specializace</w:t>
      </w:r>
      <w:r w:rsidR="00DE40D4" w:rsidRPr="00EF4A38">
        <w:t xml:space="preserve"> v České republice</w:t>
      </w:r>
      <w:r w:rsidR="004C05B4" w:rsidRPr="00E85EAA">
        <w:fldChar w:fldCharType="end"/>
      </w:r>
      <w:r w:rsidRPr="00E85EAA">
        <w:t>).</w:t>
      </w:r>
      <w:r w:rsidR="00832381">
        <w:t xml:space="preserve"> Pro Národní RIS3 strategii 2021+ se počítá s formálním přepracováním popisných karet aplikačních odvětví</w:t>
      </w:r>
      <w:r w:rsidR="00810825">
        <w:t xml:space="preserve"> do podoby jasně strukturovaného výstupu</w:t>
      </w:r>
      <w:r w:rsidR="00832381">
        <w:t xml:space="preserve">, a to jednak s důrazem na vyšší zohlednění průřezovosti znalostních domén </w:t>
      </w:r>
      <w:r w:rsidR="00832381" w:rsidRPr="0078326D">
        <w:t xml:space="preserve">(kap. </w:t>
      </w:r>
      <w:r w:rsidR="0078326D" w:rsidRPr="0078326D">
        <w:fldChar w:fldCharType="begin"/>
      </w:r>
      <w:r w:rsidR="0078326D" w:rsidRPr="0078326D">
        <w:instrText xml:space="preserve"> REF _Ref521660964 \r \h </w:instrText>
      </w:r>
      <w:r w:rsidR="0078326D">
        <w:instrText xml:space="preserve"> \* MERGEFORMAT </w:instrText>
      </w:r>
      <w:r w:rsidR="0078326D" w:rsidRPr="0078326D">
        <w:fldChar w:fldCharType="separate"/>
      </w:r>
      <w:r w:rsidR="0078326D" w:rsidRPr="0078326D">
        <w:t>4.2.2</w:t>
      </w:r>
      <w:r w:rsidR="0078326D" w:rsidRPr="0078326D">
        <w:fldChar w:fldCharType="end"/>
      </w:r>
      <w:r w:rsidR="00B660F0" w:rsidRPr="0078326D">
        <w:t xml:space="preserve"> </w:t>
      </w:r>
      <w:r w:rsidR="0078326D" w:rsidRPr="0078326D">
        <w:fldChar w:fldCharType="begin"/>
      </w:r>
      <w:r w:rsidR="0078326D" w:rsidRPr="0078326D">
        <w:instrText xml:space="preserve"> REF _Ref521660964 \h </w:instrText>
      </w:r>
      <w:r w:rsidR="0078326D">
        <w:instrText xml:space="preserve"> \* MERGEFORMAT </w:instrText>
      </w:r>
      <w:r w:rsidR="0078326D" w:rsidRPr="0078326D">
        <w:fldChar w:fldCharType="separate"/>
      </w:r>
      <w:r w:rsidR="0078326D" w:rsidRPr="0078326D">
        <w:t>Výzkumná specializace</w:t>
      </w:r>
      <w:r w:rsidR="0078326D" w:rsidRPr="0078326D">
        <w:fldChar w:fldCharType="end"/>
      </w:r>
      <w:r w:rsidR="00832381">
        <w:t>), jednak na základě nutnosti pokročit v přesnější definici vertikálních cílů a způsobu jejich měření v podobě výsledkových indikátorů aplikovaného výzkumu. Následným krokem bude striktní prosazování vertikalizace v návazných intervencích</w:t>
      </w:r>
      <w:r w:rsidR="00810825">
        <w:rPr>
          <w:rStyle w:val="Znakapoznpodarou"/>
        </w:rPr>
        <w:footnoteReference w:id="151"/>
      </w:r>
      <w:r w:rsidR="00832381">
        <w:t>.</w:t>
      </w:r>
    </w:p>
    <w:p w14:paraId="6A9CE0FC" w14:textId="77777777" w:rsidR="00567C00" w:rsidRPr="00BF09D7" w:rsidRDefault="00567C00" w:rsidP="00BF09D7">
      <w:pPr>
        <w:spacing w:before="240" w:line="360" w:lineRule="auto"/>
        <w:ind w:firstLine="576"/>
      </w:pPr>
    </w:p>
    <w:p w14:paraId="4B003EE9" w14:textId="2100AC02" w:rsidR="006E6688" w:rsidRDefault="006E6688" w:rsidP="00F35159">
      <w:pPr>
        <w:pStyle w:val="Nadpis3"/>
        <w:spacing w:after="240" w:line="360" w:lineRule="auto"/>
      </w:pPr>
      <w:bookmarkStart w:id="251" w:name="_Toc525716275"/>
      <w:r w:rsidRPr="00EF4A38">
        <w:t>Pokročilé stroje / technologie pro silný a globálně konkurenceschopný průmysl</w:t>
      </w:r>
      <w:r w:rsidR="006113AA">
        <w:t xml:space="preserve"> - </w:t>
      </w:r>
      <w:r w:rsidRPr="00EF4A38">
        <w:t>výstupy z</w:t>
      </w:r>
      <w:r w:rsidR="00A9296A">
        <w:t> </w:t>
      </w:r>
      <w:r w:rsidR="00E7344A">
        <w:t>NIP</w:t>
      </w:r>
      <w:r w:rsidR="004B7F7E">
        <w:t xml:space="preserve"> I. „Strojírenství, energetika,</w:t>
      </w:r>
      <w:r w:rsidRPr="00EF4A38">
        <w:t xml:space="preserve"> hutnictví</w:t>
      </w:r>
      <w:r w:rsidR="004B7F7E">
        <w:t xml:space="preserve"> a průmyslová chemie</w:t>
      </w:r>
      <w:r w:rsidRPr="00EF4A38">
        <w:t>“</w:t>
      </w:r>
      <w:bookmarkEnd w:id="251"/>
    </w:p>
    <w:p w14:paraId="48002DAB" w14:textId="66E9159E" w:rsidR="0086785D" w:rsidRPr="0086785D" w:rsidRDefault="00FA4C07" w:rsidP="00FA4C07">
      <w:pPr>
        <w:pStyle w:val="Nadpis4"/>
        <w:spacing w:after="240" w:line="360" w:lineRule="auto"/>
      </w:pPr>
      <w:bookmarkStart w:id="252" w:name="_Toc525716276"/>
      <w:r>
        <w:t>Strojírenství-mechatronika</w:t>
      </w:r>
      <w:bookmarkEnd w:id="252"/>
    </w:p>
    <w:p w14:paraId="47B45E3B" w14:textId="66F41DAC" w:rsidR="0086785D" w:rsidRPr="006D22A1" w:rsidRDefault="0086785D" w:rsidP="00543C1B">
      <w:pPr>
        <w:pStyle w:val="Odstavecseseznamem"/>
        <w:numPr>
          <w:ilvl w:val="0"/>
          <w:numId w:val="103"/>
        </w:numPr>
        <w:spacing w:after="240" w:line="360" w:lineRule="auto"/>
        <w:rPr>
          <w:u w:val="single"/>
        </w:rPr>
      </w:pPr>
      <w:r w:rsidRPr="006D22A1">
        <w:rPr>
          <w:u w:val="single"/>
        </w:rPr>
        <w:t>Témata VaVaI identifikovaná prostřednictvím EDP</w:t>
      </w:r>
    </w:p>
    <w:p w14:paraId="5C990595" w14:textId="77777777" w:rsidR="00851455" w:rsidRPr="00851455" w:rsidRDefault="00851455" w:rsidP="00543C1B">
      <w:pPr>
        <w:numPr>
          <w:ilvl w:val="0"/>
          <w:numId w:val="104"/>
        </w:numPr>
        <w:spacing w:after="120" w:line="360" w:lineRule="auto"/>
        <w:ind w:left="737" w:hanging="377"/>
        <w:jc w:val="both"/>
        <w:rPr>
          <w:rFonts w:eastAsia="MS Mincho"/>
          <w:b/>
        </w:rPr>
      </w:pPr>
      <w:r w:rsidRPr="00851455">
        <w:rPr>
          <w:rFonts w:eastAsia="MS Mincho"/>
          <w:b/>
        </w:rPr>
        <w:t>Globální sektorová strategie strojírenské výrobní techniky (SVT) a přesného strojírenství (PS) představuje:</w:t>
      </w:r>
    </w:p>
    <w:p w14:paraId="757810B9" w14:textId="6949BCC6" w:rsidR="00851455" w:rsidRPr="00851455" w:rsidRDefault="00851455" w:rsidP="00543C1B">
      <w:pPr>
        <w:numPr>
          <w:ilvl w:val="1"/>
          <w:numId w:val="104"/>
        </w:numPr>
        <w:spacing w:after="120" w:line="360" w:lineRule="auto"/>
        <w:jc w:val="both"/>
        <w:rPr>
          <w:rFonts w:eastAsia="MS Mincho"/>
        </w:rPr>
      </w:pPr>
      <w:r w:rsidRPr="00851455">
        <w:rPr>
          <w:rFonts w:eastAsia="MS Mincho"/>
        </w:rPr>
        <w:t>Zvyšování přesnosti - především zvyšování geometrické a rozměrové přesnosti v malých i</w:t>
      </w:r>
      <w:r>
        <w:rPr>
          <w:rFonts w:eastAsia="MS Mincho"/>
        </w:rPr>
        <w:t> </w:t>
      </w:r>
      <w:r w:rsidRPr="00851455">
        <w:rPr>
          <w:rFonts w:eastAsia="MS Mincho"/>
        </w:rPr>
        <w:t>velkých rozměrech dílců, komponentů, strojů a metod.</w:t>
      </w:r>
    </w:p>
    <w:p w14:paraId="1A26831E"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Zvyšování jakosti - především zvyšování jakosti povrchů, cílené pozitivní ovlivňování charakteristik integrity povrchů.</w:t>
      </w:r>
    </w:p>
    <w:p w14:paraId="5280DDC1"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Zvyšování výrobního výkonu - zvyšování krátkodobého i dlouhodobého výrobního výkonu strojů a zařízení, ale také výkonových charakteristik dílců a komponentů.</w:t>
      </w:r>
    </w:p>
    <w:p w14:paraId="34C8165F"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Zvyšování spolehlivosti - zvyšování spolehlivosti produktů, funkcí a procesů.</w:t>
      </w:r>
    </w:p>
    <w:p w14:paraId="7B0F0B82"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Zvyšování hospodárnosti - minimalizace jednotkových nákladů na produkty, minimalizace nákladů provozu, nákladů na obsluhu a minimalizace nákladů na samotné pořízení produktů.</w:t>
      </w:r>
    </w:p>
    <w:p w14:paraId="0B3961A2" w14:textId="77777777" w:rsidR="00851455" w:rsidRPr="00851455" w:rsidRDefault="00851455" w:rsidP="00543C1B">
      <w:pPr>
        <w:numPr>
          <w:ilvl w:val="1"/>
          <w:numId w:val="104"/>
        </w:numPr>
        <w:spacing w:after="120" w:line="360" w:lineRule="auto"/>
        <w:jc w:val="both"/>
      </w:pPr>
      <w:r w:rsidRPr="00851455">
        <w:rPr>
          <w:rFonts w:eastAsia="MS Mincho"/>
        </w:rPr>
        <w:t>Snižování negativních dopadů na životní prostředí - minimalizace negativních dopadů produktů na životní</w:t>
      </w:r>
      <w:r w:rsidRPr="00851455">
        <w:t xml:space="preserve"> prostředí v rámci celého životního cyklu.</w:t>
      </w:r>
    </w:p>
    <w:p w14:paraId="77C788A2" w14:textId="510680B3" w:rsidR="00A84507" w:rsidRPr="00851455" w:rsidRDefault="00851455" w:rsidP="008E3DF9">
      <w:pPr>
        <w:pStyle w:val="Default"/>
        <w:spacing w:after="200" w:line="360" w:lineRule="auto"/>
        <w:ind w:firstLine="709"/>
        <w:jc w:val="both"/>
        <w:rPr>
          <w:rFonts w:asciiTheme="minorHAnsi" w:hAnsiTheme="minorHAnsi" w:cstheme="minorBidi"/>
          <w:b/>
          <w:color w:val="auto"/>
          <w:sz w:val="22"/>
          <w:szCs w:val="22"/>
        </w:rPr>
      </w:pPr>
      <w:r w:rsidRPr="00851455">
        <w:rPr>
          <w:rFonts w:asciiTheme="minorHAnsi" w:hAnsiTheme="minorHAnsi" w:cstheme="minorBidi"/>
          <w:color w:val="auto"/>
          <w:sz w:val="22"/>
          <w:szCs w:val="22"/>
        </w:rPr>
        <w:t>Následují perspektivní oblasti a směry výzkumu, vývoje a inovací, které je třeba ze strany SR a EU podporovat orientovanými dotacemi do výzkumu, vývoje a inovací na úrovni institucionální i účelové podpory. Perspektivní oblasti a témata, jejichž řešení přispívá k naplňování strategie sektoru a hlavních cílů sektoru ve VaVaI, jsou tyto</w:t>
      </w:r>
      <w:r w:rsidRPr="00851455">
        <w:rPr>
          <w:rFonts w:asciiTheme="minorHAnsi" w:hAnsiTheme="minorHAnsi" w:cstheme="minorBidi"/>
          <w:b/>
          <w:color w:val="auto"/>
          <w:sz w:val="22"/>
          <w:szCs w:val="22"/>
        </w:rPr>
        <w:t>:</w:t>
      </w:r>
    </w:p>
    <w:p w14:paraId="7E5FF96E" w14:textId="77777777" w:rsidR="00851455" w:rsidRPr="00851455" w:rsidRDefault="00851455" w:rsidP="00543C1B">
      <w:pPr>
        <w:numPr>
          <w:ilvl w:val="0"/>
          <w:numId w:val="104"/>
        </w:numPr>
        <w:spacing w:after="120" w:line="360" w:lineRule="auto"/>
        <w:ind w:left="737" w:hanging="377"/>
        <w:jc w:val="both"/>
        <w:rPr>
          <w:rFonts w:eastAsia="MS Mincho"/>
          <w:b/>
        </w:rPr>
      </w:pPr>
      <w:r w:rsidRPr="00851455">
        <w:rPr>
          <w:rFonts w:eastAsia="MS Mincho"/>
          <w:b/>
        </w:rPr>
        <w:t>Optimalizace produktů</w:t>
      </w:r>
    </w:p>
    <w:p w14:paraId="42F0DCA2"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VaV průmyslově využitelných metod, technik (zvláště konstrukčních, výpočtových a optimalizačních), postupů a zejména software pro návrh optimálních strojů, zařízení, přístrojů, komponent, systémů, výrobků, výrobních buněk, výrobních systémů a průmyslových investičních celků (produktů) a pro optimalizaci jejich užívání.</w:t>
      </w:r>
    </w:p>
    <w:p w14:paraId="2D4D0D71"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Vývoj nástrojů a metod, které umožňují zachovat nebo zvyšovat užitné vlastnosti produktů při minimalizaci nákladů na vývoj, výrobu, užití a při minimalizaci rizik pro výrobce, uživatele a okolí.</w:t>
      </w:r>
    </w:p>
    <w:p w14:paraId="000972AF"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 xml:space="preserve">Nástroje umožňující optimalizace jednoho i více parametrů současně a umožňující multifyzikální optimalizace (např. optimalizace teplotních a frekvenčních vlastností současně). </w:t>
      </w:r>
    </w:p>
    <w:p w14:paraId="058153C2"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Vytváření nástrojů a metod, především SW, které podporují rychlý vývojový proces a minimalizují rizika při vývoji produktů i návrhu technologie jejich výroby, zpracování, montáže a jejich následného užívání.</w:t>
      </w:r>
    </w:p>
    <w:p w14:paraId="4D76E516"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 xml:space="preserve">VaV nových metod a SW pro možnost plného využívání potenciálu nových aditivních technologií a nových materiálů, zejména s využitím principů bioniky a bio-inspirovaných přístupů ve strojírenství. </w:t>
      </w:r>
    </w:p>
    <w:p w14:paraId="653F598C" w14:textId="2BFC36D9" w:rsidR="00851455" w:rsidRPr="00851455" w:rsidRDefault="00851455" w:rsidP="00543C1B">
      <w:pPr>
        <w:numPr>
          <w:ilvl w:val="1"/>
          <w:numId w:val="104"/>
        </w:numPr>
        <w:spacing w:after="120" w:line="360" w:lineRule="auto"/>
        <w:jc w:val="both"/>
        <w:rPr>
          <w:rFonts w:eastAsia="MS Mincho"/>
        </w:rPr>
      </w:pPr>
      <w:r w:rsidRPr="00851455">
        <w:rPr>
          <w:rFonts w:eastAsia="MS Mincho"/>
        </w:rPr>
        <w:t>VaV metod pro optimální návrh a provoz/užívání produktů s ohledem na bezpečnost a</w:t>
      </w:r>
      <w:r>
        <w:rPr>
          <w:rFonts w:eastAsia="MS Mincho"/>
        </w:rPr>
        <w:t> </w:t>
      </w:r>
      <w:r w:rsidRPr="00851455">
        <w:rPr>
          <w:rFonts w:eastAsia="MS Mincho"/>
        </w:rPr>
        <w:t xml:space="preserve">interakci s obsluhou a okolím. </w:t>
      </w:r>
    </w:p>
    <w:p w14:paraId="4A5B2E58" w14:textId="77777777" w:rsidR="00851455" w:rsidRPr="00851455" w:rsidRDefault="00851455" w:rsidP="00543C1B">
      <w:pPr>
        <w:numPr>
          <w:ilvl w:val="1"/>
          <w:numId w:val="104"/>
        </w:numPr>
        <w:spacing w:after="120" w:line="360" w:lineRule="auto"/>
        <w:jc w:val="both"/>
        <w:rPr>
          <w:rFonts w:eastAsia="MS Mincho"/>
        </w:rPr>
      </w:pPr>
      <w:r w:rsidRPr="00851455">
        <w:rPr>
          <w:rFonts w:eastAsia="MS Mincho"/>
        </w:rPr>
        <w:t>VaV matematických modelů, které jsou základem pro optimalizační úlohy a které mohou být užívány pro vývoj produktů nebo které mohou být užity během provozu produktů jako virtuální obrazy skutečných produktů (Cyber-physical Systems) a mohou umožnit zdokonalené/optimální využívání produktů.</w:t>
      </w:r>
    </w:p>
    <w:p w14:paraId="270DC1AF" w14:textId="77777777" w:rsidR="00851455" w:rsidRPr="00851455" w:rsidRDefault="00851455" w:rsidP="00543C1B">
      <w:pPr>
        <w:numPr>
          <w:ilvl w:val="0"/>
          <w:numId w:val="105"/>
        </w:numPr>
        <w:spacing w:before="240" w:after="120" w:line="360" w:lineRule="auto"/>
        <w:ind w:left="737" w:hanging="377"/>
        <w:jc w:val="both"/>
        <w:rPr>
          <w:rFonts w:eastAsia="MS Mincho"/>
          <w:b/>
        </w:rPr>
      </w:pPr>
      <w:r w:rsidRPr="00851455">
        <w:rPr>
          <w:rFonts w:eastAsia="MS Mincho"/>
          <w:b/>
        </w:rPr>
        <w:t>Nové koncepce a provedení produktů</w:t>
      </w:r>
    </w:p>
    <w:p w14:paraId="55CC16A3" w14:textId="395B339F" w:rsidR="00851455" w:rsidRPr="00851455" w:rsidRDefault="00851455" w:rsidP="00543C1B">
      <w:pPr>
        <w:numPr>
          <w:ilvl w:val="1"/>
          <w:numId w:val="105"/>
        </w:numPr>
        <w:spacing w:after="120" w:line="360" w:lineRule="auto"/>
        <w:jc w:val="both"/>
        <w:rPr>
          <w:rFonts w:eastAsia="MS Mincho"/>
        </w:rPr>
      </w:pPr>
      <w:r w:rsidRPr="00851455">
        <w:rPr>
          <w:rFonts w:eastAsia="MS Mincho"/>
        </w:rPr>
        <w:t>VaV nových koncepčních, strukturálních, konstrukčních a realizačních podob strojů, zařízení, přístrojů, komponent, systémů, software a výrobků (produktů), které odstraňují nedostatky a posouvají hranice v dosahované přesnosti, jakosti, výkonu, spolehlivosti a hospodárnosti a</w:t>
      </w:r>
      <w:r>
        <w:rPr>
          <w:rFonts w:eastAsia="MS Mincho"/>
        </w:rPr>
        <w:t> </w:t>
      </w:r>
      <w:r w:rsidRPr="00851455">
        <w:rPr>
          <w:rFonts w:eastAsia="MS Mincho"/>
        </w:rPr>
        <w:t xml:space="preserve">zákazníkovi nabízí vyšší parametry hlavních užitných vlastností. </w:t>
      </w:r>
    </w:p>
    <w:p w14:paraId="118D50AC"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 xml:space="preserve">Vyhledávání zcela nových forem, principů, podob a tvarů strojírenských produktů, které umožňují zvyšovat užitné vlastnosti žádané uživateli. </w:t>
      </w:r>
    </w:p>
    <w:p w14:paraId="755C87B6"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VaV řešení umožňujících efektivní využívání produktů v širokém spektru pracovních podmínek (teplotních, výkonových, rozměrových, atp.).</w:t>
      </w:r>
    </w:p>
    <w:p w14:paraId="79CF37EA"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 xml:space="preserve">VaV uplatnění nových materiálů, pohonů, senzorů, technik regulace a řízení a dalších pokročilých výsledků v KETs a ve vstupních odvětvích (které ovlivňují specificky orientovanou strojírenskou produkci) pro aplikaci ve strojírenských produktech. </w:t>
      </w:r>
    </w:p>
    <w:p w14:paraId="1DA1144E"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 xml:space="preserve">VaV adaptace stávající produkce na koncept Průmysl 4.0 z hlediska multifunkčnosti a adaptability produktů.  </w:t>
      </w:r>
    </w:p>
    <w:p w14:paraId="4794B766" w14:textId="5005908B" w:rsidR="00851455" w:rsidRPr="00851455" w:rsidRDefault="00851455" w:rsidP="00543C1B">
      <w:pPr>
        <w:numPr>
          <w:ilvl w:val="1"/>
          <w:numId w:val="105"/>
        </w:numPr>
        <w:spacing w:after="120" w:line="360" w:lineRule="auto"/>
        <w:jc w:val="both"/>
        <w:rPr>
          <w:rFonts w:eastAsia="MS Mincho"/>
        </w:rPr>
      </w:pPr>
      <w:r w:rsidRPr="00851455">
        <w:rPr>
          <w:rFonts w:eastAsia="MS Mincho"/>
        </w:rPr>
        <w:t>VaV nových koncepčních, strukturálních, konstrukčních a realizačních podob produktů s</w:t>
      </w:r>
      <w:r>
        <w:rPr>
          <w:rFonts w:eastAsia="MS Mincho"/>
        </w:rPr>
        <w:t> </w:t>
      </w:r>
      <w:r w:rsidRPr="00851455">
        <w:rPr>
          <w:rFonts w:eastAsia="MS Mincho"/>
        </w:rPr>
        <w:t xml:space="preserve">ohledem na bezpečnost, interakci s obsluhou, interakci s okolím a s ohledem na legislativní a formální požadavky. </w:t>
      </w:r>
    </w:p>
    <w:p w14:paraId="2F4C8D56"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VaV v oblasti pokročilé robotiky, pokročilého a nekonvenčního využívání robotů, v oblasti kybernetiky, agent systems, emergentního chování, cyber-fyzikální podoby strojírenských produktů, self-learning systémů a systémů interakce člověk-stroj.</w:t>
      </w:r>
    </w:p>
    <w:p w14:paraId="26D6E872"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VaV nových a zdokonalených technologií a zařízení pro efektivní a pokročilou produkci energií, distribuci a skladování energie a pro integrovaná energetická řešení.</w:t>
      </w:r>
    </w:p>
    <w:p w14:paraId="1DA02CD7"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Bionika a bio-inspirované přístupy ve strojírenství.</w:t>
      </w:r>
    </w:p>
    <w:p w14:paraId="24E4FC43" w14:textId="77777777" w:rsidR="00851455" w:rsidRPr="00851455" w:rsidRDefault="00851455" w:rsidP="00543C1B">
      <w:pPr>
        <w:numPr>
          <w:ilvl w:val="0"/>
          <w:numId w:val="105"/>
        </w:numPr>
        <w:spacing w:before="240" w:after="120" w:line="360" w:lineRule="auto"/>
        <w:ind w:left="737" w:hanging="377"/>
        <w:jc w:val="both"/>
        <w:rPr>
          <w:rFonts w:eastAsia="MS Mincho"/>
          <w:b/>
        </w:rPr>
      </w:pPr>
      <w:r w:rsidRPr="00851455">
        <w:rPr>
          <w:rFonts w:eastAsia="MS Mincho"/>
          <w:b/>
        </w:rPr>
        <w:t>Nové a progresivní technologie</w:t>
      </w:r>
    </w:p>
    <w:p w14:paraId="7FAE6D1A"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VaV zdokonalených a nových technologických postupů, principů a procesních parametrů obrábění, které umožní zpracování dosud těžko obrobitelných materiálů, které umožní zvyšování výrobního výkonu, spolehlivosti procesu a které umožňují realizovat přesnější výrobu s lepší integritou povrchu při zachování ekonomické efektivity výroby (např. řešení témat mikroobrábění, obrábění těžkoobrobitelných a vzácných materiálů)</w:t>
      </w:r>
    </w:p>
    <w:p w14:paraId="619C8BAF" w14:textId="74E33DB4" w:rsidR="00851455" w:rsidRPr="00851455" w:rsidRDefault="00851455" w:rsidP="00543C1B">
      <w:pPr>
        <w:numPr>
          <w:ilvl w:val="1"/>
          <w:numId w:val="105"/>
        </w:numPr>
        <w:spacing w:after="120" w:line="360" w:lineRule="auto"/>
        <w:jc w:val="both"/>
        <w:rPr>
          <w:rFonts w:eastAsia="MS Mincho"/>
        </w:rPr>
      </w:pPr>
      <w:r w:rsidRPr="00851455">
        <w:rPr>
          <w:rFonts w:eastAsia="MS Mincho"/>
        </w:rPr>
        <w:t>VaV zdokonalených a nových technologických postupů, principů a procesních parametrů tváření, včetně vstřikování, které umožní zpracování dosud těžko tvářitelných materiálů, které umožní zvyšování výrobního výkonu, spolehlivosti procesu a které umožňují realizovat přesnější výrobu s lepší integritou povrchu při zachování ekonomické efektivity výroby (např.</w:t>
      </w:r>
      <w:r w:rsidR="00B811A5">
        <w:rPr>
          <w:rFonts w:eastAsia="MS Mincho"/>
        </w:rPr>
        <w:t> </w:t>
      </w:r>
      <w:r w:rsidRPr="00851455">
        <w:rPr>
          <w:rFonts w:eastAsia="MS Mincho"/>
        </w:rPr>
        <w:t>řešení přesného tváření, tváření nových a nestandardních materiálů, laserové sintrování).</w:t>
      </w:r>
    </w:p>
    <w:p w14:paraId="4DA7A18C" w14:textId="77777777" w:rsidR="00851455" w:rsidRDefault="00851455" w:rsidP="00543C1B">
      <w:pPr>
        <w:numPr>
          <w:ilvl w:val="1"/>
          <w:numId w:val="105"/>
        </w:numPr>
        <w:spacing w:after="120" w:line="360" w:lineRule="auto"/>
        <w:jc w:val="both"/>
        <w:rPr>
          <w:rFonts w:eastAsia="MS Mincho"/>
        </w:rPr>
      </w:pPr>
      <w:r w:rsidRPr="00851455">
        <w:rPr>
          <w:rFonts w:eastAsia="MS Mincho"/>
        </w:rPr>
        <w:t>VaV zdokonalených a nových technologických postupů, principů a procesních parametrů aditivní výroby, včetně hybridní výroby (hybrid manufacturing), které umožní zpracování dosud nezpracovávaných materiálů, které umožní zvyšovat spolehlivost materiálových vlastností takto vytvářených dílců a umožní zvyšovat výrobní výkon, přesnost a jakost povrchů. Řešení zvyšování produktivity a snižování nákladů na technologie AM a HM.</w:t>
      </w:r>
    </w:p>
    <w:p w14:paraId="466763E5" w14:textId="75D8E76D" w:rsidR="00F51B5E" w:rsidRPr="00851455" w:rsidRDefault="00F51B5E" w:rsidP="00543C1B">
      <w:pPr>
        <w:numPr>
          <w:ilvl w:val="1"/>
          <w:numId w:val="105"/>
        </w:numPr>
        <w:spacing w:after="120" w:line="360" w:lineRule="auto"/>
        <w:jc w:val="both"/>
        <w:rPr>
          <w:rFonts w:eastAsia="MS Mincho"/>
        </w:rPr>
      </w:pPr>
      <w:r w:rsidRPr="00851455">
        <w:rPr>
          <w:rFonts w:eastAsia="MS Mincho"/>
        </w:rPr>
        <w:t xml:space="preserve">VaV zdokonalených a nových technologických postupů, principů a procesních parametrů </w:t>
      </w:r>
      <w:r>
        <w:rPr>
          <w:rFonts w:eastAsia="MS Mincho"/>
        </w:rPr>
        <w:t>dalších technologií</w:t>
      </w:r>
      <w:r w:rsidRPr="00851455">
        <w:rPr>
          <w:rFonts w:eastAsia="MS Mincho"/>
        </w:rPr>
        <w:t xml:space="preserve">, které umožní </w:t>
      </w:r>
      <w:r>
        <w:rPr>
          <w:rFonts w:eastAsia="MS Mincho"/>
        </w:rPr>
        <w:t xml:space="preserve">zlepšení </w:t>
      </w:r>
      <w:r w:rsidRPr="00851455">
        <w:rPr>
          <w:rFonts w:eastAsia="MS Mincho"/>
        </w:rPr>
        <w:t>zpracová</w:t>
      </w:r>
      <w:r>
        <w:rPr>
          <w:rFonts w:eastAsia="MS Mincho"/>
        </w:rPr>
        <w:t>vá</w:t>
      </w:r>
      <w:r w:rsidRPr="00851455">
        <w:rPr>
          <w:rFonts w:eastAsia="MS Mincho"/>
        </w:rPr>
        <w:t>ní materiálů, které umožní zvyšovat spolehlivost materiálových vlastností takto vytvářených dílců a umožní zvyšovat výrobní vý</w:t>
      </w:r>
      <w:r>
        <w:rPr>
          <w:rFonts w:eastAsia="MS Mincho"/>
        </w:rPr>
        <w:t xml:space="preserve">kon, přesnost a jakost povrchů, </w:t>
      </w:r>
      <w:r w:rsidRPr="00851455">
        <w:rPr>
          <w:rFonts w:eastAsia="MS Mincho"/>
        </w:rPr>
        <w:t>při zachování ekonomické efektivity výroby</w:t>
      </w:r>
      <w:r>
        <w:rPr>
          <w:rFonts w:eastAsia="MS Mincho"/>
        </w:rPr>
        <w:t>.</w:t>
      </w:r>
    </w:p>
    <w:p w14:paraId="32ED640F"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 xml:space="preserve">VaV software, simulačních a modelovacích technik a postupů pro modelování technologických procesů s cílem je využít pro virtuální ladění technologie, pro získávání okrajových podmínek pro návrh technologických zařízení a strojů a s cílem realizovat cyber-fyzikální technologické procesy, kde je možné virtuální proces na pozadí užít jako zdroj pro nadřazené zpětné vazby řídicí technologii, stroj nebo vyšší celek. </w:t>
      </w:r>
    </w:p>
    <w:p w14:paraId="58245203" w14:textId="57B52572" w:rsidR="00851455" w:rsidRPr="00851455" w:rsidRDefault="00851455" w:rsidP="00543C1B">
      <w:pPr>
        <w:numPr>
          <w:ilvl w:val="1"/>
          <w:numId w:val="105"/>
        </w:numPr>
        <w:spacing w:after="120" w:line="360" w:lineRule="auto"/>
        <w:jc w:val="both"/>
        <w:rPr>
          <w:rFonts w:eastAsia="MS Mincho"/>
        </w:rPr>
      </w:pPr>
      <w:r w:rsidRPr="00851455">
        <w:rPr>
          <w:rFonts w:eastAsia="MS Mincho"/>
        </w:rPr>
        <w:t>VaV pokročilých software a softwarových modulů (např. postrpocesorů) pro efektivní a</w:t>
      </w:r>
      <w:r>
        <w:rPr>
          <w:rFonts w:eastAsia="MS Mincho"/>
        </w:rPr>
        <w:t> </w:t>
      </w:r>
      <w:r w:rsidRPr="00851455">
        <w:rPr>
          <w:rFonts w:eastAsia="MS Mincho"/>
        </w:rPr>
        <w:t>produktivní technologické využití moderních, složitých, komplexních a multifunkčních strojů a produktů, které nelze bez pokročilé SW podpory vůbec efektivně užívat. VaV software pro přípravu technologie i pro sledování, diagnostiku a vyhodnocování procesních parametrů, výkonu a spolehlivosti technologických procesů.</w:t>
      </w:r>
    </w:p>
    <w:p w14:paraId="046B30A2" w14:textId="77777777" w:rsidR="00851455" w:rsidRPr="00851455" w:rsidRDefault="00851455" w:rsidP="00543C1B">
      <w:pPr>
        <w:numPr>
          <w:ilvl w:val="1"/>
          <w:numId w:val="105"/>
        </w:numPr>
        <w:spacing w:after="120" w:line="360" w:lineRule="auto"/>
        <w:jc w:val="both"/>
        <w:rPr>
          <w:rFonts w:eastAsia="MS Mincho"/>
        </w:rPr>
      </w:pPr>
      <w:r w:rsidRPr="00851455">
        <w:rPr>
          <w:rFonts w:eastAsia="MS Mincho"/>
        </w:rPr>
        <w:t>VaV metod, postupů, zařízení a produktů pro sledování technologických procesů, jejich monitoring a měření. Zdokonalování technologií, metod, zpracování dat a zařízení pro postprocesní i inprocesní kontrolu výroby a realizace zpětných vazeb do výrobní technologie.</w:t>
      </w:r>
    </w:p>
    <w:p w14:paraId="1F356DC7" w14:textId="77777777" w:rsidR="00851455" w:rsidRPr="00851455" w:rsidRDefault="00851455" w:rsidP="00543C1B">
      <w:pPr>
        <w:numPr>
          <w:ilvl w:val="0"/>
          <w:numId w:val="106"/>
        </w:numPr>
        <w:spacing w:before="240" w:after="120" w:line="360" w:lineRule="auto"/>
        <w:ind w:left="737" w:hanging="377"/>
        <w:jc w:val="both"/>
        <w:rPr>
          <w:rFonts w:eastAsia="MS Mincho"/>
          <w:b/>
        </w:rPr>
      </w:pPr>
      <w:r w:rsidRPr="00851455">
        <w:rPr>
          <w:rFonts w:eastAsia="MS Mincho"/>
          <w:b/>
        </w:rPr>
        <w:t xml:space="preserve">Virtualizace produktů a technologií </w:t>
      </w:r>
    </w:p>
    <w:p w14:paraId="5FC1243D" w14:textId="77777777" w:rsidR="00851455" w:rsidRPr="00851455" w:rsidRDefault="00851455" w:rsidP="00543C1B">
      <w:pPr>
        <w:numPr>
          <w:ilvl w:val="1"/>
          <w:numId w:val="106"/>
        </w:numPr>
        <w:spacing w:after="120" w:line="360" w:lineRule="auto"/>
        <w:jc w:val="both"/>
        <w:rPr>
          <w:rFonts w:eastAsia="MS Mincho"/>
        </w:rPr>
      </w:pPr>
      <w:r w:rsidRPr="00851455">
        <w:rPr>
          <w:rFonts w:eastAsia="MS Mincho"/>
        </w:rPr>
        <w:t>VaV ověřených a průmyslově použitelných technik a nástrojů pro virtuální návrh výroby, virtuální návrh produktů, virtuální technologické zpracování, virtuální měření a diagnostiku.</w:t>
      </w:r>
    </w:p>
    <w:p w14:paraId="0F9813CD" w14:textId="77777777" w:rsidR="00851455" w:rsidRPr="00851455" w:rsidRDefault="00851455" w:rsidP="00543C1B">
      <w:pPr>
        <w:numPr>
          <w:ilvl w:val="1"/>
          <w:numId w:val="106"/>
        </w:numPr>
        <w:spacing w:after="120" w:line="360" w:lineRule="auto"/>
        <w:jc w:val="both"/>
        <w:rPr>
          <w:rFonts w:eastAsia="MS Mincho"/>
        </w:rPr>
      </w:pPr>
      <w:r w:rsidRPr="00851455">
        <w:rPr>
          <w:rFonts w:eastAsia="MS Mincho"/>
        </w:rPr>
        <w:t>VaV metod ale i konkrétních modelů dílců, komponent, systémů, strojů a zařízení, které jsou vhodné v návrhové fázi, kdy je vyvíjen produkt a kdy je třeba realizovat virtuální testování vlastností (např. virtuální obrábění, vstřikování, tváření, běh hydraulického systému, ventilace, chlazení, běh převodovky, atd., ale také predikce fyzikálních vlastností, např. vodivosti, zateplení, izolace elektrického proudu, tepelné odolnosti, tepelné stability, magnetických vlastností, tvrdosti, odolnosti proti vibracím, atp.). Tyto modely je třeba vyvíjet s cílem jejich možného užití v optimalizačních procesech.</w:t>
      </w:r>
    </w:p>
    <w:p w14:paraId="583C5891" w14:textId="1BE17068" w:rsidR="00851455" w:rsidRDefault="00851455" w:rsidP="00543C1B">
      <w:pPr>
        <w:numPr>
          <w:ilvl w:val="1"/>
          <w:numId w:val="106"/>
        </w:numPr>
        <w:spacing w:after="120" w:line="360" w:lineRule="auto"/>
        <w:jc w:val="both"/>
        <w:rPr>
          <w:rFonts w:eastAsia="MS Mincho"/>
        </w:rPr>
      </w:pPr>
      <w:r w:rsidRPr="00851455">
        <w:rPr>
          <w:rFonts w:eastAsia="MS Mincho"/>
        </w:rPr>
        <w:t>VaV vhodných metod a modelů pro stavbu virtuálních produktů, které "běží" paralelně na pozadí využití skutečného produktu a umožňují v rámci konceptu Průmysl 4.0 realizovat kyber-fyzikální produkty, kde pro zpětnou vazbu, měření, diagnostiku atp. užíváme reálná i</w:t>
      </w:r>
      <w:r>
        <w:rPr>
          <w:rFonts w:eastAsia="MS Mincho"/>
        </w:rPr>
        <w:t> </w:t>
      </w:r>
      <w:r w:rsidRPr="00851455">
        <w:rPr>
          <w:rFonts w:eastAsia="MS Mincho"/>
        </w:rPr>
        <w:t>virtuální data a vstupy.</w:t>
      </w:r>
    </w:p>
    <w:p w14:paraId="1E1E9C41" w14:textId="77777777" w:rsidR="00851455" w:rsidRPr="00851455" w:rsidRDefault="00851455" w:rsidP="00543C1B">
      <w:pPr>
        <w:numPr>
          <w:ilvl w:val="0"/>
          <w:numId w:val="107"/>
        </w:numPr>
        <w:spacing w:before="240" w:after="120" w:line="360" w:lineRule="auto"/>
        <w:ind w:left="737" w:hanging="377"/>
        <w:jc w:val="both"/>
        <w:rPr>
          <w:rFonts w:eastAsia="MS Mincho"/>
          <w:b/>
        </w:rPr>
      </w:pPr>
      <w:r w:rsidRPr="00851455">
        <w:rPr>
          <w:rFonts w:eastAsia="MS Mincho"/>
          <w:b/>
        </w:rPr>
        <w:t>Komponenty, systém a řízení</w:t>
      </w:r>
    </w:p>
    <w:p w14:paraId="175D1A78" w14:textId="77777777" w:rsidR="00851455" w:rsidRPr="00851455" w:rsidRDefault="00851455" w:rsidP="00543C1B">
      <w:pPr>
        <w:numPr>
          <w:ilvl w:val="1"/>
          <w:numId w:val="107"/>
        </w:numPr>
        <w:spacing w:after="120" w:line="360" w:lineRule="auto"/>
        <w:jc w:val="both"/>
        <w:rPr>
          <w:rFonts w:eastAsia="MS Mincho"/>
        </w:rPr>
      </w:pPr>
      <w:r w:rsidRPr="00851455">
        <w:rPr>
          <w:rFonts w:eastAsia="MS Mincho"/>
        </w:rPr>
        <w:t>VaV komponent, principů, systémů a algoritmů pro měření a řízení produktů během jejich výroby i užívání a návrh technik pro aktivní zpětnou vazbu ovlivňující vlastnosti, chování, tvar, polohu, teplotu, atd. u produktů.</w:t>
      </w:r>
    </w:p>
    <w:p w14:paraId="69CD318D" w14:textId="77777777" w:rsidR="00851455" w:rsidRPr="00851455" w:rsidRDefault="00851455" w:rsidP="00543C1B">
      <w:pPr>
        <w:numPr>
          <w:ilvl w:val="1"/>
          <w:numId w:val="107"/>
        </w:numPr>
        <w:spacing w:after="120" w:line="360" w:lineRule="auto"/>
        <w:jc w:val="both"/>
        <w:rPr>
          <w:rFonts w:eastAsia="MS Mincho"/>
        </w:rPr>
      </w:pPr>
      <w:r w:rsidRPr="00851455">
        <w:rPr>
          <w:rFonts w:eastAsia="MS Mincho"/>
        </w:rPr>
        <w:t xml:space="preserve">Návrh nových technik pro měření, regulaci a kompenzaci polohy, statické a dynamické tuhosti a obecně deformací a posunutí v čase pod vlivem technologického procesu a okolí. </w:t>
      </w:r>
    </w:p>
    <w:p w14:paraId="7FF2E4C1" w14:textId="77777777" w:rsidR="00851455" w:rsidRPr="00851455" w:rsidRDefault="00851455" w:rsidP="00543C1B">
      <w:pPr>
        <w:numPr>
          <w:ilvl w:val="1"/>
          <w:numId w:val="107"/>
        </w:numPr>
        <w:spacing w:after="120" w:line="360" w:lineRule="auto"/>
        <w:jc w:val="both"/>
        <w:rPr>
          <w:rFonts w:eastAsia="MS Mincho"/>
        </w:rPr>
      </w:pPr>
      <w:r w:rsidRPr="00851455">
        <w:rPr>
          <w:rFonts w:eastAsia="MS Mincho"/>
        </w:rPr>
        <w:t xml:space="preserve">VaV systémů pro zvyšování přesnosti a spolehlivosti a pro snižování energetické náročnosti, snižování zátěže životního prostředí, snižování parazitních vibrací a deformací. </w:t>
      </w:r>
    </w:p>
    <w:p w14:paraId="243ECDF4" w14:textId="77777777" w:rsidR="00851455" w:rsidRPr="00851455" w:rsidRDefault="00851455" w:rsidP="00543C1B">
      <w:pPr>
        <w:numPr>
          <w:ilvl w:val="1"/>
          <w:numId w:val="107"/>
        </w:numPr>
        <w:spacing w:after="120" w:line="360" w:lineRule="auto"/>
        <w:jc w:val="both"/>
        <w:rPr>
          <w:rFonts w:eastAsia="MS Mincho"/>
        </w:rPr>
      </w:pPr>
      <w:r w:rsidRPr="00851455">
        <w:rPr>
          <w:rFonts w:eastAsia="MS Mincho"/>
        </w:rPr>
        <w:t xml:space="preserve">VaV technik umělé inteligence a self-learning metod použitelných ve strojírenství, které umožní zvyšovat užitné vlastnosti a individualizaci produktů. </w:t>
      </w:r>
    </w:p>
    <w:p w14:paraId="186FDDA3" w14:textId="77777777" w:rsidR="00851455" w:rsidRPr="00851455" w:rsidRDefault="00851455" w:rsidP="00543C1B">
      <w:pPr>
        <w:numPr>
          <w:ilvl w:val="1"/>
          <w:numId w:val="107"/>
        </w:numPr>
        <w:spacing w:after="120" w:line="360" w:lineRule="auto"/>
        <w:jc w:val="both"/>
        <w:rPr>
          <w:rFonts w:eastAsia="MS Mincho"/>
        </w:rPr>
      </w:pPr>
      <w:r w:rsidRPr="00851455">
        <w:rPr>
          <w:rFonts w:eastAsia="MS Mincho"/>
        </w:rPr>
        <w:t xml:space="preserve">Vývoj inovovaných a nových akčních prvků (aktuátorů, pohonů, ventilů atd.) s možností pokročilé diagnostiky a zpětnovazebního řízení. </w:t>
      </w:r>
    </w:p>
    <w:p w14:paraId="16968172" w14:textId="77777777" w:rsidR="00851455" w:rsidRPr="00851455" w:rsidRDefault="00851455" w:rsidP="00543C1B">
      <w:pPr>
        <w:numPr>
          <w:ilvl w:val="1"/>
          <w:numId w:val="107"/>
        </w:numPr>
        <w:spacing w:after="120" w:line="360" w:lineRule="auto"/>
        <w:jc w:val="both"/>
        <w:rPr>
          <w:rFonts w:eastAsia="Times New Roman" w:cs="Times New Roman"/>
          <w:lang w:eastAsia="cs-CZ"/>
        </w:rPr>
      </w:pPr>
      <w:r w:rsidRPr="00851455">
        <w:rPr>
          <w:rFonts w:eastAsia="MS Mincho"/>
        </w:rPr>
        <w:t>Rozšiřování šířky účinnosti a použitelnosti komponentů, konstrukčních prvků, skupin, uzlů, snímačů, regulačních metod a řídicích systémů (např. širší frekvenční rozsahy, širší rozsahy teplot, otáček,</w:t>
      </w:r>
      <w:r w:rsidRPr="00851455">
        <w:rPr>
          <w:rFonts w:eastAsia="Times New Roman" w:cs="Times New Roman"/>
          <w:lang w:eastAsia="cs-CZ"/>
        </w:rPr>
        <w:t xml:space="preserve"> momentů, výkonu, sil atd.). </w:t>
      </w:r>
    </w:p>
    <w:p w14:paraId="26F0B3FA" w14:textId="77777777" w:rsidR="00851455" w:rsidRPr="00851455" w:rsidRDefault="00851455" w:rsidP="00543C1B">
      <w:pPr>
        <w:numPr>
          <w:ilvl w:val="0"/>
          <w:numId w:val="108"/>
        </w:numPr>
        <w:spacing w:before="240" w:after="120" w:line="360" w:lineRule="auto"/>
        <w:ind w:left="737" w:hanging="377"/>
        <w:jc w:val="both"/>
        <w:rPr>
          <w:rFonts w:eastAsia="MS Mincho"/>
          <w:b/>
        </w:rPr>
      </w:pPr>
      <w:r w:rsidRPr="00851455">
        <w:rPr>
          <w:rFonts w:eastAsia="MS Mincho"/>
          <w:b/>
        </w:rPr>
        <w:t xml:space="preserve">SW vlastnosti a digitalizace </w:t>
      </w:r>
    </w:p>
    <w:p w14:paraId="7B35552F" w14:textId="77777777" w:rsidR="00851455" w:rsidRPr="00851455" w:rsidRDefault="00851455" w:rsidP="00543C1B">
      <w:pPr>
        <w:numPr>
          <w:ilvl w:val="1"/>
          <w:numId w:val="108"/>
        </w:numPr>
        <w:spacing w:after="120" w:line="360" w:lineRule="auto"/>
        <w:jc w:val="both"/>
        <w:rPr>
          <w:rFonts w:eastAsia="MS Mincho"/>
        </w:rPr>
      </w:pPr>
      <w:r w:rsidRPr="00851455">
        <w:rPr>
          <w:rFonts w:eastAsia="MS Mincho"/>
        </w:rPr>
        <w:t>VaV hardwarových ale především softwarových technik a aplikací, které rozšiřují a zvyšují přidanou hodnotu strojírenských produktů pro uživatele, a které umožní specifickou customizaci produktu s minimem fyzických zásahů do produktu.</w:t>
      </w:r>
    </w:p>
    <w:p w14:paraId="4811E455" w14:textId="77777777" w:rsidR="00851455" w:rsidRPr="00851455" w:rsidRDefault="00851455" w:rsidP="00543C1B">
      <w:pPr>
        <w:numPr>
          <w:ilvl w:val="1"/>
          <w:numId w:val="108"/>
        </w:numPr>
        <w:spacing w:after="120" w:line="360" w:lineRule="auto"/>
        <w:jc w:val="both"/>
        <w:rPr>
          <w:rFonts w:eastAsia="MS Mincho"/>
        </w:rPr>
      </w:pPr>
      <w:r w:rsidRPr="00851455">
        <w:rPr>
          <w:rFonts w:eastAsia="MS Mincho"/>
        </w:rPr>
        <w:t xml:space="preserve">Rozšiřování funkcí řídicích systémů, zdokonalování interakce s obsluhou, zdokonalování komunikačních možností s nadřazenými systémy, pokročilá analýza měřených a sledovaných dat produktů a procesů. </w:t>
      </w:r>
    </w:p>
    <w:p w14:paraId="71717F3F" w14:textId="77777777" w:rsidR="00851455" w:rsidRPr="00851455" w:rsidRDefault="00851455" w:rsidP="00543C1B">
      <w:pPr>
        <w:numPr>
          <w:ilvl w:val="1"/>
          <w:numId w:val="108"/>
        </w:numPr>
        <w:spacing w:after="120" w:line="360" w:lineRule="auto"/>
        <w:jc w:val="both"/>
        <w:rPr>
          <w:rFonts w:eastAsia="MS Mincho"/>
        </w:rPr>
      </w:pPr>
      <w:r w:rsidRPr="00851455">
        <w:rPr>
          <w:rFonts w:eastAsia="MS Mincho"/>
        </w:rPr>
        <w:t xml:space="preserve">VaV technik pro bezpečný a HW nenáročný přenos dat ve strojírenských produktech (zabezpečení sítí v průmyslových procesech, pokročilá a bezpečná komunikace (radio, bezdrátové připojení, mikrovlny, dálkové ovládání a přenos dat). </w:t>
      </w:r>
    </w:p>
    <w:p w14:paraId="2A2B8315" w14:textId="77777777" w:rsidR="00851455" w:rsidRPr="00851455" w:rsidRDefault="00851455" w:rsidP="00543C1B">
      <w:pPr>
        <w:numPr>
          <w:ilvl w:val="1"/>
          <w:numId w:val="108"/>
        </w:numPr>
        <w:spacing w:after="120" w:line="360" w:lineRule="auto"/>
        <w:jc w:val="both"/>
        <w:rPr>
          <w:rFonts w:eastAsia="MS Mincho"/>
        </w:rPr>
      </w:pPr>
      <w:r w:rsidRPr="00851455">
        <w:rPr>
          <w:rFonts w:eastAsia="MS Mincho"/>
        </w:rPr>
        <w:t xml:space="preserve">VaV technik pro uplatňování konceptu digitální výroby (modelování, simulace, vizualizace, automatizace a řízení procesů, analýza velkých objemů dat pro výrobu), embeded inteligence pro zlepšení provozní produktivity. </w:t>
      </w:r>
    </w:p>
    <w:p w14:paraId="62508562" w14:textId="77777777" w:rsidR="00851455" w:rsidRPr="00851455" w:rsidRDefault="00851455" w:rsidP="00543C1B">
      <w:pPr>
        <w:numPr>
          <w:ilvl w:val="1"/>
          <w:numId w:val="108"/>
        </w:numPr>
        <w:spacing w:after="120" w:line="360" w:lineRule="auto"/>
        <w:jc w:val="both"/>
        <w:rPr>
          <w:rFonts w:eastAsia="MS Mincho"/>
        </w:rPr>
      </w:pPr>
      <w:r w:rsidRPr="00851455">
        <w:rPr>
          <w:rFonts w:eastAsia="MS Mincho"/>
        </w:rPr>
        <w:t xml:space="preserve">Vývoj HW a SW prostředků pro širší uplatňování konceptu Průmysl 4.0, tam kde je to účelné a efektivní. </w:t>
      </w:r>
    </w:p>
    <w:p w14:paraId="4619E8C0" w14:textId="77777777" w:rsidR="00851455" w:rsidRPr="00851455" w:rsidRDefault="00851455" w:rsidP="00543C1B">
      <w:pPr>
        <w:numPr>
          <w:ilvl w:val="0"/>
          <w:numId w:val="109"/>
        </w:numPr>
        <w:spacing w:before="240" w:after="120" w:line="360" w:lineRule="auto"/>
        <w:ind w:left="737" w:hanging="377"/>
        <w:jc w:val="both"/>
        <w:rPr>
          <w:rFonts w:eastAsia="MS Mincho"/>
          <w:b/>
        </w:rPr>
      </w:pPr>
      <w:r w:rsidRPr="00851455">
        <w:rPr>
          <w:rFonts w:eastAsia="MS Mincho"/>
          <w:b/>
        </w:rPr>
        <w:t xml:space="preserve">Zdokonalování známých materiálů </w:t>
      </w:r>
    </w:p>
    <w:p w14:paraId="6B02FA05" w14:textId="0BF53E5E" w:rsidR="00851455" w:rsidRPr="00851455" w:rsidRDefault="00851455" w:rsidP="00543C1B">
      <w:pPr>
        <w:numPr>
          <w:ilvl w:val="1"/>
          <w:numId w:val="109"/>
        </w:numPr>
        <w:spacing w:after="120" w:line="360" w:lineRule="auto"/>
        <w:jc w:val="both"/>
        <w:rPr>
          <w:rFonts w:eastAsia="MS Mincho"/>
        </w:rPr>
      </w:pPr>
      <w:r w:rsidRPr="00851455">
        <w:rPr>
          <w:rFonts w:eastAsia="MS Mincho"/>
        </w:rPr>
        <w:t>VaV detailních vlastností a technologií zpracování existujících (známých) kovových a nekovových (zejména plastových a kompozitních) materiálů užívaných ve strojírenství s</w:t>
      </w:r>
      <w:r>
        <w:rPr>
          <w:rFonts w:eastAsia="MS Mincho"/>
        </w:rPr>
        <w:t> </w:t>
      </w:r>
      <w:r w:rsidRPr="00851455">
        <w:rPr>
          <w:rFonts w:eastAsia="MS Mincho"/>
        </w:rPr>
        <w:t xml:space="preserve">cílem zvýšit efektivitu a výkon jejich zpracování (obrábění, tváření, vstřikování, nanášení, 3D tisk). </w:t>
      </w:r>
    </w:p>
    <w:p w14:paraId="6C3E7DB6" w14:textId="20CA6D27" w:rsidR="00851455" w:rsidRPr="00851455" w:rsidRDefault="00851455" w:rsidP="00543C1B">
      <w:pPr>
        <w:numPr>
          <w:ilvl w:val="1"/>
          <w:numId w:val="109"/>
        </w:numPr>
        <w:spacing w:after="120" w:line="360" w:lineRule="auto"/>
        <w:jc w:val="both"/>
        <w:rPr>
          <w:rFonts w:eastAsia="MS Mincho"/>
        </w:rPr>
      </w:pPr>
      <w:r w:rsidRPr="00851455">
        <w:rPr>
          <w:rFonts w:eastAsia="MS Mincho"/>
        </w:rPr>
        <w:t>VaV metod a analýz pro podporu optimálního zpracování (technologického, chemického i</w:t>
      </w:r>
      <w:r>
        <w:rPr>
          <w:rFonts w:eastAsia="MS Mincho"/>
        </w:rPr>
        <w:t> </w:t>
      </w:r>
      <w:r w:rsidRPr="00851455">
        <w:rPr>
          <w:rFonts w:eastAsia="MS Mincho"/>
        </w:rPr>
        <w:t xml:space="preserve">tepelného) s cílem řízeně ovlivňovat vnitřní pnutí, integritu povrchu, tvrdost, materiálovou strukturu a případně i další mikro a makro vlastnosti dílců. </w:t>
      </w:r>
    </w:p>
    <w:p w14:paraId="34699E89" w14:textId="77777777" w:rsidR="00851455" w:rsidRPr="00851455" w:rsidRDefault="00851455" w:rsidP="00543C1B">
      <w:pPr>
        <w:numPr>
          <w:ilvl w:val="1"/>
          <w:numId w:val="109"/>
        </w:numPr>
        <w:spacing w:after="120" w:line="360" w:lineRule="auto"/>
        <w:jc w:val="both"/>
        <w:rPr>
          <w:rFonts w:eastAsia="MS Mincho"/>
        </w:rPr>
      </w:pPr>
      <w:r w:rsidRPr="00851455">
        <w:rPr>
          <w:rFonts w:eastAsia="MS Mincho"/>
        </w:rPr>
        <w:t xml:space="preserve">Výzkum zpracování a modifikace materiálů pro specifické aplikace, účely a nové a progresivní obory (vstřikování, AM, moderní lékařství, letectví, energetika, automotive, atd.). </w:t>
      </w:r>
    </w:p>
    <w:p w14:paraId="52F3CB81" w14:textId="77777777" w:rsidR="00851455" w:rsidRPr="00851455" w:rsidRDefault="00851455" w:rsidP="00543C1B">
      <w:pPr>
        <w:numPr>
          <w:ilvl w:val="1"/>
          <w:numId w:val="109"/>
        </w:numPr>
        <w:spacing w:after="120" w:line="360" w:lineRule="auto"/>
        <w:jc w:val="both"/>
        <w:rPr>
          <w:rFonts w:eastAsia="MS Mincho"/>
        </w:rPr>
      </w:pPr>
      <w:r w:rsidRPr="00851455">
        <w:rPr>
          <w:rFonts w:eastAsia="MS Mincho"/>
        </w:rPr>
        <w:t xml:space="preserve">VaV vlastností a procesní optimalizace pro spojování, spojovací materiály a spojovací technologie (lepení, tmelení, pájení, svařování, atd.).  </w:t>
      </w:r>
    </w:p>
    <w:p w14:paraId="6DD2F69E" w14:textId="77777777" w:rsidR="00851455" w:rsidRPr="00851455" w:rsidRDefault="00851455" w:rsidP="00543C1B">
      <w:pPr>
        <w:numPr>
          <w:ilvl w:val="1"/>
          <w:numId w:val="109"/>
        </w:numPr>
        <w:spacing w:after="120" w:line="360" w:lineRule="auto"/>
        <w:jc w:val="both"/>
        <w:rPr>
          <w:rFonts w:eastAsia="Times New Roman" w:cs="Times New Roman"/>
          <w:lang w:eastAsia="cs-CZ"/>
        </w:rPr>
      </w:pPr>
      <w:r w:rsidRPr="00851455">
        <w:rPr>
          <w:rFonts w:eastAsia="MS Mincho"/>
        </w:rPr>
        <w:t>VaV technik pro simulace a modelování vlastností materiálů a jejich změn během výrobního procesu, příprava</w:t>
      </w:r>
      <w:r w:rsidRPr="00851455">
        <w:rPr>
          <w:rFonts w:eastAsia="Times New Roman" w:cs="Times New Roman"/>
          <w:lang w:eastAsia="cs-CZ"/>
        </w:rPr>
        <w:t xml:space="preserve"> dat pro nadřazené optimalizace technologie a dílců.</w:t>
      </w:r>
    </w:p>
    <w:p w14:paraId="514BF4AC" w14:textId="77777777" w:rsidR="00851455" w:rsidRPr="00851455" w:rsidRDefault="00851455" w:rsidP="00543C1B">
      <w:pPr>
        <w:numPr>
          <w:ilvl w:val="0"/>
          <w:numId w:val="110"/>
        </w:numPr>
        <w:spacing w:before="240" w:after="120" w:line="360" w:lineRule="auto"/>
        <w:ind w:left="737" w:hanging="377"/>
        <w:jc w:val="both"/>
        <w:rPr>
          <w:rFonts w:eastAsia="MS Mincho"/>
          <w:b/>
        </w:rPr>
      </w:pPr>
      <w:r w:rsidRPr="00851455">
        <w:rPr>
          <w:rFonts w:eastAsia="MS Mincho"/>
          <w:b/>
        </w:rPr>
        <w:t xml:space="preserve">Nové materiály </w:t>
      </w:r>
    </w:p>
    <w:p w14:paraId="69F64C43" w14:textId="77777777" w:rsidR="00851455" w:rsidRPr="00851455" w:rsidRDefault="00851455" w:rsidP="00543C1B">
      <w:pPr>
        <w:numPr>
          <w:ilvl w:val="1"/>
          <w:numId w:val="110"/>
        </w:numPr>
        <w:spacing w:after="120" w:line="360" w:lineRule="auto"/>
        <w:jc w:val="both"/>
        <w:rPr>
          <w:rFonts w:eastAsia="MS Mincho"/>
        </w:rPr>
      </w:pPr>
      <w:r w:rsidRPr="00851455">
        <w:rPr>
          <w:rFonts w:eastAsia="MS Mincho"/>
        </w:rPr>
        <w:t xml:space="preserve">VaV nových nebo inovovaných kovových i nekovových (zejména plastových a kompozitních) materiálů a materiálových struktur (hybridních materiálů) se zvýšenou odolností proti opotřebení, s minimalizovaným třením v kombinaci s běžnými materiály, sníženou hmotností, zvýšeným poměrem specifické tuhosti, specifické pevnosti a dalších specifických a měrných veličin s vazbou na nákladovost a cenovou dostupnost pro klíčové strojírenské aplikace (obrábění, tváření, vstřikování, nanášení, 3D tisk). </w:t>
      </w:r>
    </w:p>
    <w:p w14:paraId="28D8A81E" w14:textId="3B2B0338" w:rsidR="00851455" w:rsidRPr="00851455" w:rsidRDefault="00851455" w:rsidP="00543C1B">
      <w:pPr>
        <w:numPr>
          <w:ilvl w:val="1"/>
          <w:numId w:val="110"/>
        </w:numPr>
        <w:spacing w:after="120" w:line="360" w:lineRule="auto"/>
        <w:jc w:val="both"/>
        <w:rPr>
          <w:rFonts w:eastAsia="MS Mincho"/>
        </w:rPr>
      </w:pPr>
      <w:r w:rsidRPr="00851455">
        <w:rPr>
          <w:rFonts w:eastAsia="MS Mincho"/>
        </w:rPr>
        <w:t>VaV nových materiálů pro specifické a nové oblasti užití (letectví, energetika, lékařství, elektronika, extrémní odoln</w:t>
      </w:r>
      <w:r>
        <w:rPr>
          <w:rFonts w:eastAsia="MS Mincho"/>
        </w:rPr>
        <w:t>osti proti teplotám a kyselinám</w:t>
      </w:r>
      <w:r w:rsidRPr="00851455">
        <w:rPr>
          <w:rFonts w:eastAsia="MS Mincho"/>
        </w:rPr>
        <w:t xml:space="preserve"> atd.).</w:t>
      </w:r>
    </w:p>
    <w:p w14:paraId="1AB65174" w14:textId="77777777" w:rsidR="00851455" w:rsidRPr="00851455" w:rsidRDefault="00851455" w:rsidP="00543C1B">
      <w:pPr>
        <w:numPr>
          <w:ilvl w:val="1"/>
          <w:numId w:val="110"/>
        </w:numPr>
        <w:spacing w:after="120" w:line="360" w:lineRule="auto"/>
        <w:jc w:val="both"/>
        <w:rPr>
          <w:rFonts w:eastAsia="MS Mincho"/>
        </w:rPr>
      </w:pPr>
      <w:r w:rsidRPr="00851455">
        <w:rPr>
          <w:rFonts w:eastAsia="MS Mincho"/>
        </w:rPr>
        <w:t xml:space="preserve">VaV nových materiálů pro spojování (např. vysokoteplotně odolné spoje). </w:t>
      </w:r>
    </w:p>
    <w:p w14:paraId="5F5F9EB6" w14:textId="77777777" w:rsidR="00851455" w:rsidRPr="00851455" w:rsidRDefault="00851455" w:rsidP="00543C1B">
      <w:pPr>
        <w:numPr>
          <w:ilvl w:val="1"/>
          <w:numId w:val="110"/>
        </w:numPr>
        <w:spacing w:after="120" w:line="360" w:lineRule="auto"/>
        <w:jc w:val="both"/>
        <w:rPr>
          <w:rFonts w:eastAsia="MS Mincho"/>
        </w:rPr>
      </w:pPr>
      <w:r w:rsidRPr="00851455">
        <w:rPr>
          <w:rFonts w:eastAsia="MS Mincho"/>
        </w:rPr>
        <w:t xml:space="preserve">VaV materiálů a struktur se zvýšeným vnitřním tlumením a s efektivnějším tlumením strukturálních i lokálních vibrací. Řízené zvyšování tlumení konstrukcí pomocí nových materiálů nebo přídavných materiálů. </w:t>
      </w:r>
    </w:p>
    <w:p w14:paraId="7258A892" w14:textId="4C38DD3C" w:rsidR="00851455" w:rsidRDefault="00851455" w:rsidP="00543C1B">
      <w:pPr>
        <w:numPr>
          <w:ilvl w:val="1"/>
          <w:numId w:val="110"/>
        </w:numPr>
        <w:spacing w:after="120" w:line="360" w:lineRule="auto"/>
        <w:jc w:val="both"/>
        <w:rPr>
          <w:rFonts w:eastAsia="MS Mincho"/>
        </w:rPr>
      </w:pPr>
      <w:r w:rsidRPr="00851455">
        <w:rPr>
          <w:rFonts w:eastAsia="MS Mincho"/>
        </w:rPr>
        <w:t>VaV nových technik, přístupů a aplikací environmentálních technologií a inženýrství, zejména ve zpracování procesních materiálů (vodní a odpadové hospodářství) a v oblasti opětovného použití materiálu (recyklace). VaV v oblasti materiálů a technologií pro aditivní a</w:t>
      </w:r>
      <w:r w:rsidR="00A33B1D">
        <w:rPr>
          <w:rFonts w:eastAsia="MS Mincho"/>
        </w:rPr>
        <w:t> </w:t>
      </w:r>
      <w:r w:rsidRPr="00851455">
        <w:rPr>
          <w:rFonts w:eastAsia="MS Mincho"/>
        </w:rPr>
        <w:t xml:space="preserve">environmentálně šetrnou výrobu, integrace konvenčních (subtraktivní) a aditivních technologií. </w:t>
      </w:r>
    </w:p>
    <w:p w14:paraId="3619B4B9" w14:textId="77777777" w:rsidR="00851455" w:rsidRPr="00851455" w:rsidRDefault="00851455" w:rsidP="00543C1B">
      <w:pPr>
        <w:numPr>
          <w:ilvl w:val="0"/>
          <w:numId w:val="111"/>
        </w:numPr>
        <w:spacing w:before="240" w:after="120" w:line="360" w:lineRule="auto"/>
        <w:ind w:left="737" w:hanging="377"/>
        <w:jc w:val="both"/>
        <w:rPr>
          <w:rFonts w:eastAsia="MS Mincho"/>
          <w:b/>
        </w:rPr>
      </w:pPr>
      <w:r w:rsidRPr="00851455">
        <w:rPr>
          <w:rFonts w:eastAsia="MS Mincho"/>
          <w:b/>
        </w:rPr>
        <w:t xml:space="preserve">Rozšíření užití kompozitů </w:t>
      </w:r>
    </w:p>
    <w:p w14:paraId="1336FF11" w14:textId="77777777" w:rsidR="00851455" w:rsidRPr="00851455" w:rsidRDefault="00851455" w:rsidP="00543C1B">
      <w:pPr>
        <w:numPr>
          <w:ilvl w:val="1"/>
          <w:numId w:val="111"/>
        </w:numPr>
        <w:spacing w:after="120" w:line="360" w:lineRule="auto"/>
        <w:jc w:val="both"/>
        <w:rPr>
          <w:rFonts w:eastAsia="MS Mincho"/>
        </w:rPr>
      </w:pPr>
      <w:r w:rsidRPr="00851455">
        <w:rPr>
          <w:rFonts w:eastAsia="MS Mincho"/>
        </w:rPr>
        <w:t xml:space="preserve">VaV levnějších vláknových i částicových kompozitů, které se vlastnostmi blíží špičkovým vláknovým kompozitům. </w:t>
      </w:r>
    </w:p>
    <w:p w14:paraId="3FE3EB32" w14:textId="77777777" w:rsidR="00851455" w:rsidRPr="00851455" w:rsidRDefault="00851455" w:rsidP="00543C1B">
      <w:pPr>
        <w:numPr>
          <w:ilvl w:val="1"/>
          <w:numId w:val="111"/>
        </w:numPr>
        <w:spacing w:after="120" w:line="360" w:lineRule="auto"/>
        <w:jc w:val="both"/>
        <w:rPr>
          <w:rFonts w:eastAsia="MS Mincho"/>
        </w:rPr>
      </w:pPr>
      <w:r w:rsidRPr="00851455">
        <w:rPr>
          <w:rFonts w:eastAsia="MS Mincho"/>
        </w:rPr>
        <w:t xml:space="preserve">VaV způsobů k maximálně efektivnímu (cenově a vlastnostmi optimálnímu) využití špičkových vláknových i částicových kompozitů ve strojírenství. </w:t>
      </w:r>
    </w:p>
    <w:p w14:paraId="25C2A399" w14:textId="77777777" w:rsidR="00851455" w:rsidRPr="00851455" w:rsidRDefault="00851455" w:rsidP="00543C1B">
      <w:pPr>
        <w:numPr>
          <w:ilvl w:val="1"/>
          <w:numId w:val="111"/>
        </w:numPr>
        <w:spacing w:after="120" w:line="360" w:lineRule="auto"/>
        <w:jc w:val="both"/>
        <w:rPr>
          <w:rFonts w:eastAsia="MS Mincho"/>
        </w:rPr>
      </w:pPr>
      <w:r w:rsidRPr="00851455">
        <w:rPr>
          <w:rFonts w:eastAsia="MS Mincho"/>
        </w:rPr>
        <w:t xml:space="preserve">VaV technik spojování kompozitů navzájem a kompozitů a ostatních materiálů (např. laserové svařování kompozitů a plastů, laserové úpravy povrchů pro aplikaci lepidel a tmelů, atp.). </w:t>
      </w:r>
    </w:p>
    <w:p w14:paraId="370AF488" w14:textId="77777777" w:rsidR="00851455" w:rsidRPr="00851455" w:rsidRDefault="00851455" w:rsidP="00543C1B">
      <w:pPr>
        <w:numPr>
          <w:ilvl w:val="1"/>
          <w:numId w:val="111"/>
        </w:numPr>
        <w:spacing w:after="120" w:line="360" w:lineRule="auto"/>
        <w:jc w:val="both"/>
        <w:rPr>
          <w:rFonts w:eastAsia="MS Mincho"/>
        </w:rPr>
      </w:pPr>
      <w:r w:rsidRPr="00851455">
        <w:rPr>
          <w:rFonts w:eastAsia="MS Mincho"/>
        </w:rPr>
        <w:t>VaV SW nástrojů pro podporu konstruktérů navrhujících dílce z kompozitů s neizotropními vlastnostmi.</w:t>
      </w:r>
    </w:p>
    <w:p w14:paraId="3A53D7FA" w14:textId="77777777" w:rsidR="00851455" w:rsidRPr="00851455" w:rsidRDefault="00851455" w:rsidP="00543C1B">
      <w:pPr>
        <w:numPr>
          <w:ilvl w:val="0"/>
          <w:numId w:val="112"/>
        </w:numPr>
        <w:spacing w:before="240" w:after="120" w:line="360" w:lineRule="auto"/>
        <w:ind w:left="737" w:hanging="377"/>
        <w:jc w:val="both"/>
        <w:rPr>
          <w:rFonts w:eastAsia="MS Mincho"/>
          <w:b/>
        </w:rPr>
      </w:pPr>
      <w:r w:rsidRPr="00851455">
        <w:rPr>
          <w:rFonts w:eastAsia="MS Mincho"/>
          <w:b/>
        </w:rPr>
        <w:t xml:space="preserve">Materiály pro aditivní technologie </w:t>
      </w:r>
    </w:p>
    <w:p w14:paraId="3D91721B" w14:textId="77777777" w:rsidR="00851455" w:rsidRPr="00851455" w:rsidRDefault="00851455" w:rsidP="00543C1B">
      <w:pPr>
        <w:numPr>
          <w:ilvl w:val="1"/>
          <w:numId w:val="112"/>
        </w:numPr>
        <w:spacing w:after="120" w:line="360" w:lineRule="auto"/>
        <w:jc w:val="both"/>
        <w:rPr>
          <w:rFonts w:eastAsia="MS Mincho"/>
        </w:rPr>
      </w:pPr>
      <w:r w:rsidRPr="00851455">
        <w:rPr>
          <w:rFonts w:eastAsia="MS Mincho"/>
        </w:rPr>
        <w:t xml:space="preserve">VaV materiálů, forem materiálů (prášky, dráty, pelety, atp.) a procesních technologických parametrů zpracování pro aditivní technologie (tepelné procesy navařování i kinetická depozice za nízkých teplot) a hybridní technologie. </w:t>
      </w:r>
    </w:p>
    <w:p w14:paraId="0FD338F3" w14:textId="77777777" w:rsidR="00851455" w:rsidRPr="00851455" w:rsidRDefault="00851455" w:rsidP="00543C1B">
      <w:pPr>
        <w:numPr>
          <w:ilvl w:val="1"/>
          <w:numId w:val="112"/>
        </w:numPr>
        <w:spacing w:after="120" w:line="360" w:lineRule="auto"/>
        <w:jc w:val="both"/>
        <w:rPr>
          <w:rFonts w:eastAsia="MS Mincho"/>
        </w:rPr>
      </w:pPr>
      <w:r w:rsidRPr="00851455">
        <w:rPr>
          <w:rFonts w:eastAsia="MS Mincho"/>
        </w:rPr>
        <w:t xml:space="preserve">VaV vazeb mezi procesními parametry, chemickým složením materiálů, formou materiálu, užitou technologií, okrajovými podmínkami procesu a výslednými vlastnostmi materiálu zpracovaného metodami AM a HM. </w:t>
      </w:r>
    </w:p>
    <w:p w14:paraId="353C6C2A" w14:textId="77777777" w:rsidR="00851455" w:rsidRPr="00851455" w:rsidRDefault="00851455" w:rsidP="00543C1B">
      <w:pPr>
        <w:numPr>
          <w:ilvl w:val="1"/>
          <w:numId w:val="112"/>
        </w:numPr>
        <w:spacing w:after="120" w:line="360" w:lineRule="auto"/>
        <w:jc w:val="both"/>
        <w:rPr>
          <w:rFonts w:eastAsia="MS Mincho"/>
        </w:rPr>
      </w:pPr>
      <w:r w:rsidRPr="00851455">
        <w:rPr>
          <w:rFonts w:eastAsia="MS Mincho"/>
        </w:rPr>
        <w:t xml:space="preserve">VaV technologií a procesních parametrů pro efektivní spojování (svařování, pájení, lepení, atp.) a povrchové úpravy dílců vyrobených aditivními metodami (AM a HM). </w:t>
      </w:r>
    </w:p>
    <w:p w14:paraId="6A0E4F56" w14:textId="77777777" w:rsidR="00851455" w:rsidRDefault="00851455" w:rsidP="00543C1B">
      <w:pPr>
        <w:numPr>
          <w:ilvl w:val="1"/>
          <w:numId w:val="112"/>
        </w:numPr>
        <w:spacing w:after="120" w:line="360" w:lineRule="auto"/>
        <w:jc w:val="both"/>
        <w:rPr>
          <w:rFonts w:eastAsia="MS Mincho"/>
        </w:rPr>
      </w:pPr>
      <w:r w:rsidRPr="00851455">
        <w:rPr>
          <w:rFonts w:eastAsia="MS Mincho"/>
        </w:rPr>
        <w:t>VaV technik pro lokální povrchové úpravy a modifikace.</w:t>
      </w:r>
    </w:p>
    <w:p w14:paraId="589C392B" w14:textId="77777777" w:rsidR="00191F16" w:rsidRPr="00851455" w:rsidRDefault="00191F16" w:rsidP="00543C1B">
      <w:pPr>
        <w:numPr>
          <w:ilvl w:val="1"/>
          <w:numId w:val="112"/>
        </w:numPr>
        <w:spacing w:after="120" w:line="360" w:lineRule="auto"/>
        <w:jc w:val="both"/>
        <w:rPr>
          <w:rFonts w:eastAsia="MS Mincho"/>
        </w:rPr>
      </w:pPr>
    </w:p>
    <w:p w14:paraId="42068C68" w14:textId="77777777" w:rsidR="00851455" w:rsidRPr="00851455" w:rsidRDefault="00851455" w:rsidP="00543C1B">
      <w:pPr>
        <w:numPr>
          <w:ilvl w:val="0"/>
          <w:numId w:val="113"/>
        </w:numPr>
        <w:spacing w:before="240" w:after="120" w:line="360" w:lineRule="auto"/>
        <w:ind w:left="737" w:hanging="377"/>
        <w:jc w:val="both"/>
        <w:rPr>
          <w:rFonts w:eastAsia="MS Mincho"/>
          <w:b/>
        </w:rPr>
      </w:pPr>
      <w:r w:rsidRPr="00851455">
        <w:rPr>
          <w:rFonts w:eastAsia="MS Mincho"/>
          <w:b/>
        </w:rPr>
        <w:t>Zdokonalování povrchů</w:t>
      </w:r>
    </w:p>
    <w:p w14:paraId="1045366B" w14:textId="77777777" w:rsidR="00851455" w:rsidRPr="00851455" w:rsidRDefault="00851455" w:rsidP="00543C1B">
      <w:pPr>
        <w:numPr>
          <w:ilvl w:val="1"/>
          <w:numId w:val="113"/>
        </w:numPr>
        <w:spacing w:after="120" w:line="360" w:lineRule="auto"/>
        <w:jc w:val="both"/>
        <w:rPr>
          <w:rFonts w:eastAsia="MS Mincho"/>
        </w:rPr>
      </w:pPr>
      <w:r w:rsidRPr="00851455">
        <w:rPr>
          <w:rFonts w:eastAsia="MS Mincho"/>
        </w:rPr>
        <w:t xml:space="preserve">VaV pokročilých povrchových úprav a modifikací povrchů dílců a komponent se zaměřením na zvýšení jejich užitných vlastností. </w:t>
      </w:r>
    </w:p>
    <w:p w14:paraId="4A456908" w14:textId="77777777" w:rsidR="00851455" w:rsidRPr="00851455" w:rsidRDefault="00851455" w:rsidP="00543C1B">
      <w:pPr>
        <w:numPr>
          <w:ilvl w:val="1"/>
          <w:numId w:val="113"/>
        </w:numPr>
        <w:spacing w:after="120" w:line="360" w:lineRule="auto"/>
        <w:jc w:val="both"/>
        <w:rPr>
          <w:rFonts w:eastAsia="MS Mincho"/>
        </w:rPr>
      </w:pPr>
      <w:r w:rsidRPr="00851455">
        <w:rPr>
          <w:rFonts w:eastAsia="MS Mincho"/>
        </w:rPr>
        <w:t xml:space="preserve">VaV metod zdokonalení povrchu se zaměřením na cílenou modifikaci tvrdosti, rezistence proti korozi, frikčních vlastností, minimalizaci kontaminace okolí, životnosti, chemické odolnosti a dalších mechanických, elektrických, optických a tepelných vlastností je velmi progresivní a materiálově efektivní technika zvyšování užitných vlastností. </w:t>
      </w:r>
    </w:p>
    <w:p w14:paraId="63DB40A7" w14:textId="77777777" w:rsidR="00851455" w:rsidRPr="00851455" w:rsidRDefault="00851455" w:rsidP="00543C1B">
      <w:pPr>
        <w:numPr>
          <w:ilvl w:val="1"/>
          <w:numId w:val="113"/>
        </w:numPr>
        <w:spacing w:after="120" w:line="360" w:lineRule="auto"/>
        <w:jc w:val="both"/>
        <w:rPr>
          <w:rFonts w:eastAsia="MS Mincho"/>
        </w:rPr>
      </w:pPr>
      <w:r w:rsidRPr="00851455">
        <w:rPr>
          <w:rFonts w:eastAsia="MS Mincho"/>
        </w:rPr>
        <w:t>VaV metod a technik pro zvýšení homogenity a trvanlivosti vlastností povrchových úprav při současné minimalizaci tlouštěk povrchových vrstev a ovlivnění rozměrů dílců.</w:t>
      </w:r>
    </w:p>
    <w:p w14:paraId="6D4C4452" w14:textId="77777777" w:rsidR="00851455" w:rsidRDefault="00851455" w:rsidP="00543C1B">
      <w:pPr>
        <w:numPr>
          <w:ilvl w:val="1"/>
          <w:numId w:val="113"/>
        </w:numPr>
        <w:spacing w:after="120" w:line="360" w:lineRule="auto"/>
        <w:jc w:val="both"/>
        <w:rPr>
          <w:rFonts w:eastAsia="MS Mincho"/>
        </w:rPr>
      </w:pPr>
      <w:r w:rsidRPr="00851455">
        <w:rPr>
          <w:rFonts w:eastAsia="MS Mincho"/>
        </w:rPr>
        <w:t>Nanotechnologické ochrany povrchů.</w:t>
      </w:r>
    </w:p>
    <w:p w14:paraId="21E5EF15" w14:textId="77777777" w:rsidR="00851455" w:rsidRPr="00851455" w:rsidRDefault="00851455" w:rsidP="00543C1B">
      <w:pPr>
        <w:numPr>
          <w:ilvl w:val="0"/>
          <w:numId w:val="114"/>
        </w:numPr>
        <w:spacing w:before="240" w:after="120" w:line="360" w:lineRule="auto"/>
        <w:ind w:left="737" w:hanging="377"/>
        <w:jc w:val="both"/>
        <w:rPr>
          <w:rFonts w:eastAsia="MS Mincho"/>
          <w:b/>
        </w:rPr>
      </w:pPr>
      <w:r w:rsidRPr="00851455">
        <w:rPr>
          <w:rFonts w:eastAsia="MS Mincho"/>
          <w:b/>
        </w:rPr>
        <w:t>Opravy a recyklace</w:t>
      </w:r>
    </w:p>
    <w:p w14:paraId="0D11C4AF" w14:textId="77777777" w:rsidR="00851455" w:rsidRPr="00851455" w:rsidRDefault="00851455" w:rsidP="00543C1B">
      <w:pPr>
        <w:numPr>
          <w:ilvl w:val="1"/>
          <w:numId w:val="114"/>
        </w:numPr>
        <w:spacing w:after="120" w:line="360" w:lineRule="auto"/>
        <w:jc w:val="both"/>
        <w:rPr>
          <w:rFonts w:eastAsia="MS Mincho"/>
        </w:rPr>
      </w:pPr>
      <w:r w:rsidRPr="00851455">
        <w:rPr>
          <w:rFonts w:eastAsia="MS Mincho"/>
        </w:rPr>
        <w:t xml:space="preserve"> VaV metod pro rekonstrukci tvaru opotřebených dílců, rekonstrukci funkčních povrchů dílců a materiálových struktur.</w:t>
      </w:r>
    </w:p>
    <w:p w14:paraId="7DB32F0F" w14:textId="77777777" w:rsidR="00851455" w:rsidRPr="00851455" w:rsidRDefault="00851455" w:rsidP="00543C1B">
      <w:pPr>
        <w:numPr>
          <w:ilvl w:val="1"/>
          <w:numId w:val="114"/>
        </w:numPr>
        <w:spacing w:after="120" w:line="360" w:lineRule="auto"/>
        <w:jc w:val="both"/>
        <w:rPr>
          <w:rFonts w:eastAsia="MS Mincho"/>
        </w:rPr>
      </w:pPr>
      <w:r w:rsidRPr="00851455">
        <w:rPr>
          <w:rFonts w:eastAsia="MS Mincho"/>
        </w:rPr>
        <w:t>VaV aditivních, hybridních, depozičních a povlakovacích metod, materiálů a technologií pro obnovení tvaru a vlastností dílců a komponent.</w:t>
      </w:r>
    </w:p>
    <w:p w14:paraId="5E214936" w14:textId="77777777" w:rsidR="00851455" w:rsidRPr="00851455" w:rsidRDefault="00851455" w:rsidP="00543C1B">
      <w:pPr>
        <w:numPr>
          <w:ilvl w:val="1"/>
          <w:numId w:val="114"/>
        </w:numPr>
        <w:spacing w:after="120" w:line="360" w:lineRule="auto"/>
        <w:jc w:val="both"/>
        <w:rPr>
          <w:rFonts w:eastAsia="Times New Roman" w:cs="Times New Roman"/>
          <w:lang w:eastAsia="cs-CZ"/>
        </w:rPr>
      </w:pPr>
      <w:r w:rsidRPr="00851455">
        <w:rPr>
          <w:rFonts w:eastAsia="MS Mincho"/>
        </w:rPr>
        <w:t>VaV metod pro efektivní</w:t>
      </w:r>
      <w:r w:rsidRPr="00851455">
        <w:rPr>
          <w:rFonts w:eastAsia="Times New Roman" w:cs="Times New Roman"/>
          <w:lang w:eastAsia="cs-CZ"/>
        </w:rPr>
        <w:t xml:space="preserve"> recyklaci strojírenských produktů.</w:t>
      </w:r>
    </w:p>
    <w:p w14:paraId="679B221A" w14:textId="77777777" w:rsidR="0086785D" w:rsidRDefault="0086785D" w:rsidP="0086785D"/>
    <w:p w14:paraId="49E4DBE0" w14:textId="266F6EDE" w:rsidR="0086785D" w:rsidRPr="006D22A1" w:rsidRDefault="00740D74" w:rsidP="00543C1B">
      <w:pPr>
        <w:pStyle w:val="Odstavecseseznamem"/>
        <w:numPr>
          <w:ilvl w:val="0"/>
          <w:numId w:val="103"/>
        </w:numPr>
        <w:rPr>
          <w:u w:val="single"/>
        </w:rPr>
      </w:pPr>
      <w:r>
        <w:rPr>
          <w:u w:val="single"/>
        </w:rPr>
        <w:t>Indikativní vztah ke klasifikaci CZ NACE</w:t>
      </w:r>
    </w:p>
    <w:p w14:paraId="45F9BA51" w14:textId="755C8884" w:rsidR="00A33B1D" w:rsidRPr="00A33B1D" w:rsidRDefault="009B6CE0" w:rsidP="00A33B1D">
      <w:pPr>
        <w:pStyle w:val="Bezmezer1"/>
        <w:spacing w:before="40" w:after="40" w:line="360" w:lineRule="auto"/>
        <w:jc w:val="both"/>
        <w:rPr>
          <w:rFonts w:asciiTheme="minorHAnsi" w:hAnsiTheme="minorHAnsi"/>
          <w:b/>
          <w:lang w:eastAsia="cs-CZ"/>
        </w:rPr>
      </w:pPr>
      <w:r>
        <w:rPr>
          <w:rFonts w:asciiTheme="minorHAnsi" w:hAnsiTheme="minorHAnsi"/>
          <w:b/>
          <w:lang w:eastAsia="cs-CZ"/>
        </w:rPr>
        <w:t xml:space="preserve">Hlavní relevantní CZ </w:t>
      </w:r>
      <w:r w:rsidR="00A33B1D" w:rsidRPr="00A33B1D">
        <w:rPr>
          <w:rFonts w:asciiTheme="minorHAnsi" w:hAnsiTheme="minorHAnsi"/>
          <w:b/>
          <w:lang w:eastAsia="cs-CZ"/>
        </w:rPr>
        <w:t>NACE</w:t>
      </w:r>
    </w:p>
    <w:p w14:paraId="186D8D18" w14:textId="0E9601B7" w:rsidR="00A33B1D" w:rsidRPr="00A33B1D" w:rsidRDefault="00A33B1D" w:rsidP="00A33B1D">
      <w:pPr>
        <w:pStyle w:val="Bezmezer1"/>
        <w:spacing w:before="40" w:after="40" w:line="360" w:lineRule="auto"/>
        <w:jc w:val="both"/>
        <w:rPr>
          <w:rFonts w:asciiTheme="minorHAnsi" w:hAnsiTheme="minorHAnsi"/>
          <w:lang w:eastAsia="cs-CZ"/>
        </w:rPr>
      </w:pPr>
      <w:r w:rsidRPr="00A33B1D">
        <w:rPr>
          <w:rFonts w:asciiTheme="minorHAnsi" w:hAnsiTheme="minorHAnsi"/>
          <w:lang w:eastAsia="cs-CZ"/>
        </w:rPr>
        <w:t>Pozn.: Jedná se pouze o high-tech a medium high-tech produkci z uved</w:t>
      </w:r>
      <w:r w:rsidR="00211C32">
        <w:rPr>
          <w:rFonts w:asciiTheme="minorHAnsi" w:hAnsiTheme="minorHAnsi"/>
          <w:lang w:eastAsia="cs-CZ"/>
        </w:rPr>
        <w:t>ených skupin produkce CZ</w:t>
      </w:r>
      <w:r w:rsidR="00B8126F">
        <w:rPr>
          <w:rFonts w:asciiTheme="minorHAnsi" w:hAnsiTheme="minorHAnsi"/>
          <w:lang w:eastAsia="cs-CZ"/>
        </w:rPr>
        <w:t xml:space="preserve"> </w:t>
      </w:r>
      <w:r w:rsidR="00211C32">
        <w:rPr>
          <w:rFonts w:asciiTheme="minorHAnsi" w:hAnsiTheme="minorHAnsi"/>
          <w:lang w:eastAsia="cs-CZ"/>
        </w:rPr>
        <w:t>NACE a </w:t>
      </w:r>
      <w:r w:rsidRPr="00A33B1D">
        <w:rPr>
          <w:rFonts w:asciiTheme="minorHAnsi" w:hAnsiTheme="minorHAnsi"/>
          <w:lang w:eastAsia="cs-CZ"/>
        </w:rPr>
        <w:t xml:space="preserve">jedná se o produkty s vysokou technickou náročností, které standardně potřebují výzkum a vývoj pro jejich inovace.  </w:t>
      </w:r>
    </w:p>
    <w:p w14:paraId="3DCA9920" w14:textId="77777777" w:rsidR="00A33B1D" w:rsidRPr="00A33B1D" w:rsidRDefault="00A33B1D" w:rsidP="009B6CE0">
      <w:pPr>
        <w:pStyle w:val="Bezmezer1"/>
        <w:spacing w:before="40" w:after="40" w:line="360" w:lineRule="auto"/>
        <w:ind w:firstLine="708"/>
        <w:jc w:val="both"/>
        <w:rPr>
          <w:rFonts w:asciiTheme="minorHAnsi" w:hAnsiTheme="minorHAnsi"/>
          <w:lang w:eastAsia="cs-CZ"/>
        </w:rPr>
      </w:pPr>
      <w:r w:rsidRPr="00A33B1D">
        <w:rPr>
          <w:rFonts w:asciiTheme="minorHAnsi" w:hAnsiTheme="minorHAnsi"/>
          <w:lang w:eastAsia="cs-CZ"/>
        </w:rPr>
        <w:t>25 Výroba kovových konstrukcí a kovodělných výrobků, kromě strojů a zařízení</w:t>
      </w:r>
    </w:p>
    <w:p w14:paraId="20613E70" w14:textId="77777777" w:rsidR="00A33B1D" w:rsidRPr="00A33B1D" w:rsidRDefault="00A33B1D" w:rsidP="009B6CE0">
      <w:pPr>
        <w:pStyle w:val="Bezmezer1"/>
        <w:spacing w:before="40" w:after="40" w:line="360" w:lineRule="auto"/>
        <w:ind w:firstLine="708"/>
        <w:jc w:val="both"/>
        <w:rPr>
          <w:rFonts w:asciiTheme="minorHAnsi" w:hAnsiTheme="minorHAnsi"/>
          <w:lang w:eastAsia="cs-CZ"/>
        </w:rPr>
      </w:pPr>
      <w:r w:rsidRPr="00A33B1D">
        <w:rPr>
          <w:rFonts w:asciiTheme="minorHAnsi" w:hAnsiTheme="minorHAnsi"/>
          <w:lang w:eastAsia="cs-CZ"/>
        </w:rPr>
        <w:t>28 Výroba strojů a zařízení j. n.</w:t>
      </w:r>
    </w:p>
    <w:p w14:paraId="4DA5120C" w14:textId="77777777" w:rsidR="00A33B1D" w:rsidRPr="00A33B1D" w:rsidRDefault="00A33B1D" w:rsidP="009B6CE0">
      <w:pPr>
        <w:pStyle w:val="Bezmezer1"/>
        <w:spacing w:before="40" w:after="40" w:line="360" w:lineRule="auto"/>
        <w:ind w:firstLine="708"/>
        <w:jc w:val="both"/>
        <w:rPr>
          <w:rFonts w:asciiTheme="minorHAnsi" w:hAnsiTheme="minorHAnsi"/>
          <w:lang w:eastAsia="cs-CZ"/>
        </w:rPr>
      </w:pPr>
      <w:r w:rsidRPr="00A33B1D">
        <w:rPr>
          <w:rFonts w:asciiTheme="minorHAnsi" w:hAnsiTheme="minorHAnsi"/>
          <w:lang w:eastAsia="cs-CZ"/>
        </w:rPr>
        <w:t>33 Opravy a instalace strojů a zařízení</w:t>
      </w:r>
    </w:p>
    <w:p w14:paraId="50B23B83" w14:textId="0304D53D" w:rsidR="00A33B1D" w:rsidRPr="00A33B1D" w:rsidRDefault="00A33B1D" w:rsidP="00A33B1D">
      <w:pPr>
        <w:pStyle w:val="Bezmezer1"/>
        <w:spacing w:before="40" w:after="40" w:line="360" w:lineRule="auto"/>
        <w:jc w:val="both"/>
        <w:rPr>
          <w:rFonts w:asciiTheme="minorHAnsi" w:hAnsiTheme="minorHAnsi"/>
          <w:lang w:eastAsia="cs-CZ"/>
        </w:rPr>
      </w:pPr>
      <w:r w:rsidRPr="00A33B1D">
        <w:rPr>
          <w:rFonts w:asciiTheme="minorHAnsi" w:hAnsiTheme="minorHAnsi"/>
          <w:lang w:eastAsia="cs-CZ"/>
        </w:rPr>
        <w:t>Navíc do sledované odborné oblasti patří také překrývající se témata s</w:t>
      </w:r>
      <w:r w:rsidR="00B8126F">
        <w:rPr>
          <w:rFonts w:asciiTheme="minorHAnsi" w:hAnsiTheme="minorHAnsi"/>
          <w:lang w:eastAsia="cs-CZ"/>
        </w:rPr>
        <w:t> </w:t>
      </w:r>
      <w:r w:rsidRPr="00A33B1D">
        <w:rPr>
          <w:rFonts w:asciiTheme="minorHAnsi" w:hAnsiTheme="minorHAnsi"/>
          <w:lang w:eastAsia="cs-CZ"/>
        </w:rPr>
        <w:t>CZ</w:t>
      </w:r>
      <w:r w:rsidR="00B8126F">
        <w:rPr>
          <w:rFonts w:asciiTheme="minorHAnsi" w:hAnsiTheme="minorHAnsi"/>
          <w:lang w:eastAsia="cs-CZ"/>
        </w:rPr>
        <w:t xml:space="preserve"> </w:t>
      </w:r>
      <w:r w:rsidRPr="00A33B1D">
        <w:rPr>
          <w:rFonts w:asciiTheme="minorHAnsi" w:hAnsiTheme="minorHAnsi"/>
          <w:lang w:eastAsia="cs-CZ"/>
        </w:rPr>
        <w:t>NACE 24, 29 a 30</w:t>
      </w:r>
    </w:p>
    <w:p w14:paraId="60A1F2AB" w14:textId="77777777" w:rsidR="00A33B1D" w:rsidRPr="00A33B1D" w:rsidRDefault="00A33B1D" w:rsidP="00A33B1D">
      <w:pPr>
        <w:pStyle w:val="Bezmezer1"/>
        <w:spacing w:before="40" w:after="40" w:line="360" w:lineRule="auto"/>
        <w:jc w:val="both"/>
        <w:rPr>
          <w:rFonts w:asciiTheme="minorHAnsi" w:hAnsiTheme="minorHAnsi"/>
          <w:lang w:eastAsia="cs-CZ"/>
        </w:rPr>
      </w:pPr>
      <w:r w:rsidRPr="00A33B1D">
        <w:rPr>
          <w:rFonts w:asciiTheme="minorHAnsi" w:hAnsiTheme="minorHAnsi"/>
          <w:lang w:eastAsia="cs-CZ"/>
        </w:rPr>
        <w:t>Přirozeně do relevantních skupin patří také:</w:t>
      </w:r>
    </w:p>
    <w:p w14:paraId="3FE78168" w14:textId="77777777" w:rsidR="00A33B1D" w:rsidRPr="00A33B1D" w:rsidRDefault="00A33B1D" w:rsidP="009B6CE0">
      <w:pPr>
        <w:pStyle w:val="Bezmezer1"/>
        <w:spacing w:before="40" w:after="40" w:line="360" w:lineRule="auto"/>
        <w:ind w:firstLine="708"/>
        <w:jc w:val="both"/>
        <w:rPr>
          <w:rFonts w:asciiTheme="minorHAnsi" w:hAnsiTheme="minorHAnsi"/>
          <w:lang w:eastAsia="cs-CZ"/>
        </w:rPr>
      </w:pPr>
      <w:r w:rsidRPr="00A33B1D">
        <w:rPr>
          <w:rFonts w:asciiTheme="minorHAnsi" w:hAnsiTheme="minorHAnsi"/>
          <w:lang w:eastAsia="cs-CZ"/>
        </w:rPr>
        <w:t>71 Architektonické a inženýrské činnosti; technické zkoušky a analýzy</w:t>
      </w:r>
    </w:p>
    <w:p w14:paraId="2F5C5337" w14:textId="77777777" w:rsidR="00A33B1D" w:rsidRPr="00A33B1D" w:rsidRDefault="00A33B1D" w:rsidP="00A33B1D">
      <w:pPr>
        <w:pStyle w:val="Bezmezer1"/>
        <w:spacing w:before="40" w:after="40" w:line="360" w:lineRule="auto"/>
        <w:jc w:val="both"/>
        <w:rPr>
          <w:rFonts w:asciiTheme="minorHAnsi" w:hAnsiTheme="minorHAnsi"/>
          <w:b/>
          <w:lang w:eastAsia="cs-CZ"/>
        </w:rPr>
      </w:pPr>
    </w:p>
    <w:p w14:paraId="7C4A0327" w14:textId="77777777" w:rsidR="00191F16" w:rsidRDefault="00191F16" w:rsidP="00A33B1D">
      <w:pPr>
        <w:pStyle w:val="Bezmezer1"/>
        <w:spacing w:before="40" w:after="40" w:line="360" w:lineRule="auto"/>
        <w:jc w:val="both"/>
        <w:rPr>
          <w:rFonts w:asciiTheme="minorHAnsi" w:hAnsiTheme="minorHAnsi"/>
          <w:b/>
          <w:lang w:eastAsia="cs-CZ"/>
        </w:rPr>
      </w:pPr>
    </w:p>
    <w:p w14:paraId="03F1360F" w14:textId="2BBD8F76" w:rsidR="00A33B1D" w:rsidRPr="00A33B1D" w:rsidRDefault="009B6CE0" w:rsidP="00A33B1D">
      <w:pPr>
        <w:pStyle w:val="Bezmezer1"/>
        <w:spacing w:before="40" w:after="40" w:line="360" w:lineRule="auto"/>
        <w:jc w:val="both"/>
        <w:rPr>
          <w:rFonts w:asciiTheme="minorHAnsi" w:hAnsiTheme="minorHAnsi"/>
          <w:b/>
          <w:lang w:eastAsia="cs-CZ"/>
        </w:rPr>
      </w:pPr>
      <w:r>
        <w:rPr>
          <w:rFonts w:asciiTheme="minorHAnsi" w:hAnsiTheme="minorHAnsi"/>
          <w:b/>
          <w:lang w:eastAsia="cs-CZ"/>
        </w:rPr>
        <w:t>Návazné CZ</w:t>
      </w:r>
      <w:r w:rsidR="00A33B1D" w:rsidRPr="00A33B1D">
        <w:rPr>
          <w:rFonts w:asciiTheme="minorHAnsi" w:hAnsiTheme="minorHAnsi"/>
          <w:b/>
          <w:lang w:eastAsia="cs-CZ"/>
        </w:rPr>
        <w:t xml:space="preserve"> NACE, funkční vazby</w:t>
      </w:r>
    </w:p>
    <w:p w14:paraId="57B37F17" w14:textId="09B1A669" w:rsidR="00A33B1D" w:rsidRPr="00A33B1D" w:rsidRDefault="00A33B1D" w:rsidP="00A33B1D">
      <w:pPr>
        <w:spacing w:before="40" w:after="40" w:line="360" w:lineRule="auto"/>
        <w:jc w:val="both"/>
        <w:rPr>
          <w:lang w:bidi="he-IL"/>
        </w:rPr>
      </w:pPr>
      <w:r w:rsidRPr="00A33B1D">
        <w:rPr>
          <w:lang w:bidi="he-IL"/>
        </w:rPr>
        <w:t xml:space="preserve">Nejvýznamnější </w:t>
      </w:r>
      <w:r w:rsidRPr="00A33B1D">
        <w:rPr>
          <w:b/>
          <w:lang w:bidi="he-IL"/>
        </w:rPr>
        <w:t>navazující oddíly</w:t>
      </w:r>
      <w:r w:rsidRPr="00A33B1D">
        <w:rPr>
          <w:lang w:bidi="he-IL"/>
        </w:rPr>
        <w:t xml:space="preserve"> CZ</w:t>
      </w:r>
      <w:r w:rsidR="00B8126F">
        <w:rPr>
          <w:lang w:bidi="he-IL"/>
        </w:rPr>
        <w:t xml:space="preserve"> </w:t>
      </w:r>
      <w:r w:rsidRPr="00A33B1D">
        <w:rPr>
          <w:lang w:bidi="he-IL"/>
        </w:rPr>
        <w:t>NACE s nejvyšší náročností na SVA a PS jsou skupiny z oddílů:</w:t>
      </w:r>
    </w:p>
    <w:p w14:paraId="1C1F848D" w14:textId="77777777" w:rsidR="00A33B1D" w:rsidRPr="00A33B1D" w:rsidRDefault="00A33B1D" w:rsidP="009B6CE0">
      <w:pPr>
        <w:pStyle w:val="Bezmezer1"/>
        <w:spacing w:before="40" w:after="40" w:line="360" w:lineRule="auto"/>
        <w:ind w:firstLine="708"/>
        <w:jc w:val="both"/>
        <w:rPr>
          <w:rFonts w:asciiTheme="minorHAnsi" w:hAnsiTheme="minorHAnsi"/>
          <w:lang w:eastAsia="cs-CZ"/>
        </w:rPr>
      </w:pPr>
      <w:r w:rsidRPr="00A33B1D">
        <w:rPr>
          <w:rFonts w:asciiTheme="minorHAnsi" w:hAnsiTheme="minorHAnsi"/>
          <w:lang w:eastAsia="cs-CZ"/>
        </w:rPr>
        <w:t>26 Výroba počítačů, elektronických a optických přístrojů a zařízení</w:t>
      </w:r>
    </w:p>
    <w:p w14:paraId="002CDDFB" w14:textId="77777777" w:rsidR="00A33B1D" w:rsidRPr="00A33B1D" w:rsidRDefault="00A33B1D" w:rsidP="009B6CE0">
      <w:pPr>
        <w:spacing w:before="40" w:line="360" w:lineRule="auto"/>
        <w:ind w:firstLine="708"/>
        <w:jc w:val="both"/>
        <w:rPr>
          <w:lang w:bidi="he-IL"/>
        </w:rPr>
      </w:pPr>
      <w:r w:rsidRPr="00A33B1D">
        <w:rPr>
          <w:lang w:bidi="he-IL"/>
        </w:rPr>
        <w:t>27 Výroba el. zařízení</w:t>
      </w:r>
    </w:p>
    <w:p w14:paraId="544CA7F8" w14:textId="77777777" w:rsidR="00A33B1D" w:rsidRPr="00A33B1D" w:rsidRDefault="00A33B1D" w:rsidP="009B6CE0">
      <w:pPr>
        <w:spacing w:before="40" w:after="40" w:line="360" w:lineRule="auto"/>
        <w:ind w:firstLine="708"/>
        <w:jc w:val="both"/>
        <w:rPr>
          <w:lang w:bidi="he-IL"/>
        </w:rPr>
      </w:pPr>
      <w:r w:rsidRPr="00A33B1D">
        <w:rPr>
          <w:lang w:bidi="he-IL"/>
        </w:rPr>
        <w:t>28 Výroba strojů a zařízení j. n.</w:t>
      </w:r>
    </w:p>
    <w:p w14:paraId="1BD4C15E" w14:textId="77777777" w:rsidR="00A33B1D" w:rsidRPr="00A33B1D" w:rsidRDefault="00A33B1D" w:rsidP="009B6CE0">
      <w:pPr>
        <w:spacing w:before="40" w:after="40" w:line="360" w:lineRule="auto"/>
        <w:ind w:firstLine="708"/>
        <w:jc w:val="both"/>
        <w:rPr>
          <w:lang w:bidi="he-IL"/>
        </w:rPr>
      </w:pPr>
      <w:r w:rsidRPr="00A33B1D">
        <w:rPr>
          <w:lang w:bidi="he-IL"/>
        </w:rPr>
        <w:t xml:space="preserve">29 Výroba motorových vozidel </w:t>
      </w:r>
    </w:p>
    <w:p w14:paraId="4C0B0711" w14:textId="77777777" w:rsidR="00A33B1D" w:rsidRPr="00A33B1D" w:rsidRDefault="00A33B1D" w:rsidP="009B6CE0">
      <w:pPr>
        <w:spacing w:before="40" w:after="40" w:line="360" w:lineRule="auto"/>
        <w:ind w:firstLine="708"/>
        <w:jc w:val="both"/>
        <w:rPr>
          <w:lang w:bidi="he-IL"/>
        </w:rPr>
      </w:pPr>
      <w:r w:rsidRPr="00A33B1D">
        <w:rPr>
          <w:lang w:bidi="he-IL"/>
        </w:rPr>
        <w:t xml:space="preserve">30 Výroba ostatních dopravních prostředků a zařízení </w:t>
      </w:r>
    </w:p>
    <w:p w14:paraId="5E1B01CC" w14:textId="77777777" w:rsidR="00A33B1D" w:rsidRPr="00A33B1D" w:rsidRDefault="00A33B1D" w:rsidP="009B6CE0">
      <w:pPr>
        <w:pStyle w:val="Bezmezer1"/>
        <w:spacing w:before="40" w:after="200" w:line="360" w:lineRule="auto"/>
        <w:ind w:firstLine="708"/>
        <w:jc w:val="both"/>
        <w:rPr>
          <w:rFonts w:asciiTheme="minorHAnsi" w:hAnsiTheme="minorHAnsi"/>
          <w:lang w:eastAsia="cs-CZ"/>
        </w:rPr>
      </w:pPr>
      <w:r w:rsidRPr="00A33B1D">
        <w:rPr>
          <w:rFonts w:asciiTheme="minorHAnsi" w:hAnsiTheme="minorHAnsi"/>
          <w:lang w:eastAsia="cs-CZ"/>
        </w:rPr>
        <w:t>72 Výzkum a vývoj</w:t>
      </w:r>
    </w:p>
    <w:p w14:paraId="4D20DB28" w14:textId="77777777" w:rsidR="00A33B1D" w:rsidRDefault="00A33B1D" w:rsidP="00A33B1D">
      <w:pPr>
        <w:spacing w:before="40" w:line="360" w:lineRule="auto"/>
        <w:jc w:val="both"/>
        <w:rPr>
          <w:lang w:bidi="he-IL"/>
        </w:rPr>
      </w:pPr>
    </w:p>
    <w:p w14:paraId="00846487" w14:textId="77825668" w:rsidR="00A33B1D" w:rsidRPr="00A33B1D" w:rsidRDefault="00A33B1D" w:rsidP="00A33B1D">
      <w:pPr>
        <w:pStyle w:val="Bezmezer1"/>
        <w:spacing w:before="40" w:after="40" w:line="360" w:lineRule="auto"/>
        <w:jc w:val="both"/>
        <w:rPr>
          <w:rFonts w:asciiTheme="minorHAnsi" w:hAnsiTheme="minorHAnsi"/>
          <w:b/>
          <w:lang w:eastAsia="cs-CZ"/>
        </w:rPr>
      </w:pPr>
      <w:r w:rsidRPr="00A33B1D">
        <w:rPr>
          <w:rFonts w:asciiTheme="minorHAnsi" w:hAnsiTheme="minorHAnsi"/>
          <w:b/>
          <w:lang w:eastAsia="cs-CZ"/>
        </w:rPr>
        <w:t>P</w:t>
      </w:r>
      <w:r w:rsidR="009B6CE0">
        <w:rPr>
          <w:rFonts w:asciiTheme="minorHAnsi" w:hAnsiTheme="minorHAnsi"/>
          <w:b/>
          <w:lang w:eastAsia="cs-CZ"/>
        </w:rPr>
        <w:t>ředcházející CZ</w:t>
      </w:r>
      <w:r w:rsidRPr="00A33B1D">
        <w:rPr>
          <w:rFonts w:asciiTheme="minorHAnsi" w:hAnsiTheme="minorHAnsi"/>
          <w:b/>
          <w:lang w:eastAsia="cs-CZ"/>
        </w:rPr>
        <w:t xml:space="preserve"> NACE, funkční vazby</w:t>
      </w:r>
    </w:p>
    <w:p w14:paraId="72113E18" w14:textId="4DBF6E9E" w:rsidR="00A33B1D" w:rsidRPr="00A33B1D" w:rsidRDefault="00A33B1D" w:rsidP="00A33B1D">
      <w:pPr>
        <w:spacing w:before="40" w:after="40" w:line="360" w:lineRule="auto"/>
        <w:jc w:val="both"/>
        <w:rPr>
          <w:lang w:bidi="he-IL"/>
        </w:rPr>
      </w:pPr>
      <w:r w:rsidRPr="00A33B1D">
        <w:rPr>
          <w:lang w:bidi="he-IL"/>
        </w:rPr>
        <w:t xml:space="preserve">Nejvýznamnější </w:t>
      </w:r>
      <w:r w:rsidRPr="00A33B1D">
        <w:rPr>
          <w:b/>
          <w:lang w:bidi="he-IL"/>
        </w:rPr>
        <w:t>předcházející oddíly</w:t>
      </w:r>
      <w:r w:rsidRPr="00A33B1D">
        <w:rPr>
          <w:lang w:bidi="he-IL"/>
        </w:rPr>
        <w:t xml:space="preserve"> CZ</w:t>
      </w:r>
      <w:r w:rsidR="00B8126F">
        <w:rPr>
          <w:lang w:bidi="he-IL"/>
        </w:rPr>
        <w:t xml:space="preserve"> </w:t>
      </w:r>
      <w:r w:rsidRPr="00A33B1D">
        <w:rPr>
          <w:lang w:bidi="he-IL"/>
        </w:rPr>
        <w:t>NACE, které nejvíce ovlivňují strojírenskou výrobní techniku a přesné strojírenství jsou skupiny z oddílů:</w:t>
      </w:r>
    </w:p>
    <w:p w14:paraId="1A88219F" w14:textId="77777777" w:rsidR="00A33B1D" w:rsidRPr="00A33B1D" w:rsidRDefault="00A33B1D" w:rsidP="00211C32">
      <w:pPr>
        <w:pStyle w:val="Bezmezer1"/>
        <w:spacing w:before="40" w:after="40" w:line="360" w:lineRule="auto"/>
        <w:ind w:firstLine="708"/>
        <w:jc w:val="both"/>
        <w:rPr>
          <w:rFonts w:asciiTheme="minorHAnsi" w:hAnsiTheme="minorHAnsi"/>
          <w:lang w:eastAsia="cs-CZ"/>
        </w:rPr>
      </w:pPr>
      <w:r w:rsidRPr="00A33B1D">
        <w:rPr>
          <w:rFonts w:asciiTheme="minorHAnsi" w:hAnsiTheme="minorHAnsi"/>
          <w:lang w:eastAsia="cs-CZ"/>
        </w:rPr>
        <w:t>28 Výroba strojů a zařízení j. n.</w:t>
      </w:r>
    </w:p>
    <w:p w14:paraId="737E9C5D" w14:textId="77777777" w:rsidR="00A33B1D" w:rsidRPr="00A33B1D" w:rsidRDefault="00A33B1D" w:rsidP="00211C32">
      <w:pPr>
        <w:spacing w:before="40" w:after="40" w:line="360" w:lineRule="auto"/>
        <w:ind w:firstLine="708"/>
        <w:jc w:val="both"/>
        <w:rPr>
          <w:lang w:bidi="he-IL"/>
        </w:rPr>
      </w:pPr>
      <w:r w:rsidRPr="00A33B1D">
        <w:rPr>
          <w:lang w:bidi="he-IL"/>
        </w:rPr>
        <w:t>24 Výroba základních kovů, hutní zpracování kovů; slévárenství</w:t>
      </w:r>
    </w:p>
    <w:p w14:paraId="5B418030" w14:textId="77777777" w:rsidR="00A33B1D" w:rsidRPr="00A33B1D" w:rsidRDefault="00A33B1D" w:rsidP="00211C32">
      <w:pPr>
        <w:spacing w:before="40" w:after="40" w:line="360" w:lineRule="auto"/>
        <w:ind w:firstLine="708"/>
        <w:jc w:val="both"/>
        <w:rPr>
          <w:lang w:bidi="he-IL"/>
        </w:rPr>
      </w:pPr>
      <w:r w:rsidRPr="00A33B1D">
        <w:rPr>
          <w:lang w:bidi="he-IL"/>
        </w:rPr>
        <w:t>25 Výroba kovových konstrukcí a kovodělných výrobků, kromě strojů a zařízení</w:t>
      </w:r>
    </w:p>
    <w:p w14:paraId="7ADF9A8F" w14:textId="77777777" w:rsidR="00A33B1D" w:rsidRDefault="00A33B1D" w:rsidP="00211C32">
      <w:pPr>
        <w:spacing w:before="40" w:after="40" w:line="360" w:lineRule="auto"/>
        <w:ind w:firstLine="708"/>
        <w:jc w:val="both"/>
        <w:rPr>
          <w:lang w:bidi="he-IL"/>
        </w:rPr>
      </w:pPr>
      <w:r w:rsidRPr="00A33B1D">
        <w:rPr>
          <w:lang w:bidi="he-IL"/>
        </w:rPr>
        <w:t>13 Výroba textilií</w:t>
      </w:r>
    </w:p>
    <w:p w14:paraId="4A52B740" w14:textId="4F72E505" w:rsidR="00BA075B" w:rsidRDefault="00BA075B">
      <w:pPr>
        <w:spacing w:after="200" w:line="276" w:lineRule="auto"/>
        <w:rPr>
          <w:lang w:bidi="he-IL"/>
        </w:rPr>
      </w:pPr>
      <w:r>
        <w:rPr>
          <w:lang w:bidi="he-IL"/>
        </w:rPr>
        <w:br w:type="page"/>
      </w:r>
    </w:p>
    <w:p w14:paraId="495223BD" w14:textId="0C76C533" w:rsidR="006D22A1" w:rsidRDefault="006D22A1" w:rsidP="00740D74">
      <w:pPr>
        <w:pStyle w:val="Nadpis4"/>
        <w:spacing w:line="360" w:lineRule="auto"/>
      </w:pPr>
      <w:bookmarkStart w:id="253" w:name="_Toc525716277"/>
      <w:r>
        <w:t>Energetika</w:t>
      </w:r>
      <w:bookmarkEnd w:id="253"/>
    </w:p>
    <w:p w14:paraId="624CE62B" w14:textId="5835D9B3" w:rsidR="006D22A1" w:rsidRDefault="006D22A1" w:rsidP="00543C1B">
      <w:pPr>
        <w:pStyle w:val="Odstavecseseznamem"/>
        <w:numPr>
          <w:ilvl w:val="0"/>
          <w:numId w:val="115"/>
        </w:numPr>
        <w:spacing w:line="360" w:lineRule="auto"/>
        <w:rPr>
          <w:u w:val="single"/>
        </w:rPr>
      </w:pPr>
      <w:r w:rsidRPr="00740D74">
        <w:rPr>
          <w:u w:val="single"/>
        </w:rPr>
        <w:t>Témata VaVaI identifikovaná prostřednictvím EDP:</w:t>
      </w:r>
    </w:p>
    <w:p w14:paraId="03A17297" w14:textId="77777777" w:rsidR="00740D74" w:rsidRPr="00740D74" w:rsidRDefault="00740D74" w:rsidP="00543C1B">
      <w:pPr>
        <w:numPr>
          <w:ilvl w:val="0"/>
          <w:numId w:val="116"/>
        </w:numPr>
        <w:spacing w:before="240" w:after="120" w:line="360" w:lineRule="auto"/>
        <w:ind w:left="737" w:hanging="377"/>
        <w:jc w:val="both"/>
        <w:rPr>
          <w:rFonts w:eastAsia="MS Mincho"/>
          <w:b/>
        </w:rPr>
      </w:pPr>
      <w:r w:rsidRPr="00740D74">
        <w:rPr>
          <w:rFonts w:eastAsia="MS Mincho"/>
          <w:b/>
        </w:rPr>
        <w:t xml:space="preserve">Technologie pro výrobu elektřiny a tepla v jaderných zdrojích </w:t>
      </w:r>
    </w:p>
    <w:p w14:paraId="63B5C3CD" w14:textId="09DE2EF5" w:rsidR="00740D74" w:rsidRPr="00740D74" w:rsidRDefault="00740D74" w:rsidP="00543C1B">
      <w:pPr>
        <w:numPr>
          <w:ilvl w:val="1"/>
          <w:numId w:val="116"/>
        </w:numPr>
        <w:spacing w:after="120" w:line="360" w:lineRule="auto"/>
        <w:jc w:val="both"/>
        <w:rPr>
          <w:rFonts w:eastAsia="MS Mincho"/>
        </w:rPr>
      </w:pPr>
      <w:r w:rsidRPr="00740D74">
        <w:rPr>
          <w:rFonts w:eastAsia="MS Mincho"/>
        </w:rPr>
        <w:t>bezpečnost (analýzy, nástroje a data pro dozorovou činnost, legislativu a potřeby provozovatelů), dlouhodobý, spolehlivý ekonomický provoz a nové technologie, prevence a</w:t>
      </w:r>
      <w:r>
        <w:rPr>
          <w:rFonts w:eastAsia="MS Mincho"/>
        </w:rPr>
        <w:t> </w:t>
      </w:r>
      <w:r w:rsidRPr="00740D74">
        <w:rPr>
          <w:rFonts w:eastAsia="MS Mincho"/>
        </w:rPr>
        <w:t xml:space="preserve">zvládání těžkých havárií </w:t>
      </w:r>
    </w:p>
    <w:p w14:paraId="4F256B1C" w14:textId="77777777" w:rsidR="00740D74" w:rsidRPr="00740D74" w:rsidRDefault="00740D74" w:rsidP="00543C1B">
      <w:pPr>
        <w:numPr>
          <w:ilvl w:val="1"/>
          <w:numId w:val="116"/>
        </w:numPr>
        <w:spacing w:after="120" w:line="360" w:lineRule="auto"/>
        <w:jc w:val="both"/>
        <w:rPr>
          <w:rFonts w:eastAsia="MS Mincho"/>
        </w:rPr>
      </w:pPr>
      <w:r w:rsidRPr="00740D74">
        <w:rPr>
          <w:rFonts w:eastAsia="MS Mincho"/>
        </w:rPr>
        <w:t>jaderný palivový cyklus – optimalizace, životnost (odvození chování a stárnutí materiálů, komponent a zařízení)</w:t>
      </w:r>
    </w:p>
    <w:p w14:paraId="698AF0A1" w14:textId="77777777" w:rsidR="00740D74" w:rsidRPr="00740D74" w:rsidRDefault="00740D74" w:rsidP="00543C1B">
      <w:pPr>
        <w:numPr>
          <w:ilvl w:val="1"/>
          <w:numId w:val="116"/>
        </w:numPr>
        <w:spacing w:after="120" w:line="360" w:lineRule="auto"/>
        <w:jc w:val="both"/>
        <w:rPr>
          <w:rFonts w:eastAsia="MS Mincho"/>
        </w:rPr>
      </w:pPr>
      <w:r w:rsidRPr="00740D74">
        <w:rPr>
          <w:rFonts w:eastAsia="MS Mincho"/>
        </w:rPr>
        <w:t>radioaktivní cyklus - příprava dokonalejších metod zpracování a úpravy radioaktivních odpadů a dekontaminace a demontáže jaderných elektráren po ukončení provozu (včetně uplatnění robotů)</w:t>
      </w:r>
    </w:p>
    <w:p w14:paraId="123E3A11" w14:textId="77777777" w:rsidR="00740D74" w:rsidRPr="00740D74" w:rsidRDefault="00740D74" w:rsidP="00543C1B">
      <w:pPr>
        <w:numPr>
          <w:ilvl w:val="1"/>
          <w:numId w:val="116"/>
        </w:numPr>
        <w:spacing w:after="120" w:line="360" w:lineRule="auto"/>
        <w:jc w:val="both"/>
        <w:rPr>
          <w:rFonts w:eastAsia="MS Mincho"/>
        </w:rPr>
      </w:pPr>
      <w:r w:rsidRPr="00740D74">
        <w:rPr>
          <w:rFonts w:eastAsia="MS Mincho"/>
        </w:rPr>
        <w:t xml:space="preserve">pokročilé systémy </w:t>
      </w:r>
      <w:r w:rsidRPr="00740D74">
        <w:rPr>
          <w:lang w:eastAsia="cs-CZ"/>
        </w:rPr>
        <w:t>4. generace, jaderná fúze, zdroje částic a malé modulární reaktory (SMR)</w:t>
      </w:r>
    </w:p>
    <w:p w14:paraId="78464F07" w14:textId="77777777" w:rsidR="00740D74" w:rsidRPr="00740D74" w:rsidRDefault="00740D74" w:rsidP="00543C1B">
      <w:pPr>
        <w:numPr>
          <w:ilvl w:val="0"/>
          <w:numId w:val="117"/>
        </w:numPr>
        <w:spacing w:before="240" w:after="120" w:line="360" w:lineRule="auto"/>
        <w:ind w:left="737" w:hanging="377"/>
        <w:jc w:val="both"/>
        <w:rPr>
          <w:rFonts w:eastAsia="MS Mincho"/>
          <w:b/>
        </w:rPr>
      </w:pPr>
      <w:r w:rsidRPr="00740D74">
        <w:rPr>
          <w:b/>
        </w:rPr>
        <w:t xml:space="preserve"> </w:t>
      </w:r>
      <w:r w:rsidRPr="00740D74">
        <w:rPr>
          <w:rFonts w:eastAsia="MS Mincho"/>
          <w:b/>
        </w:rPr>
        <w:t xml:space="preserve">Technologie pro výrobu elektřiny z fosilních paliv </w:t>
      </w:r>
    </w:p>
    <w:p w14:paraId="3C52A9DE" w14:textId="77777777" w:rsidR="00740D74" w:rsidRPr="00740D74" w:rsidRDefault="00740D74" w:rsidP="00543C1B">
      <w:pPr>
        <w:numPr>
          <w:ilvl w:val="1"/>
          <w:numId w:val="117"/>
        </w:numPr>
        <w:spacing w:after="120" w:line="360" w:lineRule="auto"/>
        <w:jc w:val="both"/>
        <w:rPr>
          <w:rFonts w:eastAsia="MS Mincho"/>
        </w:rPr>
      </w:pPr>
      <w:r w:rsidRPr="00740D74">
        <w:rPr>
          <w:rFonts w:eastAsia="MS Mincho"/>
        </w:rPr>
        <w:t xml:space="preserve">nové provozní režimy, vč. plnění požadavků na klasické polutanty </w:t>
      </w:r>
    </w:p>
    <w:p w14:paraId="4A4B79E5" w14:textId="77777777" w:rsidR="00740D74" w:rsidRPr="00740D74" w:rsidRDefault="00740D74" w:rsidP="00543C1B">
      <w:pPr>
        <w:numPr>
          <w:ilvl w:val="1"/>
          <w:numId w:val="117"/>
        </w:numPr>
        <w:spacing w:after="120" w:line="360" w:lineRule="auto"/>
        <w:jc w:val="both"/>
        <w:rPr>
          <w:rFonts w:eastAsia="MS Mincho"/>
        </w:rPr>
      </w:pPr>
      <w:r w:rsidRPr="00740D74">
        <w:rPr>
          <w:rFonts w:eastAsia="MS Mincho"/>
        </w:rPr>
        <w:t>posílení materiálového a energetického využití odpadů - využití vedlejších energetických produktů ze spalovacích procesů uhelných zdrojů, podmínky použití nových materiálů (hodnocení dopadů škodlivých látek, návrhy testovacích metod, ekotoxikologie atd.)</w:t>
      </w:r>
    </w:p>
    <w:p w14:paraId="4C9034A3" w14:textId="77777777" w:rsidR="00740D74" w:rsidRPr="00740D74" w:rsidRDefault="00740D74" w:rsidP="00543C1B">
      <w:pPr>
        <w:numPr>
          <w:ilvl w:val="1"/>
          <w:numId w:val="117"/>
        </w:numPr>
        <w:spacing w:after="120" w:line="360" w:lineRule="auto"/>
        <w:jc w:val="both"/>
      </w:pPr>
      <w:r w:rsidRPr="00740D74">
        <w:rPr>
          <w:rFonts w:eastAsia="MS Mincho"/>
        </w:rPr>
        <w:t>zhodnocení černého a hnědého</w:t>
      </w:r>
      <w:r w:rsidRPr="00740D74">
        <w:t xml:space="preserve"> uhlí jiným způsobem než spalováním</w:t>
      </w:r>
    </w:p>
    <w:p w14:paraId="53402103" w14:textId="77777777" w:rsidR="00740D74" w:rsidRPr="00740D74" w:rsidRDefault="00740D74" w:rsidP="00543C1B">
      <w:pPr>
        <w:numPr>
          <w:ilvl w:val="0"/>
          <w:numId w:val="118"/>
        </w:numPr>
        <w:spacing w:before="240" w:after="120" w:line="360" w:lineRule="auto"/>
        <w:ind w:left="737" w:hanging="377"/>
        <w:jc w:val="both"/>
        <w:rPr>
          <w:rFonts w:eastAsia="MS Mincho"/>
          <w:b/>
        </w:rPr>
      </w:pPr>
      <w:r w:rsidRPr="00740D74">
        <w:rPr>
          <w:rFonts w:eastAsia="MS Mincho"/>
          <w:b/>
        </w:rPr>
        <w:t xml:space="preserve">Technologie pro výrobu a distribuci tepla/chladu především na bázi fosilních paliv </w:t>
      </w:r>
    </w:p>
    <w:p w14:paraId="5E3F5B16"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zefektivnění existujících systémů soustav zásobování teplem (SZT) - výkonové rozsahy kotlů, optimální řešení pro deSOx/deNox/prach, snížení minimální vynucené kondenzační výroby, řešení pro multipalivové využití, atd.,</w:t>
      </w:r>
    </w:p>
    <w:p w14:paraId="3F964384"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 xml:space="preserve">akumulace tepla a energie, </w:t>
      </w:r>
    </w:p>
    <w:p w14:paraId="02A907B5"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technologie malé kogenerace a mikrogenerace, trigenerace, výroba a distribuce chladu.</w:t>
      </w:r>
    </w:p>
    <w:p w14:paraId="29995BAF" w14:textId="77777777" w:rsidR="00740D74" w:rsidRPr="00740D74" w:rsidRDefault="00740D74" w:rsidP="00543C1B">
      <w:pPr>
        <w:numPr>
          <w:ilvl w:val="0"/>
          <w:numId w:val="118"/>
        </w:numPr>
        <w:spacing w:before="240" w:after="120" w:line="360" w:lineRule="auto"/>
        <w:ind w:left="737" w:hanging="377"/>
        <w:jc w:val="both"/>
        <w:rPr>
          <w:rFonts w:eastAsia="MS Mincho"/>
          <w:b/>
        </w:rPr>
      </w:pPr>
      <w:r w:rsidRPr="00740D74">
        <w:rPr>
          <w:rFonts w:eastAsia="MS Mincho"/>
          <w:b/>
        </w:rPr>
        <w:t xml:space="preserve">Technologie pro výrobu elektřiny a tepla z obnovitelných a druhotných zdrojů </w:t>
      </w:r>
    </w:p>
    <w:p w14:paraId="7B5F1380"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vývoj a testování technologií pro podmínky ČR</w:t>
      </w:r>
    </w:p>
    <w:p w14:paraId="097C1EEC"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biomasa - udržitelné opatřování biomasy, transformační procesy, kotle, odpady, bioplyn (využití tepla)</w:t>
      </w:r>
    </w:p>
    <w:p w14:paraId="79BAFC4D"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vodní energie - efektivita, environmentální aspekty, komplexní modely řízení soustav, malé vodní elektrárny</w:t>
      </w:r>
    </w:p>
    <w:p w14:paraId="156E1B7F"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větrná energie - snížení ztrát, zapojení do elektrizační soustavy</w:t>
      </w:r>
    </w:p>
    <w:p w14:paraId="3C21A4FD"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 xml:space="preserve">solární teplo - fotovoltaické instalace s akumulací, rezidenční sféra, služby, solární termické systémy </w:t>
      </w:r>
    </w:p>
    <w:p w14:paraId="71C34D2E"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 xml:space="preserve">tepelná čerpadla - zvyšování SOC, plynová čerpadla, kombinace s dalšími technologiemi na úrovni domu či lokality </w:t>
      </w:r>
    </w:p>
    <w:p w14:paraId="6C74E4A8"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 xml:space="preserve">power-to-gas z OZE </w:t>
      </w:r>
    </w:p>
    <w:p w14:paraId="5B74E01D" w14:textId="77777777" w:rsidR="00740D74" w:rsidRPr="00740D74" w:rsidRDefault="00740D74" w:rsidP="00543C1B">
      <w:pPr>
        <w:numPr>
          <w:ilvl w:val="1"/>
          <w:numId w:val="118"/>
        </w:numPr>
        <w:spacing w:after="120" w:line="360" w:lineRule="auto"/>
        <w:jc w:val="both"/>
        <w:rPr>
          <w:rFonts w:eastAsia="MS Mincho"/>
        </w:rPr>
      </w:pPr>
      <w:r w:rsidRPr="00740D74">
        <w:rPr>
          <w:rFonts w:eastAsia="MS Mincho"/>
        </w:rPr>
        <w:t>synergické fungování jednotlivých zdrojů</w:t>
      </w:r>
    </w:p>
    <w:p w14:paraId="2DC6A5B5" w14:textId="77777777" w:rsidR="00740D74" w:rsidRPr="00740D74" w:rsidRDefault="00740D74" w:rsidP="00543C1B">
      <w:pPr>
        <w:numPr>
          <w:ilvl w:val="0"/>
          <w:numId w:val="119"/>
        </w:numPr>
        <w:spacing w:before="240" w:after="120" w:line="360" w:lineRule="auto"/>
        <w:ind w:left="737" w:hanging="377"/>
        <w:jc w:val="both"/>
        <w:rPr>
          <w:rFonts w:eastAsia="MS Mincho"/>
          <w:b/>
        </w:rPr>
      </w:pPr>
      <w:r w:rsidRPr="00740D74">
        <w:rPr>
          <w:rFonts w:eastAsia="MS Mincho"/>
          <w:b/>
        </w:rPr>
        <w:t>Elektrické sítě, včetně akumulace elektrické energie</w:t>
      </w:r>
    </w:p>
    <w:p w14:paraId="38CFDD2E" w14:textId="6E2DBE36" w:rsidR="00740D74" w:rsidRPr="00740D74" w:rsidRDefault="00740D74" w:rsidP="00543C1B">
      <w:pPr>
        <w:numPr>
          <w:ilvl w:val="1"/>
          <w:numId w:val="119"/>
        </w:numPr>
        <w:spacing w:after="120" w:line="360" w:lineRule="auto"/>
        <w:jc w:val="both"/>
        <w:rPr>
          <w:rFonts w:eastAsia="MS Mincho"/>
        </w:rPr>
      </w:pPr>
      <w:r w:rsidRPr="00740D74">
        <w:rPr>
          <w:rFonts w:eastAsia="MS Mincho"/>
        </w:rPr>
        <w:t>spolehlivý a bezpečný provoz přenosové soustavy - modely řízení, robustnost, účinnost a</w:t>
      </w:r>
      <w:r>
        <w:rPr>
          <w:rFonts w:eastAsia="MS Mincho"/>
        </w:rPr>
        <w:t> </w:t>
      </w:r>
      <w:r w:rsidRPr="00740D74">
        <w:rPr>
          <w:rFonts w:eastAsia="MS Mincho"/>
        </w:rPr>
        <w:t>spolehlivost systému, integrace sítí a řízení rovnováhy v evropském kontextu</w:t>
      </w:r>
    </w:p>
    <w:p w14:paraId="1965120B" w14:textId="77777777" w:rsidR="00740D74" w:rsidRPr="00740D74" w:rsidRDefault="00740D74" w:rsidP="00543C1B">
      <w:pPr>
        <w:numPr>
          <w:ilvl w:val="1"/>
          <w:numId w:val="119"/>
        </w:numPr>
        <w:spacing w:after="120" w:line="360" w:lineRule="auto"/>
        <w:jc w:val="both"/>
        <w:rPr>
          <w:rFonts w:eastAsia="MS Mincho"/>
        </w:rPr>
      </w:pPr>
      <w:r w:rsidRPr="00740D74">
        <w:rPr>
          <w:rFonts w:eastAsia="MS Mincho"/>
        </w:rPr>
        <w:t xml:space="preserve">spolehlivý a bezpečný provoz distribuční soustavy - nové prvky automatizace, pokročilé přístupy v diagnostice a monitoringu, inteligentní měření spotřeby a integrace obnovitelných zdrojů, distribuované výroby a elektromobility </w:t>
      </w:r>
    </w:p>
    <w:p w14:paraId="5571EBCA" w14:textId="77777777" w:rsidR="00740D74" w:rsidRPr="00740D74" w:rsidRDefault="00740D74" w:rsidP="00543C1B">
      <w:pPr>
        <w:numPr>
          <w:ilvl w:val="1"/>
          <w:numId w:val="119"/>
        </w:numPr>
        <w:spacing w:after="120" w:line="360" w:lineRule="auto"/>
        <w:jc w:val="both"/>
        <w:rPr>
          <w:rFonts w:eastAsia="MS Mincho"/>
        </w:rPr>
      </w:pPr>
      <w:r w:rsidRPr="00740D74">
        <w:rPr>
          <w:rFonts w:eastAsia="MS Mincho"/>
        </w:rPr>
        <w:t>optimalizace výroby a spotřeby – pokročilý load management a demand side management / demand response</w:t>
      </w:r>
    </w:p>
    <w:p w14:paraId="0E6F7C47" w14:textId="77777777" w:rsidR="00740D74" w:rsidRPr="00740D74" w:rsidRDefault="00740D74" w:rsidP="00543C1B">
      <w:pPr>
        <w:numPr>
          <w:ilvl w:val="1"/>
          <w:numId w:val="119"/>
        </w:numPr>
        <w:spacing w:after="120" w:line="360" w:lineRule="auto"/>
        <w:jc w:val="both"/>
        <w:rPr>
          <w:rFonts w:eastAsia="MS Mincho"/>
        </w:rPr>
      </w:pPr>
      <w:r w:rsidRPr="00740D74">
        <w:rPr>
          <w:rFonts w:eastAsia="MS Mincho"/>
        </w:rPr>
        <w:t>akumulace energie</w:t>
      </w:r>
    </w:p>
    <w:p w14:paraId="65FF65BD" w14:textId="77777777" w:rsidR="00740D74" w:rsidRPr="00740D74" w:rsidRDefault="00740D74" w:rsidP="00543C1B">
      <w:pPr>
        <w:numPr>
          <w:ilvl w:val="0"/>
          <w:numId w:val="120"/>
        </w:numPr>
        <w:spacing w:before="240" w:after="120" w:line="360" w:lineRule="auto"/>
        <w:ind w:left="737" w:hanging="377"/>
        <w:jc w:val="both"/>
        <w:rPr>
          <w:rFonts w:eastAsia="MS Mincho"/>
          <w:b/>
        </w:rPr>
      </w:pPr>
      <w:r w:rsidRPr="00740D74">
        <w:rPr>
          <w:rFonts w:eastAsia="MS Mincho"/>
          <w:b/>
        </w:rPr>
        <w:t>Spotřeba energie a energetické úspory, Smart Cities</w:t>
      </w:r>
    </w:p>
    <w:p w14:paraId="11EEFB79" w14:textId="77777777" w:rsidR="00740D74" w:rsidRPr="00740D74" w:rsidRDefault="00740D74" w:rsidP="00543C1B">
      <w:pPr>
        <w:numPr>
          <w:ilvl w:val="1"/>
          <w:numId w:val="120"/>
        </w:numPr>
        <w:spacing w:after="120" w:line="360" w:lineRule="auto"/>
        <w:jc w:val="both"/>
        <w:rPr>
          <w:rFonts w:eastAsia="MS Mincho"/>
        </w:rPr>
      </w:pPr>
      <w:r w:rsidRPr="00740D74">
        <w:rPr>
          <w:rFonts w:eastAsia="MS Mincho"/>
        </w:rPr>
        <w:t xml:space="preserve">úspora energie v průmyslu, službách a zemědělství </w:t>
      </w:r>
    </w:p>
    <w:p w14:paraId="18321572" w14:textId="1A4DAB9C" w:rsidR="00740D74" w:rsidRPr="00740D74" w:rsidRDefault="00740D74" w:rsidP="00543C1B">
      <w:pPr>
        <w:numPr>
          <w:ilvl w:val="1"/>
          <w:numId w:val="120"/>
        </w:numPr>
        <w:spacing w:after="120" w:line="360" w:lineRule="auto"/>
        <w:jc w:val="both"/>
        <w:rPr>
          <w:rFonts w:eastAsia="MS Mincho"/>
        </w:rPr>
      </w:pPr>
      <w:r w:rsidRPr="00740D74">
        <w:rPr>
          <w:rFonts w:eastAsia="MS Mincho"/>
        </w:rPr>
        <w:t>příprava a demonstrace integrálních řešení pro města a městské aglomerace (smart cities a</w:t>
      </w:r>
      <w:r>
        <w:rPr>
          <w:rFonts w:eastAsia="MS Mincho"/>
        </w:rPr>
        <w:t> </w:t>
      </w:r>
      <w:r w:rsidRPr="00740D74">
        <w:rPr>
          <w:rFonts w:eastAsia="MS Mincho"/>
        </w:rPr>
        <w:t>smart regions)</w:t>
      </w:r>
    </w:p>
    <w:p w14:paraId="546D6AA3" w14:textId="77777777" w:rsidR="00740D74" w:rsidRPr="00740D74" w:rsidRDefault="00740D74" w:rsidP="00543C1B">
      <w:pPr>
        <w:numPr>
          <w:ilvl w:val="1"/>
          <w:numId w:val="120"/>
        </w:numPr>
        <w:spacing w:after="120" w:line="360" w:lineRule="auto"/>
        <w:jc w:val="both"/>
        <w:rPr>
          <w:rFonts w:eastAsia="MS Mincho"/>
        </w:rPr>
      </w:pPr>
      <w:r w:rsidRPr="00740D74">
        <w:rPr>
          <w:rFonts w:eastAsia="MS Mincho"/>
        </w:rPr>
        <w:t>inteligentní domy a snížení energetické náročnosti budov (snížení emisí látek znečišťujících ovzduší, které přispěje k plnění imisních limitů), zateplení</w:t>
      </w:r>
    </w:p>
    <w:p w14:paraId="04A0E036" w14:textId="77777777" w:rsidR="00740D74" w:rsidRPr="00740D74" w:rsidRDefault="00740D74" w:rsidP="00543C1B">
      <w:pPr>
        <w:numPr>
          <w:ilvl w:val="1"/>
          <w:numId w:val="120"/>
        </w:numPr>
        <w:spacing w:after="120" w:line="360" w:lineRule="auto"/>
        <w:jc w:val="both"/>
        <w:rPr>
          <w:rFonts w:eastAsia="MS Mincho"/>
        </w:rPr>
      </w:pPr>
      <w:r w:rsidRPr="00740D74">
        <w:rPr>
          <w:rFonts w:eastAsia="MS Mincho"/>
        </w:rPr>
        <w:t xml:space="preserve">úsporné technologie na straně spotřeby (včetně obchodních modelů a modelů financování) </w:t>
      </w:r>
    </w:p>
    <w:p w14:paraId="2AC627CC" w14:textId="77777777" w:rsidR="00740D74" w:rsidRPr="00740D74" w:rsidRDefault="00740D74" w:rsidP="00543C1B">
      <w:pPr>
        <w:numPr>
          <w:ilvl w:val="0"/>
          <w:numId w:val="121"/>
        </w:numPr>
        <w:spacing w:before="240" w:after="120" w:line="360" w:lineRule="auto"/>
        <w:ind w:left="737" w:hanging="377"/>
        <w:jc w:val="both"/>
        <w:rPr>
          <w:rFonts w:eastAsia="MS Mincho"/>
          <w:b/>
        </w:rPr>
      </w:pPr>
      <w:r w:rsidRPr="00740D74">
        <w:rPr>
          <w:rFonts w:eastAsia="MS Mincho"/>
          <w:b/>
        </w:rPr>
        <w:t xml:space="preserve">Energie v dopravě </w:t>
      </w:r>
    </w:p>
    <w:p w14:paraId="0EF18F16" w14:textId="77777777" w:rsidR="00740D74" w:rsidRPr="00740D74" w:rsidRDefault="00740D74" w:rsidP="00543C1B">
      <w:pPr>
        <w:numPr>
          <w:ilvl w:val="1"/>
          <w:numId w:val="121"/>
        </w:numPr>
        <w:spacing w:after="120" w:line="360" w:lineRule="auto"/>
        <w:jc w:val="both"/>
        <w:rPr>
          <w:rFonts w:eastAsia="MS Mincho"/>
        </w:rPr>
      </w:pPr>
      <w:r w:rsidRPr="00740D74">
        <w:rPr>
          <w:rFonts w:eastAsia="MS Mincho"/>
        </w:rPr>
        <w:t xml:space="preserve">efektivita energetických dopravních systémů, </w:t>
      </w:r>
    </w:p>
    <w:p w14:paraId="640AE787" w14:textId="77777777" w:rsidR="00740D74" w:rsidRPr="00740D74" w:rsidRDefault="00740D74" w:rsidP="00543C1B">
      <w:pPr>
        <w:numPr>
          <w:ilvl w:val="1"/>
          <w:numId w:val="121"/>
        </w:numPr>
        <w:spacing w:after="120" w:line="360" w:lineRule="auto"/>
        <w:jc w:val="both"/>
        <w:rPr>
          <w:rFonts w:eastAsia="MS Mincho"/>
        </w:rPr>
      </w:pPr>
      <w:r w:rsidRPr="00740D74">
        <w:rPr>
          <w:rFonts w:eastAsia="MS Mincho"/>
        </w:rPr>
        <w:t>elektromobilita (integrace dobíjecích stanic do sítě, řídicí systémy, integrace s akumulací, hybridní řešení, indukční dobíjení, atd.), hybridní vozidla</w:t>
      </w:r>
    </w:p>
    <w:p w14:paraId="11610A26" w14:textId="77777777" w:rsidR="00740D74" w:rsidRPr="00740D74" w:rsidRDefault="00740D74" w:rsidP="00543C1B">
      <w:pPr>
        <w:numPr>
          <w:ilvl w:val="1"/>
          <w:numId w:val="121"/>
        </w:numPr>
        <w:spacing w:after="120" w:line="360" w:lineRule="auto"/>
        <w:jc w:val="both"/>
        <w:rPr>
          <w:rFonts w:eastAsia="MS Mincho"/>
        </w:rPr>
      </w:pPr>
      <w:r w:rsidRPr="00740D74">
        <w:rPr>
          <w:rFonts w:eastAsia="MS Mincho"/>
        </w:rPr>
        <w:t xml:space="preserve">palivové články v dopravě </w:t>
      </w:r>
    </w:p>
    <w:p w14:paraId="52CF210E" w14:textId="77777777" w:rsidR="00740D74" w:rsidRPr="00740D74" w:rsidRDefault="00740D74" w:rsidP="00543C1B">
      <w:pPr>
        <w:numPr>
          <w:ilvl w:val="1"/>
          <w:numId w:val="121"/>
        </w:numPr>
        <w:spacing w:after="120" w:line="360" w:lineRule="auto"/>
        <w:jc w:val="both"/>
        <w:rPr>
          <w:rFonts w:eastAsia="MS Mincho"/>
        </w:rPr>
      </w:pPr>
      <w:r w:rsidRPr="00740D74">
        <w:rPr>
          <w:rFonts w:eastAsia="MS Mincho"/>
        </w:rPr>
        <w:t>nové typy biopaliv, využití vedlejších energetických produktů k budování silniční sítě a infrastruktury</w:t>
      </w:r>
    </w:p>
    <w:p w14:paraId="6F33FA56" w14:textId="77777777" w:rsidR="00740D74" w:rsidRPr="00740D74" w:rsidRDefault="00740D74" w:rsidP="00543C1B">
      <w:pPr>
        <w:numPr>
          <w:ilvl w:val="0"/>
          <w:numId w:val="122"/>
        </w:numPr>
        <w:spacing w:before="240" w:after="120" w:line="360" w:lineRule="auto"/>
        <w:ind w:left="737" w:hanging="377"/>
        <w:jc w:val="both"/>
        <w:rPr>
          <w:rFonts w:eastAsia="MS Mincho"/>
          <w:b/>
        </w:rPr>
      </w:pPr>
      <w:r w:rsidRPr="00740D74">
        <w:rPr>
          <w:rFonts w:eastAsia="MS Mincho"/>
          <w:b/>
        </w:rPr>
        <w:t xml:space="preserve">Perspektivní energetické technologie </w:t>
      </w:r>
    </w:p>
    <w:p w14:paraId="3817B6CB" w14:textId="77777777" w:rsidR="00740D74" w:rsidRPr="00740D74" w:rsidRDefault="00740D74" w:rsidP="00543C1B">
      <w:pPr>
        <w:numPr>
          <w:ilvl w:val="1"/>
          <w:numId w:val="122"/>
        </w:numPr>
        <w:spacing w:after="120" w:line="360" w:lineRule="auto"/>
        <w:jc w:val="both"/>
        <w:rPr>
          <w:rFonts w:eastAsia="MS Mincho"/>
        </w:rPr>
      </w:pPr>
      <w:r w:rsidRPr="00740D74">
        <w:rPr>
          <w:rFonts w:eastAsia="MS Mincho"/>
        </w:rPr>
        <w:t xml:space="preserve">malé modulární reaktory pracující v oblasti vysokých teplot s vysokou bezpečností </w:t>
      </w:r>
    </w:p>
    <w:p w14:paraId="00CC65D6" w14:textId="77777777" w:rsidR="00740D74" w:rsidRPr="00740D74" w:rsidRDefault="00740D74" w:rsidP="00543C1B">
      <w:pPr>
        <w:numPr>
          <w:ilvl w:val="1"/>
          <w:numId w:val="122"/>
        </w:numPr>
        <w:spacing w:after="120" w:line="360" w:lineRule="auto"/>
        <w:jc w:val="both"/>
        <w:rPr>
          <w:rFonts w:eastAsia="MS Mincho"/>
        </w:rPr>
      </w:pPr>
      <w:r w:rsidRPr="00740D74">
        <w:rPr>
          <w:rFonts w:eastAsia="MS Mincho"/>
        </w:rPr>
        <w:t xml:space="preserve">reaktory čtvrté generace </w:t>
      </w:r>
    </w:p>
    <w:p w14:paraId="3C6B7F49" w14:textId="77777777" w:rsidR="00740D74" w:rsidRPr="00740D74" w:rsidRDefault="00740D74" w:rsidP="00543C1B">
      <w:pPr>
        <w:numPr>
          <w:ilvl w:val="1"/>
          <w:numId w:val="122"/>
        </w:numPr>
        <w:spacing w:after="120" w:line="360" w:lineRule="auto"/>
        <w:jc w:val="both"/>
        <w:rPr>
          <w:rFonts w:eastAsia="MS Mincho"/>
        </w:rPr>
      </w:pPr>
      <w:r w:rsidRPr="00740D74">
        <w:rPr>
          <w:rFonts w:eastAsia="MS Mincho"/>
        </w:rPr>
        <w:t xml:space="preserve">vodíkové technologie zejména pro akumulaci energie </w:t>
      </w:r>
    </w:p>
    <w:p w14:paraId="02FEE45F" w14:textId="77777777" w:rsidR="00740D74" w:rsidRPr="00740D74" w:rsidRDefault="00740D74" w:rsidP="00543C1B">
      <w:pPr>
        <w:numPr>
          <w:ilvl w:val="1"/>
          <w:numId w:val="122"/>
        </w:numPr>
        <w:spacing w:after="120" w:line="360" w:lineRule="auto"/>
        <w:jc w:val="both"/>
        <w:rPr>
          <w:rFonts w:eastAsia="MS Mincho"/>
        </w:rPr>
      </w:pPr>
      <w:r w:rsidRPr="00740D74">
        <w:rPr>
          <w:rFonts w:eastAsia="MS Mincho"/>
        </w:rPr>
        <w:t>jaderná fúze</w:t>
      </w:r>
    </w:p>
    <w:p w14:paraId="078BCF15" w14:textId="77777777" w:rsidR="00740D74" w:rsidRPr="00740D74" w:rsidRDefault="00740D74" w:rsidP="00543C1B">
      <w:pPr>
        <w:numPr>
          <w:ilvl w:val="1"/>
          <w:numId w:val="122"/>
        </w:numPr>
        <w:spacing w:after="120" w:line="360" w:lineRule="auto"/>
        <w:jc w:val="both"/>
        <w:rPr>
          <w:rFonts w:eastAsia="MS Mincho"/>
        </w:rPr>
      </w:pPr>
      <w:r w:rsidRPr="00740D74">
        <w:rPr>
          <w:rFonts w:eastAsia="MS Mincho"/>
        </w:rPr>
        <w:t xml:space="preserve">pokročilé technologie akumulace a transformace energie </w:t>
      </w:r>
    </w:p>
    <w:p w14:paraId="1993FF72" w14:textId="77777777" w:rsidR="00740D74" w:rsidRPr="00740D74" w:rsidRDefault="00740D74" w:rsidP="00543C1B">
      <w:pPr>
        <w:numPr>
          <w:ilvl w:val="1"/>
          <w:numId w:val="122"/>
        </w:numPr>
        <w:spacing w:after="120" w:line="360" w:lineRule="auto"/>
        <w:jc w:val="both"/>
        <w:rPr>
          <w:rFonts w:eastAsia="MS Mincho"/>
        </w:rPr>
      </w:pPr>
      <w:r w:rsidRPr="00740D74">
        <w:rPr>
          <w:rFonts w:eastAsia="MS Mincho"/>
        </w:rPr>
        <w:t>termodynamické cykly</w:t>
      </w:r>
    </w:p>
    <w:p w14:paraId="5DBB8654" w14:textId="77777777" w:rsidR="00740D74" w:rsidRPr="00740D74" w:rsidRDefault="00740D74" w:rsidP="00543C1B">
      <w:pPr>
        <w:numPr>
          <w:ilvl w:val="1"/>
          <w:numId w:val="122"/>
        </w:numPr>
        <w:spacing w:after="120" w:line="360" w:lineRule="auto"/>
        <w:jc w:val="both"/>
        <w:rPr>
          <w:rFonts w:eastAsia="MS Mincho"/>
        </w:rPr>
      </w:pPr>
      <w:r w:rsidRPr="00740D74">
        <w:rPr>
          <w:rFonts w:eastAsia="MS Mincho"/>
        </w:rPr>
        <w:t xml:space="preserve">výzkum grafenu (umělá forma uhlíku) a možností jeho aplikace (grafenový superkondenzátor) </w:t>
      </w:r>
    </w:p>
    <w:p w14:paraId="7E1D31DF" w14:textId="77777777" w:rsidR="00740D74" w:rsidRPr="00740D74" w:rsidRDefault="00740D74" w:rsidP="00543C1B">
      <w:pPr>
        <w:numPr>
          <w:ilvl w:val="1"/>
          <w:numId w:val="122"/>
        </w:numPr>
        <w:spacing w:after="120" w:line="360" w:lineRule="auto"/>
        <w:jc w:val="both"/>
        <w:rPr>
          <w:rFonts w:eastAsia="Calibri" w:cs="Calibri"/>
          <w:lang w:val="fr-FR"/>
        </w:rPr>
      </w:pPr>
      <w:r w:rsidRPr="00740D74">
        <w:rPr>
          <w:rFonts w:eastAsia="MS Mincho"/>
        </w:rPr>
        <w:t>použití nanomateriálů</w:t>
      </w:r>
      <w:r w:rsidRPr="00740D74">
        <w:rPr>
          <w:rFonts w:eastAsia="Calibri" w:cs="Calibri"/>
        </w:rPr>
        <w:t xml:space="preserve"> v konstrukci baterií (3D baterie) </w:t>
      </w:r>
    </w:p>
    <w:p w14:paraId="410F2901" w14:textId="77777777" w:rsidR="00740D74" w:rsidRPr="00740D74" w:rsidRDefault="00740D74" w:rsidP="00543C1B">
      <w:pPr>
        <w:numPr>
          <w:ilvl w:val="0"/>
          <w:numId w:val="123"/>
        </w:numPr>
        <w:spacing w:before="240" w:after="120" w:line="360" w:lineRule="auto"/>
        <w:ind w:left="737" w:hanging="377"/>
        <w:jc w:val="both"/>
        <w:rPr>
          <w:rFonts w:eastAsia="MS Mincho"/>
          <w:b/>
        </w:rPr>
      </w:pPr>
      <w:r w:rsidRPr="00740D74">
        <w:rPr>
          <w:rFonts w:eastAsia="MS Mincho"/>
          <w:b/>
        </w:rPr>
        <w:t>Analytické podklady</w:t>
      </w:r>
    </w:p>
    <w:p w14:paraId="7DA4E1E7" w14:textId="77777777" w:rsidR="00740D74" w:rsidRPr="00740D74" w:rsidRDefault="00740D74" w:rsidP="00543C1B">
      <w:pPr>
        <w:numPr>
          <w:ilvl w:val="1"/>
          <w:numId w:val="123"/>
        </w:numPr>
        <w:spacing w:after="120" w:line="360" w:lineRule="auto"/>
        <w:jc w:val="both"/>
        <w:rPr>
          <w:rFonts w:eastAsia="MS Mincho"/>
        </w:rPr>
      </w:pPr>
      <w:r w:rsidRPr="00740D74">
        <w:rPr>
          <w:rFonts w:eastAsia="MS Mincho"/>
        </w:rPr>
        <w:t>vývoj modelů rizikově orientovaného rozhodování (modely provozování, údržba) založených na pokročilých matematických řešeních a nakládání s daty</w:t>
      </w:r>
    </w:p>
    <w:p w14:paraId="397B5341" w14:textId="77777777" w:rsidR="00740D74" w:rsidRPr="00740D74" w:rsidRDefault="00740D74" w:rsidP="00543C1B">
      <w:pPr>
        <w:numPr>
          <w:ilvl w:val="1"/>
          <w:numId w:val="123"/>
        </w:numPr>
        <w:spacing w:after="120" w:line="360" w:lineRule="auto"/>
        <w:jc w:val="both"/>
        <w:rPr>
          <w:rFonts w:eastAsia="MS Mincho"/>
        </w:rPr>
      </w:pPr>
      <w:r w:rsidRPr="00740D74">
        <w:rPr>
          <w:rFonts w:eastAsia="MS Mincho"/>
        </w:rPr>
        <w:t xml:space="preserve">analýza možností a limitů rozvoje energetiky v ČR pro různé časové horizonty </w:t>
      </w:r>
    </w:p>
    <w:p w14:paraId="4B35B3AA" w14:textId="77777777" w:rsidR="00740D74" w:rsidRPr="00740D74" w:rsidRDefault="00740D74" w:rsidP="00543C1B">
      <w:pPr>
        <w:numPr>
          <w:ilvl w:val="1"/>
          <w:numId w:val="123"/>
        </w:numPr>
        <w:spacing w:after="120" w:line="360" w:lineRule="auto"/>
        <w:jc w:val="both"/>
        <w:rPr>
          <w:rFonts w:eastAsia="MS Mincho"/>
        </w:rPr>
      </w:pPr>
      <w:r w:rsidRPr="00740D74">
        <w:rPr>
          <w:rFonts w:eastAsia="MS Mincho"/>
        </w:rPr>
        <w:t xml:space="preserve">zajištění energetické bezpečnosti, zvýšení energetické a surovinové efektivity hospodářství </w:t>
      </w:r>
    </w:p>
    <w:p w14:paraId="663A4C6F" w14:textId="77777777" w:rsidR="00740D74" w:rsidRPr="00740D74" w:rsidRDefault="00740D74" w:rsidP="00543C1B">
      <w:pPr>
        <w:numPr>
          <w:ilvl w:val="1"/>
          <w:numId w:val="123"/>
        </w:numPr>
        <w:spacing w:after="120" w:line="360" w:lineRule="auto"/>
        <w:jc w:val="both"/>
      </w:pPr>
      <w:r w:rsidRPr="00740D74">
        <w:rPr>
          <w:rFonts w:eastAsia="MS Mincho"/>
        </w:rPr>
        <w:t>zkvalitnění energetického</w:t>
      </w:r>
      <w:r w:rsidRPr="00740D74">
        <w:rPr>
          <w:rFonts w:cs="Cambria"/>
        </w:rPr>
        <w:t xml:space="preserve"> managementu</w:t>
      </w:r>
    </w:p>
    <w:p w14:paraId="659329B2" w14:textId="77777777" w:rsidR="00740D74" w:rsidRPr="00740D74" w:rsidRDefault="00740D74" w:rsidP="00543C1B">
      <w:pPr>
        <w:numPr>
          <w:ilvl w:val="0"/>
          <w:numId w:val="124"/>
        </w:numPr>
        <w:spacing w:before="240" w:after="120" w:line="360" w:lineRule="auto"/>
        <w:ind w:left="737" w:hanging="377"/>
        <w:jc w:val="both"/>
        <w:rPr>
          <w:rFonts w:eastAsia="MS Mincho"/>
          <w:b/>
        </w:rPr>
      </w:pPr>
      <w:r w:rsidRPr="00740D74">
        <w:rPr>
          <w:rFonts w:eastAsia="MS Mincho"/>
          <w:b/>
        </w:rPr>
        <w:t>Průřezová témata</w:t>
      </w:r>
    </w:p>
    <w:p w14:paraId="59B376AB" w14:textId="77777777" w:rsidR="00740D74" w:rsidRPr="00740D74" w:rsidRDefault="00740D74" w:rsidP="00543C1B">
      <w:pPr>
        <w:numPr>
          <w:ilvl w:val="1"/>
          <w:numId w:val="124"/>
        </w:numPr>
        <w:spacing w:after="120" w:line="360" w:lineRule="auto"/>
        <w:ind w:left="1418" w:hanging="284"/>
        <w:jc w:val="both"/>
        <w:rPr>
          <w:rFonts w:eastAsia="MS Mincho"/>
        </w:rPr>
      </w:pPr>
      <w:r w:rsidRPr="00740D74">
        <w:rPr>
          <w:rFonts w:eastAsia="MS Mincho"/>
        </w:rPr>
        <w:t>uplatnění ICT technologií - digitalizace, big data</w:t>
      </w:r>
    </w:p>
    <w:p w14:paraId="54DC5244" w14:textId="77777777" w:rsidR="00740D74" w:rsidRPr="00740D74" w:rsidRDefault="00740D74" w:rsidP="00543C1B">
      <w:pPr>
        <w:numPr>
          <w:ilvl w:val="1"/>
          <w:numId w:val="124"/>
        </w:numPr>
        <w:spacing w:after="120" w:line="360" w:lineRule="auto"/>
        <w:ind w:left="1418" w:hanging="284"/>
        <w:jc w:val="both"/>
        <w:rPr>
          <w:rFonts w:eastAsia="MS Mincho"/>
        </w:rPr>
      </w:pPr>
      <w:r w:rsidRPr="00740D74">
        <w:rPr>
          <w:rFonts w:eastAsia="MS Mincho"/>
        </w:rPr>
        <w:t xml:space="preserve">nové materiály </w:t>
      </w:r>
    </w:p>
    <w:p w14:paraId="234CD3DF" w14:textId="77777777" w:rsidR="00740D74" w:rsidRPr="00740D74" w:rsidRDefault="00740D74" w:rsidP="00543C1B">
      <w:pPr>
        <w:numPr>
          <w:ilvl w:val="1"/>
          <w:numId w:val="124"/>
        </w:numPr>
        <w:spacing w:after="120" w:line="360" w:lineRule="auto"/>
        <w:ind w:left="1418" w:hanging="284"/>
        <w:jc w:val="both"/>
        <w:rPr>
          <w:rFonts w:cs="Cambria"/>
        </w:rPr>
      </w:pPr>
      <w:r w:rsidRPr="00740D74">
        <w:rPr>
          <w:rFonts w:eastAsia="MS Mincho"/>
        </w:rPr>
        <w:t>nové výrobní technologie</w:t>
      </w:r>
      <w:r w:rsidRPr="00740D74">
        <w:rPr>
          <w:rFonts w:cs="Cambria"/>
        </w:rPr>
        <w:t xml:space="preserve"> - rapid prototyping, customized manufacturing atd.</w:t>
      </w:r>
    </w:p>
    <w:p w14:paraId="02E2F723" w14:textId="77777777" w:rsidR="00740D74" w:rsidRDefault="00740D74" w:rsidP="00740D74">
      <w:pPr>
        <w:spacing w:line="360" w:lineRule="auto"/>
        <w:rPr>
          <w:u w:val="single"/>
        </w:rPr>
      </w:pPr>
    </w:p>
    <w:p w14:paraId="32844BCA" w14:textId="77777777" w:rsidR="00C22867" w:rsidRPr="00740D74" w:rsidRDefault="00C22867" w:rsidP="00740D74">
      <w:pPr>
        <w:spacing w:line="360" w:lineRule="auto"/>
        <w:rPr>
          <w:u w:val="single"/>
        </w:rPr>
      </w:pPr>
    </w:p>
    <w:p w14:paraId="5569E3B4" w14:textId="77777777" w:rsidR="00740D74" w:rsidRPr="006D22A1" w:rsidRDefault="00740D74" w:rsidP="00543C1B">
      <w:pPr>
        <w:pStyle w:val="Odstavecseseznamem"/>
        <w:numPr>
          <w:ilvl w:val="0"/>
          <w:numId w:val="115"/>
        </w:numPr>
        <w:spacing w:line="360" w:lineRule="auto"/>
        <w:rPr>
          <w:u w:val="single"/>
        </w:rPr>
      </w:pPr>
      <w:r>
        <w:rPr>
          <w:u w:val="single"/>
        </w:rPr>
        <w:t>Indikativní vztah ke klasifikaci CZ NACE</w:t>
      </w:r>
    </w:p>
    <w:p w14:paraId="53268B4F" w14:textId="285DA3A6" w:rsidR="007560FB" w:rsidRPr="003E6BB6" w:rsidRDefault="007560FB" w:rsidP="007560FB">
      <w:pPr>
        <w:pStyle w:val="Bezmezer1"/>
        <w:spacing w:before="40" w:after="40" w:line="360" w:lineRule="auto"/>
        <w:jc w:val="both"/>
        <w:rPr>
          <w:rFonts w:asciiTheme="minorHAnsi" w:hAnsiTheme="minorHAnsi"/>
          <w:b/>
          <w:lang w:eastAsia="cs-CZ"/>
        </w:rPr>
      </w:pPr>
      <w:r>
        <w:rPr>
          <w:rFonts w:asciiTheme="minorHAnsi" w:hAnsiTheme="minorHAnsi"/>
          <w:b/>
          <w:lang w:eastAsia="cs-CZ"/>
        </w:rPr>
        <w:t xml:space="preserve">Hlavní relevantní CZ </w:t>
      </w:r>
      <w:r w:rsidRPr="003E6BB6">
        <w:rPr>
          <w:rFonts w:asciiTheme="minorHAnsi" w:hAnsiTheme="minorHAnsi"/>
          <w:b/>
          <w:lang w:eastAsia="cs-CZ"/>
        </w:rPr>
        <w:t>NACE</w:t>
      </w:r>
    </w:p>
    <w:p w14:paraId="08BB47D2" w14:textId="62E230BC" w:rsidR="007560FB" w:rsidRPr="003E6BB6" w:rsidRDefault="007560FB" w:rsidP="007560FB">
      <w:pPr>
        <w:pStyle w:val="Bezmezer1"/>
        <w:spacing w:before="40" w:after="40" w:line="360" w:lineRule="auto"/>
        <w:ind w:firstLine="708"/>
        <w:jc w:val="both"/>
        <w:rPr>
          <w:rFonts w:asciiTheme="minorHAnsi" w:hAnsiTheme="minorHAnsi"/>
          <w:lang w:eastAsia="cs-CZ"/>
        </w:rPr>
      </w:pPr>
      <w:r w:rsidRPr="003E6BB6">
        <w:rPr>
          <w:rFonts w:asciiTheme="minorHAnsi" w:hAnsiTheme="minorHAnsi"/>
          <w:lang w:eastAsia="cs-CZ"/>
        </w:rPr>
        <w:t>35</w:t>
      </w:r>
      <w:r w:rsidR="00507D83">
        <w:rPr>
          <w:rFonts w:asciiTheme="minorHAnsi" w:hAnsiTheme="minorHAnsi"/>
          <w:lang w:eastAsia="cs-CZ"/>
        </w:rPr>
        <w:tab/>
      </w:r>
      <w:r w:rsidRPr="003E6BB6">
        <w:rPr>
          <w:rFonts w:asciiTheme="minorHAnsi" w:hAnsiTheme="minorHAnsi"/>
          <w:lang w:eastAsia="cs-CZ"/>
        </w:rPr>
        <w:t>Výroba a rozvod elektřiny, plynu, tepla a klimatizovaného vzduchu</w:t>
      </w:r>
    </w:p>
    <w:p w14:paraId="13BEE8E8" w14:textId="016088D4" w:rsidR="007560FB" w:rsidRPr="003E6BB6" w:rsidRDefault="007560FB" w:rsidP="007560FB">
      <w:pPr>
        <w:pStyle w:val="Bezmezer1"/>
        <w:spacing w:before="40" w:after="40" w:line="360" w:lineRule="auto"/>
        <w:ind w:left="708" w:firstLine="708"/>
        <w:jc w:val="both"/>
        <w:rPr>
          <w:rFonts w:asciiTheme="minorHAnsi" w:hAnsiTheme="minorHAnsi"/>
          <w:lang w:eastAsia="cs-CZ"/>
        </w:rPr>
      </w:pPr>
      <w:r w:rsidRPr="003E6BB6">
        <w:rPr>
          <w:rFonts w:asciiTheme="minorHAnsi" w:hAnsiTheme="minorHAnsi"/>
          <w:lang w:eastAsia="cs-CZ"/>
        </w:rPr>
        <w:t>35.1</w:t>
      </w:r>
      <w:r w:rsidR="00507D83">
        <w:rPr>
          <w:rFonts w:asciiTheme="minorHAnsi" w:hAnsiTheme="minorHAnsi"/>
          <w:lang w:eastAsia="cs-CZ"/>
        </w:rPr>
        <w:tab/>
      </w:r>
      <w:r w:rsidRPr="003E6BB6">
        <w:rPr>
          <w:rFonts w:asciiTheme="minorHAnsi" w:hAnsiTheme="minorHAnsi"/>
          <w:lang w:eastAsia="cs-CZ"/>
        </w:rPr>
        <w:t>Výroba, přenos a rozvod elektřiny </w:t>
      </w:r>
    </w:p>
    <w:p w14:paraId="1DF9C6CD" w14:textId="67695B00" w:rsidR="007560FB" w:rsidRPr="003E6BB6" w:rsidRDefault="007560FB" w:rsidP="007560FB">
      <w:pPr>
        <w:pStyle w:val="Bezmezer1"/>
        <w:spacing w:before="40" w:after="40" w:line="360" w:lineRule="auto"/>
        <w:ind w:left="1416" w:firstLine="708"/>
        <w:jc w:val="both"/>
        <w:rPr>
          <w:rFonts w:asciiTheme="minorHAnsi" w:hAnsiTheme="minorHAnsi"/>
          <w:lang w:eastAsia="cs-CZ"/>
        </w:rPr>
      </w:pPr>
      <w:r w:rsidRPr="003E6BB6">
        <w:rPr>
          <w:rFonts w:asciiTheme="minorHAnsi" w:hAnsiTheme="minorHAnsi"/>
          <w:lang w:eastAsia="cs-CZ"/>
        </w:rPr>
        <w:t>35.11</w:t>
      </w:r>
      <w:r w:rsidR="00507D83">
        <w:rPr>
          <w:rFonts w:asciiTheme="minorHAnsi" w:hAnsiTheme="minorHAnsi"/>
          <w:lang w:eastAsia="cs-CZ"/>
        </w:rPr>
        <w:tab/>
      </w:r>
      <w:r w:rsidRPr="003E6BB6">
        <w:rPr>
          <w:rFonts w:asciiTheme="minorHAnsi" w:hAnsiTheme="minorHAnsi"/>
          <w:lang w:eastAsia="cs-CZ"/>
        </w:rPr>
        <w:t>Výroba elektřiny </w:t>
      </w:r>
    </w:p>
    <w:p w14:paraId="124C7AFF" w14:textId="3BA3D057" w:rsidR="007560FB" w:rsidRPr="003E6BB6" w:rsidRDefault="007560FB" w:rsidP="007560FB">
      <w:pPr>
        <w:pStyle w:val="Bezmezer1"/>
        <w:spacing w:before="40" w:after="40" w:line="360" w:lineRule="auto"/>
        <w:ind w:left="1416" w:firstLine="708"/>
        <w:jc w:val="both"/>
        <w:rPr>
          <w:rFonts w:asciiTheme="minorHAnsi" w:hAnsiTheme="minorHAnsi"/>
          <w:lang w:eastAsia="cs-CZ"/>
        </w:rPr>
      </w:pPr>
      <w:r w:rsidRPr="003E6BB6">
        <w:rPr>
          <w:rFonts w:asciiTheme="minorHAnsi" w:hAnsiTheme="minorHAnsi"/>
          <w:lang w:eastAsia="cs-CZ"/>
        </w:rPr>
        <w:t>35.12</w:t>
      </w:r>
      <w:r w:rsidR="00507D83">
        <w:rPr>
          <w:rFonts w:asciiTheme="minorHAnsi" w:hAnsiTheme="minorHAnsi"/>
          <w:lang w:eastAsia="cs-CZ"/>
        </w:rPr>
        <w:tab/>
      </w:r>
      <w:r w:rsidRPr="003E6BB6">
        <w:rPr>
          <w:rFonts w:asciiTheme="minorHAnsi" w:hAnsiTheme="minorHAnsi"/>
          <w:lang w:eastAsia="cs-CZ"/>
        </w:rPr>
        <w:t>Přenos elektřiny </w:t>
      </w:r>
    </w:p>
    <w:p w14:paraId="1B1737EB" w14:textId="3D494666" w:rsidR="007560FB" w:rsidRPr="003E6BB6" w:rsidRDefault="007560FB" w:rsidP="007560FB">
      <w:pPr>
        <w:pStyle w:val="Bezmezer1"/>
        <w:spacing w:before="40" w:after="40" w:line="360" w:lineRule="auto"/>
        <w:ind w:left="1416" w:firstLine="708"/>
        <w:jc w:val="both"/>
        <w:rPr>
          <w:rFonts w:asciiTheme="minorHAnsi" w:hAnsiTheme="minorHAnsi"/>
          <w:lang w:eastAsia="cs-CZ"/>
        </w:rPr>
      </w:pPr>
      <w:r w:rsidRPr="003E6BB6">
        <w:rPr>
          <w:rFonts w:asciiTheme="minorHAnsi" w:hAnsiTheme="minorHAnsi"/>
          <w:lang w:eastAsia="cs-CZ"/>
        </w:rPr>
        <w:t>35.13</w:t>
      </w:r>
      <w:r w:rsidR="00507D83">
        <w:rPr>
          <w:rFonts w:asciiTheme="minorHAnsi" w:hAnsiTheme="minorHAnsi"/>
          <w:lang w:eastAsia="cs-CZ"/>
        </w:rPr>
        <w:tab/>
      </w:r>
      <w:r w:rsidRPr="003E6BB6">
        <w:rPr>
          <w:rFonts w:asciiTheme="minorHAnsi" w:hAnsiTheme="minorHAnsi"/>
          <w:lang w:eastAsia="cs-CZ"/>
        </w:rPr>
        <w:t>Rozvod elektřiny </w:t>
      </w:r>
    </w:p>
    <w:p w14:paraId="64C8FD73" w14:textId="3F1E97F0" w:rsidR="007560FB" w:rsidRPr="003E6BB6" w:rsidRDefault="007560FB" w:rsidP="007560FB">
      <w:pPr>
        <w:pStyle w:val="Bezmezer1"/>
        <w:spacing w:before="40" w:after="40" w:line="360" w:lineRule="auto"/>
        <w:ind w:left="1416" w:firstLine="708"/>
        <w:jc w:val="both"/>
        <w:rPr>
          <w:rFonts w:asciiTheme="minorHAnsi" w:hAnsiTheme="minorHAnsi"/>
          <w:lang w:eastAsia="cs-CZ"/>
        </w:rPr>
      </w:pPr>
      <w:r w:rsidRPr="003E6BB6">
        <w:rPr>
          <w:rFonts w:asciiTheme="minorHAnsi" w:hAnsiTheme="minorHAnsi"/>
          <w:lang w:eastAsia="cs-CZ"/>
        </w:rPr>
        <w:t>35.14</w:t>
      </w:r>
      <w:r w:rsidR="00507D83">
        <w:rPr>
          <w:rFonts w:asciiTheme="minorHAnsi" w:hAnsiTheme="minorHAnsi"/>
          <w:lang w:eastAsia="cs-CZ"/>
        </w:rPr>
        <w:tab/>
      </w:r>
      <w:r w:rsidRPr="003E6BB6">
        <w:rPr>
          <w:rFonts w:asciiTheme="minorHAnsi" w:hAnsiTheme="minorHAnsi"/>
          <w:lang w:eastAsia="cs-CZ"/>
        </w:rPr>
        <w:t xml:space="preserve"> Obchod s elektřinou </w:t>
      </w:r>
    </w:p>
    <w:p w14:paraId="0DAFFEC5" w14:textId="07834367" w:rsidR="007560FB" w:rsidRPr="003E6BB6" w:rsidRDefault="007560FB" w:rsidP="007560FB">
      <w:pPr>
        <w:pStyle w:val="Bezmezer1"/>
        <w:spacing w:before="40" w:after="40" w:line="360" w:lineRule="auto"/>
        <w:ind w:left="708" w:firstLine="708"/>
        <w:jc w:val="both"/>
        <w:rPr>
          <w:rFonts w:asciiTheme="minorHAnsi" w:hAnsiTheme="minorHAnsi"/>
          <w:lang w:eastAsia="cs-CZ"/>
        </w:rPr>
      </w:pPr>
      <w:r w:rsidRPr="003E6BB6">
        <w:rPr>
          <w:rFonts w:asciiTheme="minorHAnsi" w:hAnsiTheme="minorHAnsi"/>
          <w:lang w:eastAsia="cs-CZ"/>
        </w:rPr>
        <w:t>35.2</w:t>
      </w:r>
      <w:r w:rsidR="00507D83">
        <w:rPr>
          <w:rFonts w:asciiTheme="minorHAnsi" w:hAnsiTheme="minorHAnsi"/>
          <w:lang w:eastAsia="cs-CZ"/>
        </w:rPr>
        <w:tab/>
      </w:r>
      <w:r w:rsidRPr="003E6BB6">
        <w:rPr>
          <w:rFonts w:asciiTheme="minorHAnsi" w:hAnsiTheme="minorHAnsi"/>
          <w:lang w:eastAsia="cs-CZ"/>
        </w:rPr>
        <w:t>Výroba plynu; rozvod plynných paliv prostřednictvím sítí </w:t>
      </w:r>
    </w:p>
    <w:p w14:paraId="33CD84D0" w14:textId="6AC3D157" w:rsidR="007560FB" w:rsidRPr="003E6BB6" w:rsidRDefault="007560FB" w:rsidP="007560FB">
      <w:pPr>
        <w:pStyle w:val="Bezmezer1"/>
        <w:spacing w:before="40" w:after="40" w:line="360" w:lineRule="auto"/>
        <w:ind w:left="1416" w:firstLine="708"/>
        <w:jc w:val="both"/>
        <w:rPr>
          <w:rFonts w:asciiTheme="minorHAnsi" w:hAnsiTheme="minorHAnsi"/>
          <w:lang w:eastAsia="cs-CZ"/>
        </w:rPr>
      </w:pPr>
      <w:r w:rsidRPr="003E6BB6">
        <w:rPr>
          <w:rFonts w:asciiTheme="minorHAnsi" w:hAnsiTheme="minorHAnsi"/>
          <w:lang w:eastAsia="cs-CZ"/>
        </w:rPr>
        <w:t>35.21</w:t>
      </w:r>
      <w:r w:rsidR="00507D83">
        <w:rPr>
          <w:rFonts w:asciiTheme="minorHAnsi" w:hAnsiTheme="minorHAnsi"/>
          <w:lang w:eastAsia="cs-CZ"/>
        </w:rPr>
        <w:tab/>
      </w:r>
      <w:r w:rsidRPr="003E6BB6">
        <w:rPr>
          <w:rFonts w:asciiTheme="minorHAnsi" w:hAnsiTheme="minorHAnsi"/>
          <w:lang w:eastAsia="cs-CZ"/>
        </w:rPr>
        <w:t>Výroba plynu </w:t>
      </w:r>
    </w:p>
    <w:p w14:paraId="6E6CF0B5" w14:textId="2020CD21" w:rsidR="007560FB" w:rsidRPr="003E6BB6" w:rsidRDefault="007560FB" w:rsidP="007560FB">
      <w:pPr>
        <w:pStyle w:val="Bezmezer1"/>
        <w:spacing w:before="40" w:after="40" w:line="360" w:lineRule="auto"/>
        <w:ind w:left="1416" w:firstLine="708"/>
        <w:jc w:val="both"/>
        <w:rPr>
          <w:rFonts w:asciiTheme="minorHAnsi" w:hAnsiTheme="minorHAnsi"/>
          <w:lang w:eastAsia="cs-CZ"/>
        </w:rPr>
      </w:pPr>
      <w:r w:rsidRPr="003E6BB6">
        <w:rPr>
          <w:rFonts w:asciiTheme="minorHAnsi" w:hAnsiTheme="minorHAnsi"/>
          <w:lang w:eastAsia="cs-CZ"/>
        </w:rPr>
        <w:t>35.22</w:t>
      </w:r>
      <w:r w:rsidR="00507D83">
        <w:rPr>
          <w:rFonts w:asciiTheme="minorHAnsi" w:hAnsiTheme="minorHAnsi"/>
          <w:lang w:eastAsia="cs-CZ"/>
        </w:rPr>
        <w:tab/>
      </w:r>
      <w:r w:rsidRPr="003E6BB6">
        <w:rPr>
          <w:rFonts w:asciiTheme="minorHAnsi" w:hAnsiTheme="minorHAnsi"/>
          <w:lang w:eastAsia="cs-CZ"/>
        </w:rPr>
        <w:t>Rozvod plynných paliv prostřednictvím sítí </w:t>
      </w:r>
    </w:p>
    <w:p w14:paraId="645B4517" w14:textId="77415D4F" w:rsidR="007560FB" w:rsidRPr="003E6BB6" w:rsidRDefault="007560FB" w:rsidP="007560FB">
      <w:pPr>
        <w:pStyle w:val="Bezmezer1"/>
        <w:spacing w:before="40" w:after="40" w:line="360" w:lineRule="auto"/>
        <w:ind w:left="1416" w:firstLine="708"/>
        <w:jc w:val="both"/>
        <w:rPr>
          <w:rFonts w:asciiTheme="minorHAnsi" w:hAnsiTheme="minorHAnsi"/>
          <w:lang w:eastAsia="cs-CZ"/>
        </w:rPr>
      </w:pPr>
      <w:r w:rsidRPr="003E6BB6">
        <w:rPr>
          <w:rFonts w:asciiTheme="minorHAnsi" w:hAnsiTheme="minorHAnsi"/>
          <w:lang w:eastAsia="cs-CZ"/>
        </w:rPr>
        <w:t>35.23</w:t>
      </w:r>
      <w:r w:rsidR="00507D83">
        <w:rPr>
          <w:rFonts w:asciiTheme="minorHAnsi" w:hAnsiTheme="minorHAnsi"/>
          <w:lang w:eastAsia="cs-CZ"/>
        </w:rPr>
        <w:tab/>
      </w:r>
      <w:r w:rsidRPr="003E6BB6">
        <w:rPr>
          <w:rFonts w:asciiTheme="minorHAnsi" w:hAnsiTheme="minorHAnsi"/>
          <w:lang w:eastAsia="cs-CZ"/>
        </w:rPr>
        <w:t>Obchod s plynem prostřednictvím sítí </w:t>
      </w:r>
    </w:p>
    <w:p w14:paraId="067CFAD6" w14:textId="66D5169E" w:rsidR="007560FB" w:rsidRPr="003E6BB6" w:rsidRDefault="007560FB" w:rsidP="007560FB">
      <w:pPr>
        <w:pStyle w:val="Bezmezer1"/>
        <w:spacing w:before="40" w:after="40" w:line="360" w:lineRule="auto"/>
        <w:ind w:left="708" w:firstLine="708"/>
        <w:jc w:val="both"/>
        <w:rPr>
          <w:rFonts w:asciiTheme="minorHAnsi" w:hAnsiTheme="minorHAnsi"/>
          <w:lang w:eastAsia="cs-CZ"/>
        </w:rPr>
      </w:pPr>
      <w:r w:rsidRPr="003E6BB6">
        <w:rPr>
          <w:rFonts w:asciiTheme="minorHAnsi" w:hAnsiTheme="minorHAnsi"/>
          <w:lang w:eastAsia="cs-CZ"/>
        </w:rPr>
        <w:t>35.3</w:t>
      </w:r>
      <w:r w:rsidR="00507D83">
        <w:rPr>
          <w:rFonts w:asciiTheme="minorHAnsi" w:hAnsiTheme="minorHAnsi"/>
          <w:lang w:eastAsia="cs-CZ"/>
        </w:rPr>
        <w:tab/>
      </w:r>
      <w:r w:rsidRPr="003E6BB6">
        <w:rPr>
          <w:rFonts w:asciiTheme="minorHAnsi" w:hAnsiTheme="minorHAnsi"/>
          <w:lang w:eastAsia="cs-CZ"/>
        </w:rPr>
        <w:t>Výroba a rozvod tepla a klimatizovaného vzduchu, výroba ledu </w:t>
      </w:r>
    </w:p>
    <w:p w14:paraId="03AF99C5" w14:textId="007244CC" w:rsidR="007560FB" w:rsidRPr="003E6BB6" w:rsidRDefault="007560FB" w:rsidP="007560FB">
      <w:pPr>
        <w:pStyle w:val="Bezmezer1"/>
        <w:spacing w:before="240" w:after="40" w:line="360" w:lineRule="auto"/>
        <w:jc w:val="both"/>
        <w:rPr>
          <w:rFonts w:asciiTheme="minorHAnsi" w:hAnsiTheme="minorHAnsi"/>
          <w:b/>
          <w:lang w:eastAsia="cs-CZ"/>
        </w:rPr>
      </w:pPr>
      <w:r w:rsidRPr="003E6BB6">
        <w:rPr>
          <w:rFonts w:asciiTheme="minorHAnsi" w:hAnsiTheme="minorHAnsi"/>
          <w:b/>
          <w:lang w:eastAsia="cs-CZ"/>
        </w:rPr>
        <w:t>Návazné CZ NACE, funkční vazby</w:t>
      </w:r>
    </w:p>
    <w:p w14:paraId="02AACC9F" w14:textId="77777777" w:rsidR="007560FB" w:rsidRPr="003E6BB6" w:rsidRDefault="007560FB" w:rsidP="007560FB">
      <w:pPr>
        <w:pStyle w:val="Bezmezer1"/>
        <w:spacing w:before="40" w:after="40" w:line="360" w:lineRule="auto"/>
        <w:jc w:val="both"/>
        <w:rPr>
          <w:rFonts w:asciiTheme="minorHAnsi" w:hAnsiTheme="minorHAnsi"/>
          <w:b/>
          <w:lang w:eastAsia="cs-CZ"/>
        </w:rPr>
      </w:pPr>
      <w:r w:rsidRPr="003E6BB6">
        <w:rPr>
          <w:rFonts w:asciiTheme="minorHAnsi" w:hAnsiTheme="minorHAnsi"/>
          <w:b/>
          <w:lang w:eastAsia="cs-CZ"/>
        </w:rPr>
        <w:t>Vstupy</w:t>
      </w:r>
    </w:p>
    <w:p w14:paraId="6D78B01F" w14:textId="3444465F" w:rsidR="007560FB" w:rsidRPr="003E6BB6" w:rsidRDefault="007560FB" w:rsidP="003C2CB3">
      <w:pPr>
        <w:pStyle w:val="Bezmezer1"/>
        <w:spacing w:before="40" w:after="40" w:line="360" w:lineRule="auto"/>
        <w:ind w:firstLine="708"/>
        <w:jc w:val="both"/>
        <w:rPr>
          <w:rFonts w:asciiTheme="minorHAnsi" w:hAnsiTheme="minorHAnsi"/>
          <w:lang w:eastAsia="cs-CZ"/>
        </w:rPr>
      </w:pPr>
      <w:r w:rsidRPr="003E6BB6">
        <w:rPr>
          <w:rFonts w:asciiTheme="minorHAnsi" w:hAnsiTheme="minorHAnsi"/>
          <w:lang w:eastAsia="cs-CZ"/>
        </w:rPr>
        <w:t>35</w:t>
      </w:r>
      <w:r w:rsidR="009051FB">
        <w:rPr>
          <w:rFonts w:asciiTheme="minorHAnsi" w:hAnsiTheme="minorHAnsi"/>
          <w:lang w:eastAsia="cs-CZ"/>
        </w:rPr>
        <w:tab/>
      </w:r>
      <w:r w:rsidRPr="003E6BB6">
        <w:rPr>
          <w:rFonts w:asciiTheme="minorHAnsi" w:hAnsiTheme="minorHAnsi"/>
          <w:lang w:eastAsia="cs-CZ"/>
        </w:rPr>
        <w:t>Výroba a rozvod elektřiny, plynu, tepla a klim. vzduchu</w:t>
      </w:r>
    </w:p>
    <w:p w14:paraId="4A099697" w14:textId="254D390F" w:rsidR="007560FB" w:rsidRPr="003E6BB6" w:rsidRDefault="007560FB" w:rsidP="003C2CB3">
      <w:pPr>
        <w:pStyle w:val="Bezmezer1"/>
        <w:spacing w:before="40" w:after="40" w:line="360" w:lineRule="auto"/>
        <w:ind w:firstLine="708"/>
        <w:jc w:val="both"/>
        <w:rPr>
          <w:rFonts w:asciiTheme="minorHAnsi" w:hAnsiTheme="minorHAnsi"/>
          <w:lang w:eastAsia="cs-CZ"/>
        </w:rPr>
      </w:pPr>
      <w:r w:rsidRPr="003E6BB6">
        <w:rPr>
          <w:rFonts w:asciiTheme="minorHAnsi" w:hAnsiTheme="minorHAnsi"/>
          <w:lang w:eastAsia="cs-CZ"/>
        </w:rPr>
        <w:t>06</w:t>
      </w:r>
      <w:r w:rsidR="009051FB">
        <w:rPr>
          <w:rFonts w:asciiTheme="minorHAnsi" w:hAnsiTheme="minorHAnsi"/>
          <w:lang w:eastAsia="cs-CZ"/>
        </w:rPr>
        <w:tab/>
      </w:r>
      <w:r w:rsidRPr="003E6BB6">
        <w:rPr>
          <w:rFonts w:asciiTheme="minorHAnsi" w:hAnsiTheme="minorHAnsi"/>
          <w:lang w:eastAsia="cs-CZ"/>
        </w:rPr>
        <w:t>Těžba ropy a zemního plynu</w:t>
      </w:r>
    </w:p>
    <w:p w14:paraId="6CE2FD0A" w14:textId="7CB6AFF4" w:rsidR="007560FB" w:rsidRPr="003E6BB6" w:rsidRDefault="007560FB" w:rsidP="003C2CB3">
      <w:pPr>
        <w:pStyle w:val="Bezmezer1"/>
        <w:spacing w:before="40" w:after="40" w:line="360" w:lineRule="auto"/>
        <w:ind w:firstLine="708"/>
        <w:jc w:val="both"/>
        <w:rPr>
          <w:rFonts w:asciiTheme="minorHAnsi" w:hAnsiTheme="minorHAnsi"/>
          <w:lang w:eastAsia="cs-CZ"/>
        </w:rPr>
      </w:pPr>
      <w:r w:rsidRPr="003E6BB6">
        <w:rPr>
          <w:rFonts w:asciiTheme="minorHAnsi" w:hAnsiTheme="minorHAnsi"/>
          <w:lang w:eastAsia="cs-CZ"/>
        </w:rPr>
        <w:t>05</w:t>
      </w:r>
      <w:r w:rsidR="009051FB">
        <w:rPr>
          <w:rFonts w:asciiTheme="minorHAnsi" w:hAnsiTheme="minorHAnsi"/>
          <w:lang w:eastAsia="cs-CZ"/>
        </w:rPr>
        <w:tab/>
      </w:r>
      <w:r w:rsidRPr="003E6BB6">
        <w:rPr>
          <w:rFonts w:asciiTheme="minorHAnsi" w:hAnsiTheme="minorHAnsi"/>
          <w:lang w:eastAsia="cs-CZ"/>
        </w:rPr>
        <w:t>Těžba a úprava uhlí</w:t>
      </w:r>
    </w:p>
    <w:p w14:paraId="5B124ED5" w14:textId="335365AA" w:rsidR="007560FB" w:rsidRPr="003E6BB6" w:rsidRDefault="007560FB" w:rsidP="003C2CB3">
      <w:pPr>
        <w:pStyle w:val="Bezmezer1"/>
        <w:spacing w:before="40" w:after="40" w:line="360" w:lineRule="auto"/>
        <w:ind w:firstLine="708"/>
        <w:jc w:val="both"/>
        <w:rPr>
          <w:rFonts w:asciiTheme="minorHAnsi" w:hAnsiTheme="minorHAnsi"/>
          <w:b/>
          <w:lang w:eastAsia="cs-CZ"/>
        </w:rPr>
      </w:pPr>
      <w:r w:rsidRPr="003E6BB6">
        <w:rPr>
          <w:rFonts w:asciiTheme="minorHAnsi" w:hAnsiTheme="minorHAnsi"/>
          <w:b/>
          <w:color w:val="000000"/>
        </w:rPr>
        <w:t>27</w:t>
      </w:r>
      <w:r w:rsidR="009051FB">
        <w:rPr>
          <w:rFonts w:asciiTheme="minorHAnsi" w:hAnsiTheme="minorHAnsi"/>
          <w:b/>
          <w:color w:val="000000"/>
        </w:rPr>
        <w:tab/>
      </w:r>
      <w:r w:rsidRPr="003E6BB6">
        <w:rPr>
          <w:rFonts w:asciiTheme="minorHAnsi" w:hAnsiTheme="minorHAnsi"/>
          <w:b/>
          <w:color w:val="000000"/>
        </w:rPr>
        <w:t>Výroba elektrických zařízení</w:t>
      </w:r>
    </w:p>
    <w:p w14:paraId="6867384A" w14:textId="60BDDB24" w:rsidR="007560FB" w:rsidRPr="003E6BB6" w:rsidRDefault="007560FB" w:rsidP="003C2CB3">
      <w:pPr>
        <w:pStyle w:val="Bezmezer1"/>
        <w:spacing w:before="40" w:after="40" w:line="360" w:lineRule="auto"/>
        <w:ind w:firstLine="708"/>
        <w:jc w:val="both"/>
        <w:rPr>
          <w:rFonts w:asciiTheme="minorHAnsi" w:hAnsiTheme="minorHAnsi"/>
          <w:lang w:eastAsia="cs-CZ"/>
        </w:rPr>
      </w:pPr>
      <w:r w:rsidRPr="003E6BB6">
        <w:rPr>
          <w:rFonts w:asciiTheme="minorHAnsi" w:hAnsiTheme="minorHAnsi"/>
          <w:lang w:eastAsia="cs-CZ"/>
        </w:rPr>
        <w:t>28</w:t>
      </w:r>
      <w:r w:rsidR="009051FB">
        <w:rPr>
          <w:rFonts w:asciiTheme="minorHAnsi" w:hAnsiTheme="minorHAnsi"/>
          <w:lang w:eastAsia="cs-CZ"/>
        </w:rPr>
        <w:tab/>
      </w:r>
      <w:r w:rsidRPr="003E6BB6">
        <w:rPr>
          <w:rFonts w:asciiTheme="minorHAnsi" w:hAnsiTheme="minorHAnsi"/>
          <w:lang w:eastAsia="cs-CZ"/>
        </w:rPr>
        <w:t>Výroba strojů a zařízení</w:t>
      </w:r>
    </w:p>
    <w:p w14:paraId="7761C16B" w14:textId="77777777" w:rsidR="007560FB" w:rsidRPr="003E6BB6" w:rsidRDefault="007560FB" w:rsidP="007560FB">
      <w:pPr>
        <w:pStyle w:val="Bezmezer1"/>
        <w:spacing w:before="40" w:after="40" w:line="360" w:lineRule="auto"/>
        <w:jc w:val="both"/>
        <w:rPr>
          <w:rFonts w:asciiTheme="minorHAnsi" w:hAnsiTheme="minorHAnsi"/>
          <w:b/>
          <w:lang w:eastAsia="cs-CZ"/>
        </w:rPr>
      </w:pPr>
      <w:r w:rsidRPr="003E6BB6">
        <w:rPr>
          <w:rFonts w:asciiTheme="minorHAnsi" w:hAnsiTheme="minorHAnsi"/>
          <w:b/>
          <w:lang w:eastAsia="cs-CZ"/>
        </w:rPr>
        <w:t>Výstupy</w:t>
      </w:r>
    </w:p>
    <w:p w14:paraId="7C46125D" w14:textId="2DE0BE39" w:rsidR="007560FB" w:rsidRPr="003E6BB6" w:rsidRDefault="007560FB" w:rsidP="003C2CB3">
      <w:pPr>
        <w:pStyle w:val="Bezmezer1"/>
        <w:spacing w:before="40" w:after="40" w:line="360" w:lineRule="auto"/>
        <w:ind w:firstLine="708"/>
        <w:jc w:val="both"/>
        <w:rPr>
          <w:rFonts w:asciiTheme="minorHAnsi" w:hAnsiTheme="minorHAnsi"/>
          <w:lang w:eastAsia="cs-CZ"/>
        </w:rPr>
      </w:pPr>
      <w:r w:rsidRPr="003E6BB6">
        <w:rPr>
          <w:rFonts w:asciiTheme="minorHAnsi" w:hAnsiTheme="minorHAnsi"/>
          <w:lang w:eastAsia="cs-CZ"/>
        </w:rPr>
        <w:t>35</w:t>
      </w:r>
      <w:r w:rsidR="009051FB">
        <w:rPr>
          <w:rFonts w:asciiTheme="minorHAnsi" w:hAnsiTheme="minorHAnsi"/>
          <w:lang w:eastAsia="cs-CZ"/>
        </w:rPr>
        <w:tab/>
      </w:r>
      <w:r w:rsidRPr="003E6BB6">
        <w:rPr>
          <w:rFonts w:asciiTheme="minorHAnsi" w:hAnsiTheme="minorHAnsi"/>
          <w:lang w:eastAsia="cs-CZ"/>
        </w:rPr>
        <w:t>Výroba a rozvod elektřiny, plynu, tepla a klim. vzduchu</w:t>
      </w:r>
    </w:p>
    <w:p w14:paraId="273B7A97" w14:textId="4E13813A" w:rsidR="007560FB" w:rsidRPr="003E6BB6" w:rsidRDefault="007560FB" w:rsidP="003C2CB3">
      <w:pPr>
        <w:pStyle w:val="Bezmezer1"/>
        <w:spacing w:before="40" w:after="40" w:line="360" w:lineRule="auto"/>
        <w:ind w:firstLine="708"/>
        <w:jc w:val="both"/>
        <w:rPr>
          <w:rFonts w:asciiTheme="minorHAnsi" w:hAnsiTheme="minorHAnsi"/>
          <w:lang w:eastAsia="cs-CZ"/>
        </w:rPr>
      </w:pPr>
      <w:r w:rsidRPr="003E6BB6">
        <w:rPr>
          <w:rFonts w:asciiTheme="minorHAnsi" w:hAnsiTheme="minorHAnsi"/>
          <w:lang w:eastAsia="cs-CZ"/>
        </w:rPr>
        <w:t>68</w:t>
      </w:r>
      <w:r w:rsidR="009051FB">
        <w:rPr>
          <w:rFonts w:asciiTheme="minorHAnsi" w:hAnsiTheme="minorHAnsi"/>
          <w:lang w:eastAsia="cs-CZ"/>
        </w:rPr>
        <w:tab/>
      </w:r>
      <w:r w:rsidRPr="003E6BB6">
        <w:rPr>
          <w:rFonts w:asciiTheme="minorHAnsi" w:hAnsiTheme="minorHAnsi"/>
          <w:lang w:eastAsia="cs-CZ"/>
        </w:rPr>
        <w:t>Činnosti v oblasti nemovitostí</w:t>
      </w:r>
    </w:p>
    <w:p w14:paraId="2FDAAFA0" w14:textId="179BE0DA" w:rsidR="007560FB" w:rsidRPr="003E6BB6" w:rsidRDefault="007560FB" w:rsidP="003C2CB3">
      <w:pPr>
        <w:pStyle w:val="Bezmezer1"/>
        <w:spacing w:before="40" w:after="40" w:line="360" w:lineRule="auto"/>
        <w:ind w:left="708" w:firstLine="708"/>
        <w:jc w:val="both"/>
        <w:rPr>
          <w:rFonts w:asciiTheme="minorHAnsi" w:hAnsiTheme="minorHAnsi"/>
          <w:lang w:eastAsia="cs-CZ"/>
        </w:rPr>
      </w:pPr>
      <w:r w:rsidRPr="003E6BB6">
        <w:rPr>
          <w:rFonts w:asciiTheme="minorHAnsi" w:hAnsiTheme="minorHAnsi"/>
          <w:lang w:eastAsia="cs-CZ"/>
        </w:rPr>
        <w:t>71.2</w:t>
      </w:r>
      <w:r w:rsidR="009051FB">
        <w:rPr>
          <w:rFonts w:asciiTheme="minorHAnsi" w:hAnsiTheme="minorHAnsi"/>
          <w:lang w:eastAsia="cs-CZ"/>
        </w:rPr>
        <w:tab/>
      </w:r>
      <w:r w:rsidRPr="003E6BB6">
        <w:rPr>
          <w:rFonts w:asciiTheme="minorHAnsi" w:hAnsiTheme="minorHAnsi"/>
          <w:lang w:eastAsia="cs-CZ"/>
        </w:rPr>
        <w:t xml:space="preserve">Inženýrské činnosti a související technické poradenství </w:t>
      </w:r>
    </w:p>
    <w:p w14:paraId="73904C83" w14:textId="77E4F549" w:rsidR="007560FB" w:rsidRPr="003E6BB6" w:rsidRDefault="007560FB" w:rsidP="003C2CB3">
      <w:pPr>
        <w:pStyle w:val="Bezmezer1"/>
        <w:spacing w:before="40" w:after="40" w:line="360" w:lineRule="auto"/>
        <w:ind w:firstLine="708"/>
        <w:jc w:val="both"/>
        <w:rPr>
          <w:rFonts w:asciiTheme="minorHAnsi" w:hAnsiTheme="minorHAnsi"/>
          <w:lang w:eastAsia="cs-CZ"/>
        </w:rPr>
      </w:pPr>
      <w:r w:rsidRPr="003E6BB6">
        <w:rPr>
          <w:rFonts w:asciiTheme="minorHAnsi" w:hAnsiTheme="minorHAnsi"/>
          <w:lang w:eastAsia="cs-CZ"/>
        </w:rPr>
        <w:t>72</w:t>
      </w:r>
      <w:r w:rsidR="009051FB">
        <w:rPr>
          <w:rFonts w:asciiTheme="minorHAnsi" w:hAnsiTheme="minorHAnsi"/>
          <w:lang w:eastAsia="cs-CZ"/>
        </w:rPr>
        <w:tab/>
      </w:r>
      <w:r w:rsidRPr="003E6BB6">
        <w:rPr>
          <w:rFonts w:asciiTheme="minorHAnsi" w:hAnsiTheme="minorHAnsi"/>
          <w:lang w:eastAsia="cs-CZ"/>
        </w:rPr>
        <w:t>Výzkum a vývoj</w:t>
      </w:r>
    </w:p>
    <w:p w14:paraId="64BA3FFE" w14:textId="185C657E" w:rsidR="00C22867" w:rsidRDefault="00C22867">
      <w:pPr>
        <w:spacing w:after="200" w:line="276" w:lineRule="auto"/>
      </w:pPr>
      <w:r>
        <w:br w:type="page"/>
      </w:r>
    </w:p>
    <w:p w14:paraId="3935B56E" w14:textId="279A156C" w:rsidR="00726761" w:rsidRDefault="00726761" w:rsidP="00726761">
      <w:pPr>
        <w:pStyle w:val="Nadpis4"/>
        <w:spacing w:line="360" w:lineRule="auto"/>
      </w:pPr>
      <w:bookmarkStart w:id="254" w:name="_Toc525716278"/>
      <w:r>
        <w:t>Hutnictví</w:t>
      </w:r>
      <w:bookmarkEnd w:id="254"/>
    </w:p>
    <w:p w14:paraId="7DEC6081" w14:textId="5E6347B5" w:rsidR="00726761" w:rsidRPr="00726761" w:rsidRDefault="00726761" w:rsidP="00543C1B">
      <w:pPr>
        <w:pStyle w:val="Odstavecseseznamem"/>
        <w:numPr>
          <w:ilvl w:val="0"/>
          <w:numId w:val="125"/>
        </w:numPr>
        <w:spacing w:line="360" w:lineRule="auto"/>
        <w:rPr>
          <w:u w:val="single"/>
        </w:rPr>
      </w:pPr>
      <w:r w:rsidRPr="00726761">
        <w:rPr>
          <w:u w:val="single"/>
        </w:rPr>
        <w:t>Témata VaVaI identifikovaná prostřednictvím EDP:</w:t>
      </w:r>
    </w:p>
    <w:p w14:paraId="411267BF" w14:textId="77777777" w:rsidR="00422D2C" w:rsidRPr="00422D2C" w:rsidRDefault="00422D2C" w:rsidP="00543C1B">
      <w:pPr>
        <w:numPr>
          <w:ilvl w:val="0"/>
          <w:numId w:val="126"/>
        </w:numPr>
        <w:spacing w:before="240" w:after="120" w:line="360" w:lineRule="auto"/>
        <w:ind w:left="737" w:hanging="377"/>
        <w:jc w:val="both"/>
        <w:rPr>
          <w:rFonts w:eastAsia="MS Mincho"/>
          <w:b/>
        </w:rPr>
      </w:pPr>
      <w:r w:rsidRPr="00422D2C">
        <w:rPr>
          <w:rFonts w:eastAsia="MS Mincho"/>
          <w:b/>
        </w:rPr>
        <w:t>Nové sofistikované výrobky</w:t>
      </w:r>
    </w:p>
    <w:p w14:paraId="7A22EB31" w14:textId="77777777" w:rsidR="00422D2C" w:rsidRPr="00422D2C" w:rsidRDefault="00422D2C" w:rsidP="00543C1B">
      <w:pPr>
        <w:numPr>
          <w:ilvl w:val="1"/>
          <w:numId w:val="126"/>
        </w:numPr>
        <w:spacing w:after="120" w:line="360" w:lineRule="auto"/>
        <w:jc w:val="both"/>
        <w:rPr>
          <w:rFonts w:eastAsia="MS Mincho"/>
        </w:rPr>
      </w:pPr>
      <w:r w:rsidRPr="00422D2C">
        <w:rPr>
          <w:rFonts w:eastAsia="MS Mincho"/>
        </w:rPr>
        <w:t xml:space="preserve">nové a vylepšené oceli; vývoj nových kategorií oceli s kombinovanými vlastnostmi (síla, tvárnost, pevnost, energetická absorpce, snížení hmotnosti, odolnost proti teplotním rázům atd.) </w:t>
      </w:r>
    </w:p>
    <w:p w14:paraId="28A5AAB7" w14:textId="77777777" w:rsidR="00422D2C" w:rsidRPr="00422D2C" w:rsidRDefault="00422D2C" w:rsidP="00543C1B">
      <w:pPr>
        <w:numPr>
          <w:ilvl w:val="1"/>
          <w:numId w:val="126"/>
        </w:numPr>
        <w:spacing w:after="120" w:line="360" w:lineRule="auto"/>
        <w:jc w:val="both"/>
        <w:rPr>
          <w:rFonts w:eastAsia="MS Mincho"/>
        </w:rPr>
      </w:pPr>
      <w:r w:rsidRPr="00422D2C">
        <w:rPr>
          <w:rFonts w:eastAsia="MS Mincho"/>
        </w:rPr>
        <w:t xml:space="preserve">lehké slitiny, buněčné materiály a kompozity, vnitřně strukturované materiály </w:t>
      </w:r>
    </w:p>
    <w:p w14:paraId="76930851" w14:textId="77777777" w:rsidR="00422D2C" w:rsidRPr="00422D2C" w:rsidRDefault="00422D2C" w:rsidP="00543C1B">
      <w:pPr>
        <w:numPr>
          <w:ilvl w:val="1"/>
          <w:numId w:val="126"/>
        </w:numPr>
        <w:spacing w:after="120" w:line="360" w:lineRule="auto"/>
        <w:jc w:val="both"/>
        <w:rPr>
          <w:rFonts w:eastAsia="MS Mincho"/>
        </w:rPr>
      </w:pPr>
      <w:r w:rsidRPr="00422D2C">
        <w:rPr>
          <w:rFonts w:eastAsia="MS Mincho"/>
        </w:rPr>
        <w:t>extrémní slitiny a kompozity</w:t>
      </w:r>
    </w:p>
    <w:p w14:paraId="01B30377" w14:textId="77777777" w:rsidR="00422D2C" w:rsidRPr="00422D2C" w:rsidRDefault="00422D2C" w:rsidP="00543C1B">
      <w:pPr>
        <w:numPr>
          <w:ilvl w:val="1"/>
          <w:numId w:val="126"/>
        </w:numPr>
        <w:spacing w:after="120" w:line="360" w:lineRule="auto"/>
        <w:jc w:val="both"/>
        <w:rPr>
          <w:rFonts w:eastAsia="MS Mincho"/>
        </w:rPr>
      </w:pPr>
      <w:r w:rsidRPr="00422D2C">
        <w:rPr>
          <w:rFonts w:eastAsia="MS Mincho"/>
        </w:rPr>
        <w:t>pokročilé supervodiče</w:t>
      </w:r>
    </w:p>
    <w:p w14:paraId="4B989F68" w14:textId="77777777" w:rsidR="00422D2C" w:rsidRPr="00422D2C" w:rsidRDefault="00422D2C" w:rsidP="00543C1B">
      <w:pPr>
        <w:numPr>
          <w:ilvl w:val="1"/>
          <w:numId w:val="126"/>
        </w:numPr>
        <w:spacing w:after="120" w:line="360" w:lineRule="auto"/>
        <w:jc w:val="both"/>
        <w:rPr>
          <w:rFonts w:eastAsia="MS Mincho"/>
        </w:rPr>
      </w:pPr>
      <w:r w:rsidRPr="00422D2C">
        <w:rPr>
          <w:rFonts w:eastAsia="MS Mincho"/>
        </w:rPr>
        <w:t>biokompatibilní metalurgie</w:t>
      </w:r>
    </w:p>
    <w:p w14:paraId="392834F2" w14:textId="77777777" w:rsidR="00422D2C" w:rsidRPr="00422D2C" w:rsidRDefault="00422D2C" w:rsidP="00543C1B">
      <w:pPr>
        <w:numPr>
          <w:ilvl w:val="1"/>
          <w:numId w:val="126"/>
        </w:numPr>
        <w:spacing w:after="120" w:line="360" w:lineRule="auto"/>
        <w:jc w:val="both"/>
        <w:rPr>
          <w:rFonts w:eastAsia="MS Mincho"/>
        </w:rPr>
      </w:pPr>
      <w:r w:rsidRPr="00422D2C">
        <w:rPr>
          <w:rFonts w:eastAsia="MS Mincho"/>
        </w:rPr>
        <w:t>vývoj kombinačních slitin</w:t>
      </w:r>
    </w:p>
    <w:p w14:paraId="5684026D" w14:textId="77777777" w:rsidR="00422D2C" w:rsidRPr="00422D2C" w:rsidRDefault="00422D2C" w:rsidP="00543C1B">
      <w:pPr>
        <w:numPr>
          <w:ilvl w:val="1"/>
          <w:numId w:val="126"/>
        </w:numPr>
        <w:spacing w:after="120" w:line="360" w:lineRule="auto"/>
        <w:jc w:val="both"/>
        <w:rPr>
          <w:rFonts w:eastAsia="MS Mincho"/>
        </w:rPr>
      </w:pPr>
      <w:r w:rsidRPr="00422D2C">
        <w:rPr>
          <w:rFonts w:eastAsia="MS Mincho"/>
        </w:rPr>
        <w:t>kovové konstrukce a technologické celky, kovové prvky pro stavebnictví, technologické kontejnery, tlakové nádrže a sila</w:t>
      </w:r>
    </w:p>
    <w:p w14:paraId="215DF9A0" w14:textId="73F454EE" w:rsidR="00422D2C" w:rsidRPr="00422D2C" w:rsidRDefault="00422D2C" w:rsidP="00543C1B">
      <w:pPr>
        <w:numPr>
          <w:ilvl w:val="1"/>
          <w:numId w:val="126"/>
        </w:numPr>
        <w:spacing w:after="120" w:line="360" w:lineRule="auto"/>
        <w:jc w:val="both"/>
        <w:rPr>
          <w:rFonts w:eastAsia="MS Mincho"/>
        </w:rPr>
      </w:pPr>
      <w:r w:rsidRPr="00422D2C">
        <w:rPr>
          <w:rFonts w:eastAsia="MS Mincho"/>
        </w:rPr>
        <w:t>hutní polotovary z mědi a slitin, slévárna hliníku, zpracování drahých kovů, otěruvzdorné a</w:t>
      </w:r>
      <w:r>
        <w:rPr>
          <w:rFonts w:eastAsia="MS Mincho"/>
        </w:rPr>
        <w:t> </w:t>
      </w:r>
      <w:r w:rsidRPr="00422D2C">
        <w:rPr>
          <w:rFonts w:eastAsia="MS Mincho"/>
        </w:rPr>
        <w:t>žáruvzdorné materiály, feroslitiny</w:t>
      </w:r>
    </w:p>
    <w:p w14:paraId="2D3E236D" w14:textId="77777777" w:rsidR="00422D2C" w:rsidRPr="00422D2C" w:rsidRDefault="00422D2C" w:rsidP="00543C1B">
      <w:pPr>
        <w:numPr>
          <w:ilvl w:val="1"/>
          <w:numId w:val="126"/>
        </w:numPr>
        <w:spacing w:after="120" w:line="360" w:lineRule="auto"/>
        <w:jc w:val="both"/>
        <w:rPr>
          <w:rFonts w:eastAsia="MS Mincho"/>
        </w:rPr>
      </w:pPr>
      <w:r w:rsidRPr="00422D2C">
        <w:rPr>
          <w:rFonts w:eastAsia="MS Mincho"/>
        </w:rPr>
        <w:t xml:space="preserve">vývoj nových a zvyšování parametrů existujících pomocných materiálů (chemické látky, oleje apod.) </w:t>
      </w:r>
    </w:p>
    <w:p w14:paraId="43E1DE32" w14:textId="77777777" w:rsidR="00422D2C" w:rsidRPr="00422D2C" w:rsidRDefault="00422D2C" w:rsidP="00543C1B">
      <w:pPr>
        <w:numPr>
          <w:ilvl w:val="1"/>
          <w:numId w:val="126"/>
        </w:numPr>
        <w:spacing w:after="120" w:line="360" w:lineRule="auto"/>
        <w:jc w:val="both"/>
      </w:pPr>
      <w:r w:rsidRPr="00422D2C">
        <w:rPr>
          <w:rFonts w:eastAsia="MS Mincho"/>
        </w:rPr>
        <w:t>nové typy žáruvzdorných</w:t>
      </w:r>
      <w:r w:rsidRPr="00422D2C">
        <w:t xml:space="preserve"> materiálů, vč. jejich povlaků pro odlévání nových typů slitin</w:t>
      </w:r>
    </w:p>
    <w:p w14:paraId="4B15F696" w14:textId="77777777" w:rsidR="00422D2C" w:rsidRPr="00422D2C" w:rsidRDefault="00422D2C" w:rsidP="00543C1B">
      <w:pPr>
        <w:numPr>
          <w:ilvl w:val="0"/>
          <w:numId w:val="127"/>
        </w:numPr>
        <w:spacing w:before="240" w:after="120" w:line="360" w:lineRule="auto"/>
        <w:ind w:left="737" w:hanging="377"/>
        <w:jc w:val="both"/>
        <w:rPr>
          <w:rFonts w:eastAsia="MS Mincho"/>
          <w:b/>
        </w:rPr>
      </w:pPr>
      <w:r w:rsidRPr="00422D2C">
        <w:rPr>
          <w:rFonts w:eastAsia="MS Mincho"/>
          <w:b/>
        </w:rPr>
        <w:t>Nové technologie</w:t>
      </w:r>
    </w:p>
    <w:p w14:paraId="24A1AAD7" w14:textId="4BCABA06" w:rsidR="00422D2C" w:rsidRPr="00422D2C" w:rsidRDefault="00422D2C" w:rsidP="00543C1B">
      <w:pPr>
        <w:numPr>
          <w:ilvl w:val="1"/>
          <w:numId w:val="127"/>
        </w:numPr>
        <w:spacing w:after="120" w:line="360" w:lineRule="auto"/>
        <w:jc w:val="both"/>
        <w:rPr>
          <w:rFonts w:eastAsia="MS Mincho"/>
        </w:rPr>
      </w:pPr>
      <w:r w:rsidRPr="00422D2C">
        <w:rPr>
          <w:rFonts w:eastAsia="MS Mincho"/>
        </w:rPr>
        <w:t>nové postupy pro snížení energetické náročnosti výroby kovů (např. přímá výroba železa z</w:t>
      </w:r>
      <w:r>
        <w:rPr>
          <w:rFonts w:eastAsia="MS Mincho"/>
        </w:rPr>
        <w:t> </w:t>
      </w:r>
      <w:r w:rsidRPr="00422D2C">
        <w:rPr>
          <w:rFonts w:eastAsia="MS Mincho"/>
        </w:rPr>
        <w:t>rudy)</w:t>
      </w:r>
    </w:p>
    <w:p w14:paraId="6923C57B" w14:textId="77777777" w:rsidR="00422D2C" w:rsidRPr="00422D2C" w:rsidRDefault="00422D2C" w:rsidP="00543C1B">
      <w:pPr>
        <w:numPr>
          <w:ilvl w:val="1"/>
          <w:numId w:val="127"/>
        </w:numPr>
        <w:spacing w:after="120" w:line="360" w:lineRule="auto"/>
        <w:jc w:val="both"/>
        <w:rPr>
          <w:rFonts w:eastAsia="MS Mincho"/>
        </w:rPr>
      </w:pPr>
      <w:r w:rsidRPr="00422D2C">
        <w:rPr>
          <w:rFonts w:eastAsia="MS Mincho"/>
        </w:rPr>
        <w:t>nové techniky a technologie pro zpracování a zvýšení kvality finálních hutních výrobků</w:t>
      </w:r>
    </w:p>
    <w:p w14:paraId="1C5BF58C" w14:textId="77777777" w:rsidR="00422D2C" w:rsidRPr="00422D2C" w:rsidRDefault="00422D2C" w:rsidP="00543C1B">
      <w:pPr>
        <w:numPr>
          <w:ilvl w:val="1"/>
          <w:numId w:val="127"/>
        </w:numPr>
        <w:spacing w:after="120" w:line="360" w:lineRule="auto"/>
        <w:jc w:val="both"/>
        <w:rPr>
          <w:rFonts w:eastAsia="MS Mincho"/>
        </w:rPr>
      </w:pPr>
      <w:r w:rsidRPr="00422D2C">
        <w:rPr>
          <w:rFonts w:eastAsia="MS Mincho"/>
        </w:rPr>
        <w:t>termoelektrika s vysokým ZT koeficientem</w:t>
      </w:r>
    </w:p>
    <w:p w14:paraId="0EE7CAFD" w14:textId="77777777" w:rsidR="00422D2C" w:rsidRPr="00422D2C" w:rsidRDefault="00422D2C" w:rsidP="00543C1B">
      <w:pPr>
        <w:numPr>
          <w:ilvl w:val="1"/>
          <w:numId w:val="127"/>
        </w:numPr>
        <w:spacing w:after="120" w:line="360" w:lineRule="auto"/>
        <w:jc w:val="both"/>
        <w:rPr>
          <w:rFonts w:eastAsia="MS Mincho"/>
        </w:rPr>
      </w:pPr>
      <w:r w:rsidRPr="00422D2C">
        <w:rPr>
          <w:rFonts w:eastAsia="MS Mincho"/>
        </w:rPr>
        <w:t>škálovatelná termoelektrika</w:t>
      </w:r>
    </w:p>
    <w:p w14:paraId="6D62F831" w14:textId="77777777" w:rsidR="00422D2C" w:rsidRPr="00422D2C" w:rsidRDefault="00422D2C" w:rsidP="00543C1B">
      <w:pPr>
        <w:numPr>
          <w:ilvl w:val="1"/>
          <w:numId w:val="127"/>
        </w:numPr>
        <w:spacing w:after="120" w:line="360" w:lineRule="auto"/>
        <w:jc w:val="both"/>
        <w:rPr>
          <w:rFonts w:eastAsia="MS Mincho"/>
        </w:rPr>
      </w:pPr>
      <w:r w:rsidRPr="00422D2C">
        <w:rPr>
          <w:rFonts w:eastAsia="MS Mincho"/>
        </w:rPr>
        <w:t xml:space="preserve">povlakování a povrchová ochrana </w:t>
      </w:r>
    </w:p>
    <w:p w14:paraId="08D8570E" w14:textId="77777777" w:rsidR="00422D2C" w:rsidRPr="00422D2C" w:rsidRDefault="00422D2C" w:rsidP="00543C1B">
      <w:pPr>
        <w:numPr>
          <w:ilvl w:val="1"/>
          <w:numId w:val="127"/>
        </w:numPr>
        <w:spacing w:after="120" w:line="360" w:lineRule="auto"/>
        <w:jc w:val="both"/>
      </w:pPr>
      <w:r w:rsidRPr="00422D2C">
        <w:rPr>
          <w:rFonts w:eastAsia="MS Mincho"/>
        </w:rPr>
        <w:t>prášková metalurgie</w:t>
      </w:r>
    </w:p>
    <w:p w14:paraId="6E90733F" w14:textId="77777777" w:rsidR="00422D2C" w:rsidRPr="00422D2C" w:rsidRDefault="00422D2C" w:rsidP="00543C1B">
      <w:pPr>
        <w:numPr>
          <w:ilvl w:val="1"/>
          <w:numId w:val="127"/>
        </w:numPr>
        <w:spacing w:after="120" w:line="360" w:lineRule="auto"/>
        <w:jc w:val="both"/>
      </w:pPr>
      <w:r w:rsidRPr="00422D2C">
        <w:rPr>
          <w:rFonts w:eastAsia="MS Mincho"/>
        </w:rPr>
        <w:t>aditivní technologie</w:t>
      </w:r>
    </w:p>
    <w:p w14:paraId="36A23CCF" w14:textId="77777777" w:rsidR="00422D2C" w:rsidRPr="00422D2C" w:rsidRDefault="00422D2C" w:rsidP="00543C1B">
      <w:pPr>
        <w:numPr>
          <w:ilvl w:val="0"/>
          <w:numId w:val="128"/>
        </w:numPr>
        <w:spacing w:before="240" w:after="120" w:line="360" w:lineRule="auto"/>
        <w:ind w:left="737" w:hanging="377"/>
        <w:jc w:val="both"/>
        <w:rPr>
          <w:rFonts w:eastAsia="MS Mincho"/>
          <w:b/>
        </w:rPr>
      </w:pPr>
      <w:r w:rsidRPr="00422D2C">
        <w:rPr>
          <w:rFonts w:eastAsia="MS Mincho"/>
          <w:b/>
        </w:rPr>
        <w:t>Řízení výroby</w:t>
      </w:r>
    </w:p>
    <w:p w14:paraId="0903B409"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 xml:space="preserve">optimalizace výrobních nákladů a zvyšování energetické účinnosti hutní výroby </w:t>
      </w:r>
    </w:p>
    <w:p w14:paraId="6E1E60C8"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 xml:space="preserve">snižování materiálové náročnosti hutní výroby </w:t>
      </w:r>
    </w:p>
    <w:p w14:paraId="1E73DC9B" w14:textId="3B4F44D5" w:rsidR="00422D2C" w:rsidRPr="00422D2C" w:rsidRDefault="00422D2C" w:rsidP="00543C1B">
      <w:pPr>
        <w:numPr>
          <w:ilvl w:val="1"/>
          <w:numId w:val="128"/>
        </w:numPr>
        <w:spacing w:after="120" w:line="360" w:lineRule="auto"/>
        <w:jc w:val="both"/>
        <w:rPr>
          <w:rFonts w:eastAsia="MS Mincho"/>
        </w:rPr>
      </w:pPr>
      <w:r w:rsidRPr="00422D2C">
        <w:rPr>
          <w:rFonts w:eastAsia="MS Mincho"/>
        </w:rPr>
        <w:t xml:space="preserve">optimalizace kvalitativních parametrů hutních výrobk, vč. zlepšování kontroly a řízení výrobních postupů (mechatronika) </w:t>
      </w:r>
    </w:p>
    <w:p w14:paraId="5DE2FB33"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 xml:space="preserve">sofistikované systémy řízení </w:t>
      </w:r>
    </w:p>
    <w:p w14:paraId="67CBCC03"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 xml:space="preserve">rozvoj umělé inteligence a pokročilých systémů </w:t>
      </w:r>
    </w:p>
    <w:p w14:paraId="105E6BEE"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 xml:space="preserve">pokročilé zkušební, výpočetní a simulační metody specificky využívané v oblasti vývoje </w:t>
      </w:r>
    </w:p>
    <w:p w14:paraId="115F3EF7"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recyklování, zjemňování a znovuvyužití kritických a vysoce hodnotných kovů</w:t>
      </w:r>
    </w:p>
    <w:p w14:paraId="0DFF315F"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3D mikročástice a senzory</w:t>
      </w:r>
    </w:p>
    <w:p w14:paraId="1215C05D"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automatizovaná aditivní výroba</w:t>
      </w:r>
    </w:p>
    <w:p w14:paraId="678161C3"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 xml:space="preserve">prediktivní modelování </w:t>
      </w:r>
    </w:p>
    <w:p w14:paraId="69905599" w14:textId="77777777" w:rsidR="00422D2C" w:rsidRPr="00422D2C" w:rsidRDefault="00422D2C" w:rsidP="00543C1B">
      <w:pPr>
        <w:numPr>
          <w:ilvl w:val="1"/>
          <w:numId w:val="128"/>
        </w:numPr>
        <w:spacing w:after="120" w:line="360" w:lineRule="auto"/>
        <w:jc w:val="both"/>
        <w:rPr>
          <w:rFonts w:eastAsia="MS Mincho"/>
        </w:rPr>
      </w:pPr>
      <w:r w:rsidRPr="00422D2C">
        <w:rPr>
          <w:rFonts w:eastAsia="MS Mincho"/>
        </w:rPr>
        <w:t>snížení prašnosti a ekologické zátěže</w:t>
      </w:r>
    </w:p>
    <w:p w14:paraId="666437FF" w14:textId="77777777" w:rsidR="00726761" w:rsidRDefault="00726761" w:rsidP="00726761">
      <w:pPr>
        <w:spacing w:line="360" w:lineRule="auto"/>
      </w:pPr>
    </w:p>
    <w:p w14:paraId="3340F77D" w14:textId="21C2C7AB" w:rsidR="00726761" w:rsidRDefault="00726761" w:rsidP="00543C1B">
      <w:pPr>
        <w:pStyle w:val="Odstavecseseznamem"/>
        <w:numPr>
          <w:ilvl w:val="0"/>
          <w:numId w:val="125"/>
        </w:numPr>
        <w:spacing w:line="360" w:lineRule="auto"/>
        <w:rPr>
          <w:u w:val="single"/>
        </w:rPr>
      </w:pPr>
      <w:r w:rsidRPr="00726761">
        <w:rPr>
          <w:u w:val="single"/>
        </w:rPr>
        <w:t>Indikativní vztah ke klasifikaci CZ NACE</w:t>
      </w:r>
    </w:p>
    <w:p w14:paraId="43F7EA12" w14:textId="2F14C775" w:rsidR="00422D2C" w:rsidRPr="00345225" w:rsidRDefault="00422D2C" w:rsidP="00C72D90">
      <w:pPr>
        <w:pStyle w:val="Bezmezer1"/>
        <w:spacing w:before="40" w:line="360" w:lineRule="auto"/>
        <w:jc w:val="both"/>
        <w:rPr>
          <w:rFonts w:asciiTheme="minorHAnsi" w:hAnsiTheme="minorHAnsi"/>
          <w:b/>
          <w:lang w:eastAsia="cs-CZ"/>
        </w:rPr>
      </w:pPr>
      <w:r w:rsidRPr="00345225">
        <w:rPr>
          <w:rFonts w:asciiTheme="minorHAnsi" w:hAnsiTheme="minorHAnsi"/>
          <w:b/>
          <w:lang w:eastAsia="cs-CZ"/>
        </w:rPr>
        <w:t>Hlavní relevantní CZ</w:t>
      </w:r>
      <w:r>
        <w:rPr>
          <w:rFonts w:asciiTheme="minorHAnsi" w:hAnsiTheme="minorHAnsi"/>
          <w:b/>
          <w:lang w:eastAsia="cs-CZ"/>
        </w:rPr>
        <w:t xml:space="preserve"> </w:t>
      </w:r>
      <w:r w:rsidRPr="00345225">
        <w:rPr>
          <w:rFonts w:asciiTheme="minorHAnsi" w:hAnsiTheme="minorHAnsi"/>
          <w:b/>
          <w:lang w:eastAsia="cs-CZ"/>
        </w:rPr>
        <w:t>NACE</w:t>
      </w:r>
    </w:p>
    <w:p w14:paraId="18DB7EF2" w14:textId="7B14A1B5" w:rsidR="00422D2C" w:rsidRPr="00345225" w:rsidRDefault="00422D2C" w:rsidP="00C72D90">
      <w:pPr>
        <w:pStyle w:val="Bezmezer1"/>
        <w:spacing w:before="40" w:after="40" w:line="360" w:lineRule="auto"/>
        <w:ind w:firstLine="708"/>
        <w:jc w:val="both"/>
        <w:rPr>
          <w:rFonts w:asciiTheme="minorHAnsi" w:hAnsiTheme="minorHAnsi"/>
          <w:lang w:eastAsia="cs-CZ"/>
        </w:rPr>
      </w:pPr>
      <w:r w:rsidRPr="00345225">
        <w:rPr>
          <w:rFonts w:asciiTheme="minorHAnsi" w:hAnsiTheme="minorHAnsi"/>
          <w:lang w:eastAsia="cs-CZ"/>
        </w:rPr>
        <w:t>24</w:t>
      </w:r>
      <w:r w:rsidR="00967ECF">
        <w:rPr>
          <w:rFonts w:asciiTheme="minorHAnsi" w:hAnsiTheme="minorHAnsi"/>
          <w:lang w:eastAsia="cs-CZ"/>
        </w:rPr>
        <w:tab/>
      </w:r>
      <w:r w:rsidRPr="00345225">
        <w:rPr>
          <w:rFonts w:asciiTheme="minorHAnsi" w:hAnsiTheme="minorHAnsi"/>
          <w:lang w:eastAsia="cs-CZ"/>
        </w:rPr>
        <w:t>Výroba základních kovů, hutní zpracování kovů; slévárenství</w:t>
      </w:r>
    </w:p>
    <w:p w14:paraId="37A1CB8D" w14:textId="23123E61" w:rsidR="00422D2C" w:rsidRPr="00345225" w:rsidRDefault="00422D2C" w:rsidP="00967ECF">
      <w:pPr>
        <w:pStyle w:val="Bezmezer1"/>
        <w:spacing w:before="40" w:after="40" w:line="360" w:lineRule="auto"/>
        <w:ind w:left="2127" w:hanging="711"/>
        <w:jc w:val="both"/>
        <w:rPr>
          <w:rFonts w:asciiTheme="minorHAnsi" w:hAnsiTheme="minorHAnsi"/>
          <w:lang w:eastAsia="cs-CZ"/>
        </w:rPr>
      </w:pPr>
      <w:r w:rsidRPr="00345225">
        <w:rPr>
          <w:rFonts w:asciiTheme="minorHAnsi" w:hAnsiTheme="minorHAnsi"/>
          <w:lang w:eastAsia="cs-CZ"/>
        </w:rPr>
        <w:t>24.1</w:t>
      </w:r>
      <w:r w:rsidR="00967ECF">
        <w:rPr>
          <w:rFonts w:asciiTheme="minorHAnsi" w:hAnsiTheme="minorHAnsi"/>
          <w:lang w:eastAsia="cs-CZ"/>
        </w:rPr>
        <w:tab/>
      </w:r>
      <w:r w:rsidRPr="00345225">
        <w:rPr>
          <w:rFonts w:asciiTheme="minorHAnsi" w:hAnsiTheme="minorHAnsi"/>
          <w:lang w:eastAsia="cs-CZ"/>
        </w:rPr>
        <w:t xml:space="preserve">Výroba surového železa, oceli a feroslitin, plochých výrobků (kromě pásů za studena), </w:t>
      </w:r>
      <w:r>
        <w:rPr>
          <w:rFonts w:asciiTheme="minorHAnsi" w:hAnsiTheme="minorHAnsi"/>
          <w:lang w:eastAsia="cs-CZ"/>
        </w:rPr>
        <w:t xml:space="preserve">tváření výrobků za tepla </w:t>
      </w:r>
    </w:p>
    <w:p w14:paraId="550ABE8E" w14:textId="46BC6239" w:rsidR="00422D2C" w:rsidRPr="00345225" w:rsidRDefault="00422D2C" w:rsidP="00C72D90">
      <w:pPr>
        <w:pStyle w:val="Bezmezer1"/>
        <w:spacing w:before="40" w:after="40" w:line="360" w:lineRule="auto"/>
        <w:ind w:left="708" w:firstLine="708"/>
        <w:jc w:val="both"/>
        <w:rPr>
          <w:rFonts w:asciiTheme="minorHAnsi" w:hAnsiTheme="minorHAnsi"/>
          <w:lang w:eastAsia="cs-CZ"/>
        </w:rPr>
      </w:pPr>
      <w:r w:rsidRPr="00345225">
        <w:rPr>
          <w:rFonts w:asciiTheme="minorHAnsi" w:hAnsiTheme="minorHAnsi"/>
          <w:lang w:eastAsia="cs-CZ"/>
        </w:rPr>
        <w:t>24.2</w:t>
      </w:r>
      <w:r w:rsidR="00967ECF">
        <w:rPr>
          <w:rFonts w:asciiTheme="minorHAnsi" w:hAnsiTheme="minorHAnsi"/>
          <w:lang w:eastAsia="cs-CZ"/>
        </w:rPr>
        <w:tab/>
      </w:r>
      <w:r w:rsidRPr="00345225">
        <w:rPr>
          <w:rFonts w:asciiTheme="minorHAnsi" w:hAnsiTheme="minorHAnsi"/>
          <w:lang w:eastAsia="cs-CZ"/>
        </w:rPr>
        <w:t>Výroba ocelových trub, trubek, dutých profilů a souvisejících potrubních tvarovek</w:t>
      </w:r>
    </w:p>
    <w:p w14:paraId="183D41BA" w14:textId="5C1EA5BA" w:rsidR="00422D2C" w:rsidRPr="00865A65" w:rsidRDefault="00422D2C" w:rsidP="00C72D90">
      <w:pPr>
        <w:pStyle w:val="Bezmezer1"/>
        <w:spacing w:before="40" w:after="40" w:line="360" w:lineRule="auto"/>
        <w:ind w:left="708" w:firstLine="708"/>
        <w:jc w:val="both"/>
        <w:rPr>
          <w:rFonts w:asciiTheme="minorHAnsi" w:hAnsiTheme="minorHAnsi"/>
          <w:lang w:eastAsia="cs-CZ"/>
        </w:rPr>
      </w:pPr>
      <w:r w:rsidRPr="00345225">
        <w:rPr>
          <w:rFonts w:asciiTheme="minorHAnsi" w:hAnsiTheme="minorHAnsi"/>
          <w:lang w:eastAsia="cs-CZ"/>
        </w:rPr>
        <w:t>24.3</w:t>
      </w:r>
      <w:r w:rsidR="00967ECF">
        <w:rPr>
          <w:rFonts w:asciiTheme="minorHAnsi" w:hAnsiTheme="minorHAnsi"/>
          <w:lang w:eastAsia="cs-CZ"/>
        </w:rPr>
        <w:tab/>
      </w:r>
      <w:r w:rsidRPr="00345225">
        <w:rPr>
          <w:rFonts w:asciiTheme="minorHAnsi" w:hAnsiTheme="minorHAnsi"/>
          <w:lang w:eastAsia="cs-CZ"/>
        </w:rPr>
        <w:t>Výroba ostatních výrobků získaných jednostupňovým zpracováním oceli</w:t>
      </w:r>
    </w:p>
    <w:p w14:paraId="010F44E1" w14:textId="15469869" w:rsidR="00422D2C" w:rsidRPr="00345225" w:rsidRDefault="00422D2C" w:rsidP="00C72D90">
      <w:pPr>
        <w:pStyle w:val="Bezmezer1"/>
        <w:spacing w:before="40" w:after="40" w:line="360" w:lineRule="auto"/>
        <w:ind w:left="708" w:firstLine="708"/>
        <w:jc w:val="both"/>
        <w:rPr>
          <w:rFonts w:asciiTheme="minorHAnsi" w:hAnsiTheme="minorHAnsi"/>
          <w:lang w:eastAsia="cs-CZ"/>
        </w:rPr>
      </w:pPr>
      <w:r w:rsidRPr="00345225">
        <w:rPr>
          <w:rFonts w:asciiTheme="minorHAnsi" w:hAnsiTheme="minorHAnsi"/>
          <w:lang w:eastAsia="cs-CZ"/>
        </w:rPr>
        <w:t>24.4</w:t>
      </w:r>
      <w:r w:rsidR="00967ECF">
        <w:rPr>
          <w:rFonts w:asciiTheme="minorHAnsi" w:hAnsiTheme="minorHAnsi"/>
          <w:lang w:eastAsia="cs-CZ"/>
        </w:rPr>
        <w:tab/>
      </w:r>
      <w:r w:rsidRPr="00345225">
        <w:rPr>
          <w:rFonts w:asciiTheme="minorHAnsi" w:hAnsiTheme="minorHAnsi"/>
          <w:lang w:eastAsia="cs-CZ"/>
        </w:rPr>
        <w:t>Výroba a hutní zpracování drahých a neželezných kovů</w:t>
      </w:r>
    </w:p>
    <w:p w14:paraId="41D22A14" w14:textId="6ABA4C59" w:rsidR="00422D2C" w:rsidRPr="00345225" w:rsidRDefault="00422D2C" w:rsidP="00C72D90">
      <w:pPr>
        <w:pStyle w:val="Bezmezer1"/>
        <w:spacing w:before="40" w:after="200" w:line="360" w:lineRule="auto"/>
        <w:ind w:left="708" w:firstLine="708"/>
        <w:jc w:val="both"/>
        <w:rPr>
          <w:rFonts w:asciiTheme="minorHAnsi" w:hAnsiTheme="minorHAnsi"/>
          <w:lang w:eastAsia="cs-CZ"/>
        </w:rPr>
      </w:pPr>
      <w:r w:rsidRPr="00345225">
        <w:rPr>
          <w:rFonts w:asciiTheme="minorHAnsi" w:hAnsiTheme="minorHAnsi"/>
          <w:lang w:eastAsia="cs-CZ"/>
        </w:rPr>
        <w:t>24.5</w:t>
      </w:r>
      <w:r w:rsidR="00967ECF">
        <w:rPr>
          <w:rFonts w:asciiTheme="minorHAnsi" w:hAnsiTheme="minorHAnsi"/>
          <w:lang w:eastAsia="cs-CZ"/>
        </w:rPr>
        <w:tab/>
      </w:r>
      <w:r w:rsidRPr="00345225">
        <w:rPr>
          <w:rFonts w:asciiTheme="minorHAnsi" w:hAnsiTheme="minorHAnsi"/>
          <w:lang w:eastAsia="cs-CZ"/>
        </w:rPr>
        <w:t>Slévárenství</w:t>
      </w:r>
    </w:p>
    <w:p w14:paraId="36A51FE7" w14:textId="7455BFBA" w:rsidR="00422D2C" w:rsidRPr="00345225" w:rsidRDefault="00422D2C" w:rsidP="00C72D90">
      <w:pPr>
        <w:pStyle w:val="Bezmezer1"/>
        <w:spacing w:before="120" w:after="40" w:line="360" w:lineRule="auto"/>
        <w:jc w:val="both"/>
        <w:rPr>
          <w:rFonts w:asciiTheme="minorHAnsi" w:hAnsiTheme="minorHAnsi"/>
          <w:b/>
          <w:lang w:eastAsia="cs-CZ"/>
        </w:rPr>
      </w:pPr>
      <w:r>
        <w:rPr>
          <w:rFonts w:asciiTheme="minorHAnsi" w:hAnsiTheme="minorHAnsi"/>
          <w:b/>
          <w:lang w:eastAsia="cs-CZ"/>
        </w:rPr>
        <w:t>Návazné CZ</w:t>
      </w:r>
      <w:r w:rsidRPr="00345225">
        <w:rPr>
          <w:rFonts w:asciiTheme="minorHAnsi" w:hAnsiTheme="minorHAnsi"/>
          <w:b/>
          <w:lang w:eastAsia="cs-CZ"/>
        </w:rPr>
        <w:t xml:space="preserve"> NACE, funkční vazby</w:t>
      </w:r>
    </w:p>
    <w:p w14:paraId="77C5AFAA" w14:textId="77777777" w:rsidR="00422D2C" w:rsidRPr="00345225" w:rsidRDefault="00422D2C" w:rsidP="00C72D90">
      <w:pPr>
        <w:pStyle w:val="Bezmezer1"/>
        <w:spacing w:before="40" w:after="40" w:line="360" w:lineRule="auto"/>
        <w:jc w:val="both"/>
        <w:rPr>
          <w:rFonts w:asciiTheme="minorHAnsi" w:hAnsiTheme="minorHAnsi"/>
          <w:b/>
          <w:lang w:eastAsia="cs-CZ"/>
        </w:rPr>
      </w:pPr>
      <w:r w:rsidRPr="00345225">
        <w:rPr>
          <w:rFonts w:asciiTheme="minorHAnsi" w:hAnsiTheme="minorHAnsi"/>
          <w:b/>
          <w:lang w:eastAsia="cs-CZ"/>
        </w:rPr>
        <w:t>Vstupy</w:t>
      </w:r>
    </w:p>
    <w:p w14:paraId="75F10949" w14:textId="21BC4502" w:rsidR="00422D2C" w:rsidRPr="00345225" w:rsidRDefault="00422D2C" w:rsidP="00C72D90">
      <w:pPr>
        <w:pStyle w:val="Bezmezer1"/>
        <w:spacing w:before="40" w:after="40" w:line="360" w:lineRule="auto"/>
        <w:ind w:firstLine="708"/>
        <w:jc w:val="both"/>
        <w:rPr>
          <w:rFonts w:asciiTheme="minorHAnsi" w:hAnsiTheme="minorHAnsi"/>
          <w:lang w:eastAsia="cs-CZ"/>
        </w:rPr>
      </w:pPr>
      <w:r w:rsidRPr="00345225">
        <w:rPr>
          <w:rFonts w:asciiTheme="minorHAnsi" w:hAnsiTheme="minorHAnsi"/>
          <w:lang w:eastAsia="cs-CZ"/>
        </w:rPr>
        <w:t>07</w:t>
      </w:r>
      <w:r w:rsidR="00967ECF">
        <w:rPr>
          <w:rFonts w:asciiTheme="minorHAnsi" w:hAnsiTheme="minorHAnsi"/>
          <w:lang w:eastAsia="cs-CZ"/>
        </w:rPr>
        <w:tab/>
      </w:r>
      <w:r w:rsidRPr="00345225">
        <w:rPr>
          <w:rFonts w:asciiTheme="minorHAnsi" w:hAnsiTheme="minorHAnsi"/>
          <w:lang w:eastAsia="cs-CZ"/>
        </w:rPr>
        <w:t>Těžba a úprava rud</w:t>
      </w:r>
    </w:p>
    <w:p w14:paraId="3AFE3187" w14:textId="5509589F" w:rsidR="00422D2C" w:rsidRPr="00345225" w:rsidRDefault="00422D2C" w:rsidP="00C72D90">
      <w:pPr>
        <w:pStyle w:val="Bezmezer1"/>
        <w:spacing w:before="40" w:after="40" w:line="360" w:lineRule="auto"/>
        <w:ind w:firstLine="708"/>
        <w:jc w:val="both"/>
        <w:rPr>
          <w:rFonts w:asciiTheme="minorHAnsi" w:hAnsiTheme="minorHAnsi"/>
          <w:lang w:eastAsia="cs-CZ"/>
        </w:rPr>
      </w:pPr>
      <w:r w:rsidRPr="00345225">
        <w:rPr>
          <w:rFonts w:asciiTheme="minorHAnsi" w:hAnsiTheme="minorHAnsi"/>
          <w:lang w:eastAsia="cs-CZ"/>
        </w:rPr>
        <w:t>24</w:t>
      </w:r>
      <w:r w:rsidR="00967ECF">
        <w:rPr>
          <w:rFonts w:asciiTheme="minorHAnsi" w:hAnsiTheme="minorHAnsi"/>
          <w:b/>
          <w:lang w:eastAsia="cs-CZ"/>
        </w:rPr>
        <w:tab/>
      </w:r>
      <w:r w:rsidRPr="00345225">
        <w:rPr>
          <w:rFonts w:asciiTheme="minorHAnsi" w:hAnsiTheme="minorHAnsi"/>
          <w:lang w:eastAsia="cs-CZ"/>
        </w:rPr>
        <w:t>Výroba základních kovů, hutní zpracování kovů; slévárenství</w:t>
      </w:r>
    </w:p>
    <w:p w14:paraId="44BED332" w14:textId="3AF73C2E" w:rsidR="00422D2C" w:rsidRPr="00345225" w:rsidRDefault="00422D2C" w:rsidP="00C72D90">
      <w:pPr>
        <w:pStyle w:val="Bezmezer1"/>
        <w:spacing w:before="40" w:after="40" w:line="360" w:lineRule="auto"/>
        <w:ind w:firstLine="708"/>
        <w:jc w:val="both"/>
        <w:rPr>
          <w:rFonts w:asciiTheme="minorHAnsi" w:hAnsiTheme="minorHAnsi"/>
          <w:lang w:eastAsia="cs-CZ"/>
        </w:rPr>
      </w:pPr>
      <w:r w:rsidRPr="00345225">
        <w:rPr>
          <w:rFonts w:asciiTheme="minorHAnsi" w:hAnsiTheme="minorHAnsi"/>
          <w:lang w:eastAsia="cs-CZ"/>
        </w:rPr>
        <w:t>25</w:t>
      </w:r>
      <w:r w:rsidR="00967ECF">
        <w:rPr>
          <w:rFonts w:asciiTheme="minorHAnsi" w:hAnsiTheme="minorHAnsi"/>
          <w:lang w:eastAsia="cs-CZ"/>
        </w:rPr>
        <w:tab/>
      </w:r>
      <w:r w:rsidRPr="00345225">
        <w:rPr>
          <w:rFonts w:asciiTheme="minorHAnsi" w:hAnsiTheme="minorHAnsi"/>
          <w:lang w:eastAsia="cs-CZ"/>
        </w:rPr>
        <w:t>Výroba kov. konstrukcí a kovodělných výrobků, kromě strojů a</w:t>
      </w:r>
      <w:r>
        <w:rPr>
          <w:rFonts w:asciiTheme="minorHAnsi" w:hAnsiTheme="minorHAnsi"/>
          <w:lang w:eastAsia="cs-CZ"/>
        </w:rPr>
        <w:t> </w:t>
      </w:r>
      <w:r w:rsidRPr="00345225">
        <w:rPr>
          <w:rFonts w:asciiTheme="minorHAnsi" w:hAnsiTheme="minorHAnsi"/>
          <w:lang w:eastAsia="cs-CZ"/>
        </w:rPr>
        <w:t>zařízení</w:t>
      </w:r>
    </w:p>
    <w:p w14:paraId="65AD967B" w14:textId="77777777" w:rsidR="00BA075B" w:rsidRDefault="00BA075B" w:rsidP="00C72D90">
      <w:pPr>
        <w:pStyle w:val="Bezmezer1"/>
        <w:spacing w:before="40" w:after="40" w:line="360" w:lineRule="auto"/>
        <w:jc w:val="both"/>
        <w:rPr>
          <w:rFonts w:asciiTheme="minorHAnsi" w:hAnsiTheme="minorHAnsi"/>
          <w:b/>
          <w:lang w:eastAsia="cs-CZ"/>
        </w:rPr>
      </w:pPr>
    </w:p>
    <w:p w14:paraId="67B9061F" w14:textId="77777777" w:rsidR="00422D2C" w:rsidRPr="00345225" w:rsidRDefault="00422D2C" w:rsidP="00C72D90">
      <w:pPr>
        <w:pStyle w:val="Bezmezer1"/>
        <w:spacing w:before="40" w:after="40" w:line="360" w:lineRule="auto"/>
        <w:jc w:val="both"/>
        <w:rPr>
          <w:rFonts w:asciiTheme="minorHAnsi" w:hAnsiTheme="minorHAnsi"/>
          <w:b/>
          <w:lang w:eastAsia="cs-CZ"/>
        </w:rPr>
      </w:pPr>
      <w:r w:rsidRPr="00345225">
        <w:rPr>
          <w:rFonts w:asciiTheme="minorHAnsi" w:hAnsiTheme="minorHAnsi"/>
          <w:b/>
          <w:lang w:eastAsia="cs-CZ"/>
        </w:rPr>
        <w:t>Výstupy</w:t>
      </w:r>
    </w:p>
    <w:p w14:paraId="402CAEC0" w14:textId="74AA4EE3" w:rsidR="00422D2C" w:rsidRPr="00345225" w:rsidRDefault="00422D2C" w:rsidP="00C72D90">
      <w:pPr>
        <w:pStyle w:val="Bezmezer1"/>
        <w:spacing w:before="40" w:after="40" w:line="360" w:lineRule="auto"/>
        <w:ind w:firstLine="708"/>
        <w:jc w:val="both"/>
        <w:rPr>
          <w:rFonts w:asciiTheme="minorHAnsi" w:hAnsiTheme="minorHAnsi"/>
          <w:lang w:eastAsia="cs-CZ"/>
        </w:rPr>
      </w:pPr>
      <w:r w:rsidRPr="00345225">
        <w:rPr>
          <w:rFonts w:asciiTheme="minorHAnsi" w:hAnsiTheme="minorHAnsi"/>
          <w:lang w:eastAsia="cs-CZ"/>
        </w:rPr>
        <w:t>24</w:t>
      </w:r>
      <w:r w:rsidR="00967ECF">
        <w:rPr>
          <w:rFonts w:asciiTheme="minorHAnsi" w:hAnsiTheme="minorHAnsi"/>
          <w:b/>
          <w:lang w:eastAsia="cs-CZ"/>
        </w:rPr>
        <w:tab/>
      </w:r>
      <w:r w:rsidRPr="00345225">
        <w:rPr>
          <w:rFonts w:asciiTheme="minorHAnsi" w:hAnsiTheme="minorHAnsi"/>
          <w:lang w:eastAsia="cs-CZ"/>
        </w:rPr>
        <w:t>Výroba základních kovů, hutní zpracování kovů; slévárenství</w:t>
      </w:r>
    </w:p>
    <w:p w14:paraId="0D38CD47" w14:textId="7AB61F98" w:rsidR="00422D2C" w:rsidRPr="00345225" w:rsidRDefault="00422D2C" w:rsidP="00C72D90">
      <w:pPr>
        <w:pStyle w:val="Bezmezer1"/>
        <w:spacing w:before="40" w:after="40" w:line="360" w:lineRule="auto"/>
        <w:ind w:firstLine="708"/>
        <w:jc w:val="both"/>
        <w:rPr>
          <w:rFonts w:asciiTheme="minorHAnsi" w:hAnsiTheme="minorHAnsi"/>
          <w:lang w:eastAsia="cs-CZ"/>
        </w:rPr>
      </w:pPr>
      <w:r w:rsidRPr="00345225">
        <w:rPr>
          <w:rFonts w:asciiTheme="minorHAnsi" w:hAnsiTheme="minorHAnsi"/>
          <w:lang w:eastAsia="cs-CZ"/>
        </w:rPr>
        <w:t>25</w:t>
      </w:r>
      <w:r w:rsidR="00967ECF">
        <w:rPr>
          <w:rFonts w:asciiTheme="minorHAnsi" w:hAnsiTheme="minorHAnsi"/>
          <w:lang w:eastAsia="cs-CZ"/>
        </w:rPr>
        <w:tab/>
      </w:r>
      <w:r w:rsidRPr="00345225">
        <w:rPr>
          <w:rFonts w:asciiTheme="minorHAnsi" w:hAnsiTheme="minorHAnsi"/>
          <w:lang w:eastAsia="cs-CZ"/>
        </w:rPr>
        <w:t>Výroba kov. konstrukcí a kovodělných výrobků, kromě strojů a</w:t>
      </w:r>
      <w:r>
        <w:rPr>
          <w:rFonts w:asciiTheme="minorHAnsi" w:hAnsiTheme="minorHAnsi"/>
          <w:lang w:eastAsia="cs-CZ"/>
        </w:rPr>
        <w:t> </w:t>
      </w:r>
      <w:r w:rsidRPr="00345225">
        <w:rPr>
          <w:rFonts w:asciiTheme="minorHAnsi" w:hAnsiTheme="minorHAnsi"/>
          <w:lang w:eastAsia="cs-CZ"/>
        </w:rPr>
        <w:t>zařízení</w:t>
      </w:r>
    </w:p>
    <w:p w14:paraId="5727C1E2" w14:textId="36033D7F" w:rsidR="00422D2C" w:rsidRPr="00345225" w:rsidRDefault="00422D2C" w:rsidP="00C72D90">
      <w:pPr>
        <w:pStyle w:val="Bezmezer1"/>
        <w:spacing w:before="40" w:after="40" w:line="360" w:lineRule="auto"/>
        <w:ind w:firstLine="708"/>
        <w:jc w:val="both"/>
        <w:rPr>
          <w:rFonts w:asciiTheme="minorHAnsi" w:hAnsiTheme="minorHAnsi"/>
          <w:lang w:eastAsia="cs-CZ"/>
        </w:rPr>
      </w:pPr>
      <w:r w:rsidRPr="00345225">
        <w:rPr>
          <w:rFonts w:asciiTheme="minorHAnsi" w:hAnsiTheme="minorHAnsi"/>
          <w:lang w:eastAsia="cs-CZ"/>
        </w:rPr>
        <w:t>27</w:t>
      </w:r>
      <w:r w:rsidR="00967ECF">
        <w:rPr>
          <w:rFonts w:asciiTheme="minorHAnsi" w:hAnsiTheme="minorHAnsi"/>
          <w:lang w:eastAsia="cs-CZ"/>
        </w:rPr>
        <w:tab/>
      </w:r>
      <w:r w:rsidRPr="00345225">
        <w:rPr>
          <w:rFonts w:asciiTheme="minorHAnsi" w:hAnsiTheme="minorHAnsi"/>
          <w:lang w:eastAsia="cs-CZ"/>
        </w:rPr>
        <w:t>Výroba el. zařízení</w:t>
      </w:r>
    </w:p>
    <w:p w14:paraId="2B45D192" w14:textId="7F371C35" w:rsidR="00422D2C" w:rsidRPr="00345225" w:rsidRDefault="00422D2C" w:rsidP="00C72D90">
      <w:pPr>
        <w:pStyle w:val="Bezmezer1"/>
        <w:spacing w:before="40" w:after="40" w:line="360" w:lineRule="auto"/>
        <w:ind w:firstLine="708"/>
        <w:jc w:val="both"/>
        <w:rPr>
          <w:rFonts w:asciiTheme="minorHAnsi" w:hAnsiTheme="minorHAnsi"/>
          <w:lang w:eastAsia="cs-CZ"/>
        </w:rPr>
      </w:pPr>
      <w:r w:rsidRPr="00345225">
        <w:rPr>
          <w:rFonts w:asciiTheme="minorHAnsi" w:hAnsiTheme="minorHAnsi"/>
          <w:lang w:eastAsia="cs-CZ"/>
        </w:rPr>
        <w:t>28</w:t>
      </w:r>
      <w:r w:rsidR="00967ECF">
        <w:rPr>
          <w:rFonts w:asciiTheme="minorHAnsi" w:hAnsiTheme="minorHAnsi"/>
          <w:lang w:eastAsia="cs-CZ"/>
        </w:rPr>
        <w:tab/>
      </w:r>
      <w:r w:rsidRPr="00345225">
        <w:rPr>
          <w:rFonts w:asciiTheme="minorHAnsi" w:hAnsiTheme="minorHAnsi"/>
          <w:lang w:eastAsia="cs-CZ"/>
        </w:rPr>
        <w:t>Výroba strojů a zařízení j. n.</w:t>
      </w:r>
    </w:p>
    <w:p w14:paraId="3085990B" w14:textId="01BED6B5" w:rsidR="00422D2C" w:rsidRDefault="00422D2C" w:rsidP="00C72D90">
      <w:pPr>
        <w:pStyle w:val="Bezmezer1"/>
        <w:spacing w:before="40" w:after="200" w:line="360" w:lineRule="auto"/>
        <w:ind w:firstLine="708"/>
        <w:jc w:val="both"/>
        <w:rPr>
          <w:rFonts w:asciiTheme="minorHAnsi" w:hAnsiTheme="minorHAnsi" w:cs="Arial"/>
          <w:color w:val="000000"/>
          <w:sz w:val="20"/>
          <w:szCs w:val="20"/>
          <w:lang w:eastAsia="cs-CZ"/>
        </w:rPr>
      </w:pPr>
      <w:r w:rsidRPr="00345225">
        <w:rPr>
          <w:rFonts w:asciiTheme="minorHAnsi" w:hAnsiTheme="minorHAnsi" w:cs="Arial"/>
          <w:color w:val="000000"/>
          <w:sz w:val="20"/>
          <w:szCs w:val="20"/>
          <w:lang w:eastAsia="cs-CZ"/>
        </w:rPr>
        <w:t>72</w:t>
      </w:r>
      <w:r w:rsidR="00967ECF">
        <w:rPr>
          <w:rFonts w:asciiTheme="minorHAnsi" w:hAnsiTheme="minorHAnsi" w:cs="Arial"/>
          <w:color w:val="000000"/>
          <w:sz w:val="20"/>
          <w:szCs w:val="20"/>
          <w:lang w:eastAsia="cs-CZ"/>
        </w:rPr>
        <w:tab/>
      </w:r>
      <w:r w:rsidRPr="00345225">
        <w:rPr>
          <w:rFonts w:asciiTheme="minorHAnsi" w:hAnsiTheme="minorHAnsi" w:cs="Arial"/>
          <w:color w:val="000000"/>
          <w:sz w:val="20"/>
          <w:szCs w:val="20"/>
          <w:lang w:eastAsia="cs-CZ"/>
        </w:rPr>
        <w:t>Výzkum a vývoj</w:t>
      </w:r>
    </w:p>
    <w:p w14:paraId="187B18FA" w14:textId="5A1FBC05" w:rsidR="00C22867" w:rsidRDefault="00C22867">
      <w:pPr>
        <w:spacing w:after="200" w:line="276" w:lineRule="auto"/>
        <w:rPr>
          <w:rFonts w:eastAsia="Times New Roman" w:cs="Arial"/>
          <w:color w:val="000000"/>
          <w:sz w:val="20"/>
          <w:szCs w:val="20"/>
          <w:lang w:eastAsia="cs-CZ"/>
        </w:rPr>
      </w:pPr>
      <w:r>
        <w:rPr>
          <w:rFonts w:cs="Arial"/>
          <w:color w:val="000000"/>
          <w:sz w:val="20"/>
          <w:szCs w:val="20"/>
          <w:lang w:eastAsia="cs-CZ"/>
        </w:rPr>
        <w:br w:type="page"/>
      </w:r>
    </w:p>
    <w:p w14:paraId="6B10723F" w14:textId="4A511AE3" w:rsidR="00422D2C" w:rsidRDefault="00967ECF" w:rsidP="00967ECF">
      <w:pPr>
        <w:pStyle w:val="Nadpis4"/>
        <w:spacing w:line="360" w:lineRule="auto"/>
      </w:pPr>
      <w:bookmarkStart w:id="255" w:name="_Toc525716279"/>
      <w:r>
        <w:t>Průmyslová chemie</w:t>
      </w:r>
      <w:bookmarkEnd w:id="255"/>
    </w:p>
    <w:p w14:paraId="16317AD3" w14:textId="03493A65" w:rsidR="00967ECF" w:rsidRPr="00967ECF" w:rsidRDefault="00967ECF" w:rsidP="00543C1B">
      <w:pPr>
        <w:pStyle w:val="Odstavecseseznamem"/>
        <w:numPr>
          <w:ilvl w:val="0"/>
          <w:numId w:val="129"/>
        </w:numPr>
        <w:spacing w:line="360" w:lineRule="auto"/>
        <w:rPr>
          <w:u w:val="single"/>
        </w:rPr>
      </w:pPr>
      <w:r w:rsidRPr="00967ECF">
        <w:rPr>
          <w:u w:val="single"/>
        </w:rPr>
        <w:t>Témata VaVaI identifikovaná prostřednictvím EDP:</w:t>
      </w:r>
    </w:p>
    <w:p w14:paraId="40A6DFF5" w14:textId="77777777" w:rsidR="00967ECF" w:rsidRPr="00967ECF" w:rsidRDefault="00967ECF" w:rsidP="00543C1B">
      <w:pPr>
        <w:pStyle w:val="Odstavecseseznamem"/>
        <w:numPr>
          <w:ilvl w:val="0"/>
          <w:numId w:val="130"/>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b/>
          <w:lang w:eastAsia="cs-CZ"/>
        </w:rPr>
        <w:t>Pokročilé výrobní technologie</w:t>
      </w:r>
    </w:p>
    <w:p w14:paraId="5CEAA107"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Times New Roman" w:hAnsi="Calibri" w:cs="Times New Roman"/>
          <w:lang w:eastAsia="cs-CZ"/>
        </w:rPr>
        <w:t xml:space="preserve">recyklační technologie pro cirkulární ekonomiku, např. nové technologie pro </w:t>
      </w:r>
      <w:r w:rsidRPr="00967ECF">
        <w:rPr>
          <w:rFonts w:ascii="Calibri" w:eastAsia="Calibri" w:hAnsi="Calibri" w:cs="Times New Roman"/>
        </w:rPr>
        <w:t>recyklace plastů či fotovoltaických článků a baterií</w:t>
      </w:r>
    </w:p>
    <w:p w14:paraId="30308061"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úspory surovin a energií ve výrobních technologiích</w:t>
      </w:r>
    </w:p>
    <w:p w14:paraId="4FB9E639"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úspory, čištění a recyklace vody</w:t>
      </w:r>
    </w:p>
    <w:p w14:paraId="29C20282" w14:textId="77777777" w:rsidR="00967ECF" w:rsidRPr="00967ECF" w:rsidRDefault="00967ECF" w:rsidP="00543C1B">
      <w:pPr>
        <w:numPr>
          <w:ilvl w:val="1"/>
          <w:numId w:val="93"/>
        </w:numPr>
        <w:autoSpaceDE w:val="0"/>
        <w:autoSpaceDN w:val="0"/>
        <w:adjustRightInd w:val="0"/>
        <w:spacing w:before="120" w:after="120" w:line="360" w:lineRule="auto"/>
        <w:jc w:val="both"/>
        <w:rPr>
          <w:rFonts w:ascii="Calibri" w:eastAsia="Calibri" w:hAnsi="Calibri" w:cs="Times New Roman"/>
        </w:rPr>
      </w:pPr>
      <w:r w:rsidRPr="00967ECF">
        <w:rPr>
          <w:rFonts w:ascii="Calibri" w:eastAsia="Times New Roman" w:hAnsi="Calibri" w:cs="Times New Roman"/>
          <w:lang w:eastAsia="cs-CZ"/>
        </w:rPr>
        <w:t>snižování emisí plynných polutantů do ovzduší, včetně emisí CO</w:t>
      </w:r>
      <w:r w:rsidRPr="00967ECF">
        <w:rPr>
          <w:rFonts w:ascii="Calibri" w:eastAsia="Times New Roman" w:hAnsi="Calibri" w:cs="Times New Roman"/>
          <w:vertAlign w:val="subscript"/>
          <w:lang w:eastAsia="cs-CZ"/>
        </w:rPr>
        <w:t>2</w:t>
      </w:r>
      <w:r w:rsidRPr="00967ECF">
        <w:rPr>
          <w:rFonts w:ascii="Calibri" w:eastAsia="Times New Roman" w:hAnsi="Calibri" w:cs="Times New Roman"/>
          <w:lang w:eastAsia="cs-CZ"/>
        </w:rPr>
        <w:t xml:space="preserve">, např. </w:t>
      </w:r>
      <w:r w:rsidRPr="00967ECF">
        <w:rPr>
          <w:rFonts w:ascii="Calibri" w:eastAsia="Calibri" w:hAnsi="Calibri" w:cs="Times New Roman"/>
        </w:rPr>
        <w:t>výzkum vysokoteplotní absorpce CO</w:t>
      </w:r>
      <w:r w:rsidRPr="00967ECF">
        <w:rPr>
          <w:rFonts w:ascii="Calibri" w:eastAsia="Calibri" w:hAnsi="Calibri" w:cs="Times New Roman"/>
          <w:vertAlign w:val="subscript"/>
        </w:rPr>
        <w:t>2</w:t>
      </w:r>
      <w:r w:rsidRPr="00967ECF">
        <w:rPr>
          <w:rFonts w:ascii="Calibri" w:eastAsia="Calibri" w:hAnsi="Calibri" w:cs="Times New Roman"/>
        </w:rPr>
        <w:t xml:space="preserve"> ze spalin s využitím karbonátové smyčky</w:t>
      </w:r>
    </w:p>
    <w:p w14:paraId="12E6FAFD"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Průmysl 4.0</w:t>
      </w:r>
    </w:p>
    <w:p w14:paraId="42377382"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inovativní způsoby výroby vodíku s využitím obnovitelných a udržitelných zdrojů energie (fotovoltaika, jaderná energetika)</w:t>
      </w:r>
    </w:p>
    <w:p w14:paraId="64571386"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zavedení nových reaktorových technologií, jako jsou mikrostrukturní reaktory, nabízející vyšší účinnost, kontinuální režim, bezpečný provoz a snížení nákladů</w:t>
      </w:r>
    </w:p>
    <w:p w14:paraId="7B94D896" w14:textId="77777777" w:rsidR="00967ECF" w:rsidRPr="00967ECF" w:rsidRDefault="00967ECF" w:rsidP="00543C1B">
      <w:pPr>
        <w:numPr>
          <w:ilvl w:val="1"/>
          <w:numId w:val="93"/>
        </w:numPr>
        <w:autoSpaceDE w:val="0"/>
        <w:autoSpaceDN w:val="0"/>
        <w:adjustRightInd w:val="0"/>
        <w:spacing w:before="120" w:after="120" w:line="360" w:lineRule="auto"/>
        <w:jc w:val="both"/>
        <w:rPr>
          <w:rFonts w:ascii="Calibri" w:eastAsia="Calibri" w:hAnsi="Calibri" w:cs="Times New Roman"/>
        </w:rPr>
      </w:pPr>
      <w:r w:rsidRPr="00967ECF">
        <w:rPr>
          <w:rFonts w:ascii="Calibri" w:eastAsia="Calibri" w:hAnsi="Calibri" w:cs="Times New Roman"/>
        </w:rPr>
        <w:t>vývoj mikroreaktorových technologií pro vysoce rizikové hořlavé, explosivní či toxické reaktanty</w:t>
      </w:r>
    </w:p>
    <w:p w14:paraId="1845FBB0"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výzkum povlakových technologií se specializací zejména na automobilový průmysl a výrobu dopravních prostředků</w:t>
      </w:r>
    </w:p>
    <w:p w14:paraId="4FD558E4"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moderní reaktory pro rafinerské technologie</w:t>
      </w:r>
    </w:p>
    <w:p w14:paraId="46C00762"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vývoj technologií pro velkokapacitní přípravu grafenu</w:t>
      </w:r>
    </w:p>
    <w:p w14:paraId="4FE80B4C"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řešení membránových separací plynů, zejména z bioplynu</w:t>
      </w:r>
    </w:p>
    <w:p w14:paraId="14065481"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 xml:space="preserve">efektivní způsob výroby komoditních produktů, například hnědouhelný generátorový dehet, fenolový koncentrát, kapalný čpavek a kyselina sírová </w:t>
      </w:r>
    </w:p>
    <w:p w14:paraId="51E48FEF"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efektivní způsob výroby paliv pro motorová vozidla</w:t>
      </w:r>
    </w:p>
    <w:p w14:paraId="4872B112" w14:textId="77777777" w:rsidR="00967ECF" w:rsidRPr="00967ECF" w:rsidRDefault="00967ECF" w:rsidP="00543C1B">
      <w:pPr>
        <w:pStyle w:val="Odstavecseseznamem"/>
        <w:numPr>
          <w:ilvl w:val="0"/>
          <w:numId w:val="130"/>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b/>
          <w:lang w:eastAsia="cs-CZ"/>
        </w:rPr>
        <w:t>Pokročilé materiály</w:t>
      </w:r>
    </w:p>
    <w:p w14:paraId="72FFD2EE" w14:textId="77777777" w:rsidR="00967ECF" w:rsidRPr="00967ECF" w:rsidRDefault="00967ECF" w:rsidP="00967ECF">
      <w:pPr>
        <w:spacing w:before="120" w:after="120" w:line="360" w:lineRule="auto"/>
        <w:ind w:left="709"/>
        <w:jc w:val="both"/>
        <w:rPr>
          <w:rFonts w:ascii="Calibri" w:eastAsia="Times New Roman" w:hAnsi="Calibri" w:cs="Times New Roman"/>
          <w:i/>
          <w:lang w:eastAsia="cs-CZ"/>
        </w:rPr>
      </w:pPr>
      <w:r w:rsidRPr="00967ECF">
        <w:rPr>
          <w:rFonts w:ascii="Calibri" w:eastAsia="Times New Roman" w:hAnsi="Calibri" w:cs="Times New Roman"/>
          <w:i/>
          <w:lang w:eastAsia="cs-CZ"/>
        </w:rPr>
        <w:t>Moderní plasty</w:t>
      </w:r>
    </w:p>
    <w:p w14:paraId="5B4BFB08" w14:textId="77777777" w:rsidR="00967ECF" w:rsidRPr="00967ECF" w:rsidRDefault="00967ECF" w:rsidP="00543C1B">
      <w:pPr>
        <w:pStyle w:val="Odstavecseseznamem"/>
        <w:numPr>
          <w:ilvl w:val="1"/>
          <w:numId w:val="93"/>
        </w:numPr>
        <w:spacing w:after="200" w:line="360" w:lineRule="auto"/>
        <w:rPr>
          <w:rFonts w:ascii="Calibri" w:eastAsia="Calibri" w:hAnsi="Calibri" w:cs="Times New Roman"/>
          <w:bCs/>
        </w:rPr>
      </w:pPr>
      <w:r w:rsidRPr="00967ECF">
        <w:rPr>
          <w:rFonts w:ascii="Calibri" w:eastAsia="Calibri" w:hAnsi="Calibri" w:cs="Times New Roman"/>
          <w:bCs/>
        </w:rPr>
        <w:t xml:space="preserve">materiálový výzkum termoplastů a reaktoplastů, pryže a kompozitních materiálů </w:t>
      </w:r>
    </w:p>
    <w:p w14:paraId="0CEA4471"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bCs/>
        </w:rPr>
        <w:t>výzkum a vývoj nových biopolymerů a jejich modifikace</w:t>
      </w:r>
    </w:p>
    <w:p w14:paraId="1250510F"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bCs/>
        </w:rPr>
        <w:t>výzkum a vývoj technologií pro zpracování bioplastů po skončení jejich životnosti</w:t>
      </w:r>
    </w:p>
    <w:p w14:paraId="2E427428"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bCs/>
        </w:rPr>
        <w:t>studium možností náhrady klasických (kovových) materiálů pomocí kompozitů s vlastnostmi upravenými na míru</w:t>
      </w:r>
    </w:p>
    <w:p w14:paraId="466EF5DA"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výzkum a vývoj kaskádové polymerační technologie pro přípravu multi-modálních polymerů (PE, PP) pro výrobu moderních obalových materiálů</w:t>
      </w:r>
    </w:p>
    <w:p w14:paraId="29DA8570"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 xml:space="preserve">výzkum a vývoj </w:t>
      </w:r>
      <w:r w:rsidRPr="00967ECF">
        <w:rPr>
          <w:rFonts w:ascii="Calibri" w:eastAsia="Times New Roman" w:hAnsi="Calibri" w:cs="Times New Roman"/>
          <w:bCs/>
          <w:lang w:eastAsia="cs-CZ"/>
        </w:rPr>
        <w:t>biodegradabilních polymerů</w:t>
      </w:r>
    </w:p>
    <w:p w14:paraId="3F3DD9FA"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bCs/>
          <w:lang w:eastAsia="cs-CZ"/>
        </w:rPr>
        <w:t>výzkum a vývoj termoplastů a reaktoplastů se sníženou hořlavostí</w:t>
      </w:r>
    </w:p>
    <w:p w14:paraId="42E01FD1"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výzkum a vývoj tzv. samoorganizovatelných kompozitních materiálů a „chytrých povrchů“</w:t>
      </w:r>
    </w:p>
    <w:p w14:paraId="2B316028"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nové využití syntetických pryskyřic</w:t>
      </w:r>
    </w:p>
    <w:p w14:paraId="2042A019" w14:textId="77777777" w:rsidR="00967ECF" w:rsidRPr="00967ECF" w:rsidRDefault="00967ECF" w:rsidP="00967ECF">
      <w:pPr>
        <w:spacing w:before="120" w:after="120" w:line="360" w:lineRule="auto"/>
        <w:rPr>
          <w:rFonts w:ascii="Calibri" w:eastAsia="Calibri" w:hAnsi="Calibri" w:cs="Times New Roman"/>
        </w:rPr>
      </w:pPr>
    </w:p>
    <w:p w14:paraId="37049016" w14:textId="77777777" w:rsidR="00967ECF" w:rsidRPr="00967ECF" w:rsidRDefault="00967ECF" w:rsidP="00967ECF">
      <w:pPr>
        <w:spacing w:before="120" w:after="120" w:line="360" w:lineRule="auto"/>
        <w:ind w:left="709"/>
        <w:jc w:val="both"/>
        <w:rPr>
          <w:rFonts w:ascii="Calibri" w:eastAsia="Calibri" w:hAnsi="Calibri" w:cs="Times New Roman"/>
          <w:i/>
        </w:rPr>
      </w:pPr>
      <w:r w:rsidRPr="00967ECF">
        <w:rPr>
          <w:rFonts w:ascii="Calibri" w:eastAsia="Times New Roman" w:hAnsi="Calibri" w:cs="Times New Roman"/>
          <w:i/>
          <w:lang w:eastAsia="cs-CZ"/>
        </w:rPr>
        <w:t>Pokročilé</w:t>
      </w:r>
      <w:r w:rsidRPr="00967ECF">
        <w:rPr>
          <w:rFonts w:ascii="Calibri" w:eastAsia="Calibri" w:hAnsi="Calibri" w:cs="Times New Roman"/>
          <w:i/>
        </w:rPr>
        <w:t xml:space="preserve"> </w:t>
      </w:r>
      <w:r w:rsidRPr="00967ECF">
        <w:rPr>
          <w:rFonts w:ascii="Calibri" w:eastAsia="Times New Roman" w:hAnsi="Calibri" w:cs="Times New Roman"/>
          <w:i/>
          <w:lang w:eastAsia="cs-CZ"/>
        </w:rPr>
        <w:t>kovové</w:t>
      </w:r>
      <w:r w:rsidRPr="00967ECF">
        <w:rPr>
          <w:rFonts w:ascii="Calibri" w:eastAsia="Calibri" w:hAnsi="Calibri" w:cs="Times New Roman"/>
          <w:i/>
        </w:rPr>
        <w:t xml:space="preserve"> </w:t>
      </w:r>
      <w:r w:rsidRPr="00967ECF">
        <w:rPr>
          <w:rFonts w:ascii="Calibri" w:eastAsia="Times New Roman" w:hAnsi="Calibri" w:cs="Times New Roman"/>
          <w:i/>
          <w:lang w:eastAsia="cs-CZ"/>
        </w:rPr>
        <w:t>materiály</w:t>
      </w:r>
    </w:p>
    <w:p w14:paraId="45186DE4"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 xml:space="preserve">lehké slitiny titanu, hliníku a hořčíku s ultrajemnou strukturou, vysokou pevností a teplotní stabilitou pro použití v </w:t>
      </w:r>
      <w:r w:rsidRPr="00967ECF">
        <w:rPr>
          <w:rFonts w:ascii="Calibri" w:eastAsia="Times New Roman" w:hAnsi="Calibri" w:cs="Times New Roman"/>
          <w:lang w:eastAsia="cs-CZ"/>
        </w:rPr>
        <w:t>letectví</w:t>
      </w:r>
      <w:r w:rsidRPr="00967ECF">
        <w:rPr>
          <w:rFonts w:ascii="Calibri" w:eastAsia="Calibri" w:hAnsi="Calibri" w:cs="Times New Roman"/>
        </w:rPr>
        <w:t xml:space="preserve"> a automobilovém průmyslu</w:t>
      </w:r>
    </w:p>
    <w:p w14:paraId="553C8BC2"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lehké slitiny vyrobené na míru technologiemi 3D tisku</w:t>
      </w:r>
    </w:p>
    <w:p w14:paraId="0ECA79B5"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 xml:space="preserve">vysocepevné oceli pro </w:t>
      </w:r>
      <w:r w:rsidRPr="00967ECF">
        <w:rPr>
          <w:rFonts w:ascii="Calibri" w:eastAsia="Times New Roman" w:hAnsi="Calibri" w:cs="Times New Roman"/>
          <w:lang w:eastAsia="cs-CZ"/>
        </w:rPr>
        <w:t>bezpečnostní</w:t>
      </w:r>
      <w:r w:rsidRPr="00967ECF">
        <w:rPr>
          <w:rFonts w:ascii="Calibri" w:eastAsia="Calibri" w:hAnsi="Calibri" w:cs="Times New Roman"/>
        </w:rPr>
        <w:t xml:space="preserve"> prvky konstrukcí vozidel</w:t>
      </w:r>
    </w:p>
    <w:p w14:paraId="08ABBB45"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 xml:space="preserve">pokročilé protikorozní </w:t>
      </w:r>
      <w:r w:rsidRPr="00967ECF">
        <w:rPr>
          <w:rFonts w:ascii="Calibri" w:eastAsia="Times New Roman" w:hAnsi="Calibri" w:cs="Times New Roman"/>
          <w:lang w:eastAsia="cs-CZ"/>
        </w:rPr>
        <w:t>povrchové</w:t>
      </w:r>
      <w:r w:rsidRPr="00967ECF">
        <w:rPr>
          <w:rFonts w:ascii="Calibri" w:eastAsia="Calibri" w:hAnsi="Calibri" w:cs="Times New Roman"/>
        </w:rPr>
        <w:t xml:space="preserve"> úpravy konstrukcí vozidel</w:t>
      </w:r>
    </w:p>
    <w:p w14:paraId="3F3C077B"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 xml:space="preserve">intermetalika pro </w:t>
      </w:r>
      <w:r w:rsidRPr="00967ECF">
        <w:rPr>
          <w:rFonts w:ascii="Calibri" w:eastAsia="Times New Roman" w:hAnsi="Calibri" w:cs="Times New Roman"/>
          <w:lang w:eastAsia="cs-CZ"/>
        </w:rPr>
        <w:t>aplikace</w:t>
      </w:r>
      <w:r w:rsidRPr="00967ECF">
        <w:rPr>
          <w:rFonts w:ascii="Calibri" w:eastAsia="Calibri" w:hAnsi="Calibri" w:cs="Times New Roman"/>
        </w:rPr>
        <w:t xml:space="preserve"> v extrémních podmínkách (vysoké teploty, agresivní prostředí)</w:t>
      </w:r>
    </w:p>
    <w:p w14:paraId="7CF7C31C"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možnosti náhrad deficitních kovů v náročných aplikacích (např. nástrojové vysokoteplotní materiály)</w:t>
      </w:r>
    </w:p>
    <w:p w14:paraId="480509AC"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Times New Roman" w:hAnsi="Calibri" w:cs="Times New Roman"/>
          <w:lang w:eastAsia="cs-CZ"/>
        </w:rPr>
        <w:t>ekonomické</w:t>
      </w:r>
      <w:r w:rsidRPr="00967ECF">
        <w:rPr>
          <w:rFonts w:ascii="Calibri" w:eastAsia="Calibri" w:hAnsi="Calibri" w:cs="Times New Roman"/>
        </w:rPr>
        <w:t xml:space="preserve"> a ekologické postupy separace lithia a dalších kovů ze surovin a odpadů</w:t>
      </w:r>
    </w:p>
    <w:p w14:paraId="0450F91C"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 xml:space="preserve">kovové biomateriály s vysokými pevnostními vlastnostmi, únavovou životností, korozní </w:t>
      </w:r>
      <w:r w:rsidRPr="00967ECF">
        <w:rPr>
          <w:rFonts w:ascii="Calibri" w:eastAsia="Times New Roman" w:hAnsi="Calibri" w:cs="Times New Roman"/>
          <w:lang w:eastAsia="cs-CZ"/>
        </w:rPr>
        <w:t>odolností</w:t>
      </w:r>
      <w:r w:rsidRPr="00967ECF">
        <w:rPr>
          <w:rFonts w:ascii="Calibri" w:eastAsia="Calibri" w:hAnsi="Calibri" w:cs="Times New Roman"/>
        </w:rPr>
        <w:t>, biokompatibilitou</w:t>
      </w:r>
    </w:p>
    <w:p w14:paraId="317150AF"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 xml:space="preserve">kovové </w:t>
      </w:r>
      <w:r w:rsidRPr="00967ECF">
        <w:rPr>
          <w:rFonts w:ascii="Calibri" w:eastAsia="Times New Roman" w:hAnsi="Calibri" w:cs="Times New Roman"/>
          <w:lang w:eastAsia="cs-CZ"/>
        </w:rPr>
        <w:t>biodegradovatelné</w:t>
      </w:r>
      <w:r w:rsidRPr="00967ECF">
        <w:rPr>
          <w:rFonts w:ascii="Calibri" w:eastAsia="Calibri" w:hAnsi="Calibri" w:cs="Times New Roman"/>
        </w:rPr>
        <w:t xml:space="preserve"> materiály</w:t>
      </w:r>
    </w:p>
    <w:p w14:paraId="6331152D"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porézní, gradientně strukturované biomateriály vyrobené na míru technologiemi 3D tisku</w:t>
      </w:r>
    </w:p>
    <w:p w14:paraId="6D0643C0"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Times New Roman" w:hAnsi="Calibri" w:cs="Times New Roman"/>
          <w:lang w:eastAsia="cs-CZ"/>
        </w:rPr>
        <w:t>pokročilé</w:t>
      </w:r>
      <w:r w:rsidRPr="00967ECF">
        <w:rPr>
          <w:rFonts w:ascii="Calibri" w:eastAsia="Calibri" w:hAnsi="Calibri" w:cs="Times New Roman"/>
        </w:rPr>
        <w:t xml:space="preserve"> povrchové modifikace biomateriálů</w:t>
      </w:r>
    </w:p>
    <w:p w14:paraId="246205E0"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Times New Roman" w:hAnsi="Calibri" w:cs="Times New Roman"/>
          <w:lang w:eastAsia="cs-CZ"/>
        </w:rPr>
        <w:t>pokročilé</w:t>
      </w:r>
      <w:r w:rsidRPr="00967ECF">
        <w:rPr>
          <w:rFonts w:ascii="Calibri" w:eastAsia="Calibri" w:hAnsi="Calibri" w:cs="Times New Roman"/>
        </w:rPr>
        <w:t xml:space="preserve"> vysoce pevné, korozivzdorné, žáruvzdorné a žárupevné materiály pro energetická zařízení</w:t>
      </w:r>
    </w:p>
    <w:p w14:paraId="5F883638"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kovové materiály pro skladování vodíku ve formě hydridových fází</w:t>
      </w:r>
    </w:p>
    <w:p w14:paraId="0794E601" w14:textId="77777777" w:rsidR="00967ECF" w:rsidRPr="00967ECF" w:rsidRDefault="00967ECF" w:rsidP="00967ECF">
      <w:pPr>
        <w:spacing w:before="120" w:after="120" w:line="360" w:lineRule="auto"/>
        <w:rPr>
          <w:rFonts w:ascii="Calibri" w:eastAsia="Calibri" w:hAnsi="Calibri" w:cs="Times New Roman"/>
          <w:i/>
        </w:rPr>
      </w:pPr>
    </w:p>
    <w:p w14:paraId="505D5074" w14:textId="77777777" w:rsidR="00967ECF" w:rsidRPr="00967ECF" w:rsidRDefault="00967ECF" w:rsidP="00967ECF">
      <w:pPr>
        <w:spacing w:before="120" w:after="120" w:line="360" w:lineRule="auto"/>
        <w:ind w:left="709"/>
        <w:jc w:val="both"/>
        <w:rPr>
          <w:rFonts w:ascii="Calibri" w:eastAsia="Times New Roman" w:hAnsi="Calibri" w:cs="Times New Roman"/>
          <w:i/>
          <w:lang w:eastAsia="cs-CZ"/>
        </w:rPr>
      </w:pPr>
      <w:r w:rsidRPr="00967ECF">
        <w:rPr>
          <w:rFonts w:ascii="Calibri" w:eastAsia="Times New Roman" w:hAnsi="Calibri" w:cs="Times New Roman"/>
          <w:i/>
          <w:lang w:eastAsia="cs-CZ"/>
        </w:rPr>
        <w:t>Materiály pro konverzi a skladování energií</w:t>
      </w:r>
    </w:p>
    <w:p w14:paraId="26E44B15" w14:textId="77777777" w:rsidR="00967ECF" w:rsidRPr="00967ECF" w:rsidRDefault="00967ECF" w:rsidP="00543C1B">
      <w:pPr>
        <w:numPr>
          <w:ilvl w:val="1"/>
          <w:numId w:val="93"/>
        </w:numPr>
        <w:spacing w:before="120" w:after="120" w:line="360" w:lineRule="auto"/>
        <w:jc w:val="both"/>
      </w:pPr>
      <w:r w:rsidRPr="00967ECF">
        <w:rPr>
          <w:rFonts w:ascii="Calibri" w:eastAsia="Times New Roman" w:hAnsi="Calibri" w:cs="Times New Roman"/>
          <w:lang w:eastAsia="cs-CZ"/>
        </w:rPr>
        <w:t>elektrody</w:t>
      </w:r>
      <w:r w:rsidRPr="00967ECF">
        <w:t xml:space="preserve"> pro superkapacitory</w:t>
      </w:r>
    </w:p>
    <w:p w14:paraId="1F212F69" w14:textId="77777777" w:rsidR="00967ECF" w:rsidRPr="00967ECF" w:rsidRDefault="00967ECF" w:rsidP="00543C1B">
      <w:pPr>
        <w:numPr>
          <w:ilvl w:val="1"/>
          <w:numId w:val="93"/>
        </w:numPr>
        <w:spacing w:before="120" w:after="120" w:line="360" w:lineRule="auto"/>
        <w:jc w:val="both"/>
      </w:pPr>
      <w:r w:rsidRPr="00967ECF">
        <w:t xml:space="preserve">aktivní </w:t>
      </w:r>
      <w:r w:rsidRPr="00967ECF">
        <w:rPr>
          <w:rFonts w:ascii="Calibri" w:eastAsia="Times New Roman" w:hAnsi="Calibri" w:cs="Times New Roman"/>
          <w:lang w:eastAsia="cs-CZ"/>
        </w:rPr>
        <w:t>hmoty</w:t>
      </w:r>
      <w:r w:rsidRPr="00967ECF">
        <w:t xml:space="preserve"> a elektrody pro bateriové systémy</w:t>
      </w:r>
    </w:p>
    <w:p w14:paraId="57248D42" w14:textId="77777777" w:rsidR="00967ECF" w:rsidRPr="00967ECF" w:rsidRDefault="00967ECF" w:rsidP="00543C1B">
      <w:pPr>
        <w:numPr>
          <w:ilvl w:val="1"/>
          <w:numId w:val="93"/>
        </w:numPr>
        <w:spacing w:before="120" w:after="120" w:line="360" w:lineRule="auto"/>
        <w:jc w:val="both"/>
      </w:pPr>
      <w:r w:rsidRPr="00967ECF">
        <w:t>elektrody pro nízkoteplotní palivové články s nízkým obsahem, či zcela bez platinových kovů</w:t>
      </w:r>
    </w:p>
    <w:p w14:paraId="304C0D12" w14:textId="77777777" w:rsidR="00967ECF" w:rsidRPr="00967ECF" w:rsidRDefault="00967ECF" w:rsidP="00543C1B">
      <w:pPr>
        <w:numPr>
          <w:ilvl w:val="1"/>
          <w:numId w:val="93"/>
        </w:numPr>
        <w:spacing w:before="120" w:after="120" w:line="360" w:lineRule="auto"/>
        <w:jc w:val="both"/>
      </w:pPr>
      <w:r w:rsidRPr="00967ECF">
        <w:rPr>
          <w:rFonts w:ascii="Calibri" w:eastAsia="Times New Roman" w:hAnsi="Calibri" w:cs="Times New Roman"/>
          <w:lang w:eastAsia="cs-CZ"/>
        </w:rPr>
        <w:t>elektrody</w:t>
      </w:r>
      <w:r w:rsidRPr="00967ECF">
        <w:t xml:space="preserve"> pro nízkoteplotní elektrolytický rozklad vody s nízkým obsahem, či bez platinových kovů</w:t>
      </w:r>
    </w:p>
    <w:p w14:paraId="709E3B2F" w14:textId="77777777" w:rsidR="00967ECF" w:rsidRPr="00967ECF" w:rsidRDefault="00967ECF" w:rsidP="00543C1B">
      <w:pPr>
        <w:numPr>
          <w:ilvl w:val="1"/>
          <w:numId w:val="93"/>
        </w:numPr>
        <w:spacing w:before="120" w:after="120" w:line="360" w:lineRule="auto"/>
        <w:jc w:val="both"/>
      </w:pPr>
      <w:r w:rsidRPr="00967ECF">
        <w:rPr>
          <w:rFonts w:ascii="Calibri" w:eastAsia="Times New Roman" w:hAnsi="Calibri" w:cs="Times New Roman"/>
          <w:lang w:eastAsia="cs-CZ"/>
        </w:rPr>
        <w:t>inovativní</w:t>
      </w:r>
      <w:r w:rsidRPr="00967ECF">
        <w:t xml:space="preserve"> polymerní elektrolyty a separátory bez fluorové chemie</w:t>
      </w:r>
    </w:p>
    <w:p w14:paraId="01517D81" w14:textId="77777777" w:rsidR="00967ECF" w:rsidRPr="00967ECF" w:rsidRDefault="00967ECF" w:rsidP="00543C1B">
      <w:pPr>
        <w:numPr>
          <w:ilvl w:val="1"/>
          <w:numId w:val="93"/>
        </w:numPr>
        <w:spacing w:before="120" w:after="120" w:line="360" w:lineRule="auto"/>
        <w:jc w:val="both"/>
      </w:pPr>
      <w:r w:rsidRPr="00967ECF">
        <w:rPr>
          <w:rFonts w:ascii="Calibri" w:eastAsia="Times New Roman" w:hAnsi="Calibri" w:cs="Times New Roman"/>
          <w:lang w:eastAsia="cs-CZ"/>
        </w:rPr>
        <w:t>nízkoteplotní</w:t>
      </w:r>
      <w:r w:rsidRPr="00967ECF">
        <w:t xml:space="preserve"> katody, či homogenní katalyzátory pro účinnou konverzi CO</w:t>
      </w:r>
      <w:r w:rsidRPr="00967ECF">
        <w:rPr>
          <w:vertAlign w:val="subscript"/>
        </w:rPr>
        <w:t>2</w:t>
      </w:r>
    </w:p>
    <w:p w14:paraId="2E48620E" w14:textId="77777777" w:rsidR="00967ECF" w:rsidRPr="00967ECF" w:rsidRDefault="00967ECF" w:rsidP="00543C1B">
      <w:pPr>
        <w:numPr>
          <w:ilvl w:val="1"/>
          <w:numId w:val="93"/>
        </w:numPr>
        <w:spacing w:before="120" w:after="120" w:line="360" w:lineRule="auto"/>
        <w:jc w:val="both"/>
      </w:pPr>
      <w:r w:rsidRPr="00967ECF">
        <w:rPr>
          <w:rFonts w:ascii="Calibri" w:eastAsia="Times New Roman" w:hAnsi="Calibri" w:cs="Times New Roman"/>
          <w:lang w:eastAsia="cs-CZ"/>
        </w:rPr>
        <w:t>vysokoteplotní</w:t>
      </w:r>
      <w:r w:rsidRPr="00967ECF">
        <w:t xml:space="preserve"> keramické membrány a elektrody</w:t>
      </w:r>
    </w:p>
    <w:p w14:paraId="29E682AA" w14:textId="77777777" w:rsidR="00967ECF" w:rsidRPr="00967ECF" w:rsidRDefault="00967ECF" w:rsidP="00543C1B">
      <w:pPr>
        <w:numPr>
          <w:ilvl w:val="1"/>
          <w:numId w:val="93"/>
        </w:numPr>
        <w:spacing w:before="120" w:after="120" w:line="360" w:lineRule="auto"/>
        <w:jc w:val="both"/>
      </w:pPr>
      <w:r w:rsidRPr="00967ECF">
        <w:rPr>
          <w:rFonts w:ascii="Calibri" w:eastAsia="Times New Roman" w:hAnsi="Calibri" w:cs="Times New Roman"/>
          <w:lang w:eastAsia="cs-CZ"/>
        </w:rPr>
        <w:t>vysokoteplotní</w:t>
      </w:r>
      <w:r w:rsidRPr="00967ECF">
        <w:t xml:space="preserve"> elektrody umožňující efektivní konverzi CO</w:t>
      </w:r>
      <w:r w:rsidRPr="00967ECF">
        <w:rPr>
          <w:vertAlign w:val="subscript"/>
        </w:rPr>
        <w:t>2</w:t>
      </w:r>
    </w:p>
    <w:p w14:paraId="0B2F6EFE" w14:textId="77777777" w:rsidR="00967ECF" w:rsidRPr="00967ECF" w:rsidRDefault="00967ECF" w:rsidP="00967ECF">
      <w:pPr>
        <w:spacing w:before="120" w:after="120" w:line="360" w:lineRule="auto"/>
        <w:rPr>
          <w:rFonts w:ascii="Calibri" w:eastAsia="Times New Roman" w:hAnsi="Calibri" w:cs="Times New Roman"/>
          <w:lang w:eastAsia="cs-CZ"/>
        </w:rPr>
      </w:pPr>
    </w:p>
    <w:p w14:paraId="35C1BD16" w14:textId="77777777" w:rsidR="00967ECF" w:rsidRPr="00967ECF" w:rsidRDefault="00967ECF" w:rsidP="00967ECF">
      <w:pPr>
        <w:spacing w:before="120" w:after="120" w:line="360" w:lineRule="auto"/>
        <w:ind w:left="709"/>
        <w:jc w:val="both"/>
        <w:rPr>
          <w:rFonts w:ascii="Calibri" w:eastAsia="Times New Roman" w:hAnsi="Calibri" w:cs="Times New Roman"/>
          <w:i/>
          <w:lang w:eastAsia="cs-CZ"/>
        </w:rPr>
      </w:pPr>
      <w:r w:rsidRPr="00967ECF">
        <w:rPr>
          <w:rFonts w:ascii="Calibri" w:eastAsia="Times New Roman" w:hAnsi="Calibri" w:cs="Times New Roman"/>
          <w:i/>
          <w:lang w:eastAsia="cs-CZ"/>
        </w:rPr>
        <w:t xml:space="preserve">Moderní katalyzátory </w:t>
      </w:r>
    </w:p>
    <w:p w14:paraId="647FB6AA"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katalytické technologie k ukládání obnovitelné elektřiny nebo obnovitelného vodíku v kapalných palivech</w:t>
      </w:r>
    </w:p>
    <w:p w14:paraId="128F8CCD" w14:textId="77777777" w:rsidR="00967ECF" w:rsidRPr="00967ECF" w:rsidRDefault="00967ECF" w:rsidP="00543C1B">
      <w:pPr>
        <w:numPr>
          <w:ilvl w:val="1"/>
          <w:numId w:val="93"/>
        </w:numPr>
        <w:tabs>
          <w:tab w:val="left" w:pos="851"/>
        </w:tabs>
        <w:spacing w:before="120" w:after="120" w:line="360" w:lineRule="auto"/>
        <w:jc w:val="both"/>
        <w:rPr>
          <w:rFonts w:ascii="Calibri" w:eastAsia="Calibri" w:hAnsi="Calibri" w:cs="Times New Roman"/>
        </w:rPr>
      </w:pPr>
      <w:r w:rsidRPr="00967ECF">
        <w:rPr>
          <w:rFonts w:ascii="Calibri" w:eastAsia="Calibri" w:hAnsi="Calibri" w:cs="Times New Roman"/>
        </w:rPr>
        <w:t>výzkum a vývoj nových organických a anorganických hybridních katalyzátorů</w:t>
      </w:r>
    </w:p>
    <w:p w14:paraId="28193D4F" w14:textId="77777777" w:rsidR="00967ECF" w:rsidRPr="00967ECF" w:rsidRDefault="00967ECF" w:rsidP="00543C1B">
      <w:pPr>
        <w:numPr>
          <w:ilvl w:val="1"/>
          <w:numId w:val="93"/>
        </w:numPr>
        <w:tabs>
          <w:tab w:val="left" w:pos="851"/>
        </w:tabs>
        <w:spacing w:before="120" w:after="120" w:line="360" w:lineRule="auto"/>
        <w:jc w:val="both"/>
        <w:rPr>
          <w:rFonts w:ascii="Calibri" w:eastAsia="Calibri" w:hAnsi="Calibri" w:cs="Times New Roman"/>
        </w:rPr>
      </w:pPr>
      <w:r w:rsidRPr="00967ECF">
        <w:rPr>
          <w:rFonts w:ascii="Calibri" w:eastAsia="Calibri" w:hAnsi="Calibri" w:cs="Times New Roman"/>
          <w:kern w:val="36"/>
        </w:rPr>
        <w:t>výzkum a vývoj termických a netermických katalyzátorů (elektro- a fotokatalyzátorů) pro selektivní konverzi nízko kvalitní suroviny (např. biomasa, glycerin, glycerol) na chemikálie s vysokou přidanou hodnotou</w:t>
      </w:r>
    </w:p>
    <w:p w14:paraId="6B51D950" w14:textId="77777777" w:rsidR="00967ECF" w:rsidRPr="00967ECF" w:rsidRDefault="00967ECF" w:rsidP="00543C1B">
      <w:pPr>
        <w:numPr>
          <w:ilvl w:val="1"/>
          <w:numId w:val="93"/>
        </w:numPr>
        <w:autoSpaceDE w:val="0"/>
        <w:autoSpaceDN w:val="0"/>
        <w:adjustRightInd w:val="0"/>
        <w:spacing w:before="120" w:after="120" w:line="360" w:lineRule="auto"/>
        <w:jc w:val="both"/>
        <w:rPr>
          <w:rFonts w:ascii="Calibri" w:eastAsia="Calibri" w:hAnsi="Calibri" w:cs="Times New Roman"/>
        </w:rPr>
      </w:pPr>
      <w:r w:rsidRPr="00967ECF">
        <w:rPr>
          <w:rFonts w:ascii="Calibri" w:eastAsia="Calibri" w:hAnsi="Calibri" w:cs="Times New Roman"/>
        </w:rPr>
        <w:t>výzkum a vývoj rafinérských procesů využívajících katalyzátory, zejména hydrogenačních, založených na Fischer-Tropsch syntéze i katalyzátorů samotných</w:t>
      </w:r>
    </w:p>
    <w:p w14:paraId="3E0AB531"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kern w:val="36"/>
          <w:lang w:eastAsia="cs-CZ"/>
        </w:rPr>
        <w:t>optimalizace katalytických procesů, jako je hydrogenace, zplyňování odolné vůči katalytickým jedům (síra) a metody selektivní konverze aromátů z uhelného dehtu</w:t>
      </w:r>
    </w:p>
    <w:p w14:paraId="3BD5FEA1" w14:textId="1B1EE112" w:rsidR="00967ECF" w:rsidRPr="00967ECF" w:rsidRDefault="00967ECF" w:rsidP="00543C1B">
      <w:pPr>
        <w:numPr>
          <w:ilvl w:val="1"/>
          <w:numId w:val="93"/>
        </w:numPr>
        <w:tabs>
          <w:tab w:val="left" w:pos="851"/>
        </w:tabs>
        <w:spacing w:before="120" w:after="120" w:line="360" w:lineRule="auto"/>
        <w:jc w:val="both"/>
        <w:rPr>
          <w:rFonts w:ascii="Calibri" w:eastAsia="Calibri" w:hAnsi="Calibri" w:cs="Times New Roman"/>
        </w:rPr>
      </w:pPr>
      <w:r w:rsidRPr="00967ECF">
        <w:rPr>
          <w:rFonts w:ascii="Calibri" w:eastAsia="Calibri" w:hAnsi="Calibri" w:cs="Times New Roman"/>
        </w:rPr>
        <w:t>výzkum a vývoj katalyzátorů pro reformování benzinu a nafty, které jsou velmi robustní a</w:t>
      </w:r>
      <w:r w:rsidR="008F1992">
        <w:rPr>
          <w:rFonts w:ascii="Calibri" w:eastAsia="Calibri" w:hAnsi="Calibri" w:cs="Times New Roman"/>
        </w:rPr>
        <w:t> </w:t>
      </w:r>
      <w:r w:rsidRPr="00967ECF">
        <w:rPr>
          <w:rFonts w:ascii="Calibri" w:eastAsia="Calibri" w:hAnsi="Calibri" w:cs="Times New Roman"/>
        </w:rPr>
        <w:t>odolné vůči katalytickým jedům a koksování</w:t>
      </w:r>
    </w:p>
    <w:p w14:paraId="1B963A8F" w14:textId="77777777" w:rsidR="00967ECF" w:rsidRPr="00967ECF" w:rsidRDefault="00967ECF" w:rsidP="00543C1B">
      <w:pPr>
        <w:numPr>
          <w:ilvl w:val="1"/>
          <w:numId w:val="93"/>
        </w:numPr>
        <w:tabs>
          <w:tab w:val="left" w:pos="851"/>
        </w:tabs>
        <w:spacing w:before="120" w:after="120" w:line="360" w:lineRule="auto"/>
        <w:jc w:val="both"/>
        <w:rPr>
          <w:rFonts w:ascii="Calibri" w:eastAsia="Calibri" w:hAnsi="Calibri" w:cs="Times New Roman"/>
        </w:rPr>
      </w:pPr>
      <w:r w:rsidRPr="00967ECF">
        <w:rPr>
          <w:rFonts w:ascii="Calibri" w:eastAsia="Calibri" w:hAnsi="Calibri" w:cs="Times New Roman"/>
        </w:rPr>
        <w:t>výzkum a vývoj nových katalytických systémů pro selektivní parciální oxidaci metanu</w:t>
      </w:r>
    </w:p>
    <w:p w14:paraId="6D515225"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 xml:space="preserve">výzkum a </w:t>
      </w:r>
      <w:r w:rsidRPr="00967ECF">
        <w:rPr>
          <w:rFonts w:ascii="Calibri" w:eastAsia="Calibri" w:hAnsi="Calibri" w:cs="Times New Roman"/>
          <w:bCs/>
          <w:kern w:val="36"/>
        </w:rPr>
        <w:t>vývoj deoxygenačních katalyzátorů pro výrobu motorových paliv a surovin pro petrochemii a průmysl na bázi obnovitelných surovin</w:t>
      </w:r>
    </w:p>
    <w:p w14:paraId="63C9393E" w14:textId="77777777" w:rsidR="00967ECF" w:rsidRPr="00967ECF" w:rsidRDefault="00967ECF" w:rsidP="00543C1B">
      <w:pPr>
        <w:numPr>
          <w:ilvl w:val="1"/>
          <w:numId w:val="93"/>
        </w:numPr>
        <w:tabs>
          <w:tab w:val="left" w:pos="851"/>
        </w:tabs>
        <w:spacing w:before="120" w:after="120" w:line="360" w:lineRule="auto"/>
        <w:jc w:val="both"/>
        <w:rPr>
          <w:rFonts w:ascii="Calibri" w:eastAsia="Calibri" w:hAnsi="Calibri" w:cs="Times New Roman"/>
        </w:rPr>
      </w:pPr>
      <w:r w:rsidRPr="00967ECF">
        <w:rPr>
          <w:rFonts w:ascii="Calibri" w:eastAsia="Calibri" w:hAnsi="Calibri" w:cs="Times New Roman"/>
        </w:rPr>
        <w:t>zvýšení účinnosti stávajících automobilových katalytických konvertorů výfukových plynů k odstraňování velmi malých částic</w:t>
      </w:r>
    </w:p>
    <w:p w14:paraId="39A5FDA1" w14:textId="77777777" w:rsidR="00967ECF" w:rsidRPr="00967ECF" w:rsidRDefault="00967ECF" w:rsidP="00543C1B">
      <w:pPr>
        <w:numPr>
          <w:ilvl w:val="1"/>
          <w:numId w:val="93"/>
        </w:numPr>
        <w:tabs>
          <w:tab w:val="left" w:pos="851"/>
        </w:tabs>
        <w:spacing w:before="120" w:after="120" w:line="360" w:lineRule="auto"/>
        <w:jc w:val="both"/>
        <w:rPr>
          <w:rFonts w:ascii="Calibri" w:eastAsia="Calibri" w:hAnsi="Calibri" w:cs="Times New Roman"/>
        </w:rPr>
      </w:pPr>
      <w:r w:rsidRPr="00967ECF">
        <w:rPr>
          <w:rFonts w:ascii="Calibri" w:eastAsia="Calibri" w:hAnsi="Calibri" w:cs="Times New Roman"/>
        </w:rPr>
        <w:t xml:space="preserve">výzkum a </w:t>
      </w:r>
      <w:r w:rsidRPr="00967ECF">
        <w:rPr>
          <w:rFonts w:ascii="Calibri" w:eastAsia="Arial Unicode MS" w:hAnsi="Calibri" w:cs="Times New Roman"/>
        </w:rPr>
        <w:t>vývoj technologie decentralizovaného katalytického čištění odpadní vody v domácnostech</w:t>
      </w:r>
    </w:p>
    <w:p w14:paraId="2FFFD7DD" w14:textId="77777777" w:rsidR="00967ECF" w:rsidRPr="00967ECF" w:rsidRDefault="00967ECF" w:rsidP="00967ECF">
      <w:pPr>
        <w:spacing w:before="120" w:after="120" w:line="360" w:lineRule="auto"/>
        <w:rPr>
          <w:rFonts w:ascii="Calibri" w:eastAsia="Times New Roman" w:hAnsi="Calibri" w:cs="Times New Roman"/>
          <w:highlight w:val="blue"/>
          <w:lang w:eastAsia="cs-CZ"/>
        </w:rPr>
      </w:pPr>
    </w:p>
    <w:p w14:paraId="050912FA" w14:textId="77777777" w:rsidR="00967ECF" w:rsidRPr="00967ECF" w:rsidRDefault="00967ECF" w:rsidP="00967ECF">
      <w:pPr>
        <w:spacing w:before="120" w:after="120" w:line="360" w:lineRule="auto"/>
        <w:ind w:left="709"/>
        <w:jc w:val="both"/>
        <w:rPr>
          <w:rFonts w:ascii="Calibri" w:eastAsia="Times New Roman" w:hAnsi="Calibri" w:cs="Times New Roman"/>
          <w:i/>
          <w:lang w:eastAsia="cs-CZ"/>
        </w:rPr>
      </w:pPr>
      <w:r w:rsidRPr="00967ECF">
        <w:rPr>
          <w:rFonts w:ascii="Calibri" w:eastAsia="Times New Roman" w:hAnsi="Calibri" w:cs="Times New Roman"/>
          <w:i/>
          <w:lang w:eastAsia="cs-CZ"/>
        </w:rPr>
        <w:t>Sofistikované organické sloučeniny pro mikroelektroniku, farma aplikace a koloranty</w:t>
      </w:r>
    </w:p>
    <w:p w14:paraId="4829C48E" w14:textId="77777777" w:rsidR="00967ECF" w:rsidRPr="00967ECF" w:rsidRDefault="00967ECF" w:rsidP="00543C1B">
      <w:pPr>
        <w:numPr>
          <w:ilvl w:val="1"/>
          <w:numId w:val="93"/>
        </w:numPr>
        <w:tabs>
          <w:tab w:val="left" w:pos="851"/>
        </w:tabs>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i/>
          <w:lang w:eastAsia="cs-CZ"/>
        </w:rPr>
        <w:t xml:space="preserve"> </w:t>
      </w:r>
      <w:r w:rsidRPr="00967ECF">
        <w:rPr>
          <w:rFonts w:ascii="Calibri" w:eastAsia="Times New Roman" w:hAnsi="Calibri" w:cs="Times New Roman"/>
          <w:lang w:eastAsia="cs-CZ"/>
        </w:rPr>
        <w:t>Výzkum a vývoj organických sloučenin využitelných pro pokročilé aplikace v mikroelektronice</w:t>
      </w:r>
    </w:p>
    <w:p w14:paraId="05665D39" w14:textId="77777777" w:rsidR="00967ECF" w:rsidRPr="00967ECF" w:rsidRDefault="00967ECF" w:rsidP="00543C1B">
      <w:pPr>
        <w:numPr>
          <w:ilvl w:val="1"/>
          <w:numId w:val="93"/>
        </w:numPr>
        <w:tabs>
          <w:tab w:val="left" w:pos="851"/>
        </w:tabs>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Výzkum a vývoj organických sloučenin pro aktivní farmaceutické ingredience (API)</w:t>
      </w:r>
    </w:p>
    <w:p w14:paraId="4312FAD2" w14:textId="77777777" w:rsidR="00967ECF" w:rsidRPr="00967ECF" w:rsidRDefault="00967ECF" w:rsidP="00543C1B">
      <w:pPr>
        <w:numPr>
          <w:ilvl w:val="1"/>
          <w:numId w:val="93"/>
        </w:numPr>
        <w:tabs>
          <w:tab w:val="left" w:pos="851"/>
        </w:tabs>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Výzkum a vývoj organických sloučenin pro pokročilé aplikace v oblasti bezpečnostních prvků</w:t>
      </w:r>
    </w:p>
    <w:p w14:paraId="4A2D1D16" w14:textId="77777777" w:rsidR="00967ECF" w:rsidRDefault="00967ECF" w:rsidP="00543C1B">
      <w:pPr>
        <w:numPr>
          <w:ilvl w:val="1"/>
          <w:numId w:val="93"/>
        </w:numPr>
        <w:tabs>
          <w:tab w:val="left" w:pos="851"/>
        </w:tabs>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 xml:space="preserve">Sofistikované koloranty </w:t>
      </w:r>
    </w:p>
    <w:p w14:paraId="01EC9A8E" w14:textId="77777777" w:rsidR="00C22867" w:rsidRPr="00967ECF" w:rsidRDefault="00C22867" w:rsidP="00C22867">
      <w:pPr>
        <w:tabs>
          <w:tab w:val="left" w:pos="851"/>
        </w:tabs>
        <w:spacing w:before="120" w:after="120" w:line="360" w:lineRule="auto"/>
        <w:jc w:val="both"/>
        <w:rPr>
          <w:rFonts w:ascii="Calibri" w:eastAsia="Times New Roman" w:hAnsi="Calibri" w:cs="Times New Roman"/>
          <w:lang w:eastAsia="cs-CZ"/>
        </w:rPr>
      </w:pPr>
    </w:p>
    <w:p w14:paraId="3FC1A3D1" w14:textId="77777777" w:rsidR="00967ECF" w:rsidRPr="00967ECF" w:rsidRDefault="00967ECF" w:rsidP="00543C1B">
      <w:pPr>
        <w:pStyle w:val="Odstavecseseznamem"/>
        <w:numPr>
          <w:ilvl w:val="0"/>
          <w:numId w:val="130"/>
        </w:numPr>
        <w:spacing w:before="120" w:after="120" w:line="360" w:lineRule="auto"/>
        <w:jc w:val="both"/>
        <w:rPr>
          <w:rFonts w:ascii="Calibri" w:eastAsia="Times New Roman" w:hAnsi="Calibri" w:cs="Times New Roman"/>
          <w:b/>
          <w:lang w:eastAsia="cs-CZ"/>
        </w:rPr>
      </w:pPr>
      <w:r w:rsidRPr="00967ECF">
        <w:rPr>
          <w:rFonts w:ascii="Calibri" w:eastAsia="Times New Roman" w:hAnsi="Calibri" w:cs="Times New Roman"/>
          <w:b/>
          <w:lang w:eastAsia="cs-CZ"/>
        </w:rPr>
        <w:t>Nanotechnologie</w:t>
      </w:r>
    </w:p>
    <w:p w14:paraId="02B66611"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nano-biologické, nano-magnetické, nano-membránové a další kombinované technologie</w:t>
      </w:r>
      <w:r w:rsidRPr="00967ECF">
        <w:rPr>
          <w:rFonts w:ascii="Calibri" w:eastAsia="Times New Roman" w:hAnsi="Calibri" w:cs="Times New Roman"/>
          <w:b/>
          <w:lang w:eastAsia="cs-CZ"/>
        </w:rPr>
        <w:t xml:space="preserve"> </w:t>
      </w:r>
      <w:r w:rsidRPr="00967ECF">
        <w:rPr>
          <w:rFonts w:ascii="Calibri" w:eastAsia="Times New Roman" w:hAnsi="Calibri" w:cs="Times New Roman"/>
          <w:lang w:eastAsia="cs-CZ"/>
        </w:rPr>
        <w:t>čištění</w:t>
      </w:r>
    </w:p>
    <w:p w14:paraId="2A764530"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výzkum a vývoj nanomateriálů na bázi levných fotokatalyticky aktivních oxidů kovů</w:t>
      </w:r>
    </w:p>
    <w:p w14:paraId="1648FFF5" w14:textId="77777777" w:rsidR="00967ECF" w:rsidRPr="00967ECF" w:rsidRDefault="00967ECF" w:rsidP="00543C1B">
      <w:pPr>
        <w:numPr>
          <w:ilvl w:val="1"/>
          <w:numId w:val="93"/>
        </w:numPr>
        <w:tabs>
          <w:tab w:val="left" w:pos="851"/>
        </w:tabs>
        <w:spacing w:before="120" w:after="120" w:line="360" w:lineRule="auto"/>
        <w:jc w:val="both"/>
        <w:rPr>
          <w:rFonts w:ascii="Calibri" w:eastAsia="Calibri" w:hAnsi="Calibri" w:cs="Times New Roman"/>
        </w:rPr>
      </w:pPr>
      <w:r w:rsidRPr="00967ECF">
        <w:rPr>
          <w:rFonts w:ascii="Calibri" w:eastAsia="Calibri" w:hAnsi="Calibri" w:cs="Times New Roman"/>
        </w:rPr>
        <w:t>výzkum a vývoj transparentních a multifunkčních nanohybridních systémů s mimořádnou odolností proti UV záření a extrémním teplotám</w:t>
      </w:r>
    </w:p>
    <w:p w14:paraId="0990295B" w14:textId="77777777" w:rsidR="00967ECF" w:rsidRPr="00967ECF" w:rsidRDefault="00967ECF" w:rsidP="00543C1B">
      <w:pPr>
        <w:numPr>
          <w:ilvl w:val="1"/>
          <w:numId w:val="93"/>
        </w:numPr>
        <w:tabs>
          <w:tab w:val="left" w:pos="851"/>
        </w:tabs>
        <w:spacing w:before="120" w:after="120" w:line="360" w:lineRule="auto"/>
        <w:jc w:val="both"/>
        <w:rPr>
          <w:rFonts w:ascii="Calibri" w:eastAsia="Calibri" w:hAnsi="Calibri" w:cs="Times New Roman"/>
        </w:rPr>
      </w:pPr>
      <w:r w:rsidRPr="00967ECF">
        <w:rPr>
          <w:rFonts w:ascii="Calibri" w:eastAsia="Calibri" w:hAnsi="Calibri" w:cs="Times New Roman"/>
        </w:rPr>
        <w:t>výzkum a vývoj vhodných nanomateriálů pro jednotlivé aplikace 3 D tisku</w:t>
      </w:r>
    </w:p>
    <w:p w14:paraId="7A8F493E" w14:textId="77777777" w:rsidR="00967ECF" w:rsidRPr="00967ECF" w:rsidRDefault="00967ECF" w:rsidP="00967ECF">
      <w:pPr>
        <w:spacing w:before="120" w:after="120" w:line="360" w:lineRule="auto"/>
        <w:rPr>
          <w:rFonts w:ascii="Calibri" w:eastAsia="Times New Roman" w:hAnsi="Calibri" w:cs="Times New Roman"/>
          <w:lang w:eastAsia="cs-CZ"/>
        </w:rPr>
      </w:pPr>
    </w:p>
    <w:p w14:paraId="65F9D0C6" w14:textId="77777777" w:rsidR="00967ECF" w:rsidRPr="00967ECF" w:rsidRDefault="00967ECF" w:rsidP="00543C1B">
      <w:pPr>
        <w:pStyle w:val="Odstavecseseznamem"/>
        <w:numPr>
          <w:ilvl w:val="0"/>
          <w:numId w:val="130"/>
        </w:numPr>
        <w:spacing w:before="120" w:after="120" w:line="360" w:lineRule="auto"/>
        <w:jc w:val="both"/>
        <w:rPr>
          <w:rFonts w:ascii="Calibri" w:eastAsia="Times New Roman" w:hAnsi="Calibri" w:cs="Times New Roman"/>
          <w:b/>
          <w:lang w:eastAsia="cs-CZ"/>
        </w:rPr>
      </w:pPr>
      <w:r w:rsidRPr="00967ECF">
        <w:rPr>
          <w:rFonts w:ascii="Calibri" w:eastAsia="Times New Roman" w:hAnsi="Calibri" w:cs="Times New Roman"/>
          <w:b/>
          <w:lang w:eastAsia="cs-CZ"/>
        </w:rPr>
        <w:t>Průmyslové biotechnologie</w:t>
      </w:r>
    </w:p>
    <w:p w14:paraId="3BCB2282"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Times New Roman" w:hAnsi="Calibri" w:cs="Times New Roman"/>
          <w:bCs/>
          <w:lang w:eastAsia="cs-CZ"/>
        </w:rPr>
        <w:t xml:space="preserve">výzkum mechanizmů </w:t>
      </w:r>
      <w:r w:rsidRPr="00967ECF">
        <w:rPr>
          <w:rFonts w:ascii="Calibri" w:eastAsia="Times New Roman" w:hAnsi="Calibri" w:cs="Times New Roman"/>
          <w:lang w:eastAsia="cs-CZ"/>
        </w:rPr>
        <w:t>enzymových</w:t>
      </w:r>
      <w:r w:rsidRPr="00967ECF">
        <w:rPr>
          <w:rFonts w:ascii="Calibri" w:eastAsia="Times New Roman" w:hAnsi="Calibri" w:cs="Times New Roman"/>
          <w:bCs/>
          <w:lang w:eastAsia="cs-CZ"/>
        </w:rPr>
        <w:t xml:space="preserve"> katalyzátorů</w:t>
      </w:r>
    </w:p>
    <w:p w14:paraId="7AF7A240"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Times New Roman" w:hAnsi="Calibri" w:cs="Times New Roman"/>
          <w:bCs/>
          <w:lang w:eastAsia="cs-CZ"/>
        </w:rPr>
        <w:t xml:space="preserve">výzkum a vývoj biokatalyzátorů </w:t>
      </w:r>
      <w:r w:rsidRPr="00967ECF">
        <w:rPr>
          <w:rFonts w:ascii="Calibri" w:eastAsia="Times New Roman" w:hAnsi="Calibri" w:cs="Times New Roman"/>
          <w:lang w:eastAsia="cs-CZ"/>
        </w:rPr>
        <w:t>pro</w:t>
      </w:r>
      <w:r w:rsidRPr="00967ECF">
        <w:rPr>
          <w:rFonts w:ascii="Calibri" w:eastAsia="Times New Roman" w:hAnsi="Calibri" w:cs="Times New Roman"/>
          <w:bCs/>
          <w:lang w:eastAsia="cs-CZ"/>
        </w:rPr>
        <w:t xml:space="preserve"> oxidace a tvorbu vazeb C-C</w:t>
      </w:r>
    </w:p>
    <w:p w14:paraId="091866F7"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Times New Roman" w:hAnsi="Calibri" w:cs="Times New Roman"/>
          <w:bCs/>
          <w:lang w:eastAsia="cs-CZ"/>
        </w:rPr>
        <w:t>zvýšení teplotní stability a aktivity biokatalyzátorů a jejich kompatibility k solventům</w:t>
      </w:r>
    </w:p>
    <w:p w14:paraId="0832D2FF" w14:textId="77777777" w:rsidR="00967ECF" w:rsidRPr="00967ECF" w:rsidRDefault="00967ECF" w:rsidP="00543C1B">
      <w:pPr>
        <w:numPr>
          <w:ilvl w:val="1"/>
          <w:numId w:val="93"/>
        </w:numPr>
        <w:tabs>
          <w:tab w:val="left" w:pos="851"/>
        </w:tabs>
        <w:spacing w:before="120" w:after="120" w:line="360" w:lineRule="auto"/>
        <w:jc w:val="both"/>
        <w:rPr>
          <w:rFonts w:ascii="Calibri" w:eastAsia="Calibri" w:hAnsi="Calibri" w:cs="Times New Roman"/>
        </w:rPr>
      </w:pPr>
      <w:r w:rsidRPr="00967ECF">
        <w:rPr>
          <w:rFonts w:ascii="Calibri" w:eastAsia="Calibri" w:hAnsi="Calibri" w:cs="Times New Roman"/>
        </w:rPr>
        <w:t>výzkum a vývoj pokročilých biotechnologií pro odstraňování endokrinně aktivních a persistentních polutantů z vody a půdy (polyaromáty, těžké kovy)</w:t>
      </w:r>
    </w:p>
    <w:p w14:paraId="20D53C22"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průmyslové aplikace hydrolýzy netradičních biomateriálů z odpadů rostlinné a živočišné výroby</w:t>
      </w:r>
    </w:p>
    <w:p w14:paraId="2F70A05F"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studium možností využití netradiční vysokotlaké konverze materiálů biologického původu (subkritickými environmentálně přijatelnými rozpouštědly)</w:t>
      </w:r>
    </w:p>
    <w:p w14:paraId="0EC522F3"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výzkum a vývoj nových produktů (pro kosmetiku a potravinové doplňky) na bázi odpadních látek z rostlinné a živočišné zemědělské produkce</w:t>
      </w:r>
    </w:p>
    <w:p w14:paraId="3BDA6DDD" w14:textId="77777777" w:rsidR="00967ECF" w:rsidRPr="00967ECF" w:rsidRDefault="00967ECF" w:rsidP="00543C1B">
      <w:pPr>
        <w:numPr>
          <w:ilvl w:val="1"/>
          <w:numId w:val="93"/>
        </w:numPr>
        <w:spacing w:before="120" w:after="120" w:line="360" w:lineRule="auto"/>
        <w:jc w:val="both"/>
        <w:rPr>
          <w:rFonts w:ascii="Calibri" w:eastAsia="Times New Roman" w:hAnsi="Calibri" w:cs="Times New Roman"/>
          <w:lang w:eastAsia="cs-CZ"/>
        </w:rPr>
      </w:pPr>
      <w:r w:rsidRPr="00967ECF">
        <w:rPr>
          <w:rFonts w:ascii="Calibri" w:eastAsia="Times New Roman" w:hAnsi="Calibri" w:cs="Times New Roman"/>
          <w:lang w:eastAsia="cs-CZ"/>
        </w:rPr>
        <w:t>řešení nových způsobů separace chemických látek z materiálů biologického původu, zejména selektivní extrakcí novými typy rozpouštědel (superkritické iontové kapaliny), resp. s využitím progresivních technik (mikrovlny, ultrazvuk, pulzní elektrické pole, atd.)</w:t>
      </w:r>
    </w:p>
    <w:p w14:paraId="45B589DB" w14:textId="77777777" w:rsidR="00967ECF" w:rsidRPr="00967ECF" w:rsidRDefault="00967ECF" w:rsidP="00543C1B">
      <w:pPr>
        <w:numPr>
          <w:ilvl w:val="1"/>
          <w:numId w:val="93"/>
        </w:numPr>
        <w:spacing w:before="120" w:after="120" w:line="360" w:lineRule="auto"/>
        <w:jc w:val="both"/>
        <w:rPr>
          <w:rFonts w:ascii="Calibri" w:eastAsia="Calibri" w:hAnsi="Calibri" w:cs="Times New Roman"/>
        </w:rPr>
      </w:pPr>
      <w:r w:rsidRPr="00967ECF">
        <w:rPr>
          <w:rFonts w:ascii="Calibri" w:eastAsia="Calibri" w:hAnsi="Calibri" w:cs="Times New Roman"/>
        </w:rPr>
        <w:t>výzkum a vývoj technologií výroby biopaliv vyšších generací</w:t>
      </w:r>
    </w:p>
    <w:p w14:paraId="607676D7" w14:textId="77777777" w:rsidR="00967ECF" w:rsidRPr="00967ECF" w:rsidRDefault="00967ECF" w:rsidP="00543C1B">
      <w:pPr>
        <w:numPr>
          <w:ilvl w:val="1"/>
          <w:numId w:val="93"/>
        </w:numPr>
        <w:spacing w:before="120" w:after="120" w:line="360" w:lineRule="auto"/>
        <w:jc w:val="both"/>
      </w:pPr>
      <w:r w:rsidRPr="00967ECF">
        <w:rPr>
          <w:rFonts w:ascii="Calibri" w:eastAsia="Times New Roman" w:hAnsi="Calibri" w:cs="Times New Roman"/>
          <w:lang w:eastAsia="cs-CZ"/>
        </w:rPr>
        <w:t xml:space="preserve">nové konstrukce bioreaktorů a separačních zařízení pro biotechnologie </w:t>
      </w:r>
    </w:p>
    <w:p w14:paraId="3BB9FF9B" w14:textId="77777777" w:rsidR="00967ECF" w:rsidRPr="00967ECF" w:rsidRDefault="00967ECF" w:rsidP="00543C1B">
      <w:pPr>
        <w:numPr>
          <w:ilvl w:val="1"/>
          <w:numId w:val="93"/>
        </w:numPr>
        <w:spacing w:before="120" w:after="120" w:line="360" w:lineRule="auto"/>
        <w:jc w:val="both"/>
      </w:pPr>
      <w:r w:rsidRPr="00967ECF">
        <w:rPr>
          <w:rFonts w:ascii="Calibri" w:eastAsia="Times New Roman" w:hAnsi="Calibri" w:cs="Times New Roman"/>
          <w:lang w:eastAsia="cs-CZ"/>
        </w:rPr>
        <w:t>průmyslové využití nových konceptů bioreaktorů a fermentorů</w:t>
      </w:r>
    </w:p>
    <w:p w14:paraId="7FF9CEA7" w14:textId="77777777" w:rsidR="00967ECF" w:rsidRDefault="00967ECF" w:rsidP="00967ECF">
      <w:pPr>
        <w:pStyle w:val="Odstavecseseznamem"/>
        <w:spacing w:line="360" w:lineRule="auto"/>
      </w:pPr>
    </w:p>
    <w:p w14:paraId="5AA83D6C" w14:textId="2B51E638" w:rsidR="00967ECF" w:rsidRDefault="00967ECF" w:rsidP="00543C1B">
      <w:pPr>
        <w:pStyle w:val="Odstavecseseznamem"/>
        <w:numPr>
          <w:ilvl w:val="0"/>
          <w:numId w:val="129"/>
        </w:numPr>
        <w:spacing w:line="360" w:lineRule="auto"/>
        <w:rPr>
          <w:u w:val="single"/>
        </w:rPr>
      </w:pPr>
      <w:r w:rsidRPr="00967ECF">
        <w:rPr>
          <w:u w:val="single"/>
        </w:rPr>
        <w:t>Indikativní vztah ke klasifikaci CZ NACE</w:t>
      </w:r>
    </w:p>
    <w:p w14:paraId="72952ABA" w14:textId="77777777" w:rsidR="00967ECF" w:rsidRPr="00967ECF" w:rsidRDefault="00967ECF" w:rsidP="00967ECF">
      <w:pPr>
        <w:pStyle w:val="Bezmezer1"/>
        <w:spacing w:before="120" w:after="120" w:line="360" w:lineRule="auto"/>
        <w:jc w:val="both"/>
        <w:rPr>
          <w:rFonts w:asciiTheme="minorHAnsi" w:hAnsiTheme="minorHAnsi"/>
          <w:b/>
        </w:rPr>
      </w:pPr>
      <w:r w:rsidRPr="00967ECF">
        <w:rPr>
          <w:rFonts w:asciiTheme="minorHAnsi" w:hAnsiTheme="minorHAnsi"/>
          <w:b/>
        </w:rPr>
        <w:t>Hlavní relevantní CZ NACE:</w:t>
      </w:r>
    </w:p>
    <w:p w14:paraId="5F9519D4" w14:textId="7D59693C"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b/>
        </w:rPr>
        <w:tab/>
      </w:r>
      <w:r>
        <w:rPr>
          <w:rFonts w:asciiTheme="minorHAnsi" w:hAnsiTheme="minorHAnsi"/>
          <w:b/>
        </w:rPr>
        <w:tab/>
      </w:r>
      <w:r w:rsidRPr="00967ECF">
        <w:rPr>
          <w:rFonts w:asciiTheme="minorHAnsi" w:hAnsiTheme="minorHAnsi"/>
          <w:b/>
        </w:rPr>
        <w:t>19.2</w:t>
      </w:r>
      <w:r>
        <w:rPr>
          <w:sz w:val="32"/>
          <w:szCs w:val="32"/>
        </w:rPr>
        <w:tab/>
      </w:r>
      <w:r w:rsidRPr="00967ECF">
        <w:rPr>
          <w:rFonts w:asciiTheme="minorHAnsi" w:hAnsiTheme="minorHAnsi" w:cstheme="minorBidi"/>
        </w:rPr>
        <w:t>Výroba rafinovaných ropných produktů</w:t>
      </w:r>
    </w:p>
    <w:p w14:paraId="760CC862" w14:textId="00135F46" w:rsidR="00967ECF" w:rsidRPr="00967ECF" w:rsidRDefault="00967ECF" w:rsidP="00967ECF">
      <w:pPr>
        <w:pStyle w:val="Bezmezer1"/>
        <w:tabs>
          <w:tab w:val="left" w:pos="1608"/>
        </w:tabs>
        <w:spacing w:before="120" w:after="120" w:line="360" w:lineRule="auto"/>
        <w:ind w:left="1418" w:hanging="142"/>
        <w:jc w:val="both"/>
        <w:rPr>
          <w:rFonts w:asciiTheme="minorHAnsi" w:hAnsiTheme="minorHAnsi"/>
        </w:rPr>
      </w:pPr>
      <w:r>
        <w:rPr>
          <w:rFonts w:asciiTheme="minorHAnsi" w:hAnsiTheme="minorHAnsi"/>
          <w:b/>
        </w:rPr>
        <w:tab/>
      </w:r>
      <w:r>
        <w:rPr>
          <w:rFonts w:asciiTheme="minorHAnsi" w:hAnsiTheme="minorHAnsi"/>
          <w:b/>
        </w:rPr>
        <w:tab/>
      </w:r>
      <w:r w:rsidRPr="00967ECF">
        <w:rPr>
          <w:rFonts w:asciiTheme="minorHAnsi" w:hAnsiTheme="minorHAnsi"/>
          <w:b/>
        </w:rPr>
        <w:t>20</w:t>
      </w:r>
      <w:r>
        <w:rPr>
          <w:sz w:val="32"/>
          <w:szCs w:val="32"/>
        </w:rPr>
        <w:tab/>
      </w:r>
      <w:r w:rsidRPr="00967ECF">
        <w:rPr>
          <w:rFonts w:asciiTheme="minorHAnsi" w:hAnsiTheme="minorHAnsi"/>
        </w:rPr>
        <w:t xml:space="preserve">Výroba chemických látek a chemických přípravků </w:t>
      </w:r>
      <w:r w:rsidRPr="00967ECF">
        <w:rPr>
          <w:rFonts w:asciiTheme="minorHAnsi" w:hAnsiTheme="minorHAnsi" w:cstheme="minorBidi"/>
        </w:rPr>
        <w:t xml:space="preserve">s výjimkou </w:t>
      </w:r>
      <w:r w:rsidRPr="00967ECF">
        <w:rPr>
          <w:rFonts w:asciiTheme="minorHAnsi" w:hAnsiTheme="minorHAnsi" w:cstheme="minorBidi"/>
          <w:b/>
        </w:rPr>
        <w:t xml:space="preserve">CZ NACE </w:t>
      </w:r>
      <w:r w:rsidRPr="00967ECF">
        <w:t> </w:t>
      </w:r>
      <w:r w:rsidRPr="00967ECF">
        <w:rPr>
          <w:b/>
        </w:rPr>
        <w:t>20.15</w:t>
      </w:r>
      <w:r w:rsidRPr="00967ECF">
        <w:t xml:space="preserve"> Výroba hnojiv a dusíkatých sloučenin a </w:t>
      </w:r>
      <w:r w:rsidRPr="00967ECF">
        <w:rPr>
          <w:b/>
        </w:rPr>
        <w:t>CZ NACE 20.2</w:t>
      </w:r>
      <w:r w:rsidRPr="00967ECF">
        <w:t xml:space="preserve"> Výroba pesticidů a jiných agrochemických přípravků</w:t>
      </w:r>
    </w:p>
    <w:p w14:paraId="637046CB" w14:textId="1FD86B2F"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b/>
        </w:rPr>
        <w:tab/>
      </w:r>
      <w:r w:rsidRPr="00967ECF">
        <w:rPr>
          <w:rFonts w:asciiTheme="minorHAnsi" w:hAnsiTheme="minorHAnsi"/>
          <w:b/>
        </w:rPr>
        <w:t>22</w:t>
      </w:r>
      <w:r>
        <w:rPr>
          <w:sz w:val="32"/>
          <w:szCs w:val="32"/>
        </w:rPr>
        <w:tab/>
      </w:r>
      <w:r w:rsidRPr="00967ECF">
        <w:rPr>
          <w:rFonts w:asciiTheme="minorHAnsi" w:hAnsiTheme="minorHAnsi"/>
        </w:rPr>
        <w:t xml:space="preserve">Výroba pryžových a plastových výrobků </w:t>
      </w:r>
    </w:p>
    <w:p w14:paraId="6558C8DD" w14:textId="77777777" w:rsidR="00967ECF" w:rsidRPr="00967ECF" w:rsidRDefault="00967ECF" w:rsidP="00967ECF">
      <w:pPr>
        <w:pStyle w:val="Bezmezer1"/>
        <w:spacing w:before="120" w:after="120" w:line="360" w:lineRule="auto"/>
        <w:jc w:val="both"/>
        <w:rPr>
          <w:rFonts w:asciiTheme="minorHAnsi" w:hAnsiTheme="minorHAnsi"/>
        </w:rPr>
      </w:pPr>
      <w:r w:rsidRPr="00967ECF">
        <w:rPr>
          <w:rFonts w:asciiTheme="minorHAnsi" w:hAnsiTheme="minorHAnsi"/>
          <w:b/>
        </w:rPr>
        <w:t>Návazné CZ NACE</w:t>
      </w:r>
      <w:r w:rsidRPr="00967ECF">
        <w:rPr>
          <w:rFonts w:asciiTheme="minorHAnsi" w:hAnsiTheme="minorHAnsi"/>
        </w:rPr>
        <w:t>:</w:t>
      </w:r>
    </w:p>
    <w:p w14:paraId="1A1EAE70" w14:textId="0C686B86"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sidRPr="00967ECF">
        <w:rPr>
          <w:rFonts w:asciiTheme="minorHAnsi" w:hAnsiTheme="minorHAnsi"/>
        </w:rPr>
        <w:t>13</w:t>
      </w:r>
      <w:r>
        <w:rPr>
          <w:sz w:val="32"/>
          <w:szCs w:val="32"/>
        </w:rPr>
        <w:tab/>
      </w:r>
      <w:r w:rsidRPr="00967ECF">
        <w:rPr>
          <w:rFonts w:asciiTheme="minorHAnsi" w:hAnsiTheme="minorHAnsi"/>
        </w:rPr>
        <w:t>Výroba textilií</w:t>
      </w:r>
    </w:p>
    <w:p w14:paraId="2616C499" w14:textId="552C5A56"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Pr>
          <w:rFonts w:asciiTheme="minorHAnsi" w:hAnsiTheme="minorHAnsi"/>
        </w:rPr>
        <w:tab/>
      </w:r>
      <w:r w:rsidRPr="00967ECF">
        <w:rPr>
          <w:rFonts w:asciiTheme="minorHAnsi" w:hAnsiTheme="minorHAnsi"/>
        </w:rPr>
        <w:t>13.3</w:t>
      </w:r>
      <w:r>
        <w:rPr>
          <w:sz w:val="32"/>
          <w:szCs w:val="32"/>
        </w:rPr>
        <w:tab/>
      </w:r>
      <w:r w:rsidRPr="00967ECF">
        <w:rPr>
          <w:rFonts w:asciiTheme="minorHAnsi" w:hAnsiTheme="minorHAnsi"/>
        </w:rPr>
        <w:t>Konečná úprava textilií</w:t>
      </w:r>
    </w:p>
    <w:p w14:paraId="5280E71D" w14:textId="6F2B90E3" w:rsidR="00967ECF" w:rsidRPr="00967ECF" w:rsidRDefault="00967ECF" w:rsidP="00967ECF">
      <w:pPr>
        <w:pStyle w:val="Bezmezer1"/>
        <w:tabs>
          <w:tab w:val="left" w:pos="1608"/>
        </w:tabs>
        <w:spacing w:before="120" w:after="120" w:line="360" w:lineRule="auto"/>
        <w:jc w:val="both"/>
      </w:pPr>
      <w:r>
        <w:rPr>
          <w:rFonts w:asciiTheme="minorHAnsi" w:hAnsiTheme="minorHAnsi"/>
        </w:rPr>
        <w:tab/>
      </w:r>
      <w:r>
        <w:rPr>
          <w:rFonts w:asciiTheme="minorHAnsi" w:hAnsiTheme="minorHAnsi"/>
        </w:rPr>
        <w:tab/>
      </w:r>
      <w:r w:rsidRPr="00967ECF">
        <w:rPr>
          <w:rFonts w:asciiTheme="minorHAnsi" w:hAnsiTheme="minorHAnsi"/>
        </w:rPr>
        <w:t>20.15</w:t>
      </w:r>
      <w:r>
        <w:rPr>
          <w:rFonts w:asciiTheme="minorHAnsi" w:hAnsiTheme="minorHAnsi"/>
        </w:rPr>
        <w:tab/>
      </w:r>
      <w:r w:rsidRPr="00967ECF">
        <w:t>Výroba hnojiv a dusíkatých sloučenin</w:t>
      </w:r>
    </w:p>
    <w:p w14:paraId="362F32F4" w14:textId="1CD9683C"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Pr>
          <w:rFonts w:asciiTheme="minorHAnsi" w:hAnsiTheme="minorHAnsi"/>
        </w:rPr>
        <w:tab/>
      </w:r>
      <w:r w:rsidRPr="00967ECF">
        <w:rPr>
          <w:rFonts w:asciiTheme="minorHAnsi" w:hAnsiTheme="minorHAnsi"/>
        </w:rPr>
        <w:t>20.2</w:t>
      </w:r>
      <w:r>
        <w:rPr>
          <w:rFonts w:asciiTheme="minorHAnsi" w:hAnsiTheme="minorHAnsi"/>
        </w:rPr>
        <w:tab/>
      </w:r>
      <w:r w:rsidRPr="00967ECF">
        <w:t>Výroba pesticidů a jiných agrochemických přípravků</w:t>
      </w:r>
    </w:p>
    <w:p w14:paraId="4BC2984D" w14:textId="4BAAF81B"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sidRPr="00967ECF">
        <w:rPr>
          <w:rFonts w:asciiTheme="minorHAnsi" w:hAnsiTheme="minorHAnsi"/>
        </w:rPr>
        <w:t>21</w:t>
      </w:r>
      <w:r>
        <w:rPr>
          <w:sz w:val="32"/>
          <w:szCs w:val="32"/>
        </w:rPr>
        <w:tab/>
      </w:r>
      <w:r w:rsidRPr="00967ECF">
        <w:rPr>
          <w:rFonts w:asciiTheme="minorHAnsi" w:hAnsiTheme="minorHAnsi"/>
        </w:rPr>
        <w:t>Výroba základních farmaceutických výrobků a farmaceutických přípravků</w:t>
      </w:r>
    </w:p>
    <w:p w14:paraId="03599DC4" w14:textId="5871E47B"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sidRPr="00967ECF">
        <w:rPr>
          <w:rFonts w:asciiTheme="minorHAnsi" w:hAnsiTheme="minorHAnsi"/>
        </w:rPr>
        <w:t>29</w:t>
      </w:r>
      <w:r w:rsidRPr="00967ECF">
        <w:rPr>
          <w:sz w:val="32"/>
          <w:szCs w:val="32"/>
        </w:rPr>
        <w:tab/>
      </w:r>
      <w:r w:rsidRPr="00967ECF">
        <w:rPr>
          <w:rFonts w:asciiTheme="minorHAnsi" w:hAnsiTheme="minorHAnsi"/>
        </w:rPr>
        <w:t>Výroba motorových vozidel</w:t>
      </w:r>
    </w:p>
    <w:p w14:paraId="200608E0" w14:textId="3F83349B"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sidRPr="00967ECF">
        <w:rPr>
          <w:rFonts w:asciiTheme="minorHAnsi" w:hAnsiTheme="minorHAnsi"/>
        </w:rPr>
        <w:t>30</w:t>
      </w:r>
      <w:r w:rsidRPr="00967ECF">
        <w:rPr>
          <w:sz w:val="32"/>
          <w:szCs w:val="32"/>
        </w:rPr>
        <w:tab/>
      </w:r>
      <w:r w:rsidRPr="00967ECF">
        <w:rPr>
          <w:rFonts w:asciiTheme="minorHAnsi" w:hAnsiTheme="minorHAnsi"/>
        </w:rPr>
        <w:t>Výroba ostatních dopravních prostředků a zařízení</w:t>
      </w:r>
    </w:p>
    <w:p w14:paraId="228F3458" w14:textId="5B2B88DA"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sidRPr="00967ECF">
        <w:rPr>
          <w:rFonts w:asciiTheme="minorHAnsi" w:hAnsiTheme="minorHAnsi"/>
        </w:rPr>
        <w:t>32</w:t>
      </w:r>
      <w:r w:rsidRPr="00967ECF">
        <w:rPr>
          <w:sz w:val="32"/>
          <w:szCs w:val="32"/>
        </w:rPr>
        <w:tab/>
      </w:r>
      <w:r w:rsidRPr="00967ECF">
        <w:rPr>
          <w:rFonts w:asciiTheme="minorHAnsi" w:hAnsiTheme="minorHAnsi"/>
        </w:rPr>
        <w:t xml:space="preserve">Ostatní zpracovatelský průmysl </w:t>
      </w:r>
    </w:p>
    <w:p w14:paraId="6AD7EBEF" w14:textId="2DC454DC"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Pr>
          <w:rFonts w:asciiTheme="minorHAnsi" w:hAnsiTheme="minorHAnsi"/>
        </w:rPr>
        <w:tab/>
      </w:r>
      <w:r w:rsidRPr="00967ECF">
        <w:rPr>
          <w:rFonts w:asciiTheme="minorHAnsi" w:hAnsiTheme="minorHAnsi"/>
        </w:rPr>
        <w:t>32.5</w:t>
      </w:r>
      <w:r w:rsidRPr="00967ECF">
        <w:rPr>
          <w:sz w:val="32"/>
          <w:szCs w:val="32"/>
        </w:rPr>
        <w:tab/>
      </w:r>
      <w:r w:rsidRPr="00967ECF">
        <w:rPr>
          <w:rFonts w:asciiTheme="minorHAnsi" w:hAnsiTheme="minorHAnsi"/>
        </w:rPr>
        <w:t>Výroba lékařských a dentálních nástrojů a potřeb</w:t>
      </w:r>
    </w:p>
    <w:p w14:paraId="7883131A" w14:textId="50F41A11"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sidRPr="00967ECF">
        <w:rPr>
          <w:rFonts w:asciiTheme="minorHAnsi" w:hAnsiTheme="minorHAnsi"/>
        </w:rPr>
        <w:t>37</w:t>
      </w:r>
      <w:r w:rsidRPr="00967ECF">
        <w:rPr>
          <w:sz w:val="32"/>
          <w:szCs w:val="32"/>
        </w:rPr>
        <w:tab/>
      </w:r>
      <w:r w:rsidRPr="00967ECF">
        <w:rPr>
          <w:rFonts w:asciiTheme="minorHAnsi" w:hAnsiTheme="minorHAnsi"/>
        </w:rPr>
        <w:t>Činnosti související s odpadními vodami</w:t>
      </w:r>
    </w:p>
    <w:p w14:paraId="5780C035" w14:textId="7444EB0E"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Pr>
          <w:rFonts w:asciiTheme="minorHAnsi" w:hAnsiTheme="minorHAnsi"/>
        </w:rPr>
        <w:tab/>
      </w:r>
      <w:r w:rsidRPr="00967ECF">
        <w:rPr>
          <w:rFonts w:asciiTheme="minorHAnsi" w:hAnsiTheme="minorHAnsi"/>
        </w:rPr>
        <w:t>38.3</w:t>
      </w:r>
      <w:r w:rsidRPr="00967ECF">
        <w:rPr>
          <w:sz w:val="32"/>
          <w:szCs w:val="32"/>
        </w:rPr>
        <w:tab/>
      </w:r>
      <w:r w:rsidRPr="00967ECF">
        <w:rPr>
          <w:rFonts w:asciiTheme="minorHAnsi" w:hAnsiTheme="minorHAnsi"/>
        </w:rPr>
        <w:t xml:space="preserve">Úprava odpadů k dalšímu využití </w:t>
      </w:r>
    </w:p>
    <w:p w14:paraId="015AA386" w14:textId="2DE2A0D6"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sidRPr="00967ECF">
        <w:rPr>
          <w:rFonts w:asciiTheme="minorHAnsi" w:hAnsiTheme="minorHAnsi"/>
        </w:rPr>
        <w:t>39</w:t>
      </w:r>
      <w:r w:rsidRPr="00967ECF">
        <w:rPr>
          <w:sz w:val="32"/>
          <w:szCs w:val="32"/>
        </w:rPr>
        <w:tab/>
      </w:r>
      <w:r w:rsidRPr="00967ECF">
        <w:rPr>
          <w:rFonts w:asciiTheme="minorHAnsi" w:hAnsiTheme="minorHAnsi"/>
        </w:rPr>
        <w:t>Sanace a jiné činnosti související s odpady</w:t>
      </w:r>
    </w:p>
    <w:p w14:paraId="0D3FFF3C" w14:textId="5949E89F"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sidRPr="00967ECF">
        <w:rPr>
          <w:rFonts w:asciiTheme="minorHAnsi" w:hAnsiTheme="minorHAnsi"/>
        </w:rPr>
        <w:t>41 – 43</w:t>
      </w:r>
      <w:r w:rsidRPr="00967ECF">
        <w:rPr>
          <w:sz w:val="32"/>
          <w:szCs w:val="32"/>
        </w:rPr>
        <w:tab/>
      </w:r>
      <w:r w:rsidRPr="00967ECF">
        <w:rPr>
          <w:rFonts w:asciiTheme="minorHAnsi" w:hAnsiTheme="minorHAnsi"/>
        </w:rPr>
        <w:t>Stavebnictví</w:t>
      </w:r>
    </w:p>
    <w:p w14:paraId="6B2F5313" w14:textId="30BB1558"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sidRPr="00967ECF">
        <w:rPr>
          <w:rFonts w:asciiTheme="minorHAnsi" w:hAnsiTheme="minorHAnsi"/>
        </w:rPr>
        <w:t>71.2</w:t>
      </w:r>
      <w:r w:rsidRPr="00967ECF">
        <w:rPr>
          <w:sz w:val="32"/>
          <w:szCs w:val="32"/>
        </w:rPr>
        <w:tab/>
      </w:r>
      <w:r w:rsidRPr="00967ECF">
        <w:rPr>
          <w:rFonts w:asciiTheme="minorHAnsi" w:hAnsiTheme="minorHAnsi"/>
        </w:rPr>
        <w:t>Technické zkoušky a analýzy</w:t>
      </w:r>
    </w:p>
    <w:p w14:paraId="1192E0AD" w14:textId="5DB4B4DC" w:rsidR="00967ECF" w:rsidRPr="00967ECF" w:rsidRDefault="00967ECF" w:rsidP="00967ECF">
      <w:pPr>
        <w:tabs>
          <w:tab w:val="left" w:pos="1608"/>
        </w:tabs>
        <w:spacing w:before="120" w:after="120" w:line="360" w:lineRule="auto"/>
        <w:jc w:val="both"/>
        <w:rPr>
          <w:rFonts w:eastAsia="Times New Roman" w:cs="Times New Roman"/>
        </w:rPr>
      </w:pPr>
      <w:r>
        <w:rPr>
          <w:rFonts w:eastAsia="Times New Roman" w:cs="Times New Roman"/>
        </w:rPr>
        <w:tab/>
      </w:r>
      <w:r w:rsidRPr="00967ECF">
        <w:rPr>
          <w:rFonts w:eastAsia="Times New Roman" w:cs="Times New Roman"/>
        </w:rPr>
        <w:t>72</w:t>
      </w:r>
      <w:r w:rsidRPr="00967ECF">
        <w:rPr>
          <w:sz w:val="32"/>
          <w:szCs w:val="32"/>
        </w:rPr>
        <w:tab/>
      </w:r>
      <w:r w:rsidRPr="00967ECF">
        <w:rPr>
          <w:rFonts w:eastAsia="Times New Roman" w:cs="Times New Roman"/>
        </w:rPr>
        <w:t>Výzkum a vývoj</w:t>
      </w:r>
    </w:p>
    <w:p w14:paraId="4AC203C5" w14:textId="58011F35" w:rsidR="00967ECF" w:rsidRPr="00967ECF" w:rsidRDefault="00967ECF" w:rsidP="00967ECF">
      <w:pPr>
        <w:pStyle w:val="Bezmezer1"/>
        <w:tabs>
          <w:tab w:val="left" w:pos="1608"/>
        </w:tabs>
        <w:spacing w:before="120" w:after="120" w:line="360" w:lineRule="auto"/>
        <w:jc w:val="both"/>
        <w:rPr>
          <w:rFonts w:asciiTheme="minorHAnsi" w:hAnsiTheme="minorHAnsi"/>
        </w:rPr>
      </w:pPr>
      <w:r>
        <w:rPr>
          <w:rFonts w:asciiTheme="minorHAnsi" w:hAnsiTheme="minorHAnsi"/>
        </w:rPr>
        <w:tab/>
      </w:r>
      <w:r>
        <w:rPr>
          <w:rFonts w:asciiTheme="minorHAnsi" w:hAnsiTheme="minorHAnsi"/>
        </w:rPr>
        <w:tab/>
      </w:r>
      <w:r w:rsidRPr="00967ECF">
        <w:rPr>
          <w:rFonts w:asciiTheme="minorHAnsi" w:hAnsiTheme="minorHAnsi"/>
        </w:rPr>
        <w:t>72.1</w:t>
      </w:r>
      <w:r w:rsidRPr="00967ECF">
        <w:rPr>
          <w:sz w:val="32"/>
          <w:szCs w:val="32"/>
        </w:rPr>
        <w:tab/>
      </w:r>
      <w:r w:rsidRPr="00967ECF">
        <w:rPr>
          <w:rFonts w:asciiTheme="minorHAnsi" w:hAnsiTheme="minorHAnsi"/>
        </w:rPr>
        <w:t>Výzkum a vývoj v oblasti přírodních a technických věd</w:t>
      </w:r>
    </w:p>
    <w:p w14:paraId="10177BE1" w14:textId="6C5A83B5" w:rsidR="00967ECF" w:rsidRDefault="00967ECF" w:rsidP="00967ECF">
      <w:pPr>
        <w:tabs>
          <w:tab w:val="left" w:pos="1608"/>
        </w:tabs>
        <w:autoSpaceDE w:val="0"/>
        <w:autoSpaceDN w:val="0"/>
        <w:adjustRightInd w:val="0"/>
        <w:spacing w:before="120" w:after="120" w:line="360" w:lineRule="auto"/>
        <w:jc w:val="both"/>
        <w:rPr>
          <w:rFonts w:eastAsia="Times New Roman" w:cs="Times New Roman"/>
        </w:rPr>
      </w:pPr>
      <w:r>
        <w:tab/>
      </w:r>
      <w:r>
        <w:tab/>
      </w:r>
      <w:r>
        <w:tab/>
      </w:r>
      <w:r w:rsidRPr="00967ECF">
        <w:rPr>
          <w:rFonts w:eastAsia="Times New Roman" w:cs="Times New Roman"/>
        </w:rPr>
        <w:t>72.11</w:t>
      </w:r>
      <w:r w:rsidRPr="00967ECF">
        <w:rPr>
          <w:sz w:val="32"/>
          <w:szCs w:val="32"/>
        </w:rPr>
        <w:tab/>
      </w:r>
      <w:r w:rsidRPr="00967ECF">
        <w:rPr>
          <w:rFonts w:eastAsia="Times New Roman" w:cs="Times New Roman"/>
        </w:rPr>
        <w:t xml:space="preserve">Výzkum a vývoj v oblasti biotechnologie </w:t>
      </w:r>
    </w:p>
    <w:p w14:paraId="798EEA7B" w14:textId="4BEB8646" w:rsidR="00C22867" w:rsidRDefault="00C22867">
      <w:pPr>
        <w:spacing w:after="200" w:line="276" w:lineRule="auto"/>
        <w:rPr>
          <w:rFonts w:eastAsia="Times New Roman" w:cs="Times New Roman"/>
        </w:rPr>
      </w:pPr>
      <w:r>
        <w:rPr>
          <w:rFonts w:eastAsia="Times New Roman" w:cs="Times New Roman"/>
        </w:rPr>
        <w:br w:type="page"/>
      </w:r>
    </w:p>
    <w:p w14:paraId="637A4E87" w14:textId="4E149BD1" w:rsidR="006E6688" w:rsidRDefault="006E6688" w:rsidP="008109E9">
      <w:pPr>
        <w:pStyle w:val="Nadpis3"/>
        <w:spacing w:line="360" w:lineRule="auto"/>
        <w:jc w:val="both"/>
      </w:pPr>
      <w:bookmarkStart w:id="256" w:name="_Toc525716280"/>
      <w:r w:rsidRPr="00EF4A38">
        <w:t xml:space="preserve">Digital </w:t>
      </w:r>
      <w:r w:rsidR="009B378E">
        <w:t>M</w:t>
      </w:r>
      <w:r w:rsidRPr="00EF4A38">
        <w:t xml:space="preserve">arket </w:t>
      </w:r>
      <w:r w:rsidR="009B378E">
        <w:t>T</w:t>
      </w:r>
      <w:r w:rsidRPr="00EF4A38">
        <w:t xml:space="preserve">echnologies a </w:t>
      </w:r>
      <w:r w:rsidR="009B378E">
        <w:t>E</w:t>
      </w:r>
      <w:r w:rsidRPr="00EF4A38">
        <w:t>lektrotechnika</w:t>
      </w:r>
      <w:r w:rsidR="00C3772C">
        <w:t xml:space="preserve"> -</w:t>
      </w:r>
      <w:r w:rsidRPr="00EF4A38">
        <w:t xml:space="preserve"> výstupy z </w:t>
      </w:r>
      <w:r w:rsidR="00FC04FE">
        <w:t>NIP</w:t>
      </w:r>
      <w:r w:rsidRPr="00EF4A38">
        <w:t xml:space="preserve"> II. „Elektronika a</w:t>
      </w:r>
      <w:r w:rsidR="00895CEF">
        <w:t> </w:t>
      </w:r>
      <w:r w:rsidRPr="00EF4A38">
        <w:t>elektrotechnika a ICT“</w:t>
      </w:r>
      <w:bookmarkEnd w:id="256"/>
    </w:p>
    <w:p w14:paraId="70358305" w14:textId="458749CF" w:rsidR="008D03C3" w:rsidRDefault="008D03C3" w:rsidP="008109E9">
      <w:pPr>
        <w:pStyle w:val="Nadpis4"/>
        <w:spacing w:line="360" w:lineRule="auto"/>
      </w:pPr>
      <w:bookmarkStart w:id="257" w:name="_Toc525716281"/>
      <w:r>
        <w:t>Elektronika a elektrotechnika v digitálním věku</w:t>
      </w:r>
      <w:bookmarkEnd w:id="257"/>
    </w:p>
    <w:p w14:paraId="53350BF4" w14:textId="15A12789" w:rsidR="008109E9" w:rsidRPr="008109E9" w:rsidRDefault="008109E9" w:rsidP="00543C1B">
      <w:pPr>
        <w:pStyle w:val="Odstavecseseznamem"/>
        <w:numPr>
          <w:ilvl w:val="0"/>
          <w:numId w:val="131"/>
        </w:numPr>
        <w:spacing w:line="360" w:lineRule="auto"/>
        <w:rPr>
          <w:u w:val="single"/>
        </w:rPr>
      </w:pPr>
      <w:r w:rsidRPr="008109E9">
        <w:rPr>
          <w:u w:val="single"/>
        </w:rPr>
        <w:t>Témata VaVaI identifikovaná prostřednictvím EDP:</w:t>
      </w:r>
    </w:p>
    <w:p w14:paraId="589C63A8" w14:textId="77777777" w:rsidR="008109E9" w:rsidRPr="008109E9" w:rsidRDefault="008109E9" w:rsidP="00543C1B">
      <w:pPr>
        <w:numPr>
          <w:ilvl w:val="0"/>
          <w:numId w:val="132"/>
        </w:numPr>
        <w:spacing w:before="120" w:after="120" w:line="360" w:lineRule="auto"/>
        <w:ind w:left="737" w:hanging="377"/>
        <w:jc w:val="both"/>
        <w:rPr>
          <w:rFonts w:eastAsia="MS Mincho"/>
          <w:b/>
        </w:rPr>
      </w:pPr>
      <w:r w:rsidRPr="008109E9">
        <w:rPr>
          <w:rFonts w:eastAsia="MS Mincho"/>
          <w:b/>
        </w:rPr>
        <w:t>Nové materiály a technologie</w:t>
      </w:r>
    </w:p>
    <w:p w14:paraId="02A80F08" w14:textId="77777777" w:rsidR="008109E9" w:rsidRPr="008109E9" w:rsidRDefault="008109E9" w:rsidP="00543C1B">
      <w:pPr>
        <w:numPr>
          <w:ilvl w:val="1"/>
          <w:numId w:val="132"/>
        </w:numPr>
        <w:spacing w:after="120" w:line="360" w:lineRule="auto"/>
        <w:jc w:val="both"/>
        <w:rPr>
          <w:rFonts w:eastAsia="MS Mincho"/>
        </w:rPr>
      </w:pPr>
      <w:r w:rsidRPr="008109E9">
        <w:rPr>
          <w:rFonts w:eastAsia="MS Mincho"/>
        </w:rPr>
        <w:t>nové materiály pro elektrotechniku, zejména pro pájení, izolace a k náhradě permanentních magnetů ze vzácných zemin</w:t>
      </w:r>
    </w:p>
    <w:p w14:paraId="04556812" w14:textId="77777777" w:rsidR="008109E9" w:rsidRPr="008109E9" w:rsidRDefault="008109E9" w:rsidP="00543C1B">
      <w:pPr>
        <w:numPr>
          <w:ilvl w:val="1"/>
          <w:numId w:val="132"/>
        </w:numPr>
        <w:spacing w:after="120" w:line="360" w:lineRule="auto"/>
        <w:jc w:val="both"/>
        <w:rPr>
          <w:rFonts w:eastAsia="MS Mincho"/>
        </w:rPr>
      </w:pPr>
      <w:r w:rsidRPr="008109E9">
        <w:rPr>
          <w:rFonts w:eastAsia="MS Mincho"/>
        </w:rPr>
        <w:t>mikro-nano elektronické technologie</w:t>
      </w:r>
    </w:p>
    <w:p w14:paraId="5B863CED" w14:textId="77777777" w:rsidR="008109E9" w:rsidRPr="008109E9" w:rsidRDefault="008109E9" w:rsidP="00543C1B">
      <w:pPr>
        <w:numPr>
          <w:ilvl w:val="1"/>
          <w:numId w:val="132"/>
        </w:numPr>
        <w:spacing w:after="120" w:line="360" w:lineRule="auto"/>
        <w:jc w:val="both"/>
        <w:rPr>
          <w:rFonts w:eastAsia="MS Mincho"/>
        </w:rPr>
      </w:pPr>
      <w:r w:rsidRPr="008109E9">
        <w:rPr>
          <w:rFonts w:eastAsia="MS Mincho"/>
        </w:rPr>
        <w:t>elektrická zabezpečovací technika, sondy, čidla, měřicí přístroje, nové metody měření fyzikálních veličin, řídicí systémy a instrumentace, mikroskopy, kalibrátory, kamerové systémy pro potrubí, monitorovací systémy v oblasti geodynamiky, měřící technologie pro geologické vědy a meteorologii</w:t>
      </w:r>
    </w:p>
    <w:p w14:paraId="47DC3E62" w14:textId="77777777" w:rsidR="008109E9" w:rsidRPr="008109E9" w:rsidRDefault="008109E9" w:rsidP="00543C1B">
      <w:pPr>
        <w:numPr>
          <w:ilvl w:val="1"/>
          <w:numId w:val="132"/>
        </w:numPr>
        <w:spacing w:after="120" w:line="360" w:lineRule="auto"/>
        <w:jc w:val="both"/>
        <w:rPr>
          <w:rFonts w:eastAsia="MS Mincho"/>
        </w:rPr>
      </w:pPr>
      <w:r w:rsidRPr="008109E9">
        <w:rPr>
          <w:rFonts w:eastAsia="MS Mincho"/>
        </w:rPr>
        <w:t>elektrické spoje, plošné spoje, rozvaděče, kabely a řešení pro elektrotechnickou infrastrukturu, elektroinstalační úložné materiály, kontaktní a konektorové systémy, optické vláknové technologie, supravodivé materiály, elektronky, akumulátorové baterie, mikrovlnné spoje pro přenos dat</w:t>
      </w:r>
    </w:p>
    <w:p w14:paraId="67520E8A" w14:textId="77777777" w:rsidR="008109E9" w:rsidRPr="008109E9" w:rsidRDefault="008109E9" w:rsidP="00543C1B">
      <w:pPr>
        <w:numPr>
          <w:ilvl w:val="1"/>
          <w:numId w:val="132"/>
        </w:numPr>
        <w:spacing w:after="120" w:line="360" w:lineRule="auto"/>
        <w:jc w:val="both"/>
        <w:rPr>
          <w:rFonts w:eastAsia="MS Mincho"/>
        </w:rPr>
      </w:pPr>
      <w:r w:rsidRPr="008109E9">
        <w:rPr>
          <w:rFonts w:eastAsia="MS Mincho"/>
        </w:rPr>
        <w:t>LED svítidla, svítící dlažební kostky, výstražná světelná zařízení</w:t>
      </w:r>
    </w:p>
    <w:p w14:paraId="5204B546" w14:textId="77777777" w:rsidR="008109E9" w:rsidRPr="008109E9" w:rsidRDefault="008109E9" w:rsidP="00543C1B">
      <w:pPr>
        <w:numPr>
          <w:ilvl w:val="1"/>
          <w:numId w:val="132"/>
        </w:numPr>
        <w:spacing w:after="120" w:line="360" w:lineRule="auto"/>
        <w:jc w:val="both"/>
        <w:rPr>
          <w:rFonts w:eastAsia="MS Mincho"/>
        </w:rPr>
      </w:pPr>
      <w:r w:rsidRPr="008109E9">
        <w:rPr>
          <w:rFonts w:eastAsia="MS Mincho"/>
        </w:rPr>
        <w:t>vývoj technologií pro ultra přesné obrábění (v řádech nanometrů)</w:t>
      </w:r>
    </w:p>
    <w:p w14:paraId="19AB22E9" w14:textId="77777777" w:rsidR="008109E9" w:rsidRPr="008109E9" w:rsidRDefault="008109E9" w:rsidP="00543C1B">
      <w:pPr>
        <w:numPr>
          <w:ilvl w:val="1"/>
          <w:numId w:val="132"/>
        </w:numPr>
        <w:spacing w:after="120" w:line="360" w:lineRule="auto"/>
        <w:jc w:val="both"/>
        <w:rPr>
          <w:rFonts w:eastAsia="MS Mincho"/>
        </w:rPr>
      </w:pPr>
      <w:r w:rsidRPr="008109E9">
        <w:rPr>
          <w:rFonts w:eastAsia="MS Mincho"/>
        </w:rPr>
        <w:t>vývoj technologií a procesů pro výrobu přesných asferických a free-form optických elementů (čoček a zrcadel)</w:t>
      </w:r>
    </w:p>
    <w:p w14:paraId="55670E5F" w14:textId="77777777" w:rsidR="008109E9" w:rsidRPr="008109E9" w:rsidRDefault="008109E9" w:rsidP="00543C1B">
      <w:pPr>
        <w:numPr>
          <w:ilvl w:val="1"/>
          <w:numId w:val="132"/>
        </w:numPr>
        <w:spacing w:after="120" w:line="360" w:lineRule="auto"/>
        <w:jc w:val="both"/>
        <w:rPr>
          <w:rFonts w:eastAsia="MS Mincho"/>
        </w:rPr>
      </w:pPr>
      <w:r w:rsidRPr="008109E9">
        <w:rPr>
          <w:rFonts w:eastAsia="MS Mincho"/>
        </w:rPr>
        <w:t>návrh optických osvětlovacích a zobrazovacích systémů, které dokáží vhodně využít unikátních vlastností přesných asferických a free-form elementů</w:t>
      </w:r>
    </w:p>
    <w:p w14:paraId="6D9F4885" w14:textId="77777777" w:rsidR="008109E9" w:rsidRPr="008109E9" w:rsidRDefault="008109E9" w:rsidP="00543C1B">
      <w:pPr>
        <w:numPr>
          <w:ilvl w:val="0"/>
          <w:numId w:val="133"/>
        </w:numPr>
        <w:spacing w:before="240" w:after="120" w:line="360" w:lineRule="auto"/>
        <w:ind w:left="737" w:hanging="377"/>
        <w:jc w:val="both"/>
        <w:rPr>
          <w:rFonts w:eastAsia="MS Mincho"/>
          <w:b/>
        </w:rPr>
      </w:pPr>
      <w:r w:rsidRPr="008109E9">
        <w:rPr>
          <w:rFonts w:eastAsia="MS Mincho"/>
          <w:b/>
        </w:rPr>
        <w:t>Elektrotechnika pro Průmysl 4.0.</w:t>
      </w:r>
    </w:p>
    <w:p w14:paraId="12AE19BE"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senzory, aktuátory, data agregátory, nové součástky a komponenty systémů, embedded systémy</w:t>
      </w:r>
    </w:p>
    <w:p w14:paraId="3C1E5894"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optovláknové technologie a senzory, pokročilé senzory a metody zpracování senzorových dat</w:t>
      </w:r>
    </w:p>
    <w:p w14:paraId="7338F556"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automatizace, robotika, mechatronika, měření, zjednodušování uplatnění průmyslové automatizace a robotizace pro nové průmyslové procesy, zejména pro spolupráci člověk – robot ( Human – Robot Collaboration) - rozhraní mezi strojem a člověkem: ovládání hlasem a přirozeným jazykem, včetně gest, pohybů a emocí člověka, virtuální a rozšířená realita - jak pro oblast spotřební elektroniky, zdravotnictví, tak pro segment průmyslu a služeb, řešení interakce strojů s okolím</w:t>
      </w:r>
    </w:p>
    <w:p w14:paraId="6B28E0B2"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automatizace průmyslových procesů, diagnostické systémy, řídicí a informační systémy, systémy řízení technologických procesů, průmyslová manipulační ramena, zařízení pro inteligentní dopravní systémy</w:t>
      </w:r>
    </w:p>
    <w:p w14:paraId="1A4101A1" w14:textId="77777777" w:rsidR="008109E9" w:rsidRPr="008109E9" w:rsidDel="00C21913" w:rsidRDefault="008109E9" w:rsidP="00543C1B">
      <w:pPr>
        <w:numPr>
          <w:ilvl w:val="1"/>
          <w:numId w:val="133"/>
        </w:numPr>
        <w:spacing w:after="120" w:line="360" w:lineRule="auto"/>
        <w:jc w:val="both"/>
        <w:rPr>
          <w:rFonts w:eastAsia="MS Mincho"/>
        </w:rPr>
      </w:pPr>
      <w:r w:rsidRPr="008109E9">
        <w:rPr>
          <w:rFonts w:eastAsia="MS Mincho"/>
        </w:rPr>
        <w:t>ř</w:t>
      </w:r>
      <w:r w:rsidRPr="008109E9" w:rsidDel="00C21913">
        <w:rPr>
          <w:rFonts w:eastAsia="MS Mincho"/>
        </w:rPr>
        <w:t>ešení nových metod a simulačních nástrojů pro řízení agregátů, výrob a nadřazených systémů</w:t>
      </w:r>
    </w:p>
    <w:p w14:paraId="4AE845CB" w14:textId="77777777" w:rsidR="008109E9" w:rsidRPr="008109E9" w:rsidDel="00C21913" w:rsidRDefault="008109E9" w:rsidP="00543C1B">
      <w:pPr>
        <w:numPr>
          <w:ilvl w:val="1"/>
          <w:numId w:val="133"/>
        </w:numPr>
        <w:spacing w:after="120" w:line="360" w:lineRule="auto"/>
        <w:jc w:val="both"/>
        <w:rPr>
          <w:rFonts w:eastAsia="MS Mincho"/>
        </w:rPr>
      </w:pPr>
      <w:r w:rsidRPr="008109E9">
        <w:rPr>
          <w:rFonts w:eastAsia="MS Mincho"/>
        </w:rPr>
        <w:t>t</w:t>
      </w:r>
      <w:r w:rsidRPr="008109E9" w:rsidDel="00C21913">
        <w:rPr>
          <w:rFonts w:eastAsia="MS Mincho"/>
        </w:rPr>
        <w:t>echnická a SW podpora řízení výrobních technologií, řešení sběru, přenosu, ukládání, zpracování, archivace dat a vytváření informací pro řízení celého životního cyklu, pro zajištění kvality, šetrnosti k životnímu prostředí, zajištění bezpečnosti osob i věcí</w:t>
      </w:r>
    </w:p>
    <w:p w14:paraId="4BCA6173"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nástroje pro podporu IoT (Internet věcí), IoS (Internet služeb) a IoP (Internet osob), návrh a řešení vestavěných procesorových systémů</w:t>
      </w:r>
    </w:p>
    <w:p w14:paraId="2E09576A"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Rozvoj nástrojů umělé inteligence a jejich implementace ve zpracovatelském průmyslu</w:t>
      </w:r>
    </w:p>
    <w:p w14:paraId="376B40CB"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řídicí prvky a systémy pro agregáty, stroje, výrobní linky, budovy, včetně software podpory</w:t>
      </w:r>
    </w:p>
    <w:p w14:paraId="28A189EF"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identifikační systémy, související služby</w:t>
      </w:r>
    </w:p>
    <w:p w14:paraId="583555A9"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speciální roboty pro inspekci distribučních sítí a dalších liniových staveb</w:t>
      </w:r>
    </w:p>
    <w:p w14:paraId="11242B4F" w14:textId="77777777" w:rsidR="008109E9" w:rsidRPr="008109E9" w:rsidRDefault="008109E9" w:rsidP="00543C1B">
      <w:pPr>
        <w:numPr>
          <w:ilvl w:val="1"/>
          <w:numId w:val="133"/>
        </w:numPr>
        <w:spacing w:after="120" w:line="360" w:lineRule="auto"/>
        <w:jc w:val="both"/>
        <w:rPr>
          <w:rFonts w:eastAsia="MS Mincho"/>
        </w:rPr>
      </w:pPr>
      <w:r w:rsidRPr="008109E9">
        <w:rPr>
          <w:rFonts w:eastAsia="MS Mincho"/>
        </w:rPr>
        <w:t>nástroje pro integraci Smart Systems</w:t>
      </w:r>
    </w:p>
    <w:p w14:paraId="339E334B" w14:textId="77777777" w:rsidR="008109E9" w:rsidRPr="008109E9" w:rsidRDefault="008109E9" w:rsidP="00543C1B">
      <w:pPr>
        <w:pStyle w:val="Odstavecseseznamem"/>
        <w:numPr>
          <w:ilvl w:val="0"/>
          <w:numId w:val="134"/>
        </w:numPr>
        <w:spacing w:before="240" w:after="200" w:line="360" w:lineRule="auto"/>
        <w:jc w:val="both"/>
        <w:rPr>
          <w:b/>
        </w:rPr>
      </w:pPr>
      <w:r w:rsidRPr="008109E9">
        <w:rPr>
          <w:b/>
        </w:rPr>
        <w:t>Elektrotechnika pro jednotlivé obory</w:t>
      </w:r>
    </w:p>
    <w:p w14:paraId="5722838F" w14:textId="77777777" w:rsidR="008109E9" w:rsidRPr="008109E9" w:rsidRDefault="008109E9" w:rsidP="008109E9">
      <w:pPr>
        <w:spacing w:line="360" w:lineRule="auto"/>
        <w:jc w:val="both"/>
      </w:pPr>
      <w:r w:rsidRPr="008109E9">
        <w:t>Meziodvětvová řešení (prioritou jsou řešení pro automobilový průmysl, strojírenství, chemický průmysl, dopravu, stavebnictví a zdravotnictví).</w:t>
      </w:r>
    </w:p>
    <w:p w14:paraId="621DF172"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 xml:space="preserve">automobilová a průmyslová elektronika, elektromotory pro automobilový průmysl, výměna baterií u elektromobilů </w:t>
      </w:r>
    </w:p>
    <w:p w14:paraId="31C47CDB"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pohony a jejich řízení, specifické pohony, zvyšování energetické účinnosti pohonů, nové materiály pro stavbu pohonů (permanentní magnety, izolace)</w:t>
      </w:r>
    </w:p>
    <w:p w14:paraId="59F69A40"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spotřební a medicínská robotika</w:t>
      </w:r>
    </w:p>
    <w:p w14:paraId="64886808"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elektrotechnika pro lékařské aplikace</w:t>
      </w:r>
    </w:p>
    <w:p w14:paraId="600BF27D"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elektrotechnika pro obranný průmysl a speciální aplikace (pasivní a aktivní radiolokace, zejména civilní letectví, meteorologii a bezpečnostní aplikace)</w:t>
      </w:r>
    </w:p>
    <w:p w14:paraId="4562A1B7"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polovodičový průmysl</w:t>
      </w:r>
    </w:p>
    <w:p w14:paraId="73E2D06E"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nanotechnologie pro elektroniku</w:t>
      </w:r>
    </w:p>
    <w:p w14:paraId="5F62FBD4"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zobrazovací technika a digitální projekce - technické zabezpečení analogových a digitálních přenosů s ohledem na zvýšení přenosových rychlostí, kvality a snížení energetické náročnosti přenosu</w:t>
      </w:r>
    </w:p>
    <w:p w14:paraId="7363D532"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elektronová mikroskopie</w:t>
      </w:r>
    </w:p>
    <w:p w14:paraId="57F6CF8E"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bezpečnost a spolehlivost všech těchto bodů</w:t>
      </w:r>
    </w:p>
    <w:p w14:paraId="3285661C"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 xml:space="preserve">Smart Society, inteligentní budovy </w:t>
      </w:r>
    </w:p>
    <w:p w14:paraId="42AB0CC0"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elektrotechnika pro obranný průmysl a speciální aplikace</w:t>
      </w:r>
    </w:p>
    <w:p w14:paraId="3714EDA7"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vývoj superpočítačů</w:t>
      </w:r>
    </w:p>
    <w:p w14:paraId="38EDF995"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 xml:space="preserve">pasivní a aktivní radiolokace, zejména civilní letectví, meteorologie a bezpečnostní aplikace </w:t>
      </w:r>
    </w:p>
    <w:p w14:paraId="1C8CA1C6" w14:textId="77777777" w:rsidR="008109E9" w:rsidRPr="008109E9" w:rsidRDefault="008109E9" w:rsidP="00543C1B">
      <w:pPr>
        <w:numPr>
          <w:ilvl w:val="0"/>
          <w:numId w:val="135"/>
        </w:numPr>
        <w:spacing w:after="120" w:line="360" w:lineRule="auto"/>
        <w:ind w:left="1418" w:hanging="284"/>
        <w:jc w:val="both"/>
        <w:rPr>
          <w:rFonts w:eastAsia="MS Mincho"/>
        </w:rPr>
      </w:pPr>
      <w:r w:rsidRPr="008109E9">
        <w:rPr>
          <w:rFonts w:eastAsia="MS Mincho"/>
        </w:rPr>
        <w:t xml:space="preserve">automatická identifikace a RFID </w:t>
      </w:r>
    </w:p>
    <w:p w14:paraId="4723C2E8" w14:textId="77777777" w:rsidR="008109E9" w:rsidRDefault="008109E9" w:rsidP="008109E9">
      <w:pPr>
        <w:spacing w:line="360" w:lineRule="auto"/>
      </w:pPr>
    </w:p>
    <w:p w14:paraId="652289C6" w14:textId="62766066" w:rsidR="008109E9" w:rsidRPr="00AC5F47" w:rsidRDefault="008109E9" w:rsidP="00543C1B">
      <w:pPr>
        <w:pStyle w:val="Odstavecseseznamem"/>
        <w:numPr>
          <w:ilvl w:val="0"/>
          <w:numId w:val="131"/>
        </w:numPr>
        <w:spacing w:line="360" w:lineRule="auto"/>
        <w:rPr>
          <w:u w:val="single"/>
        </w:rPr>
      </w:pPr>
      <w:r w:rsidRPr="00AC5F47">
        <w:rPr>
          <w:u w:val="single"/>
        </w:rPr>
        <w:t>Indikativní vztah ke klasifikaci CZ NACE</w:t>
      </w:r>
    </w:p>
    <w:p w14:paraId="53A209B1" w14:textId="0B4EE258" w:rsidR="008109E9" w:rsidRPr="003A1283" w:rsidRDefault="008109E9" w:rsidP="000F23EE">
      <w:pPr>
        <w:pStyle w:val="Bezmezer1"/>
        <w:spacing w:before="40" w:after="40" w:line="360" w:lineRule="auto"/>
        <w:jc w:val="both"/>
        <w:rPr>
          <w:rFonts w:asciiTheme="minorHAnsi" w:hAnsiTheme="minorHAnsi"/>
          <w:b/>
        </w:rPr>
      </w:pPr>
      <w:r w:rsidRPr="003A1283">
        <w:rPr>
          <w:rFonts w:asciiTheme="minorHAnsi" w:hAnsiTheme="minorHAnsi"/>
          <w:b/>
        </w:rPr>
        <w:t>Hlavní relevantní CZ</w:t>
      </w:r>
      <w:r w:rsidR="00D41807">
        <w:rPr>
          <w:rFonts w:asciiTheme="minorHAnsi" w:hAnsiTheme="minorHAnsi"/>
          <w:b/>
        </w:rPr>
        <w:t xml:space="preserve"> </w:t>
      </w:r>
      <w:r w:rsidRPr="003A1283">
        <w:rPr>
          <w:rFonts w:asciiTheme="minorHAnsi" w:hAnsiTheme="minorHAnsi"/>
          <w:b/>
        </w:rPr>
        <w:t>NACE</w:t>
      </w:r>
    </w:p>
    <w:p w14:paraId="0A5A9AF4" w14:textId="5904F364" w:rsidR="008109E9" w:rsidRPr="003A1283" w:rsidRDefault="008109E9" w:rsidP="000F23EE">
      <w:pPr>
        <w:pStyle w:val="Bezmezer1"/>
        <w:spacing w:before="40" w:after="40" w:line="360" w:lineRule="auto"/>
        <w:ind w:left="708"/>
        <w:jc w:val="both"/>
        <w:rPr>
          <w:rFonts w:asciiTheme="minorHAnsi" w:hAnsiTheme="minorHAnsi"/>
        </w:rPr>
      </w:pPr>
      <w:r w:rsidRPr="003A1283">
        <w:rPr>
          <w:rFonts w:asciiTheme="minorHAnsi" w:hAnsiTheme="minorHAnsi"/>
        </w:rPr>
        <w:t>26</w:t>
      </w:r>
      <w:r w:rsidR="00ED6BBB">
        <w:rPr>
          <w:rFonts w:asciiTheme="minorHAnsi" w:hAnsiTheme="minorHAnsi"/>
        </w:rPr>
        <w:tab/>
      </w:r>
      <w:r w:rsidRPr="003A1283">
        <w:rPr>
          <w:rFonts w:asciiTheme="minorHAnsi" w:hAnsiTheme="minorHAnsi"/>
        </w:rPr>
        <w:t>Výroba počítačů, elektronických a optických přístrojů a zařízení</w:t>
      </w:r>
    </w:p>
    <w:p w14:paraId="50F73956" w14:textId="6F9CA806" w:rsidR="008109E9" w:rsidRPr="003A1283" w:rsidRDefault="008109E9" w:rsidP="000F23EE">
      <w:pPr>
        <w:pStyle w:val="Bezmezer1"/>
        <w:spacing w:before="40" w:after="40" w:line="360" w:lineRule="auto"/>
        <w:ind w:left="708" w:firstLine="708"/>
        <w:jc w:val="both"/>
        <w:rPr>
          <w:rFonts w:asciiTheme="minorHAnsi" w:hAnsiTheme="minorHAnsi"/>
        </w:rPr>
      </w:pPr>
      <w:r w:rsidRPr="003A1283">
        <w:rPr>
          <w:rFonts w:asciiTheme="minorHAnsi" w:hAnsiTheme="minorHAnsi"/>
        </w:rPr>
        <w:t>26.1</w:t>
      </w:r>
      <w:r w:rsidR="00ED6BBB">
        <w:rPr>
          <w:rFonts w:asciiTheme="minorHAnsi" w:hAnsiTheme="minorHAnsi"/>
        </w:rPr>
        <w:tab/>
      </w:r>
      <w:r w:rsidRPr="003A1283">
        <w:rPr>
          <w:rFonts w:asciiTheme="minorHAnsi" w:hAnsiTheme="minorHAnsi"/>
        </w:rPr>
        <w:t>Výroba elektronických součástek a desek</w:t>
      </w:r>
    </w:p>
    <w:p w14:paraId="375F8903" w14:textId="67E6D906" w:rsidR="008109E9" w:rsidRPr="003A1283" w:rsidRDefault="008109E9" w:rsidP="000F23EE">
      <w:pPr>
        <w:pStyle w:val="Bezmezer1"/>
        <w:spacing w:before="40" w:after="40" w:line="360" w:lineRule="auto"/>
        <w:ind w:left="708" w:firstLine="708"/>
        <w:jc w:val="both"/>
        <w:rPr>
          <w:rFonts w:asciiTheme="minorHAnsi" w:hAnsiTheme="minorHAnsi"/>
        </w:rPr>
      </w:pPr>
      <w:r>
        <w:rPr>
          <w:rFonts w:asciiTheme="minorHAnsi" w:hAnsiTheme="minorHAnsi"/>
        </w:rPr>
        <w:t>26.2</w:t>
      </w:r>
      <w:r w:rsidR="00ED6BBB">
        <w:rPr>
          <w:rFonts w:asciiTheme="minorHAnsi" w:hAnsiTheme="minorHAnsi"/>
        </w:rPr>
        <w:tab/>
      </w:r>
      <w:r w:rsidRPr="003A1283">
        <w:rPr>
          <w:rFonts w:asciiTheme="minorHAnsi" w:hAnsiTheme="minorHAnsi"/>
        </w:rPr>
        <w:t>Výroba procesorů, vestavěných systémů, počítačů a</w:t>
      </w:r>
      <w:r>
        <w:rPr>
          <w:rFonts w:asciiTheme="minorHAnsi" w:hAnsiTheme="minorHAnsi"/>
        </w:rPr>
        <w:t> </w:t>
      </w:r>
      <w:r w:rsidRPr="003A1283">
        <w:rPr>
          <w:rFonts w:asciiTheme="minorHAnsi" w:hAnsiTheme="minorHAnsi"/>
        </w:rPr>
        <w:t xml:space="preserve">periferních zařízení </w:t>
      </w:r>
    </w:p>
    <w:p w14:paraId="6717F9BA" w14:textId="68E3EEB8" w:rsidR="008109E9" w:rsidRPr="003A1283" w:rsidRDefault="008109E9" w:rsidP="000F23EE">
      <w:pPr>
        <w:pStyle w:val="Bezmezer1"/>
        <w:spacing w:before="40" w:after="40" w:line="360" w:lineRule="auto"/>
        <w:ind w:left="1416"/>
        <w:jc w:val="both"/>
        <w:rPr>
          <w:rFonts w:asciiTheme="minorHAnsi" w:hAnsiTheme="minorHAnsi"/>
        </w:rPr>
      </w:pPr>
      <w:r w:rsidRPr="003A1283">
        <w:rPr>
          <w:rFonts w:asciiTheme="minorHAnsi" w:hAnsiTheme="minorHAnsi"/>
        </w:rPr>
        <w:t>26.3</w:t>
      </w:r>
      <w:r w:rsidR="00ED6BBB">
        <w:rPr>
          <w:rFonts w:asciiTheme="minorHAnsi" w:hAnsiTheme="minorHAnsi"/>
        </w:rPr>
        <w:tab/>
      </w:r>
      <w:r w:rsidRPr="003A1283">
        <w:rPr>
          <w:rFonts w:asciiTheme="minorHAnsi" w:hAnsiTheme="minorHAnsi"/>
        </w:rPr>
        <w:t>Výroba komunikačních zařízení</w:t>
      </w:r>
    </w:p>
    <w:p w14:paraId="1DD432E8" w14:textId="308F36F3" w:rsidR="008109E9" w:rsidRPr="003A1283" w:rsidRDefault="008109E9" w:rsidP="000F23EE">
      <w:pPr>
        <w:pStyle w:val="Bezmezer1"/>
        <w:spacing w:before="40" w:after="40" w:line="360" w:lineRule="auto"/>
        <w:ind w:left="708" w:firstLine="708"/>
        <w:jc w:val="both"/>
        <w:rPr>
          <w:rFonts w:asciiTheme="minorHAnsi" w:hAnsiTheme="minorHAnsi"/>
        </w:rPr>
      </w:pPr>
      <w:r w:rsidRPr="003A1283">
        <w:rPr>
          <w:rFonts w:asciiTheme="minorHAnsi" w:hAnsiTheme="minorHAnsi"/>
        </w:rPr>
        <w:t>26.4</w:t>
      </w:r>
      <w:r w:rsidR="00ED6BBB">
        <w:rPr>
          <w:rFonts w:asciiTheme="minorHAnsi" w:hAnsiTheme="minorHAnsi"/>
        </w:rPr>
        <w:tab/>
      </w:r>
      <w:r w:rsidRPr="003A1283">
        <w:rPr>
          <w:rFonts w:asciiTheme="minorHAnsi" w:hAnsiTheme="minorHAnsi"/>
        </w:rPr>
        <w:t>Výroba spotřební elektroniky</w:t>
      </w:r>
    </w:p>
    <w:p w14:paraId="70B1BC0E" w14:textId="6EAC899B" w:rsidR="008109E9" w:rsidRPr="003A1283" w:rsidRDefault="008109E9" w:rsidP="000F23EE">
      <w:pPr>
        <w:pStyle w:val="Bezmezer1"/>
        <w:spacing w:before="40" w:after="40" w:line="360" w:lineRule="auto"/>
        <w:ind w:left="708" w:firstLine="708"/>
        <w:jc w:val="both"/>
        <w:rPr>
          <w:rFonts w:asciiTheme="minorHAnsi" w:hAnsiTheme="minorHAnsi"/>
        </w:rPr>
      </w:pPr>
      <w:r w:rsidRPr="003A1283">
        <w:rPr>
          <w:rFonts w:asciiTheme="minorHAnsi" w:hAnsiTheme="minorHAnsi"/>
        </w:rPr>
        <w:t>26.5</w:t>
      </w:r>
      <w:r w:rsidR="00ED6BBB">
        <w:rPr>
          <w:rFonts w:asciiTheme="minorHAnsi" w:hAnsiTheme="minorHAnsi"/>
        </w:rPr>
        <w:tab/>
      </w:r>
      <w:r w:rsidRPr="003A1283">
        <w:rPr>
          <w:rFonts w:asciiTheme="minorHAnsi" w:hAnsiTheme="minorHAnsi"/>
        </w:rPr>
        <w:t>Výroba měřících, zkušebních a navigačních přístrojů; výroba časoměrných přístrojů</w:t>
      </w:r>
    </w:p>
    <w:p w14:paraId="6D8853C1" w14:textId="542EF123" w:rsidR="008109E9" w:rsidRPr="003A1283" w:rsidRDefault="008109E9" w:rsidP="000F23EE">
      <w:pPr>
        <w:pStyle w:val="Bezmezer1"/>
        <w:spacing w:before="40" w:after="40" w:line="360" w:lineRule="auto"/>
        <w:ind w:left="708" w:firstLine="708"/>
        <w:jc w:val="both"/>
        <w:rPr>
          <w:rFonts w:asciiTheme="minorHAnsi" w:hAnsiTheme="minorHAnsi"/>
        </w:rPr>
      </w:pPr>
      <w:r w:rsidRPr="003A1283">
        <w:rPr>
          <w:rFonts w:asciiTheme="minorHAnsi" w:hAnsiTheme="minorHAnsi"/>
        </w:rPr>
        <w:t>26.6</w:t>
      </w:r>
      <w:r w:rsidR="00ED6BBB">
        <w:rPr>
          <w:rFonts w:asciiTheme="minorHAnsi" w:hAnsiTheme="minorHAnsi"/>
        </w:rPr>
        <w:tab/>
      </w:r>
      <w:r w:rsidRPr="003A1283">
        <w:rPr>
          <w:rFonts w:asciiTheme="minorHAnsi" w:hAnsiTheme="minorHAnsi"/>
        </w:rPr>
        <w:t>Výroba ozařovacích, elektroléčebných a elektroterapeutických přístrojů</w:t>
      </w:r>
    </w:p>
    <w:p w14:paraId="2201F7E5" w14:textId="2F049628" w:rsidR="008109E9" w:rsidRPr="003A1283" w:rsidRDefault="008109E9" w:rsidP="000F23EE">
      <w:pPr>
        <w:pStyle w:val="Bezmezer1"/>
        <w:spacing w:before="40" w:after="40" w:line="360" w:lineRule="auto"/>
        <w:ind w:left="1416"/>
        <w:jc w:val="both"/>
        <w:rPr>
          <w:rFonts w:asciiTheme="minorHAnsi" w:hAnsiTheme="minorHAnsi"/>
        </w:rPr>
      </w:pPr>
      <w:r w:rsidRPr="003A1283">
        <w:rPr>
          <w:rFonts w:asciiTheme="minorHAnsi" w:hAnsiTheme="minorHAnsi"/>
        </w:rPr>
        <w:t>26.7</w:t>
      </w:r>
      <w:r w:rsidR="00ED6BBB">
        <w:rPr>
          <w:rFonts w:asciiTheme="minorHAnsi" w:hAnsiTheme="minorHAnsi"/>
        </w:rPr>
        <w:tab/>
      </w:r>
      <w:r w:rsidRPr="003A1283">
        <w:rPr>
          <w:rFonts w:asciiTheme="minorHAnsi" w:hAnsiTheme="minorHAnsi"/>
        </w:rPr>
        <w:t>Výroba optických a fotografických přístrojů a zařízení</w:t>
      </w:r>
    </w:p>
    <w:p w14:paraId="408FCB82" w14:textId="739D94B7" w:rsidR="008109E9" w:rsidRPr="003A1283" w:rsidRDefault="008109E9" w:rsidP="000F23EE">
      <w:pPr>
        <w:pStyle w:val="Bezmezer1"/>
        <w:spacing w:before="40" w:after="40" w:line="360" w:lineRule="auto"/>
        <w:ind w:left="1416"/>
        <w:jc w:val="both"/>
        <w:rPr>
          <w:rFonts w:asciiTheme="minorHAnsi" w:hAnsiTheme="minorHAnsi"/>
        </w:rPr>
      </w:pPr>
      <w:r w:rsidRPr="003A1283">
        <w:rPr>
          <w:rFonts w:asciiTheme="minorHAnsi" w:hAnsiTheme="minorHAnsi"/>
        </w:rPr>
        <w:t>26.8</w:t>
      </w:r>
      <w:r w:rsidR="00ED6BBB">
        <w:rPr>
          <w:rFonts w:asciiTheme="minorHAnsi" w:hAnsiTheme="minorHAnsi"/>
        </w:rPr>
        <w:tab/>
      </w:r>
      <w:r w:rsidRPr="003A1283">
        <w:rPr>
          <w:rFonts w:asciiTheme="minorHAnsi" w:hAnsiTheme="minorHAnsi"/>
        </w:rPr>
        <w:t>Výroba magnetických a optických médií</w:t>
      </w:r>
    </w:p>
    <w:p w14:paraId="677F005B" w14:textId="024E7627" w:rsidR="008109E9" w:rsidRPr="003A1283" w:rsidRDefault="00ED6BBB" w:rsidP="000F23EE">
      <w:pPr>
        <w:pStyle w:val="Bezmezer1"/>
        <w:spacing w:before="40" w:after="40" w:line="360" w:lineRule="auto"/>
        <w:ind w:firstLine="708"/>
        <w:jc w:val="both"/>
        <w:rPr>
          <w:rFonts w:asciiTheme="minorHAnsi" w:hAnsiTheme="minorHAnsi"/>
        </w:rPr>
      </w:pPr>
      <w:r>
        <w:rPr>
          <w:rFonts w:asciiTheme="minorHAnsi" w:hAnsiTheme="minorHAnsi"/>
        </w:rPr>
        <w:t>27</w:t>
      </w:r>
      <w:r>
        <w:rPr>
          <w:rFonts w:asciiTheme="minorHAnsi" w:hAnsiTheme="minorHAnsi"/>
        </w:rPr>
        <w:tab/>
      </w:r>
      <w:r w:rsidR="008109E9" w:rsidRPr="003A1283">
        <w:rPr>
          <w:rFonts w:asciiTheme="minorHAnsi" w:hAnsiTheme="minorHAnsi"/>
        </w:rPr>
        <w:t>Výroba elektrických zařízení</w:t>
      </w:r>
    </w:p>
    <w:p w14:paraId="0E3DA3DD" w14:textId="7B4E1638" w:rsidR="008109E9" w:rsidRPr="003A1283" w:rsidRDefault="008109E9" w:rsidP="000F23EE">
      <w:pPr>
        <w:pStyle w:val="Bezmezer1"/>
        <w:spacing w:before="40" w:after="40" w:line="360" w:lineRule="auto"/>
        <w:ind w:left="2127" w:hanging="711"/>
        <w:jc w:val="both"/>
        <w:rPr>
          <w:rFonts w:asciiTheme="minorHAnsi" w:hAnsiTheme="minorHAnsi"/>
        </w:rPr>
      </w:pPr>
      <w:r w:rsidRPr="003A1283">
        <w:rPr>
          <w:rFonts w:asciiTheme="minorHAnsi" w:hAnsiTheme="minorHAnsi"/>
        </w:rPr>
        <w:t>27.1</w:t>
      </w:r>
      <w:r w:rsidR="00ED6BBB">
        <w:rPr>
          <w:rFonts w:asciiTheme="minorHAnsi" w:hAnsiTheme="minorHAnsi"/>
        </w:rPr>
        <w:tab/>
      </w:r>
      <w:r w:rsidRPr="003A1283">
        <w:rPr>
          <w:rFonts w:asciiTheme="minorHAnsi" w:hAnsiTheme="minorHAnsi"/>
        </w:rPr>
        <w:t>Výroba elektrických motorů, generátorů, transformátorů a elektrických rozvodných a kontrolních zařízení</w:t>
      </w:r>
    </w:p>
    <w:p w14:paraId="6DC411F9" w14:textId="7F5DA5D4" w:rsidR="008109E9" w:rsidRPr="003A1283" w:rsidRDefault="008109E9" w:rsidP="000F23EE">
      <w:pPr>
        <w:pStyle w:val="Bezmezer1"/>
        <w:spacing w:before="40" w:after="40" w:line="360" w:lineRule="auto"/>
        <w:ind w:left="1416"/>
        <w:jc w:val="both"/>
        <w:rPr>
          <w:rFonts w:asciiTheme="minorHAnsi" w:hAnsiTheme="minorHAnsi"/>
        </w:rPr>
      </w:pPr>
      <w:r w:rsidRPr="003A1283">
        <w:rPr>
          <w:rFonts w:asciiTheme="minorHAnsi" w:hAnsiTheme="minorHAnsi"/>
        </w:rPr>
        <w:t>27.2</w:t>
      </w:r>
      <w:r w:rsidR="00ED6BBB">
        <w:rPr>
          <w:rFonts w:asciiTheme="minorHAnsi" w:hAnsiTheme="minorHAnsi"/>
        </w:rPr>
        <w:tab/>
      </w:r>
      <w:r w:rsidRPr="003A1283">
        <w:rPr>
          <w:rFonts w:asciiTheme="minorHAnsi" w:hAnsiTheme="minorHAnsi"/>
        </w:rPr>
        <w:t>Výroba baterií a akumulátorů</w:t>
      </w:r>
    </w:p>
    <w:p w14:paraId="15F2829C" w14:textId="216D05DB" w:rsidR="008109E9" w:rsidRPr="003A1283" w:rsidRDefault="008109E9" w:rsidP="000F23EE">
      <w:pPr>
        <w:pStyle w:val="Bezmezer1"/>
        <w:spacing w:before="40" w:after="40" w:line="360" w:lineRule="auto"/>
        <w:ind w:left="1418"/>
        <w:jc w:val="both"/>
        <w:rPr>
          <w:rFonts w:asciiTheme="minorHAnsi" w:hAnsiTheme="minorHAnsi"/>
        </w:rPr>
      </w:pPr>
      <w:r w:rsidRPr="003A1283">
        <w:rPr>
          <w:rFonts w:asciiTheme="minorHAnsi" w:hAnsiTheme="minorHAnsi"/>
        </w:rPr>
        <w:t>27.3</w:t>
      </w:r>
      <w:r w:rsidR="00ED6BBB">
        <w:rPr>
          <w:rFonts w:asciiTheme="minorHAnsi" w:hAnsiTheme="minorHAnsi"/>
        </w:rPr>
        <w:tab/>
      </w:r>
      <w:r w:rsidRPr="003A1283">
        <w:rPr>
          <w:rFonts w:asciiTheme="minorHAnsi" w:hAnsiTheme="minorHAnsi"/>
        </w:rPr>
        <w:t>Výroba optických a elektrických kabelů, elektrických vodičů a elektroinstal</w:t>
      </w:r>
      <w:r w:rsidR="0008647C">
        <w:rPr>
          <w:rFonts w:asciiTheme="minorHAnsi" w:hAnsiTheme="minorHAnsi"/>
        </w:rPr>
        <w:t xml:space="preserve">ačních </w:t>
      </w:r>
      <w:r w:rsidRPr="003A1283">
        <w:rPr>
          <w:rFonts w:asciiTheme="minorHAnsi" w:hAnsiTheme="minorHAnsi"/>
        </w:rPr>
        <w:t>zařízení</w:t>
      </w:r>
    </w:p>
    <w:p w14:paraId="1389459C" w14:textId="1E422384" w:rsidR="008109E9" w:rsidRPr="003A1283" w:rsidRDefault="008109E9" w:rsidP="000F23EE">
      <w:pPr>
        <w:pStyle w:val="Bezmezer1"/>
        <w:spacing w:before="40" w:after="40" w:line="360" w:lineRule="auto"/>
        <w:ind w:left="1416"/>
        <w:jc w:val="both"/>
        <w:rPr>
          <w:rFonts w:asciiTheme="minorHAnsi" w:hAnsiTheme="minorHAnsi"/>
        </w:rPr>
      </w:pPr>
      <w:r w:rsidRPr="003A1283">
        <w:rPr>
          <w:rFonts w:asciiTheme="minorHAnsi" w:hAnsiTheme="minorHAnsi"/>
        </w:rPr>
        <w:t>27.4</w:t>
      </w:r>
      <w:r w:rsidR="00ED6BBB">
        <w:rPr>
          <w:rFonts w:asciiTheme="minorHAnsi" w:hAnsiTheme="minorHAnsi"/>
        </w:rPr>
        <w:tab/>
      </w:r>
      <w:r w:rsidRPr="003A1283">
        <w:rPr>
          <w:rFonts w:asciiTheme="minorHAnsi" w:hAnsiTheme="minorHAnsi"/>
        </w:rPr>
        <w:t>Výroba elektrických osvětlovacích zařízení</w:t>
      </w:r>
    </w:p>
    <w:p w14:paraId="14402839" w14:textId="7FDE5EDB" w:rsidR="008109E9" w:rsidRPr="003A1283" w:rsidRDefault="008109E9" w:rsidP="000F23EE">
      <w:pPr>
        <w:pStyle w:val="Bezmezer1"/>
        <w:spacing w:before="40" w:after="40" w:line="360" w:lineRule="auto"/>
        <w:ind w:left="708" w:firstLine="708"/>
        <w:jc w:val="both"/>
        <w:rPr>
          <w:rFonts w:asciiTheme="minorHAnsi" w:hAnsiTheme="minorHAnsi"/>
        </w:rPr>
      </w:pPr>
      <w:r w:rsidRPr="003A1283">
        <w:rPr>
          <w:rFonts w:asciiTheme="minorHAnsi" w:hAnsiTheme="minorHAnsi"/>
        </w:rPr>
        <w:t>27</w:t>
      </w:r>
      <w:r w:rsidR="00ED6BBB">
        <w:rPr>
          <w:rFonts w:asciiTheme="minorHAnsi" w:hAnsiTheme="minorHAnsi"/>
        </w:rPr>
        <w:t>.5</w:t>
      </w:r>
      <w:r w:rsidR="00ED6BBB">
        <w:rPr>
          <w:rFonts w:asciiTheme="minorHAnsi" w:hAnsiTheme="minorHAnsi"/>
        </w:rPr>
        <w:tab/>
      </w:r>
      <w:r w:rsidRPr="003A1283">
        <w:rPr>
          <w:rFonts w:asciiTheme="minorHAnsi" w:hAnsiTheme="minorHAnsi"/>
        </w:rPr>
        <w:t>Výroba spotřebičů převážně pro domácnost</w:t>
      </w:r>
    </w:p>
    <w:p w14:paraId="7C53CF2C" w14:textId="79D8B0C3" w:rsidR="008109E9" w:rsidRPr="003A1283" w:rsidRDefault="008109E9" w:rsidP="000F23EE">
      <w:pPr>
        <w:pStyle w:val="Bezmezer1"/>
        <w:spacing w:before="40" w:after="40" w:line="360" w:lineRule="auto"/>
        <w:ind w:left="1416"/>
        <w:jc w:val="both"/>
        <w:rPr>
          <w:rFonts w:asciiTheme="minorHAnsi" w:hAnsiTheme="minorHAnsi"/>
        </w:rPr>
      </w:pPr>
      <w:r w:rsidRPr="003A1283">
        <w:rPr>
          <w:rFonts w:asciiTheme="minorHAnsi" w:hAnsiTheme="minorHAnsi"/>
        </w:rPr>
        <w:t>27.9</w:t>
      </w:r>
      <w:r w:rsidR="00ED6BBB">
        <w:rPr>
          <w:rFonts w:asciiTheme="minorHAnsi" w:hAnsiTheme="minorHAnsi"/>
        </w:rPr>
        <w:tab/>
      </w:r>
      <w:r w:rsidRPr="003A1283">
        <w:rPr>
          <w:rFonts w:asciiTheme="minorHAnsi" w:hAnsiTheme="minorHAnsi"/>
        </w:rPr>
        <w:t>Výroba ostatních elektrických zařízení</w:t>
      </w:r>
    </w:p>
    <w:p w14:paraId="363FBB3A" w14:textId="2F1928EB" w:rsidR="008109E9" w:rsidRPr="003A1283" w:rsidRDefault="00ED6BBB" w:rsidP="000F23EE">
      <w:pPr>
        <w:pStyle w:val="Bezmezer1"/>
        <w:spacing w:before="40" w:after="200" w:line="360" w:lineRule="auto"/>
        <w:ind w:left="708" w:firstLine="708"/>
        <w:jc w:val="both"/>
        <w:rPr>
          <w:rFonts w:asciiTheme="minorHAnsi" w:hAnsiTheme="minorHAnsi"/>
        </w:rPr>
      </w:pPr>
      <w:r>
        <w:rPr>
          <w:rFonts w:asciiTheme="minorHAnsi" w:hAnsiTheme="minorHAnsi"/>
        </w:rPr>
        <w:t>27.10</w:t>
      </w:r>
      <w:r>
        <w:rPr>
          <w:rFonts w:asciiTheme="minorHAnsi" w:hAnsiTheme="minorHAnsi"/>
        </w:rPr>
        <w:tab/>
      </w:r>
      <w:r w:rsidR="008109E9" w:rsidRPr="003A1283">
        <w:rPr>
          <w:rFonts w:asciiTheme="minorHAnsi" w:hAnsiTheme="minorHAnsi"/>
        </w:rPr>
        <w:t>Výroba optoelektronických a optomechanických podsestav a zařízení</w:t>
      </w:r>
    </w:p>
    <w:p w14:paraId="45FE7DCE" w14:textId="43930B88" w:rsidR="008109E9" w:rsidRPr="003A1283" w:rsidRDefault="008109E9" w:rsidP="000F23EE">
      <w:pPr>
        <w:pStyle w:val="Bezmezer1"/>
        <w:spacing w:before="40" w:after="40" w:line="360" w:lineRule="auto"/>
        <w:jc w:val="both"/>
        <w:rPr>
          <w:rFonts w:asciiTheme="minorHAnsi" w:hAnsiTheme="minorHAnsi"/>
          <w:b/>
        </w:rPr>
      </w:pPr>
      <w:r w:rsidRPr="003A1283">
        <w:rPr>
          <w:rFonts w:asciiTheme="minorHAnsi" w:hAnsiTheme="minorHAnsi"/>
          <w:b/>
        </w:rPr>
        <w:t>Návazné CZ</w:t>
      </w:r>
      <w:r w:rsidR="00D41807">
        <w:rPr>
          <w:rFonts w:asciiTheme="minorHAnsi" w:hAnsiTheme="minorHAnsi"/>
          <w:b/>
        </w:rPr>
        <w:t xml:space="preserve"> </w:t>
      </w:r>
      <w:r w:rsidRPr="003A1283">
        <w:rPr>
          <w:rFonts w:asciiTheme="minorHAnsi" w:hAnsiTheme="minorHAnsi"/>
          <w:b/>
        </w:rPr>
        <w:t>NACE, funkční vazby</w:t>
      </w:r>
    </w:p>
    <w:p w14:paraId="4F2D2A97" w14:textId="37ED6F84" w:rsidR="008109E9" w:rsidRPr="003A1283" w:rsidRDefault="008109E9" w:rsidP="000F23EE">
      <w:pPr>
        <w:pStyle w:val="Bezmezer1"/>
        <w:spacing w:before="40" w:after="40" w:line="360" w:lineRule="auto"/>
        <w:ind w:left="708"/>
        <w:jc w:val="both"/>
        <w:rPr>
          <w:rFonts w:asciiTheme="minorHAnsi" w:hAnsiTheme="minorHAnsi"/>
        </w:rPr>
      </w:pPr>
      <w:r w:rsidRPr="003A1283">
        <w:rPr>
          <w:rFonts w:asciiTheme="minorHAnsi" w:hAnsiTheme="minorHAnsi"/>
        </w:rPr>
        <w:t>29</w:t>
      </w:r>
      <w:r w:rsidR="00D41807">
        <w:rPr>
          <w:rFonts w:asciiTheme="minorHAnsi" w:hAnsiTheme="minorHAnsi"/>
        </w:rPr>
        <w:tab/>
      </w:r>
      <w:r w:rsidRPr="003A1283">
        <w:rPr>
          <w:rFonts w:asciiTheme="minorHAnsi" w:hAnsiTheme="minorHAnsi"/>
        </w:rPr>
        <w:t>Výroba motorových vozidel (kromě motocyklů), přívěsů a návěsů</w:t>
      </w:r>
    </w:p>
    <w:p w14:paraId="12C7CC22" w14:textId="5225AE9C" w:rsidR="008109E9" w:rsidRPr="003A1283" w:rsidRDefault="008109E9" w:rsidP="000F23EE">
      <w:pPr>
        <w:pStyle w:val="Bezmezer1"/>
        <w:spacing w:before="40" w:after="40" w:line="360" w:lineRule="auto"/>
        <w:ind w:firstLine="708"/>
        <w:jc w:val="both"/>
        <w:rPr>
          <w:rFonts w:asciiTheme="minorHAnsi" w:hAnsiTheme="minorHAnsi"/>
        </w:rPr>
      </w:pPr>
      <w:r w:rsidRPr="003A1283">
        <w:rPr>
          <w:rFonts w:asciiTheme="minorHAnsi" w:hAnsiTheme="minorHAnsi"/>
        </w:rPr>
        <w:t>30</w:t>
      </w:r>
      <w:r w:rsidR="00D41807">
        <w:rPr>
          <w:rFonts w:asciiTheme="minorHAnsi" w:hAnsiTheme="minorHAnsi"/>
        </w:rPr>
        <w:tab/>
      </w:r>
      <w:r w:rsidRPr="003A1283">
        <w:rPr>
          <w:rFonts w:asciiTheme="minorHAnsi" w:hAnsiTheme="minorHAnsi"/>
        </w:rPr>
        <w:t xml:space="preserve">Výroba ostatních dopravních prostředků </w:t>
      </w:r>
    </w:p>
    <w:p w14:paraId="15EEEFB3" w14:textId="7AA0A6E1" w:rsidR="008109E9" w:rsidRPr="003A1283" w:rsidRDefault="00D41807" w:rsidP="000F23EE">
      <w:pPr>
        <w:pStyle w:val="Bezmezer1"/>
        <w:spacing w:before="40" w:after="40" w:line="360" w:lineRule="auto"/>
        <w:ind w:firstLine="708"/>
        <w:jc w:val="both"/>
        <w:rPr>
          <w:rFonts w:asciiTheme="minorHAnsi" w:hAnsiTheme="minorHAnsi"/>
        </w:rPr>
      </w:pPr>
      <w:r>
        <w:rPr>
          <w:rFonts w:asciiTheme="minorHAnsi" w:hAnsiTheme="minorHAnsi"/>
        </w:rPr>
        <w:t>28</w:t>
      </w:r>
      <w:r>
        <w:rPr>
          <w:rFonts w:asciiTheme="minorHAnsi" w:hAnsiTheme="minorHAnsi"/>
        </w:rPr>
        <w:tab/>
      </w:r>
      <w:r w:rsidR="008109E9" w:rsidRPr="003A1283">
        <w:rPr>
          <w:rFonts w:asciiTheme="minorHAnsi" w:hAnsiTheme="minorHAnsi"/>
        </w:rPr>
        <w:t>Výroba strojů a zařízení j. n.</w:t>
      </w:r>
    </w:p>
    <w:p w14:paraId="0A6E541D" w14:textId="26FE008F" w:rsidR="008109E9" w:rsidRPr="003A1283" w:rsidRDefault="00D41807" w:rsidP="000F23EE">
      <w:pPr>
        <w:pStyle w:val="Bezmezer1"/>
        <w:spacing w:before="40" w:after="40" w:line="360" w:lineRule="auto"/>
        <w:ind w:firstLine="708"/>
        <w:jc w:val="both"/>
        <w:rPr>
          <w:rFonts w:asciiTheme="minorHAnsi" w:hAnsiTheme="minorHAnsi" w:cs="MS Sans Serif"/>
        </w:rPr>
      </w:pPr>
      <w:r>
        <w:rPr>
          <w:rFonts w:asciiTheme="minorHAnsi" w:hAnsiTheme="minorHAnsi"/>
        </w:rPr>
        <w:t>33</w:t>
      </w:r>
      <w:r>
        <w:rPr>
          <w:rFonts w:asciiTheme="minorHAnsi" w:hAnsiTheme="minorHAnsi"/>
        </w:rPr>
        <w:tab/>
      </w:r>
      <w:r w:rsidR="008109E9" w:rsidRPr="003A1283">
        <w:rPr>
          <w:rFonts w:asciiTheme="minorHAnsi" w:hAnsiTheme="minorHAnsi"/>
        </w:rPr>
        <w:t>Opravy a instalace strojů a zařízení</w:t>
      </w:r>
      <w:r w:rsidR="008109E9" w:rsidRPr="003A1283">
        <w:rPr>
          <w:rFonts w:asciiTheme="minorHAnsi" w:hAnsiTheme="minorHAnsi" w:cs="MS Sans Serif"/>
        </w:rPr>
        <w:t xml:space="preserve"> </w:t>
      </w:r>
    </w:p>
    <w:p w14:paraId="459D84D9" w14:textId="2D0D792E" w:rsidR="008109E9" w:rsidRPr="003A1283" w:rsidRDefault="00D41807" w:rsidP="000F23EE">
      <w:pPr>
        <w:pStyle w:val="Bezmezer1"/>
        <w:spacing w:before="40" w:after="40" w:line="360" w:lineRule="auto"/>
        <w:ind w:firstLine="708"/>
        <w:jc w:val="both"/>
        <w:rPr>
          <w:rFonts w:asciiTheme="minorHAnsi" w:hAnsiTheme="minorHAnsi" w:cs="Arial"/>
        </w:rPr>
      </w:pPr>
      <w:r>
        <w:rPr>
          <w:rFonts w:asciiTheme="minorHAnsi" w:hAnsiTheme="minorHAnsi" w:cs="Arial"/>
        </w:rPr>
        <w:t>60</w:t>
      </w:r>
      <w:r>
        <w:rPr>
          <w:rFonts w:asciiTheme="minorHAnsi" w:hAnsiTheme="minorHAnsi" w:cs="Arial"/>
        </w:rPr>
        <w:tab/>
      </w:r>
      <w:r w:rsidR="008109E9" w:rsidRPr="003A1283">
        <w:rPr>
          <w:rFonts w:asciiTheme="minorHAnsi" w:hAnsiTheme="minorHAnsi" w:cs="Arial"/>
        </w:rPr>
        <w:t>Tvorba programů a vysílání</w:t>
      </w:r>
    </w:p>
    <w:p w14:paraId="46FE4808" w14:textId="26FE6641" w:rsidR="008109E9" w:rsidRPr="003A1283" w:rsidRDefault="00ED76B5" w:rsidP="000F23EE">
      <w:pPr>
        <w:pStyle w:val="Bezmezer1"/>
        <w:spacing w:before="40" w:after="40" w:line="360" w:lineRule="auto"/>
        <w:ind w:left="708"/>
        <w:jc w:val="both"/>
        <w:rPr>
          <w:rFonts w:asciiTheme="minorHAnsi" w:hAnsiTheme="minorHAnsi" w:cs="Arial"/>
        </w:rPr>
      </w:pPr>
      <w:r>
        <w:rPr>
          <w:rFonts w:asciiTheme="minorHAnsi" w:hAnsiTheme="minorHAnsi" w:cs="Arial"/>
        </w:rPr>
        <w:t>61</w:t>
      </w:r>
      <w:r>
        <w:rPr>
          <w:rFonts w:asciiTheme="minorHAnsi" w:hAnsiTheme="minorHAnsi" w:cs="Arial"/>
        </w:rPr>
        <w:tab/>
        <w:t>Telekomunikační činnosti</w:t>
      </w:r>
    </w:p>
    <w:p w14:paraId="241E3486" w14:textId="559B3DE2" w:rsidR="008109E9" w:rsidRPr="003A1283" w:rsidRDefault="008109E9" w:rsidP="000F23EE">
      <w:pPr>
        <w:pStyle w:val="Bezmezer1"/>
        <w:spacing w:before="40" w:after="40" w:line="360" w:lineRule="auto"/>
        <w:ind w:left="1416"/>
        <w:jc w:val="both"/>
        <w:rPr>
          <w:rFonts w:asciiTheme="minorHAnsi" w:hAnsiTheme="minorHAnsi" w:cs="Arial"/>
        </w:rPr>
      </w:pPr>
      <w:r w:rsidRPr="003A1283">
        <w:rPr>
          <w:rFonts w:asciiTheme="minorHAnsi" w:hAnsiTheme="minorHAnsi" w:cs="Arial"/>
        </w:rPr>
        <w:t>62. 01</w:t>
      </w:r>
      <w:r w:rsidR="00ED76B5">
        <w:rPr>
          <w:rFonts w:asciiTheme="minorHAnsi" w:hAnsiTheme="minorHAnsi" w:cs="Arial"/>
        </w:rPr>
        <w:tab/>
      </w:r>
      <w:r w:rsidRPr="003A1283">
        <w:rPr>
          <w:rFonts w:asciiTheme="minorHAnsi" w:hAnsiTheme="minorHAnsi" w:cs="Arial"/>
        </w:rPr>
        <w:t>Programování</w:t>
      </w:r>
    </w:p>
    <w:p w14:paraId="35D1B573" w14:textId="42F4100E" w:rsidR="008109E9" w:rsidRPr="003A1283" w:rsidRDefault="008109E9" w:rsidP="000F23EE">
      <w:pPr>
        <w:pStyle w:val="Bezmezer1"/>
        <w:spacing w:before="40" w:after="40" w:line="360" w:lineRule="auto"/>
        <w:ind w:firstLine="708"/>
        <w:jc w:val="both"/>
        <w:rPr>
          <w:rFonts w:asciiTheme="minorHAnsi" w:hAnsiTheme="minorHAnsi"/>
        </w:rPr>
      </w:pPr>
      <w:r w:rsidRPr="003A1283">
        <w:rPr>
          <w:rFonts w:asciiTheme="minorHAnsi" w:hAnsiTheme="minorHAnsi" w:cs="Arial"/>
        </w:rPr>
        <w:t>63</w:t>
      </w:r>
      <w:r w:rsidR="00ED76B5">
        <w:rPr>
          <w:rFonts w:asciiTheme="minorHAnsi" w:hAnsiTheme="minorHAnsi" w:cs="Arial"/>
        </w:rPr>
        <w:tab/>
      </w:r>
      <w:r w:rsidRPr="003A1283">
        <w:rPr>
          <w:rFonts w:asciiTheme="minorHAnsi" w:hAnsiTheme="minorHAnsi" w:cs="Arial"/>
        </w:rPr>
        <w:t xml:space="preserve">Informační činnosti </w:t>
      </w:r>
    </w:p>
    <w:p w14:paraId="492ABC2B" w14:textId="7ACE494D" w:rsidR="008109E9" w:rsidRPr="003A1283" w:rsidRDefault="008109E9" w:rsidP="000F23EE">
      <w:pPr>
        <w:pStyle w:val="Bezmezer1"/>
        <w:spacing w:before="40" w:after="40" w:line="360" w:lineRule="auto"/>
        <w:ind w:left="708" w:firstLine="708"/>
        <w:jc w:val="both"/>
        <w:rPr>
          <w:rFonts w:asciiTheme="minorHAnsi" w:hAnsiTheme="minorHAnsi"/>
        </w:rPr>
      </w:pPr>
      <w:r w:rsidRPr="003A1283">
        <w:rPr>
          <w:rFonts w:asciiTheme="minorHAnsi" w:hAnsiTheme="minorHAnsi"/>
        </w:rPr>
        <w:t>71.2</w:t>
      </w:r>
      <w:r w:rsidR="0008647C">
        <w:rPr>
          <w:rFonts w:asciiTheme="minorHAnsi" w:hAnsiTheme="minorHAnsi"/>
        </w:rPr>
        <w:tab/>
      </w:r>
      <w:r w:rsidRPr="003A1283">
        <w:rPr>
          <w:rFonts w:asciiTheme="minorHAnsi" w:hAnsiTheme="minorHAnsi"/>
        </w:rPr>
        <w:t>Technické zkoušky a analýzy</w:t>
      </w:r>
    </w:p>
    <w:p w14:paraId="07818ABA" w14:textId="4672C1CD" w:rsidR="008109E9" w:rsidRDefault="0008647C" w:rsidP="000F23EE">
      <w:pPr>
        <w:pStyle w:val="Odstavecseseznamem"/>
        <w:spacing w:line="360" w:lineRule="auto"/>
        <w:rPr>
          <w:rFonts w:eastAsia="Times New Roman" w:cs="Times New Roman"/>
        </w:rPr>
      </w:pPr>
      <w:r>
        <w:rPr>
          <w:rFonts w:eastAsia="Times New Roman" w:cs="Times New Roman"/>
        </w:rPr>
        <w:t>72</w:t>
      </w:r>
      <w:r>
        <w:rPr>
          <w:rFonts w:eastAsia="Times New Roman" w:cs="Times New Roman"/>
        </w:rPr>
        <w:tab/>
      </w:r>
      <w:r w:rsidR="008109E9" w:rsidRPr="0008647C">
        <w:rPr>
          <w:rFonts w:eastAsia="Times New Roman" w:cs="Times New Roman"/>
        </w:rPr>
        <w:t>Výzkum a vývoj</w:t>
      </w:r>
    </w:p>
    <w:p w14:paraId="4B31DA3A" w14:textId="614D5A20" w:rsidR="00C22867" w:rsidRDefault="00C22867">
      <w:pPr>
        <w:spacing w:after="200" w:line="276" w:lineRule="auto"/>
        <w:rPr>
          <w:rFonts w:eastAsiaTheme="majorEastAsia" w:cstheme="majorBidi"/>
          <w:b/>
          <w:bCs/>
          <w:color w:val="A9141A" w:themeColor="accent1" w:themeShade="BF"/>
          <w:u w:val="single"/>
        </w:rPr>
      </w:pPr>
      <w:r>
        <w:rPr>
          <w:rFonts w:eastAsiaTheme="majorEastAsia" w:cstheme="majorBidi"/>
          <w:b/>
          <w:bCs/>
          <w:color w:val="A9141A" w:themeColor="accent1" w:themeShade="BF"/>
          <w:u w:val="single"/>
        </w:rPr>
        <w:br w:type="page"/>
      </w:r>
    </w:p>
    <w:p w14:paraId="1E3BBD47" w14:textId="54E1F104" w:rsidR="008109E9" w:rsidRDefault="009917F8" w:rsidP="00842781">
      <w:pPr>
        <w:pStyle w:val="Nadpis4"/>
        <w:spacing w:line="360" w:lineRule="auto"/>
      </w:pPr>
      <w:bookmarkStart w:id="258" w:name="_Toc525716282"/>
      <w:r>
        <w:t>Digitální ekonomika a digitální obsah</w:t>
      </w:r>
      <w:bookmarkEnd w:id="258"/>
    </w:p>
    <w:p w14:paraId="1E4337E4" w14:textId="39FE1913" w:rsidR="006F127F" w:rsidRPr="00842781" w:rsidRDefault="006F127F" w:rsidP="00543C1B">
      <w:pPr>
        <w:pStyle w:val="Odstavecseseznamem"/>
        <w:numPr>
          <w:ilvl w:val="0"/>
          <w:numId w:val="136"/>
        </w:numPr>
        <w:spacing w:line="360" w:lineRule="auto"/>
        <w:rPr>
          <w:u w:val="single"/>
        </w:rPr>
      </w:pPr>
      <w:r w:rsidRPr="00842781">
        <w:rPr>
          <w:u w:val="single"/>
        </w:rPr>
        <w:t>Témata VaVaI identifikovaná prostřednictvím EDP:</w:t>
      </w:r>
    </w:p>
    <w:p w14:paraId="07B1B006" w14:textId="77777777" w:rsidR="00842781" w:rsidRPr="00842781" w:rsidRDefault="00842781" w:rsidP="00543C1B">
      <w:pPr>
        <w:numPr>
          <w:ilvl w:val="0"/>
          <w:numId w:val="138"/>
        </w:numPr>
        <w:spacing w:before="120" w:after="120" w:line="360" w:lineRule="auto"/>
        <w:jc w:val="both"/>
        <w:rPr>
          <w:rFonts w:eastAsia="MS Mincho"/>
          <w:b/>
        </w:rPr>
      </w:pPr>
      <w:r w:rsidRPr="00842781">
        <w:rPr>
          <w:rFonts w:eastAsia="MS Mincho"/>
          <w:b/>
        </w:rPr>
        <w:t>Rozvoj kvalitní infrastruktury zajišťující přístup k rychlému či superrychlému internetu.</w:t>
      </w:r>
    </w:p>
    <w:p w14:paraId="46BA82B0" w14:textId="77777777" w:rsidR="00842781" w:rsidRPr="00842781" w:rsidRDefault="00842781" w:rsidP="00543C1B">
      <w:pPr>
        <w:numPr>
          <w:ilvl w:val="0"/>
          <w:numId w:val="138"/>
        </w:numPr>
        <w:spacing w:after="120" w:line="360" w:lineRule="auto"/>
        <w:jc w:val="both"/>
        <w:rPr>
          <w:rFonts w:eastAsia="MS Mincho"/>
          <w:b/>
        </w:rPr>
      </w:pPr>
      <w:r w:rsidRPr="00842781">
        <w:rPr>
          <w:rFonts w:eastAsia="MS Mincho"/>
          <w:b/>
        </w:rPr>
        <w:t>Podpora rozvoje odvětví digitálního obsahu, zavádění a využívání nových technologických konceptů</w:t>
      </w:r>
    </w:p>
    <w:p w14:paraId="7C346FBA" w14:textId="25085B35" w:rsidR="00842781" w:rsidRPr="00842781" w:rsidRDefault="00842781" w:rsidP="00543C1B">
      <w:pPr>
        <w:pStyle w:val="Odstavecseseznamem"/>
        <w:numPr>
          <w:ilvl w:val="0"/>
          <w:numId w:val="139"/>
        </w:numPr>
        <w:spacing w:after="120" w:line="360" w:lineRule="auto"/>
        <w:jc w:val="both"/>
        <w:rPr>
          <w:rFonts w:eastAsia="MS Mincho"/>
        </w:rPr>
      </w:pPr>
      <w:r w:rsidRPr="00842781">
        <w:rPr>
          <w:rFonts w:eastAsia="MS Mincho"/>
        </w:rPr>
        <w:t>zejména doplnění stávajících strategií o podporu služeb a o rozvoj KK</w:t>
      </w:r>
      <w:r w:rsidR="006536D0">
        <w:rPr>
          <w:rFonts w:eastAsia="MS Mincho"/>
        </w:rPr>
        <w:t>O</w:t>
      </w:r>
      <w:r w:rsidRPr="00842781">
        <w:rPr>
          <w:rFonts w:eastAsia="MS Mincho"/>
        </w:rPr>
        <w:t xml:space="preserve"> využívajících digitální platformu</w:t>
      </w:r>
    </w:p>
    <w:p w14:paraId="02AF31F4" w14:textId="77777777" w:rsidR="00842781" w:rsidRPr="00842781" w:rsidRDefault="00842781" w:rsidP="00543C1B">
      <w:pPr>
        <w:pStyle w:val="Odstavecseseznamem"/>
        <w:numPr>
          <w:ilvl w:val="0"/>
          <w:numId w:val="139"/>
        </w:numPr>
        <w:spacing w:after="120" w:line="360" w:lineRule="auto"/>
        <w:jc w:val="both"/>
        <w:rPr>
          <w:rFonts w:eastAsia="MS Mincho"/>
        </w:rPr>
      </w:pPr>
      <w:r w:rsidRPr="00842781">
        <w:rPr>
          <w:rFonts w:eastAsia="MS Mincho"/>
        </w:rPr>
        <w:t>podpora nových aplikací v prostředí internetu (včetně streamování), rozvoje eCommerce, podpora komunikace se zákazníky v geograficky vzdálených trzích, uplatnění digitálních technologií v oblasti kultury, sofistikované služby v oblasti exportu</w:t>
      </w:r>
    </w:p>
    <w:p w14:paraId="161C0907" w14:textId="77777777" w:rsidR="00842781" w:rsidRPr="00842781" w:rsidRDefault="00842781" w:rsidP="00543C1B">
      <w:pPr>
        <w:pStyle w:val="Odstavecseseznamem"/>
        <w:numPr>
          <w:ilvl w:val="0"/>
          <w:numId w:val="139"/>
        </w:numPr>
        <w:spacing w:after="120" w:line="360" w:lineRule="auto"/>
        <w:jc w:val="both"/>
        <w:rPr>
          <w:rFonts w:eastAsia="MS Mincho"/>
        </w:rPr>
      </w:pPr>
      <w:r w:rsidRPr="00842781">
        <w:rPr>
          <w:rFonts w:eastAsia="MS Mincho"/>
        </w:rPr>
        <w:t>umožnění přístupu k otevřeným datům veřejné správy</w:t>
      </w:r>
    </w:p>
    <w:p w14:paraId="4C930B8A" w14:textId="77777777" w:rsidR="00842781" w:rsidRPr="00842781" w:rsidRDefault="00842781" w:rsidP="00543C1B">
      <w:pPr>
        <w:pStyle w:val="Odstavecseseznamem"/>
        <w:numPr>
          <w:ilvl w:val="0"/>
          <w:numId w:val="139"/>
        </w:numPr>
        <w:spacing w:after="120" w:line="360" w:lineRule="auto"/>
        <w:jc w:val="both"/>
        <w:rPr>
          <w:rFonts w:cs="Arial"/>
        </w:rPr>
      </w:pPr>
      <w:r w:rsidRPr="00842781">
        <w:rPr>
          <w:rFonts w:eastAsia="MS Mincho"/>
        </w:rPr>
        <w:t>podpora zavádění a využívání nových technologických konceptů typu cloud, internet věcí, big data, umělá</w:t>
      </w:r>
      <w:r w:rsidRPr="00842781">
        <w:rPr>
          <w:rFonts w:cs="Arial"/>
        </w:rPr>
        <w:t xml:space="preserve"> inteligence a dalších </w:t>
      </w:r>
    </w:p>
    <w:p w14:paraId="402E8E3D" w14:textId="77777777" w:rsidR="00842781" w:rsidRPr="00842781" w:rsidRDefault="00842781" w:rsidP="00543C1B">
      <w:pPr>
        <w:numPr>
          <w:ilvl w:val="0"/>
          <w:numId w:val="140"/>
        </w:numPr>
        <w:spacing w:after="120" w:line="360" w:lineRule="auto"/>
        <w:jc w:val="both"/>
        <w:rPr>
          <w:rFonts w:eastAsia="MS Mincho"/>
          <w:b/>
        </w:rPr>
      </w:pPr>
      <w:r w:rsidRPr="00842781">
        <w:rPr>
          <w:rFonts w:eastAsia="MS Mincho"/>
          <w:b/>
        </w:rPr>
        <w:t>Zajištění koherentního vládního přístupu k zajištění úvěrů, půjček, případně záruk za úvěry, včetně rozvinutí financování formou rizikového kapitálu.</w:t>
      </w:r>
    </w:p>
    <w:p w14:paraId="5513A395" w14:textId="77777777" w:rsidR="00842781" w:rsidRPr="00842781" w:rsidRDefault="00842781" w:rsidP="00543C1B">
      <w:pPr>
        <w:numPr>
          <w:ilvl w:val="0"/>
          <w:numId w:val="140"/>
        </w:numPr>
        <w:spacing w:after="120" w:line="360" w:lineRule="auto"/>
        <w:jc w:val="both"/>
        <w:rPr>
          <w:rFonts w:eastAsia="MS Mincho"/>
          <w:b/>
        </w:rPr>
      </w:pPr>
      <w:r w:rsidRPr="00842781">
        <w:rPr>
          <w:rFonts w:eastAsia="MS Mincho"/>
          <w:b/>
        </w:rPr>
        <w:t>Podpora rozvoje technologických konceptů a jejich uplatňování v sektorech národního hospodářství</w:t>
      </w:r>
    </w:p>
    <w:p w14:paraId="6D777AC5" w14:textId="77777777" w:rsidR="00842781" w:rsidRPr="00842781" w:rsidRDefault="00842781" w:rsidP="00543C1B">
      <w:pPr>
        <w:numPr>
          <w:ilvl w:val="0"/>
          <w:numId w:val="141"/>
        </w:numPr>
        <w:spacing w:after="120" w:line="360" w:lineRule="auto"/>
        <w:jc w:val="both"/>
        <w:rPr>
          <w:rFonts w:eastAsia="MS Mincho"/>
        </w:rPr>
      </w:pPr>
      <w:r w:rsidRPr="00842781">
        <w:rPr>
          <w:rFonts w:eastAsia="MS Mincho"/>
        </w:rPr>
        <w:t xml:space="preserve">vertikální integrace informačních a znalostních systémů a procesů v průmyslovém podniku (od řízení v reálném čase až po ERP systémy a systémy strategického rozhodování na úrovni nejvyššího managementu) </w:t>
      </w:r>
    </w:p>
    <w:p w14:paraId="1BADCA22" w14:textId="77777777" w:rsidR="00842781" w:rsidRPr="00842781" w:rsidRDefault="00842781" w:rsidP="00543C1B">
      <w:pPr>
        <w:numPr>
          <w:ilvl w:val="0"/>
          <w:numId w:val="141"/>
        </w:numPr>
        <w:spacing w:after="120" w:line="360" w:lineRule="auto"/>
        <w:jc w:val="both"/>
        <w:rPr>
          <w:rFonts w:eastAsia="MS Mincho"/>
        </w:rPr>
      </w:pPr>
      <w:r w:rsidRPr="00842781">
        <w:rPr>
          <w:rFonts w:eastAsia="MS Mincho"/>
        </w:rPr>
        <w:t xml:space="preserve">horizontální integrace informačních a znalostních systémů a procesů (od styku s dodavateli přes inženýrskou činnost, vlastní výrobu až po distribuční síť) </w:t>
      </w:r>
    </w:p>
    <w:p w14:paraId="753049D9" w14:textId="77777777" w:rsidR="00842781" w:rsidRPr="00842781" w:rsidRDefault="00842781" w:rsidP="00543C1B">
      <w:pPr>
        <w:numPr>
          <w:ilvl w:val="0"/>
          <w:numId w:val="141"/>
        </w:numPr>
        <w:spacing w:after="120" w:line="360" w:lineRule="auto"/>
        <w:jc w:val="both"/>
        <w:rPr>
          <w:rFonts w:eastAsia="MS Mincho"/>
        </w:rPr>
      </w:pPr>
      <w:r w:rsidRPr="00842781">
        <w:rPr>
          <w:rFonts w:eastAsia="MS Mincho"/>
        </w:rPr>
        <w:t xml:space="preserve">počítačová, resp. digitální integrace veškerých inženýrských činností v podniku </w:t>
      </w:r>
    </w:p>
    <w:p w14:paraId="588DFF52" w14:textId="25339C72" w:rsidR="00842781" w:rsidRPr="00842781" w:rsidRDefault="00842781" w:rsidP="00543C1B">
      <w:pPr>
        <w:numPr>
          <w:ilvl w:val="1"/>
          <w:numId w:val="142"/>
        </w:numPr>
        <w:spacing w:after="120" w:line="360" w:lineRule="auto"/>
        <w:jc w:val="both"/>
        <w:rPr>
          <w:rFonts w:eastAsia="MS Mincho"/>
        </w:rPr>
      </w:pPr>
      <w:r w:rsidRPr="00842781">
        <w:rPr>
          <w:rFonts w:eastAsia="MS Mincho"/>
        </w:rPr>
        <w:t>předvýrobní fáze (modelování, virtuální prototypování a 3D tisk, simulace, vizualizace, analýza big data pro výrobu, předpovídání vlastností materiálů a</w:t>
      </w:r>
      <w:r w:rsidR="003B14F1">
        <w:rPr>
          <w:rFonts w:eastAsia="MS Mincho"/>
        </w:rPr>
        <w:t> </w:t>
      </w:r>
      <w:r w:rsidRPr="00842781">
        <w:rPr>
          <w:rFonts w:eastAsia="MS Mincho"/>
        </w:rPr>
        <w:t>systémů, testování)</w:t>
      </w:r>
    </w:p>
    <w:p w14:paraId="5A88BF6F" w14:textId="46333DE9" w:rsidR="00842781" w:rsidRPr="00842781" w:rsidRDefault="00842781" w:rsidP="00543C1B">
      <w:pPr>
        <w:numPr>
          <w:ilvl w:val="1"/>
          <w:numId w:val="142"/>
        </w:numPr>
        <w:spacing w:after="120" w:line="360" w:lineRule="auto"/>
        <w:jc w:val="both"/>
        <w:rPr>
          <w:rFonts w:eastAsia="MS Mincho"/>
        </w:rPr>
      </w:pPr>
      <w:r w:rsidRPr="00842781">
        <w:rPr>
          <w:rFonts w:eastAsia="MS Mincho"/>
        </w:rPr>
        <w:t>výrobní fáze využívající robotiku, kybernetiku, cyber-fyzikální objekty či adaptivní systémy (automatizace a řízení technologických procesů, integrovaná inteligence pro zlepšení provozní produktivity, interakce člověk-stroj; robotická řešení vedoucí k</w:t>
      </w:r>
      <w:r w:rsidR="00BD4B25">
        <w:rPr>
          <w:rFonts w:eastAsia="MS Mincho"/>
        </w:rPr>
        <w:t> </w:t>
      </w:r>
      <w:r w:rsidRPr="00842781">
        <w:rPr>
          <w:rFonts w:eastAsia="MS Mincho"/>
        </w:rPr>
        <w:t xml:space="preserve">automatickým samoučícím operacím) </w:t>
      </w:r>
    </w:p>
    <w:p w14:paraId="4B24EC93" w14:textId="77777777" w:rsidR="00842781" w:rsidRPr="00842781" w:rsidRDefault="00842781" w:rsidP="00543C1B">
      <w:pPr>
        <w:numPr>
          <w:ilvl w:val="1"/>
          <w:numId w:val="142"/>
        </w:numPr>
        <w:spacing w:after="120" w:line="360" w:lineRule="auto"/>
        <w:jc w:val="both"/>
      </w:pPr>
      <w:r w:rsidRPr="00842781">
        <w:rPr>
          <w:rFonts w:eastAsia="MS Mincho"/>
        </w:rPr>
        <w:t>údržba dat</w:t>
      </w:r>
      <w:r w:rsidRPr="00842781">
        <w:t xml:space="preserve"> a celého životního cyklu výrobku či služby </w:t>
      </w:r>
    </w:p>
    <w:p w14:paraId="6294A8C7" w14:textId="3149A9F9" w:rsidR="00842781" w:rsidRPr="00842781" w:rsidRDefault="00842781" w:rsidP="00543C1B">
      <w:pPr>
        <w:numPr>
          <w:ilvl w:val="0"/>
          <w:numId w:val="143"/>
        </w:numPr>
        <w:spacing w:after="120" w:line="360" w:lineRule="auto"/>
        <w:jc w:val="both"/>
        <w:rPr>
          <w:rFonts w:eastAsia="MS Mincho"/>
        </w:rPr>
      </w:pPr>
      <w:r w:rsidRPr="00842781">
        <w:rPr>
          <w:rFonts w:eastAsia="MS Mincho"/>
        </w:rPr>
        <w:t>internet věcí a kyberneticko-fyzikální systémy, robotika, metody a techniky kybernetiky a</w:t>
      </w:r>
      <w:r w:rsidR="00BD4B25">
        <w:rPr>
          <w:rFonts w:eastAsia="MS Mincho"/>
        </w:rPr>
        <w:t> </w:t>
      </w:r>
      <w:r w:rsidRPr="00842781">
        <w:rPr>
          <w:rFonts w:eastAsia="MS Mincho"/>
        </w:rPr>
        <w:t>umělé inteligence (agentní systémy, architektury orientované na služby, učící se a</w:t>
      </w:r>
      <w:r w:rsidR="00BD4B25">
        <w:rPr>
          <w:rFonts w:eastAsia="MS Mincho"/>
        </w:rPr>
        <w:t> </w:t>
      </w:r>
      <w:r w:rsidRPr="00842781">
        <w:rPr>
          <w:rFonts w:eastAsia="MS Mincho"/>
        </w:rPr>
        <w:t>samoorganizující se systémy, systémy strojového vnímání, inteligentní robotika), vývoj nových algoritmů a analytických nástrojů pro práci s velkými objemy dat, nástroje pro práci s českým jazykem v ICT, digitalizace rozvodné soustavy</w:t>
      </w:r>
    </w:p>
    <w:p w14:paraId="7C1BD147" w14:textId="77777777" w:rsidR="00842781" w:rsidRPr="00842781" w:rsidRDefault="00842781" w:rsidP="00543C1B">
      <w:pPr>
        <w:numPr>
          <w:ilvl w:val="0"/>
          <w:numId w:val="143"/>
        </w:numPr>
        <w:spacing w:after="120" w:line="360" w:lineRule="auto"/>
        <w:jc w:val="both"/>
      </w:pPr>
      <w:r w:rsidRPr="00842781">
        <w:rPr>
          <w:rFonts w:eastAsia="MS Mincho"/>
        </w:rPr>
        <w:t>přizpůsobování</w:t>
      </w:r>
      <w:r w:rsidRPr="00842781">
        <w:t xml:space="preserve"> technologických konceptů potřebám sektorů národního hospodářství</w:t>
      </w:r>
    </w:p>
    <w:p w14:paraId="52387BB7" w14:textId="77777777" w:rsidR="00842781" w:rsidRPr="00842781" w:rsidRDefault="00842781" w:rsidP="00543C1B">
      <w:pPr>
        <w:numPr>
          <w:ilvl w:val="0"/>
          <w:numId w:val="144"/>
        </w:numPr>
        <w:spacing w:after="120" w:line="360" w:lineRule="auto"/>
        <w:jc w:val="both"/>
        <w:rPr>
          <w:rFonts w:eastAsia="MS Mincho"/>
        </w:rPr>
      </w:pPr>
      <w:r w:rsidRPr="00842781">
        <w:rPr>
          <w:rFonts w:eastAsia="MS Mincho"/>
        </w:rPr>
        <w:t>inovace ICT technologických konceptů pro specifické podmínky sektorů národního hospodářství</w:t>
      </w:r>
    </w:p>
    <w:p w14:paraId="5BEEFD1C" w14:textId="77777777" w:rsidR="00842781" w:rsidRPr="00842781" w:rsidRDefault="00842781" w:rsidP="00543C1B">
      <w:pPr>
        <w:numPr>
          <w:ilvl w:val="0"/>
          <w:numId w:val="144"/>
        </w:numPr>
        <w:spacing w:after="120" w:line="360" w:lineRule="auto"/>
        <w:jc w:val="both"/>
        <w:rPr>
          <w:rFonts w:eastAsia="MS Mincho"/>
        </w:rPr>
      </w:pPr>
      <w:r w:rsidRPr="00842781">
        <w:rPr>
          <w:rFonts w:eastAsia="MS Mincho"/>
        </w:rPr>
        <w:t>řešení založená na principech sdílené ekonomiky, eCommerce, technologického propojování digitálního obsahu, internetu věcí, asistivních technologiích</w:t>
      </w:r>
    </w:p>
    <w:p w14:paraId="7A710F02" w14:textId="77777777" w:rsidR="00842781" w:rsidRPr="00842781" w:rsidRDefault="00842781" w:rsidP="00543C1B">
      <w:pPr>
        <w:numPr>
          <w:ilvl w:val="0"/>
          <w:numId w:val="144"/>
        </w:numPr>
        <w:spacing w:after="120" w:line="360" w:lineRule="auto"/>
        <w:jc w:val="both"/>
        <w:rPr>
          <w:rFonts w:eastAsia="MS Mincho"/>
        </w:rPr>
      </w:pPr>
      <w:r w:rsidRPr="00842781">
        <w:rPr>
          <w:rFonts w:eastAsia="MS Mincho"/>
        </w:rPr>
        <w:t>digitalizace rozvodné soustavy/ přenosové soustavy, distribuční sítě – Smart Grids</w:t>
      </w:r>
    </w:p>
    <w:p w14:paraId="5E59B8E2" w14:textId="77777777" w:rsidR="00842781" w:rsidRPr="00842781" w:rsidRDefault="00842781" w:rsidP="00543C1B">
      <w:pPr>
        <w:numPr>
          <w:ilvl w:val="0"/>
          <w:numId w:val="144"/>
        </w:numPr>
        <w:spacing w:after="120" w:line="360" w:lineRule="auto"/>
        <w:jc w:val="both"/>
        <w:rPr>
          <w:rFonts w:eastAsia="MS Mincho"/>
        </w:rPr>
      </w:pPr>
      <w:r w:rsidRPr="00842781">
        <w:rPr>
          <w:rFonts w:eastAsia="MS Mincho"/>
        </w:rPr>
        <w:t xml:space="preserve">nová řešení pro elektronické komunikační systémy </w:t>
      </w:r>
    </w:p>
    <w:p w14:paraId="3316AB5E" w14:textId="77777777" w:rsidR="00842781" w:rsidRPr="00842781" w:rsidRDefault="00842781" w:rsidP="00543C1B">
      <w:pPr>
        <w:numPr>
          <w:ilvl w:val="0"/>
          <w:numId w:val="144"/>
        </w:numPr>
        <w:spacing w:after="120" w:line="360" w:lineRule="auto"/>
        <w:jc w:val="both"/>
        <w:rPr>
          <w:rFonts w:eastAsia="MS Mincho"/>
        </w:rPr>
      </w:pPr>
      <w:r w:rsidRPr="00842781">
        <w:rPr>
          <w:rFonts w:eastAsia="MS Mincho"/>
        </w:rPr>
        <w:t xml:space="preserve">technologie samořiditelných vozů (vývoj a aplikace senzorů a technologií pro algoritmické řízení) </w:t>
      </w:r>
    </w:p>
    <w:p w14:paraId="07B8F2E5" w14:textId="77777777" w:rsidR="00842781" w:rsidRPr="00842781" w:rsidRDefault="00842781" w:rsidP="00543C1B">
      <w:pPr>
        <w:numPr>
          <w:ilvl w:val="0"/>
          <w:numId w:val="144"/>
        </w:numPr>
        <w:spacing w:after="120" w:line="360" w:lineRule="auto"/>
        <w:jc w:val="both"/>
      </w:pPr>
      <w:r w:rsidRPr="00842781">
        <w:rPr>
          <w:rFonts w:eastAsia="MS Mincho"/>
        </w:rPr>
        <w:t>bezpilotní prostředky</w:t>
      </w:r>
      <w:r w:rsidRPr="00842781">
        <w:t>, včetně jejich autonomního provozu</w:t>
      </w:r>
    </w:p>
    <w:p w14:paraId="5D4AE214" w14:textId="77777777" w:rsidR="00842781" w:rsidRPr="00842781" w:rsidRDefault="00842781" w:rsidP="00543C1B">
      <w:pPr>
        <w:numPr>
          <w:ilvl w:val="0"/>
          <w:numId w:val="137"/>
        </w:numPr>
        <w:spacing w:before="240" w:after="120" w:line="360" w:lineRule="auto"/>
        <w:ind w:left="737" w:hanging="377"/>
        <w:jc w:val="both"/>
        <w:rPr>
          <w:rFonts w:eastAsia="MS Mincho"/>
          <w:b/>
        </w:rPr>
      </w:pPr>
      <w:r w:rsidRPr="00842781">
        <w:rPr>
          <w:rFonts w:eastAsia="MS Mincho"/>
          <w:b/>
        </w:rPr>
        <w:t>Kybernetická bezpečnost</w:t>
      </w:r>
    </w:p>
    <w:p w14:paraId="1CCFFD86" w14:textId="77777777" w:rsidR="00842781" w:rsidRPr="00842781" w:rsidRDefault="00842781" w:rsidP="00543C1B">
      <w:pPr>
        <w:numPr>
          <w:ilvl w:val="1"/>
          <w:numId w:val="137"/>
        </w:numPr>
        <w:spacing w:after="120" w:line="360" w:lineRule="auto"/>
        <w:jc w:val="both"/>
        <w:rPr>
          <w:rFonts w:eastAsia="MS Mincho"/>
        </w:rPr>
      </w:pPr>
      <w:r w:rsidRPr="00842781">
        <w:rPr>
          <w:rFonts w:eastAsia="MS Mincho"/>
        </w:rPr>
        <w:t>ochrana ICT infrastruktury a dat před útoky, datové a síťové zabezpečení</w:t>
      </w:r>
    </w:p>
    <w:p w14:paraId="723DB280" w14:textId="77777777" w:rsidR="00842781" w:rsidRPr="00842781" w:rsidRDefault="00842781" w:rsidP="00543C1B">
      <w:pPr>
        <w:numPr>
          <w:ilvl w:val="1"/>
          <w:numId w:val="137"/>
        </w:numPr>
        <w:spacing w:after="120" w:line="360" w:lineRule="auto"/>
        <w:jc w:val="both"/>
        <w:rPr>
          <w:rFonts w:eastAsia="MS Mincho"/>
        </w:rPr>
      </w:pPr>
      <w:r w:rsidRPr="00842781">
        <w:rPr>
          <w:rFonts w:eastAsia="MS Mincho"/>
        </w:rPr>
        <w:t>bezpečné ukládání a zálohování dat</w:t>
      </w:r>
    </w:p>
    <w:p w14:paraId="43F5DAE0" w14:textId="77777777" w:rsidR="00842781" w:rsidRPr="00842781" w:rsidRDefault="00842781" w:rsidP="00543C1B">
      <w:pPr>
        <w:numPr>
          <w:ilvl w:val="1"/>
          <w:numId w:val="137"/>
        </w:numPr>
        <w:spacing w:after="120" w:line="360" w:lineRule="auto"/>
        <w:jc w:val="both"/>
        <w:rPr>
          <w:rFonts w:eastAsia="MS Mincho"/>
        </w:rPr>
      </w:pPr>
      <w:r w:rsidRPr="00842781">
        <w:rPr>
          <w:rFonts w:eastAsia="MS Mincho"/>
        </w:rPr>
        <w:t>moderní a bezpečná digitální komunikace</w:t>
      </w:r>
    </w:p>
    <w:p w14:paraId="49DA9F50" w14:textId="77777777" w:rsidR="00842781" w:rsidRPr="00842781" w:rsidRDefault="00842781" w:rsidP="00543C1B">
      <w:pPr>
        <w:numPr>
          <w:ilvl w:val="1"/>
          <w:numId w:val="137"/>
        </w:numPr>
        <w:spacing w:after="120" w:line="360" w:lineRule="auto"/>
        <w:jc w:val="both"/>
        <w:rPr>
          <w:rFonts w:eastAsia="MS Mincho"/>
        </w:rPr>
      </w:pPr>
      <w:r w:rsidRPr="00842781">
        <w:rPr>
          <w:rFonts w:eastAsia="MS Mincho"/>
        </w:rPr>
        <w:t>obrana před šířením škodlivého softwaru</w:t>
      </w:r>
    </w:p>
    <w:p w14:paraId="631E9508" w14:textId="77777777" w:rsidR="00842781" w:rsidRPr="00842781" w:rsidRDefault="00842781" w:rsidP="00543C1B">
      <w:pPr>
        <w:numPr>
          <w:ilvl w:val="1"/>
          <w:numId w:val="137"/>
        </w:numPr>
        <w:spacing w:after="120" w:line="360" w:lineRule="auto"/>
        <w:jc w:val="both"/>
      </w:pPr>
      <w:r w:rsidRPr="00842781">
        <w:rPr>
          <w:rFonts w:eastAsia="MS Mincho"/>
        </w:rPr>
        <w:t>přecházení kyberzločinu</w:t>
      </w:r>
    </w:p>
    <w:p w14:paraId="27482CFF" w14:textId="77777777" w:rsidR="00842781" w:rsidRPr="00842781" w:rsidRDefault="00842781" w:rsidP="00543C1B">
      <w:pPr>
        <w:numPr>
          <w:ilvl w:val="0"/>
          <w:numId w:val="137"/>
        </w:numPr>
        <w:spacing w:before="240" w:after="120" w:line="360" w:lineRule="auto"/>
        <w:ind w:left="737" w:hanging="377"/>
        <w:jc w:val="both"/>
        <w:rPr>
          <w:rFonts w:eastAsia="MS Mincho"/>
          <w:b/>
        </w:rPr>
      </w:pPr>
      <w:r w:rsidRPr="00842781">
        <w:rPr>
          <w:rFonts w:eastAsia="MS Mincho"/>
          <w:b/>
        </w:rPr>
        <w:t>Společenské dopady digitalizace společnosti</w:t>
      </w:r>
    </w:p>
    <w:p w14:paraId="16F30B5B" w14:textId="77777777" w:rsidR="00842781" w:rsidRPr="00842781" w:rsidRDefault="00842781" w:rsidP="00543C1B">
      <w:pPr>
        <w:numPr>
          <w:ilvl w:val="1"/>
          <w:numId w:val="137"/>
        </w:numPr>
        <w:spacing w:after="120" w:line="360" w:lineRule="auto"/>
        <w:jc w:val="both"/>
        <w:rPr>
          <w:rFonts w:eastAsia="MS Mincho"/>
        </w:rPr>
      </w:pPr>
      <w:r w:rsidRPr="00842781">
        <w:rPr>
          <w:rFonts w:eastAsia="MS Mincho"/>
        </w:rPr>
        <w:t>monitorování negativních společenských jevů spojených s digitalizací společnosti</w:t>
      </w:r>
    </w:p>
    <w:p w14:paraId="050757F0" w14:textId="77777777" w:rsidR="00842781" w:rsidRPr="00842781" w:rsidRDefault="00842781" w:rsidP="00543C1B">
      <w:pPr>
        <w:numPr>
          <w:ilvl w:val="1"/>
          <w:numId w:val="137"/>
        </w:numPr>
        <w:spacing w:after="120" w:line="360" w:lineRule="auto"/>
        <w:jc w:val="both"/>
      </w:pPr>
      <w:r w:rsidRPr="00842781">
        <w:rPr>
          <w:rFonts w:eastAsia="MS Mincho"/>
        </w:rPr>
        <w:t>rozvoj</w:t>
      </w:r>
      <w:r w:rsidRPr="00842781">
        <w:t xml:space="preserve"> opatření na jejich eliminaci</w:t>
      </w:r>
    </w:p>
    <w:p w14:paraId="79C116F0" w14:textId="77777777" w:rsidR="00842781" w:rsidRPr="00842781" w:rsidRDefault="00842781" w:rsidP="00543C1B">
      <w:pPr>
        <w:numPr>
          <w:ilvl w:val="0"/>
          <w:numId w:val="137"/>
        </w:numPr>
        <w:spacing w:before="240" w:after="120" w:line="360" w:lineRule="auto"/>
        <w:ind w:left="737" w:hanging="377"/>
        <w:jc w:val="both"/>
        <w:rPr>
          <w:rFonts w:eastAsia="MS Mincho"/>
          <w:b/>
        </w:rPr>
      </w:pPr>
      <w:r w:rsidRPr="00842781">
        <w:rPr>
          <w:rFonts w:eastAsia="MS Mincho"/>
          <w:b/>
        </w:rPr>
        <w:t>Výzkum dopadu technologií na společnost a jedince v rámci nových kreativních průmyslů</w:t>
      </w:r>
    </w:p>
    <w:p w14:paraId="7F99F5C3" w14:textId="184AFDC1" w:rsidR="00842781" w:rsidRPr="00842781" w:rsidRDefault="00842781" w:rsidP="00543C1B">
      <w:pPr>
        <w:numPr>
          <w:ilvl w:val="1"/>
          <w:numId w:val="137"/>
        </w:numPr>
        <w:spacing w:after="120" w:line="360" w:lineRule="auto"/>
        <w:jc w:val="both"/>
        <w:rPr>
          <w:rFonts w:eastAsia="MS Mincho"/>
        </w:rPr>
      </w:pPr>
      <w:r w:rsidRPr="00842781">
        <w:rPr>
          <w:rFonts w:eastAsia="MS Mincho"/>
        </w:rPr>
        <w:t>výzkum společenských dopadů technologií, zejména pak v oblasti práva, sociálních médií a</w:t>
      </w:r>
      <w:r w:rsidR="00BD4B25">
        <w:rPr>
          <w:rFonts w:eastAsia="MS Mincho"/>
        </w:rPr>
        <w:t> </w:t>
      </w:r>
      <w:r w:rsidRPr="00842781">
        <w:rPr>
          <w:rFonts w:eastAsia="MS Mincho"/>
        </w:rPr>
        <w:t>podílu občanů na chodu demokracie v ČR</w:t>
      </w:r>
    </w:p>
    <w:p w14:paraId="50762E5A" w14:textId="587D666D" w:rsidR="00842781" w:rsidRPr="00842781" w:rsidRDefault="00842781" w:rsidP="00543C1B">
      <w:pPr>
        <w:numPr>
          <w:ilvl w:val="1"/>
          <w:numId w:val="137"/>
        </w:numPr>
        <w:spacing w:after="120" w:line="360" w:lineRule="auto"/>
        <w:jc w:val="both"/>
        <w:rPr>
          <w:rFonts w:eastAsiaTheme="minorEastAsia" w:cs="Arial"/>
        </w:rPr>
      </w:pPr>
      <w:r w:rsidRPr="00842781">
        <w:rPr>
          <w:rFonts w:eastAsia="MS Mincho"/>
        </w:rPr>
        <w:t>nové oblasti a možnosti výzkumu s potenciálním významným dopadem na inovace, které přinášejí nové technologie v oblasti digital humanities, jazykové technologie, počítačová a</w:t>
      </w:r>
      <w:r w:rsidR="00BD4B25">
        <w:rPr>
          <w:rFonts w:eastAsia="MS Mincho"/>
        </w:rPr>
        <w:t> </w:t>
      </w:r>
      <w:r w:rsidRPr="00842781">
        <w:rPr>
          <w:rFonts w:eastAsia="MS Mincho"/>
        </w:rPr>
        <w:t>korpusová lingvistika, technologie pro herní průmysl, digitální technologie</w:t>
      </w:r>
      <w:r w:rsidRPr="00842781">
        <w:rPr>
          <w:rFonts w:eastAsiaTheme="minorEastAsia" w:cs="Arial"/>
        </w:rPr>
        <w:t xml:space="preserve"> pro podporu kreativní tvorby a nové audiovizuální formáty</w:t>
      </w:r>
    </w:p>
    <w:p w14:paraId="60DD1DEB" w14:textId="77777777" w:rsidR="00842781" w:rsidRPr="00842781" w:rsidRDefault="00842781" w:rsidP="00543C1B">
      <w:pPr>
        <w:numPr>
          <w:ilvl w:val="0"/>
          <w:numId w:val="145"/>
        </w:numPr>
        <w:spacing w:after="120" w:line="360" w:lineRule="auto"/>
        <w:jc w:val="both"/>
        <w:rPr>
          <w:rFonts w:eastAsia="MS Mincho"/>
        </w:rPr>
      </w:pPr>
      <w:r w:rsidRPr="00842781">
        <w:rPr>
          <w:rFonts w:eastAsia="MS Mincho"/>
        </w:rPr>
        <w:t>text and data mining v humanitních a sociálních vědách</w:t>
      </w:r>
    </w:p>
    <w:p w14:paraId="1DD19771" w14:textId="71B70BE4" w:rsidR="00842781" w:rsidRPr="00842781" w:rsidRDefault="00842781" w:rsidP="00543C1B">
      <w:pPr>
        <w:numPr>
          <w:ilvl w:val="0"/>
          <w:numId w:val="145"/>
        </w:numPr>
        <w:spacing w:after="120" w:line="360" w:lineRule="auto"/>
        <w:jc w:val="both"/>
        <w:rPr>
          <w:rFonts w:eastAsia="MS Mincho"/>
        </w:rPr>
      </w:pPr>
      <w:r w:rsidRPr="00842781">
        <w:rPr>
          <w:rFonts w:eastAsia="MS Mincho"/>
        </w:rPr>
        <w:t>příprava nezbytných datových zdrojů pro aplikovaný výzkum ve společenských a</w:t>
      </w:r>
      <w:r w:rsidR="00BD4B25">
        <w:rPr>
          <w:rFonts w:eastAsia="MS Mincho"/>
        </w:rPr>
        <w:t> </w:t>
      </w:r>
      <w:r w:rsidRPr="00842781">
        <w:rPr>
          <w:rFonts w:eastAsia="MS Mincho"/>
        </w:rPr>
        <w:t>humanitních vědách</w:t>
      </w:r>
    </w:p>
    <w:p w14:paraId="0CAB8014" w14:textId="77777777" w:rsidR="00842781" w:rsidRPr="00842781" w:rsidRDefault="00842781" w:rsidP="00543C1B">
      <w:pPr>
        <w:numPr>
          <w:ilvl w:val="0"/>
          <w:numId w:val="145"/>
        </w:numPr>
        <w:spacing w:after="120" w:line="360" w:lineRule="auto"/>
        <w:jc w:val="both"/>
        <w:rPr>
          <w:rFonts w:eastAsia="MS Mincho"/>
        </w:rPr>
      </w:pPr>
      <w:r w:rsidRPr="00842781">
        <w:rPr>
          <w:rFonts w:eastAsia="MS Mincho"/>
        </w:rPr>
        <w:t>jazykové technologie, počítačová a korpusová lingvistika</w:t>
      </w:r>
    </w:p>
    <w:p w14:paraId="2A5D3152" w14:textId="77777777" w:rsidR="00842781" w:rsidRPr="00842781" w:rsidRDefault="00842781" w:rsidP="00543C1B">
      <w:pPr>
        <w:numPr>
          <w:ilvl w:val="0"/>
          <w:numId w:val="145"/>
        </w:numPr>
        <w:spacing w:after="120" w:line="360" w:lineRule="auto"/>
        <w:jc w:val="both"/>
        <w:rPr>
          <w:rFonts w:eastAsia="MS Mincho"/>
        </w:rPr>
      </w:pPr>
      <w:r w:rsidRPr="00842781">
        <w:rPr>
          <w:rFonts w:eastAsia="MS Mincho"/>
        </w:rPr>
        <w:t xml:space="preserve">zpřístupnění kulturního dědictví a podpora kulturní identity, podpora aplikací s ekonomickými dopady v průmyslu a službách </w:t>
      </w:r>
    </w:p>
    <w:p w14:paraId="5439D727" w14:textId="77777777" w:rsidR="00842781" w:rsidRPr="00842781" w:rsidRDefault="00842781" w:rsidP="00543C1B">
      <w:pPr>
        <w:numPr>
          <w:ilvl w:val="0"/>
          <w:numId w:val="145"/>
        </w:numPr>
        <w:spacing w:after="120" w:line="360" w:lineRule="auto"/>
        <w:jc w:val="both"/>
        <w:rPr>
          <w:rFonts w:eastAsia="MS Mincho"/>
        </w:rPr>
      </w:pPr>
      <w:r w:rsidRPr="00842781">
        <w:rPr>
          <w:rFonts w:eastAsia="MS Mincho"/>
        </w:rPr>
        <w:t xml:space="preserve">zpřístupnění metodologií typu person, prototypování a dalších </w:t>
      </w:r>
    </w:p>
    <w:p w14:paraId="49FFCE21" w14:textId="77777777" w:rsidR="00842781" w:rsidRPr="00842781" w:rsidRDefault="00842781" w:rsidP="00543C1B">
      <w:pPr>
        <w:numPr>
          <w:ilvl w:val="0"/>
          <w:numId w:val="145"/>
        </w:numPr>
        <w:spacing w:after="120" w:line="360" w:lineRule="auto"/>
        <w:jc w:val="both"/>
        <w:rPr>
          <w:rFonts w:eastAsia="MS Mincho"/>
        </w:rPr>
      </w:pPr>
      <w:r w:rsidRPr="00842781">
        <w:rPr>
          <w:rFonts w:eastAsia="MS Mincho"/>
        </w:rPr>
        <w:t>chování uživatelů služeb (arealová studia, etnologie a antropologie)</w:t>
      </w:r>
    </w:p>
    <w:p w14:paraId="7593B575" w14:textId="77777777" w:rsidR="00842781" w:rsidRPr="00842781" w:rsidRDefault="00842781" w:rsidP="00543C1B">
      <w:pPr>
        <w:numPr>
          <w:ilvl w:val="0"/>
          <w:numId w:val="145"/>
        </w:numPr>
        <w:spacing w:after="120" w:line="360" w:lineRule="auto"/>
        <w:jc w:val="both"/>
        <w:rPr>
          <w:rFonts w:eastAsia="MS Mincho"/>
        </w:rPr>
      </w:pPr>
      <w:r w:rsidRPr="00842781">
        <w:rPr>
          <w:rFonts w:eastAsia="MS Mincho"/>
        </w:rPr>
        <w:t>výzkum autorského práva a duševního vlastnictví ve vazbě na nové technologie</w:t>
      </w:r>
    </w:p>
    <w:p w14:paraId="3EA531CE" w14:textId="77777777" w:rsidR="00842781" w:rsidRPr="00842781" w:rsidRDefault="00842781" w:rsidP="00543C1B">
      <w:pPr>
        <w:numPr>
          <w:ilvl w:val="0"/>
          <w:numId w:val="137"/>
        </w:numPr>
        <w:spacing w:before="240" w:after="120" w:line="360" w:lineRule="auto"/>
        <w:ind w:left="737" w:hanging="377"/>
        <w:jc w:val="both"/>
        <w:rPr>
          <w:rFonts w:eastAsia="MS Mincho"/>
          <w:b/>
        </w:rPr>
      </w:pPr>
      <w:r w:rsidRPr="00842781">
        <w:rPr>
          <w:rFonts w:eastAsia="MS Mincho"/>
          <w:b/>
        </w:rPr>
        <w:t>Mediální tvorba:</w:t>
      </w:r>
    </w:p>
    <w:p w14:paraId="62747FAE" w14:textId="77777777" w:rsidR="00842781" w:rsidRPr="00842781" w:rsidRDefault="00842781" w:rsidP="00543C1B">
      <w:pPr>
        <w:numPr>
          <w:ilvl w:val="1"/>
          <w:numId w:val="137"/>
        </w:numPr>
        <w:spacing w:after="120" w:line="360" w:lineRule="auto"/>
        <w:jc w:val="both"/>
        <w:rPr>
          <w:rFonts w:eastAsia="MS Mincho"/>
        </w:rPr>
      </w:pPr>
      <w:r w:rsidRPr="00842781">
        <w:rPr>
          <w:rFonts w:eastAsia="MS Mincho"/>
        </w:rPr>
        <w:t xml:space="preserve">nové techniky vytváření mediálního obsahu </w:t>
      </w:r>
    </w:p>
    <w:p w14:paraId="2A5319DE"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inovativní postupy efektivní tvorby mediálního obsahu (efektivní a dostupné prostředky pro animaci, syntézu zvuku, textu, obrazu apod.)</w:t>
      </w:r>
    </w:p>
    <w:p w14:paraId="51142374"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tvorba nových forem interaktivního mediálního obsahu</w:t>
      </w:r>
    </w:p>
    <w:p w14:paraId="0CA0EFC3" w14:textId="77777777" w:rsidR="00842781" w:rsidRPr="00842781" w:rsidRDefault="00842781" w:rsidP="00543C1B">
      <w:pPr>
        <w:numPr>
          <w:ilvl w:val="2"/>
          <w:numId w:val="137"/>
        </w:numPr>
        <w:spacing w:after="120" w:line="360" w:lineRule="auto"/>
        <w:jc w:val="both"/>
      </w:pPr>
      <w:r w:rsidRPr="00842781">
        <w:rPr>
          <w:rFonts w:eastAsia="MS Mincho"/>
        </w:rPr>
        <w:t>nástroje</w:t>
      </w:r>
      <w:r w:rsidRPr="00842781">
        <w:t xml:space="preserve"> pro </w:t>
      </w:r>
      <w:r w:rsidRPr="00842781">
        <w:rPr>
          <w:bCs/>
        </w:rPr>
        <w:t>tvorbu</w:t>
      </w:r>
      <w:r w:rsidRPr="00842781">
        <w:t xml:space="preserve"> nových forem </w:t>
      </w:r>
      <w:r w:rsidRPr="00842781">
        <w:rPr>
          <w:bCs/>
        </w:rPr>
        <w:t>nevizuálního obsahu</w:t>
      </w:r>
    </w:p>
    <w:p w14:paraId="151ABE6B" w14:textId="77777777" w:rsidR="00842781" w:rsidRPr="00842781" w:rsidRDefault="00842781" w:rsidP="00543C1B">
      <w:pPr>
        <w:numPr>
          <w:ilvl w:val="0"/>
          <w:numId w:val="146"/>
        </w:numPr>
        <w:spacing w:after="120" w:line="360" w:lineRule="auto"/>
        <w:ind w:left="1418" w:hanging="284"/>
        <w:jc w:val="both"/>
        <w:rPr>
          <w:rFonts w:eastAsia="MS Mincho"/>
        </w:rPr>
      </w:pPr>
      <w:r w:rsidRPr="00842781">
        <w:rPr>
          <w:rFonts w:eastAsia="MS Mincho"/>
        </w:rPr>
        <w:t>rozvoj prezentačních technik mediálního obsahu</w:t>
      </w:r>
    </w:p>
    <w:p w14:paraId="3E07D9A6" w14:textId="77777777" w:rsidR="00842781" w:rsidRPr="00842781" w:rsidRDefault="00842781" w:rsidP="00543C1B">
      <w:pPr>
        <w:numPr>
          <w:ilvl w:val="0"/>
          <w:numId w:val="96"/>
        </w:numPr>
        <w:spacing w:after="120" w:line="360" w:lineRule="auto"/>
        <w:jc w:val="both"/>
        <w:rPr>
          <w:rFonts w:eastAsia="MS Mincho"/>
        </w:rPr>
      </w:pPr>
      <w:r w:rsidRPr="00842781">
        <w:rPr>
          <w:rFonts w:eastAsia="MS Mincho"/>
        </w:rPr>
        <w:t>nové techniky a technologie vyhledávání a prezentace mediálního obsahu</w:t>
      </w:r>
    </w:p>
    <w:p w14:paraId="4E3599C8" w14:textId="77777777" w:rsidR="00842781" w:rsidRPr="00842781" w:rsidRDefault="00842781" w:rsidP="00543C1B">
      <w:pPr>
        <w:numPr>
          <w:ilvl w:val="0"/>
          <w:numId w:val="96"/>
        </w:numPr>
        <w:spacing w:after="120" w:line="360" w:lineRule="auto"/>
        <w:jc w:val="both"/>
        <w:rPr>
          <w:rFonts w:eastAsia="MS Mincho"/>
        </w:rPr>
      </w:pPr>
      <w:r w:rsidRPr="00842781">
        <w:rPr>
          <w:rFonts w:eastAsia="MS Mincho"/>
        </w:rPr>
        <w:t>nové interaktivní vyhledávací a prezentační nástroje a postupy</w:t>
      </w:r>
    </w:p>
    <w:p w14:paraId="79597DBF" w14:textId="77777777" w:rsidR="00842781" w:rsidRPr="00842781" w:rsidRDefault="00842781" w:rsidP="00543C1B">
      <w:pPr>
        <w:numPr>
          <w:ilvl w:val="0"/>
          <w:numId w:val="96"/>
        </w:numPr>
        <w:spacing w:after="120" w:line="360" w:lineRule="auto"/>
        <w:jc w:val="both"/>
      </w:pPr>
      <w:r w:rsidRPr="00842781">
        <w:rPr>
          <w:rFonts w:eastAsia="MS Mincho"/>
        </w:rPr>
        <w:t>inovativní</w:t>
      </w:r>
      <w:r w:rsidRPr="00842781">
        <w:t xml:space="preserve"> techniky vyhledávání </w:t>
      </w:r>
      <w:r w:rsidRPr="00842781">
        <w:rPr>
          <w:bCs/>
        </w:rPr>
        <w:t>prezentace nevizuálního obsahu</w:t>
      </w:r>
    </w:p>
    <w:p w14:paraId="7939FE65" w14:textId="77777777" w:rsidR="00842781" w:rsidRPr="00842781" w:rsidRDefault="00842781" w:rsidP="00543C1B">
      <w:pPr>
        <w:numPr>
          <w:ilvl w:val="0"/>
          <w:numId w:val="147"/>
        </w:numPr>
        <w:spacing w:after="120" w:line="360" w:lineRule="auto"/>
        <w:jc w:val="both"/>
        <w:rPr>
          <w:rFonts w:eastAsia="MS Mincho"/>
        </w:rPr>
      </w:pPr>
      <w:r w:rsidRPr="00842781">
        <w:rPr>
          <w:rFonts w:eastAsia="MS Mincho"/>
        </w:rPr>
        <w:t>inovace v oblasti archivace mediálního obsahu</w:t>
      </w:r>
    </w:p>
    <w:p w14:paraId="40E16C31" w14:textId="77777777" w:rsidR="00842781" w:rsidRPr="00842781" w:rsidRDefault="00842781" w:rsidP="00543C1B">
      <w:pPr>
        <w:numPr>
          <w:ilvl w:val="1"/>
          <w:numId w:val="148"/>
        </w:numPr>
        <w:spacing w:after="120" w:line="360" w:lineRule="auto"/>
        <w:jc w:val="both"/>
        <w:rPr>
          <w:rFonts w:eastAsia="MS Mincho"/>
        </w:rPr>
      </w:pPr>
      <w:r w:rsidRPr="00842781">
        <w:rPr>
          <w:rFonts w:eastAsia="MS Mincho"/>
        </w:rPr>
        <w:t xml:space="preserve">nové způsoby identifikace, popisu, indexování, katalogizace a reinterpretace mediálního obsahu a jejich aplikace </w:t>
      </w:r>
    </w:p>
    <w:p w14:paraId="23006540" w14:textId="77777777" w:rsidR="00842781" w:rsidRPr="00842781" w:rsidRDefault="00842781" w:rsidP="00543C1B">
      <w:pPr>
        <w:numPr>
          <w:ilvl w:val="1"/>
          <w:numId w:val="148"/>
        </w:numPr>
        <w:spacing w:after="120" w:line="360" w:lineRule="auto"/>
        <w:jc w:val="both"/>
        <w:rPr>
          <w:rFonts w:eastAsia="MS Mincho"/>
        </w:rPr>
      </w:pPr>
      <w:r w:rsidRPr="00842781">
        <w:rPr>
          <w:rFonts w:eastAsia="MS Mincho"/>
        </w:rPr>
        <w:t>inovativní postupy v oblasti recyklace (znovupoužití) existujícího mediálního obsahu</w:t>
      </w:r>
    </w:p>
    <w:p w14:paraId="61390CBC" w14:textId="77777777" w:rsidR="00842781" w:rsidRPr="00842781" w:rsidRDefault="00842781" w:rsidP="00543C1B">
      <w:pPr>
        <w:numPr>
          <w:ilvl w:val="0"/>
          <w:numId w:val="149"/>
        </w:numPr>
        <w:spacing w:after="120" w:line="360" w:lineRule="auto"/>
        <w:jc w:val="both"/>
        <w:rPr>
          <w:rFonts w:eastAsia="MS Mincho"/>
        </w:rPr>
      </w:pPr>
      <w:r w:rsidRPr="00842781">
        <w:rPr>
          <w:rFonts w:eastAsia="MS Mincho"/>
        </w:rPr>
        <w:t>rozvoj aplikací mediálního obsahu</w:t>
      </w:r>
    </w:p>
    <w:p w14:paraId="64AA62E2" w14:textId="77777777" w:rsidR="00842781" w:rsidRPr="00842781" w:rsidRDefault="00842781" w:rsidP="00543C1B">
      <w:pPr>
        <w:numPr>
          <w:ilvl w:val="1"/>
          <w:numId w:val="150"/>
        </w:numPr>
        <w:spacing w:after="120" w:line="360" w:lineRule="auto"/>
        <w:jc w:val="both"/>
        <w:rPr>
          <w:rFonts w:eastAsia="MS Mincho"/>
        </w:rPr>
      </w:pPr>
      <w:r w:rsidRPr="00842781">
        <w:rPr>
          <w:rFonts w:eastAsia="MS Mincho"/>
        </w:rPr>
        <w:t>metody hodnocení nových přístupů v oblasti tvorby, prezentace a archivace z hlediska kategorie kreativního média</w:t>
      </w:r>
    </w:p>
    <w:p w14:paraId="77A06917" w14:textId="77777777" w:rsidR="00842781" w:rsidRPr="00842781" w:rsidRDefault="00842781" w:rsidP="00543C1B">
      <w:pPr>
        <w:numPr>
          <w:ilvl w:val="1"/>
          <w:numId w:val="150"/>
        </w:numPr>
        <w:spacing w:after="120" w:line="360" w:lineRule="auto"/>
        <w:jc w:val="both"/>
        <w:rPr>
          <w:rFonts w:eastAsia="MS Mincho"/>
        </w:rPr>
      </w:pPr>
      <w:r w:rsidRPr="00842781">
        <w:rPr>
          <w:rFonts w:eastAsia="MS Mincho"/>
        </w:rPr>
        <w:t>aplikace nových přístupů v kontextu konkrétního média (TV, divadlo, …)</w:t>
      </w:r>
    </w:p>
    <w:p w14:paraId="5FEC9442" w14:textId="77777777" w:rsidR="00842781" w:rsidRPr="00842781" w:rsidRDefault="00842781" w:rsidP="00543C1B">
      <w:pPr>
        <w:numPr>
          <w:ilvl w:val="1"/>
          <w:numId w:val="150"/>
        </w:numPr>
        <w:spacing w:after="120" w:line="360" w:lineRule="auto"/>
        <w:jc w:val="both"/>
      </w:pPr>
      <w:r w:rsidRPr="00842781">
        <w:rPr>
          <w:rFonts w:eastAsia="MS Mincho"/>
        </w:rPr>
        <w:t>prezentace</w:t>
      </w:r>
      <w:r w:rsidRPr="00842781">
        <w:t xml:space="preserve"> nových </w:t>
      </w:r>
      <w:r w:rsidRPr="00842781">
        <w:rPr>
          <w:bCs/>
        </w:rPr>
        <w:t>vědeckých výstupů</w:t>
      </w:r>
      <w:r w:rsidRPr="00842781">
        <w:t xml:space="preserve"> </w:t>
      </w:r>
    </w:p>
    <w:p w14:paraId="1200A064" w14:textId="77777777" w:rsidR="00842781" w:rsidRPr="00842781" w:rsidRDefault="00842781" w:rsidP="00543C1B">
      <w:pPr>
        <w:numPr>
          <w:ilvl w:val="1"/>
          <w:numId w:val="137"/>
        </w:numPr>
        <w:spacing w:after="120" w:line="360" w:lineRule="auto"/>
        <w:jc w:val="both"/>
        <w:rPr>
          <w:rFonts w:eastAsia="MS Mincho"/>
        </w:rPr>
      </w:pPr>
      <w:r w:rsidRPr="00842781">
        <w:rPr>
          <w:rFonts w:eastAsia="MS Mincho"/>
        </w:rPr>
        <w:t>Scénická umění a architektura – práce s prostorem:</w:t>
      </w:r>
    </w:p>
    <w:p w14:paraId="3D15CBD5"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aplikace nových prezentačních technik v prostoru</w:t>
      </w:r>
    </w:p>
    <w:p w14:paraId="08398A5E"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využití nových interaktivních technik pro práci s prostorem</w:t>
      </w:r>
    </w:p>
    <w:p w14:paraId="227DDF6A"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 xml:space="preserve">využití nových vlastností materiálů vhodných pro zvýšení účelnosti prostoru z mediálního hlediska (vizuální, akustické, povrchově hmatové vlastnosti apod.)    </w:t>
      </w:r>
    </w:p>
    <w:p w14:paraId="51F09FE0"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 xml:space="preserve">aplikace pokročilých technologií v oblasti prostorového navrhování </w:t>
      </w:r>
    </w:p>
    <w:p w14:paraId="17324153"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aplikace pokročilých technologií za účelem posílení účelnosti prostoru (nasazení virtuální reality a vizualizačních technologií jako součást architektury, scénografického projektu apod.)</w:t>
      </w:r>
    </w:p>
    <w:p w14:paraId="7E00C4AC"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výzkum, vývoj a využití nových komunikačních technologií pro distanční spolupráci ve scénických uměních a architektuře</w:t>
      </w:r>
    </w:p>
    <w:p w14:paraId="7E85EB2C" w14:textId="77777777" w:rsidR="00842781" w:rsidRPr="00842781" w:rsidRDefault="00842781" w:rsidP="00543C1B">
      <w:pPr>
        <w:numPr>
          <w:ilvl w:val="0"/>
          <w:numId w:val="137"/>
        </w:numPr>
        <w:spacing w:before="240" w:after="120" w:line="360" w:lineRule="auto"/>
        <w:ind w:left="737" w:hanging="377"/>
        <w:jc w:val="both"/>
        <w:rPr>
          <w:rFonts w:eastAsia="MS Mincho"/>
          <w:b/>
        </w:rPr>
      </w:pPr>
      <w:r w:rsidRPr="00842781">
        <w:rPr>
          <w:rFonts w:eastAsia="MS Mincho"/>
          <w:b/>
        </w:rPr>
        <w:t>Paměťové instituce</w:t>
      </w:r>
    </w:p>
    <w:p w14:paraId="729BFE61" w14:textId="77777777" w:rsidR="00842781" w:rsidRPr="00842781" w:rsidRDefault="00842781" w:rsidP="00543C1B">
      <w:pPr>
        <w:numPr>
          <w:ilvl w:val="1"/>
          <w:numId w:val="137"/>
        </w:numPr>
        <w:spacing w:after="120" w:line="360" w:lineRule="auto"/>
        <w:jc w:val="both"/>
        <w:rPr>
          <w:rFonts w:eastAsia="MS Mincho"/>
        </w:rPr>
      </w:pPr>
      <w:r w:rsidRPr="00842781">
        <w:rPr>
          <w:rFonts w:eastAsia="MS Mincho"/>
        </w:rPr>
        <w:t>Nové způsoby restaurování a archivace paměťového fondu</w:t>
      </w:r>
    </w:p>
    <w:p w14:paraId="657AB1C4"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aplikace pokročilých metod, nových vědeckých poznatků a materiálů v oblasti restaurace médií a artefaktů</w:t>
      </w:r>
    </w:p>
    <w:p w14:paraId="2F02A703" w14:textId="77777777" w:rsidR="00842781" w:rsidRPr="00842781" w:rsidRDefault="00842781" w:rsidP="00543C1B">
      <w:pPr>
        <w:numPr>
          <w:ilvl w:val="2"/>
          <w:numId w:val="137"/>
        </w:numPr>
        <w:spacing w:after="120" w:line="360" w:lineRule="auto"/>
        <w:jc w:val="both"/>
        <w:rPr>
          <w:rFonts w:eastAsia="MS Mincho"/>
        </w:rPr>
      </w:pPr>
      <w:r w:rsidRPr="00842781">
        <w:rPr>
          <w:rFonts w:eastAsia="MS Mincho"/>
        </w:rPr>
        <w:t>restaurace artefaktů a architektonických děl pomocí digitální rekonstrukce</w:t>
      </w:r>
    </w:p>
    <w:p w14:paraId="13CDECC4" w14:textId="77777777" w:rsidR="00842781" w:rsidRPr="00842781" w:rsidRDefault="00842781" w:rsidP="00543C1B">
      <w:pPr>
        <w:numPr>
          <w:ilvl w:val="2"/>
          <w:numId w:val="137"/>
        </w:numPr>
        <w:spacing w:after="120" w:line="360" w:lineRule="auto"/>
        <w:jc w:val="both"/>
      </w:pPr>
      <w:r w:rsidRPr="00842781">
        <w:rPr>
          <w:rFonts w:eastAsia="MS Mincho"/>
        </w:rPr>
        <w:t>využívání nových technologií v oblasti archivace (nové generace úložišť a</w:t>
      </w:r>
      <w:r w:rsidRPr="00842781">
        <w:t> </w:t>
      </w:r>
      <w:r w:rsidRPr="00842781">
        <w:rPr>
          <w:rFonts w:eastAsia="MS Mincho"/>
        </w:rPr>
        <w:t>archivačních</w:t>
      </w:r>
      <w:r w:rsidRPr="00842781">
        <w:t xml:space="preserve"> standardů – zvyšování udržitelnosti obsahu v archivech)   </w:t>
      </w:r>
    </w:p>
    <w:p w14:paraId="5E00EA67" w14:textId="77777777" w:rsidR="00842781" w:rsidRPr="00842781" w:rsidRDefault="00842781" w:rsidP="00543C1B">
      <w:pPr>
        <w:numPr>
          <w:ilvl w:val="0"/>
          <w:numId w:val="151"/>
        </w:numPr>
        <w:spacing w:after="120" w:line="360" w:lineRule="auto"/>
        <w:ind w:left="1418" w:hanging="284"/>
        <w:jc w:val="both"/>
        <w:rPr>
          <w:rFonts w:eastAsia="MS Mincho"/>
        </w:rPr>
      </w:pPr>
      <w:r w:rsidRPr="00842781">
        <w:rPr>
          <w:rFonts w:eastAsia="MS Mincho"/>
        </w:rPr>
        <w:t>Archivace a vyhledávání mediálního obsahu</w:t>
      </w:r>
    </w:p>
    <w:p w14:paraId="642D4B08" w14:textId="77777777" w:rsidR="00842781" w:rsidRPr="00842781" w:rsidRDefault="00842781" w:rsidP="00543C1B">
      <w:pPr>
        <w:numPr>
          <w:ilvl w:val="2"/>
          <w:numId w:val="151"/>
        </w:numPr>
        <w:spacing w:after="120" w:line="360" w:lineRule="auto"/>
        <w:ind w:left="2127" w:hanging="284"/>
        <w:jc w:val="both"/>
        <w:rPr>
          <w:rFonts w:eastAsia="MS Mincho"/>
        </w:rPr>
      </w:pPr>
      <w:r w:rsidRPr="00842781">
        <w:rPr>
          <w:rFonts w:eastAsia="MS Mincho"/>
        </w:rPr>
        <w:t>automatické techniky klasifikace, indexace, katalogizace a anotace (metadata) mediálního obsahu</w:t>
      </w:r>
    </w:p>
    <w:p w14:paraId="38A4550A" w14:textId="77777777" w:rsidR="00842781" w:rsidRPr="00842781" w:rsidRDefault="00842781" w:rsidP="00543C1B">
      <w:pPr>
        <w:numPr>
          <w:ilvl w:val="2"/>
          <w:numId w:val="151"/>
        </w:numPr>
        <w:spacing w:after="120" w:line="360" w:lineRule="auto"/>
        <w:ind w:left="2127" w:hanging="284"/>
        <w:jc w:val="both"/>
        <w:rPr>
          <w:rFonts w:eastAsia="MS Mincho"/>
        </w:rPr>
      </w:pPr>
      <w:r w:rsidRPr="00842781">
        <w:rPr>
          <w:rFonts w:eastAsia="MS Mincho"/>
        </w:rPr>
        <w:t>nové metody vyhledávání mediálního obsahu, včetně využití automatických metod progresivní extrakce informací z mediálního obsahu a jeho propojení s otevřenými daty</w:t>
      </w:r>
    </w:p>
    <w:p w14:paraId="135F2006" w14:textId="77777777" w:rsidR="00842781" w:rsidRPr="00842781" w:rsidRDefault="00842781" w:rsidP="00543C1B">
      <w:pPr>
        <w:numPr>
          <w:ilvl w:val="0"/>
          <w:numId w:val="152"/>
        </w:numPr>
        <w:spacing w:after="120" w:line="360" w:lineRule="auto"/>
        <w:jc w:val="both"/>
        <w:rPr>
          <w:rFonts w:eastAsia="MS Mincho"/>
        </w:rPr>
      </w:pPr>
      <w:r w:rsidRPr="00842781">
        <w:rPr>
          <w:rFonts w:eastAsia="MS Mincho"/>
        </w:rPr>
        <w:t>Inovativní využití paměťového fondu</w:t>
      </w:r>
    </w:p>
    <w:p w14:paraId="435C5348" w14:textId="77777777" w:rsidR="00842781" w:rsidRPr="00842781" w:rsidRDefault="00842781" w:rsidP="00543C1B">
      <w:pPr>
        <w:numPr>
          <w:ilvl w:val="1"/>
          <w:numId w:val="153"/>
        </w:numPr>
        <w:spacing w:after="120" w:line="360" w:lineRule="auto"/>
        <w:ind w:left="2127" w:hanging="284"/>
        <w:jc w:val="both"/>
        <w:rPr>
          <w:rFonts w:eastAsia="MS Mincho"/>
        </w:rPr>
      </w:pPr>
      <w:r w:rsidRPr="00842781">
        <w:rPr>
          <w:rFonts w:eastAsia="MS Mincho"/>
        </w:rPr>
        <w:t xml:space="preserve">inovativní metody znovupoužití obsahu paměťového fondu </w:t>
      </w:r>
    </w:p>
    <w:p w14:paraId="47F3C779" w14:textId="77777777" w:rsidR="00842781" w:rsidRPr="00842781" w:rsidRDefault="00842781" w:rsidP="00543C1B">
      <w:pPr>
        <w:numPr>
          <w:ilvl w:val="1"/>
          <w:numId w:val="153"/>
        </w:numPr>
        <w:spacing w:after="120" w:line="360" w:lineRule="auto"/>
        <w:ind w:left="2127" w:hanging="284"/>
        <w:jc w:val="both"/>
        <w:rPr>
          <w:rFonts w:eastAsia="MS Mincho"/>
        </w:rPr>
      </w:pPr>
      <w:r w:rsidRPr="00842781">
        <w:rPr>
          <w:rFonts w:eastAsia="MS Mincho"/>
        </w:rPr>
        <w:t>využití nových technologií v práci s paměťovým fondem</w:t>
      </w:r>
    </w:p>
    <w:p w14:paraId="6E385062" w14:textId="77777777" w:rsidR="00842781" w:rsidRPr="00842781" w:rsidRDefault="00842781" w:rsidP="00543C1B">
      <w:pPr>
        <w:numPr>
          <w:ilvl w:val="1"/>
          <w:numId w:val="153"/>
        </w:numPr>
        <w:spacing w:after="120" w:line="360" w:lineRule="auto"/>
        <w:ind w:left="2127" w:hanging="284"/>
        <w:jc w:val="both"/>
        <w:rPr>
          <w:rFonts w:eastAsia="MS Mincho"/>
        </w:rPr>
      </w:pPr>
      <w:r w:rsidRPr="00842781">
        <w:rPr>
          <w:rFonts w:eastAsia="MS Mincho"/>
        </w:rPr>
        <w:t xml:space="preserve">nové technologie pro zpřístupňování paměťového obsahu, včetně zpřístupnění pro inkluzi znevýhodněných skupin a minorit </w:t>
      </w:r>
    </w:p>
    <w:p w14:paraId="0170C13B" w14:textId="77777777" w:rsidR="00842781" w:rsidRPr="00842781" w:rsidRDefault="00842781" w:rsidP="00543C1B">
      <w:pPr>
        <w:numPr>
          <w:ilvl w:val="1"/>
          <w:numId w:val="153"/>
        </w:numPr>
        <w:spacing w:after="120" w:line="360" w:lineRule="auto"/>
        <w:ind w:left="2127" w:hanging="284"/>
        <w:jc w:val="both"/>
      </w:pPr>
      <w:r w:rsidRPr="00842781">
        <w:rPr>
          <w:rFonts w:eastAsia="MS Mincho"/>
        </w:rPr>
        <w:t>výzkum, vývoj a využití technologií pro tvorbu a vizualizaci digitalizovaného</w:t>
      </w:r>
      <w:r w:rsidRPr="00842781">
        <w:rPr>
          <w:rFonts w:eastAsia="DejaVu Sans" w:cs="DejaVu Sans"/>
          <w:lang w:eastAsia="zh-CN" w:bidi="hi-IN"/>
        </w:rPr>
        <w:t xml:space="preserve"> kulturního obsahu, včetně distančního přístupu</w:t>
      </w:r>
    </w:p>
    <w:p w14:paraId="2E1494E2" w14:textId="77777777" w:rsidR="00842781" w:rsidRDefault="00842781" w:rsidP="00842781">
      <w:pPr>
        <w:spacing w:line="360" w:lineRule="auto"/>
      </w:pPr>
    </w:p>
    <w:p w14:paraId="0F869B3C" w14:textId="6414C44B" w:rsidR="006F127F" w:rsidRDefault="006F127F" w:rsidP="00543C1B">
      <w:pPr>
        <w:pStyle w:val="Odstavecseseznamem"/>
        <w:numPr>
          <w:ilvl w:val="0"/>
          <w:numId w:val="136"/>
        </w:numPr>
        <w:spacing w:line="360" w:lineRule="auto"/>
        <w:rPr>
          <w:u w:val="single"/>
        </w:rPr>
      </w:pPr>
      <w:r w:rsidRPr="00842781">
        <w:rPr>
          <w:u w:val="single"/>
        </w:rPr>
        <w:t>Indikativní vztah ke klasifikaci CZ NACE</w:t>
      </w:r>
    </w:p>
    <w:p w14:paraId="0CAB680F" w14:textId="0F8C06DE" w:rsidR="00C85D5E" w:rsidRPr="007D7FC4" w:rsidRDefault="00C85D5E" w:rsidP="00617914">
      <w:pPr>
        <w:pStyle w:val="Bezmezer1"/>
        <w:spacing w:before="40" w:after="40" w:line="360" w:lineRule="auto"/>
        <w:jc w:val="both"/>
        <w:rPr>
          <w:rFonts w:asciiTheme="minorHAnsi" w:hAnsiTheme="minorHAnsi"/>
          <w:b/>
          <w:lang w:eastAsia="cs-CZ"/>
        </w:rPr>
      </w:pPr>
      <w:r w:rsidRPr="007D7FC4">
        <w:rPr>
          <w:rFonts w:asciiTheme="minorHAnsi" w:hAnsiTheme="minorHAnsi"/>
          <w:b/>
          <w:lang w:eastAsia="cs-CZ"/>
        </w:rPr>
        <w:t>Hlavní relevantní CZ</w:t>
      </w:r>
      <w:r>
        <w:rPr>
          <w:rFonts w:asciiTheme="minorHAnsi" w:hAnsiTheme="minorHAnsi"/>
          <w:b/>
          <w:lang w:eastAsia="cs-CZ"/>
        </w:rPr>
        <w:t xml:space="preserve"> </w:t>
      </w:r>
      <w:r w:rsidRPr="007D7FC4">
        <w:rPr>
          <w:rFonts w:asciiTheme="minorHAnsi" w:hAnsiTheme="minorHAnsi"/>
          <w:b/>
          <w:lang w:eastAsia="cs-CZ"/>
        </w:rPr>
        <w:t>NACE</w:t>
      </w:r>
    </w:p>
    <w:p w14:paraId="26C3CE42" w14:textId="5B91DB34" w:rsidR="00C85D5E" w:rsidRPr="007D7FC4" w:rsidRDefault="00C85D5E" w:rsidP="00617914">
      <w:pPr>
        <w:pStyle w:val="Bezmezer1"/>
        <w:spacing w:before="40" w:after="40" w:line="360" w:lineRule="auto"/>
        <w:ind w:firstLine="708"/>
        <w:jc w:val="both"/>
        <w:rPr>
          <w:rFonts w:asciiTheme="minorHAnsi" w:hAnsiTheme="minorHAnsi"/>
          <w:lang w:eastAsia="cs-CZ"/>
        </w:rPr>
      </w:pPr>
      <w:r w:rsidRPr="007D7FC4">
        <w:rPr>
          <w:rFonts w:asciiTheme="minorHAnsi" w:hAnsiTheme="minorHAnsi"/>
          <w:lang w:eastAsia="cs-CZ"/>
        </w:rPr>
        <w:t>26</w:t>
      </w:r>
      <w:r>
        <w:rPr>
          <w:rFonts w:asciiTheme="minorHAnsi" w:hAnsiTheme="minorHAnsi"/>
          <w:lang w:eastAsia="cs-CZ"/>
        </w:rPr>
        <w:tab/>
      </w:r>
      <w:r w:rsidRPr="007D7FC4">
        <w:rPr>
          <w:rFonts w:asciiTheme="minorHAnsi" w:hAnsiTheme="minorHAnsi"/>
          <w:lang w:eastAsia="cs-CZ"/>
        </w:rPr>
        <w:t>Výroba počítačů, elektronických a optických přístrojů a zařízení</w:t>
      </w:r>
    </w:p>
    <w:p w14:paraId="40CC8667" w14:textId="7C5C7148"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sidRPr="007D7FC4">
        <w:rPr>
          <w:rFonts w:asciiTheme="minorHAnsi" w:hAnsiTheme="minorHAnsi"/>
          <w:lang w:eastAsia="cs-CZ"/>
        </w:rPr>
        <w:t>26.1</w:t>
      </w:r>
      <w:r>
        <w:rPr>
          <w:rFonts w:asciiTheme="minorHAnsi" w:hAnsiTheme="minorHAnsi"/>
          <w:lang w:eastAsia="cs-CZ"/>
        </w:rPr>
        <w:tab/>
      </w:r>
      <w:r w:rsidRPr="007D7FC4">
        <w:rPr>
          <w:rFonts w:asciiTheme="minorHAnsi" w:hAnsiTheme="minorHAnsi"/>
          <w:lang w:eastAsia="cs-CZ"/>
        </w:rPr>
        <w:t>Výroba elektronických součástek a desek</w:t>
      </w:r>
    </w:p>
    <w:p w14:paraId="014D01C0" w14:textId="2D4C9B24"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Pr>
          <w:rFonts w:asciiTheme="minorHAnsi" w:hAnsiTheme="minorHAnsi"/>
          <w:lang w:eastAsia="cs-CZ"/>
        </w:rPr>
        <w:t>26.2</w:t>
      </w:r>
      <w:r>
        <w:rPr>
          <w:rFonts w:asciiTheme="minorHAnsi" w:hAnsiTheme="minorHAnsi"/>
          <w:lang w:eastAsia="cs-CZ"/>
        </w:rPr>
        <w:tab/>
      </w:r>
      <w:r w:rsidRPr="007D7FC4">
        <w:rPr>
          <w:rFonts w:asciiTheme="minorHAnsi" w:hAnsiTheme="minorHAnsi"/>
          <w:lang w:eastAsia="cs-CZ"/>
        </w:rPr>
        <w:t>Výroba počítačů a periferních zařízení</w:t>
      </w:r>
    </w:p>
    <w:p w14:paraId="0248DE8C" w14:textId="65DF23FD"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Pr>
          <w:rFonts w:asciiTheme="minorHAnsi" w:hAnsiTheme="minorHAnsi"/>
          <w:lang w:eastAsia="cs-CZ"/>
        </w:rPr>
        <w:t>26.3</w:t>
      </w:r>
      <w:r>
        <w:rPr>
          <w:rFonts w:asciiTheme="minorHAnsi" w:hAnsiTheme="minorHAnsi"/>
          <w:lang w:eastAsia="cs-CZ"/>
        </w:rPr>
        <w:tab/>
      </w:r>
      <w:r w:rsidRPr="007D7FC4">
        <w:rPr>
          <w:rFonts w:asciiTheme="minorHAnsi" w:hAnsiTheme="minorHAnsi"/>
          <w:lang w:eastAsia="cs-CZ"/>
        </w:rPr>
        <w:t>Výroba komunikačních zařízení</w:t>
      </w:r>
    </w:p>
    <w:p w14:paraId="408E5263" w14:textId="5F0581D9"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sidRPr="007D7FC4">
        <w:rPr>
          <w:rFonts w:asciiTheme="minorHAnsi" w:hAnsiTheme="minorHAnsi"/>
          <w:lang w:eastAsia="cs-CZ"/>
        </w:rPr>
        <w:t>26.4</w:t>
      </w:r>
      <w:r>
        <w:rPr>
          <w:rFonts w:asciiTheme="minorHAnsi" w:hAnsiTheme="minorHAnsi"/>
          <w:lang w:eastAsia="cs-CZ"/>
        </w:rPr>
        <w:tab/>
      </w:r>
      <w:r w:rsidRPr="007D7FC4">
        <w:rPr>
          <w:rFonts w:asciiTheme="minorHAnsi" w:hAnsiTheme="minorHAnsi"/>
          <w:lang w:eastAsia="cs-CZ"/>
        </w:rPr>
        <w:t>Výroba spotřební elektroniky</w:t>
      </w:r>
    </w:p>
    <w:p w14:paraId="2EFB87C7" w14:textId="21D17F66"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Pr>
          <w:rFonts w:asciiTheme="minorHAnsi" w:hAnsiTheme="minorHAnsi"/>
          <w:lang w:eastAsia="cs-CZ"/>
        </w:rPr>
        <w:t>26.5</w:t>
      </w:r>
      <w:r>
        <w:rPr>
          <w:rFonts w:asciiTheme="minorHAnsi" w:hAnsiTheme="minorHAnsi"/>
          <w:lang w:eastAsia="cs-CZ"/>
        </w:rPr>
        <w:tab/>
      </w:r>
      <w:r w:rsidRPr="007D7FC4">
        <w:rPr>
          <w:rFonts w:asciiTheme="minorHAnsi" w:hAnsiTheme="minorHAnsi"/>
          <w:lang w:eastAsia="cs-CZ"/>
        </w:rPr>
        <w:t>Výroba měřících, zkušebních a navigačních přístrojů; výroba časoměrných přístrojů</w:t>
      </w:r>
    </w:p>
    <w:p w14:paraId="0294A66D" w14:textId="181851DF"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Pr>
          <w:rFonts w:asciiTheme="minorHAnsi" w:hAnsiTheme="minorHAnsi"/>
          <w:lang w:eastAsia="cs-CZ"/>
        </w:rPr>
        <w:t>26.6</w:t>
      </w:r>
      <w:r>
        <w:rPr>
          <w:rFonts w:asciiTheme="minorHAnsi" w:hAnsiTheme="minorHAnsi"/>
          <w:lang w:eastAsia="cs-CZ"/>
        </w:rPr>
        <w:tab/>
      </w:r>
      <w:r w:rsidRPr="007D7FC4">
        <w:rPr>
          <w:rFonts w:asciiTheme="minorHAnsi" w:hAnsiTheme="minorHAnsi"/>
          <w:lang w:eastAsia="cs-CZ"/>
        </w:rPr>
        <w:t>Výroba ozařovacích, elektroléčebných a elektroterapeutických přístrojů</w:t>
      </w:r>
    </w:p>
    <w:p w14:paraId="1BC161DE" w14:textId="20BA91C6"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sidRPr="007D7FC4">
        <w:rPr>
          <w:rFonts w:asciiTheme="minorHAnsi" w:hAnsiTheme="minorHAnsi"/>
          <w:lang w:eastAsia="cs-CZ"/>
        </w:rPr>
        <w:t>26.7</w:t>
      </w:r>
      <w:r>
        <w:rPr>
          <w:rFonts w:asciiTheme="minorHAnsi" w:hAnsiTheme="minorHAnsi"/>
          <w:lang w:eastAsia="cs-CZ"/>
        </w:rPr>
        <w:tab/>
      </w:r>
      <w:r w:rsidRPr="007D7FC4">
        <w:rPr>
          <w:rFonts w:asciiTheme="minorHAnsi" w:hAnsiTheme="minorHAnsi"/>
          <w:lang w:eastAsia="cs-CZ"/>
        </w:rPr>
        <w:t>Výroba optických a fotografických přístrojů a zařízení</w:t>
      </w:r>
    </w:p>
    <w:p w14:paraId="64D432F4" w14:textId="664593DC"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sidRPr="007D7FC4">
        <w:rPr>
          <w:rFonts w:asciiTheme="minorHAnsi" w:hAnsiTheme="minorHAnsi"/>
          <w:lang w:eastAsia="cs-CZ"/>
        </w:rPr>
        <w:t>26.8</w:t>
      </w:r>
      <w:r>
        <w:rPr>
          <w:rFonts w:asciiTheme="minorHAnsi" w:hAnsiTheme="minorHAnsi"/>
          <w:lang w:eastAsia="cs-CZ"/>
        </w:rPr>
        <w:tab/>
      </w:r>
      <w:r w:rsidRPr="007D7FC4">
        <w:rPr>
          <w:rFonts w:asciiTheme="minorHAnsi" w:hAnsiTheme="minorHAnsi"/>
          <w:lang w:eastAsia="cs-CZ"/>
        </w:rPr>
        <w:t>Výroba magnetických a optických médií</w:t>
      </w:r>
    </w:p>
    <w:p w14:paraId="3BB3990D" w14:textId="219D0440" w:rsidR="00C85D5E" w:rsidRPr="007D7FC4" w:rsidRDefault="00C85D5E" w:rsidP="00617914">
      <w:pPr>
        <w:pStyle w:val="Bezmezer1"/>
        <w:spacing w:before="40" w:after="40" w:line="360" w:lineRule="auto"/>
        <w:ind w:left="708"/>
        <w:jc w:val="both"/>
        <w:rPr>
          <w:rFonts w:asciiTheme="minorHAnsi" w:hAnsiTheme="minorHAnsi"/>
          <w:lang w:eastAsia="cs-CZ"/>
        </w:rPr>
      </w:pPr>
      <w:r w:rsidRPr="007D7FC4">
        <w:rPr>
          <w:rFonts w:asciiTheme="minorHAnsi" w:hAnsiTheme="minorHAnsi"/>
          <w:lang w:eastAsia="cs-CZ"/>
        </w:rPr>
        <w:t>46</w:t>
      </w:r>
      <w:r>
        <w:rPr>
          <w:rFonts w:asciiTheme="minorHAnsi" w:hAnsiTheme="minorHAnsi"/>
          <w:lang w:eastAsia="cs-CZ"/>
        </w:rPr>
        <w:tab/>
      </w:r>
      <w:r w:rsidRPr="007D7FC4">
        <w:rPr>
          <w:rFonts w:asciiTheme="minorHAnsi" w:hAnsiTheme="minorHAnsi"/>
          <w:lang w:eastAsia="cs-CZ"/>
        </w:rPr>
        <w:t>Velkoobchod, kromě motorových vozidel</w:t>
      </w:r>
    </w:p>
    <w:p w14:paraId="74035C77" w14:textId="125EFEDC"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Pr>
          <w:rFonts w:asciiTheme="minorHAnsi" w:hAnsiTheme="minorHAnsi"/>
          <w:lang w:eastAsia="cs-CZ"/>
        </w:rPr>
        <w:t>46.5</w:t>
      </w:r>
      <w:r>
        <w:rPr>
          <w:rFonts w:asciiTheme="minorHAnsi" w:hAnsiTheme="minorHAnsi"/>
          <w:lang w:eastAsia="cs-CZ"/>
        </w:rPr>
        <w:tab/>
      </w:r>
      <w:r w:rsidRPr="007D7FC4">
        <w:rPr>
          <w:rFonts w:asciiTheme="minorHAnsi" w:hAnsiTheme="minorHAnsi"/>
          <w:lang w:eastAsia="cs-CZ"/>
        </w:rPr>
        <w:t>Velkoobchod s počítačovým a komunikačním zařízením</w:t>
      </w:r>
    </w:p>
    <w:p w14:paraId="3FFF2BC7" w14:textId="5310DDA3" w:rsidR="00C85D5E" w:rsidRPr="007D7FC4" w:rsidRDefault="00C85D5E" w:rsidP="00617914">
      <w:pPr>
        <w:pStyle w:val="Bezmezer1"/>
        <w:spacing w:before="40" w:after="40" w:line="360" w:lineRule="auto"/>
        <w:ind w:left="708"/>
        <w:jc w:val="both"/>
        <w:rPr>
          <w:rFonts w:asciiTheme="minorHAnsi" w:hAnsiTheme="minorHAnsi"/>
          <w:lang w:eastAsia="cs-CZ"/>
        </w:rPr>
      </w:pPr>
      <w:r w:rsidRPr="007D7FC4">
        <w:rPr>
          <w:rFonts w:asciiTheme="minorHAnsi" w:hAnsiTheme="minorHAnsi"/>
          <w:lang w:eastAsia="cs-CZ"/>
        </w:rPr>
        <w:t>47</w:t>
      </w:r>
      <w:r>
        <w:rPr>
          <w:rFonts w:asciiTheme="minorHAnsi" w:hAnsiTheme="minorHAnsi"/>
          <w:lang w:eastAsia="cs-CZ"/>
        </w:rPr>
        <w:tab/>
      </w:r>
      <w:r w:rsidRPr="007D7FC4">
        <w:rPr>
          <w:rFonts w:asciiTheme="minorHAnsi" w:hAnsiTheme="minorHAnsi"/>
          <w:lang w:eastAsia="cs-CZ"/>
        </w:rPr>
        <w:t xml:space="preserve">Maloobchod, kromě motorových vozidel </w:t>
      </w:r>
    </w:p>
    <w:p w14:paraId="3B3F5686" w14:textId="120B1269" w:rsidR="00C85D5E" w:rsidRPr="007D7FC4" w:rsidRDefault="00C85D5E" w:rsidP="00617914">
      <w:pPr>
        <w:pStyle w:val="Bezmezer1"/>
        <w:spacing w:before="40" w:after="40" w:line="360" w:lineRule="auto"/>
        <w:ind w:left="1416"/>
        <w:jc w:val="both"/>
        <w:rPr>
          <w:rFonts w:asciiTheme="minorHAnsi" w:hAnsiTheme="minorHAnsi"/>
          <w:lang w:eastAsia="cs-CZ"/>
        </w:rPr>
      </w:pPr>
      <w:r w:rsidRPr="007D7FC4">
        <w:rPr>
          <w:rFonts w:asciiTheme="minorHAnsi" w:hAnsiTheme="minorHAnsi"/>
          <w:lang w:eastAsia="cs-CZ"/>
        </w:rPr>
        <w:t>47.4</w:t>
      </w:r>
      <w:r>
        <w:rPr>
          <w:rFonts w:asciiTheme="minorHAnsi" w:hAnsiTheme="minorHAnsi"/>
          <w:lang w:eastAsia="cs-CZ"/>
        </w:rPr>
        <w:tab/>
      </w:r>
      <w:r w:rsidRPr="007D7FC4">
        <w:rPr>
          <w:rFonts w:asciiTheme="minorHAnsi" w:hAnsiTheme="minorHAnsi"/>
          <w:lang w:eastAsia="cs-CZ"/>
        </w:rPr>
        <w:t>Maloobchod s počítačovým a komunikačním zařízením ve specializovaných prodejnách</w:t>
      </w:r>
    </w:p>
    <w:p w14:paraId="07E7155F" w14:textId="74A5BB22" w:rsidR="00C85D5E" w:rsidRPr="007D7FC4" w:rsidRDefault="00C85D5E" w:rsidP="00617914">
      <w:pPr>
        <w:pStyle w:val="Bezmezer1"/>
        <w:spacing w:before="40" w:after="40" w:line="360" w:lineRule="auto"/>
        <w:ind w:left="708"/>
        <w:jc w:val="both"/>
        <w:rPr>
          <w:rFonts w:asciiTheme="minorHAnsi" w:hAnsiTheme="minorHAnsi" w:cs="Arial"/>
        </w:rPr>
      </w:pPr>
      <w:r w:rsidRPr="007D7FC4">
        <w:rPr>
          <w:rFonts w:asciiTheme="minorHAnsi" w:hAnsiTheme="minorHAnsi"/>
          <w:lang w:eastAsia="cs-CZ"/>
        </w:rPr>
        <w:t>58</w:t>
      </w:r>
      <w:r>
        <w:rPr>
          <w:rFonts w:asciiTheme="minorHAnsi" w:hAnsiTheme="minorHAnsi"/>
          <w:lang w:eastAsia="cs-CZ"/>
        </w:rPr>
        <w:tab/>
      </w:r>
      <w:r w:rsidRPr="007D7FC4">
        <w:rPr>
          <w:rFonts w:asciiTheme="minorHAnsi" w:hAnsiTheme="minorHAnsi" w:cs="Arial"/>
        </w:rPr>
        <w:t>Vydavatelské činnosti</w:t>
      </w:r>
    </w:p>
    <w:p w14:paraId="472B83F3" w14:textId="0DD00736" w:rsidR="00C85D5E" w:rsidRPr="007D7FC4" w:rsidRDefault="00C85D5E" w:rsidP="00617914">
      <w:pPr>
        <w:pStyle w:val="Bezmezer1"/>
        <w:spacing w:before="40" w:after="40" w:line="360" w:lineRule="auto"/>
        <w:ind w:left="1416"/>
        <w:jc w:val="both"/>
        <w:rPr>
          <w:rFonts w:asciiTheme="minorHAnsi" w:hAnsiTheme="minorHAnsi"/>
          <w:lang w:eastAsia="cs-CZ"/>
        </w:rPr>
      </w:pPr>
      <w:r w:rsidRPr="007D7FC4">
        <w:rPr>
          <w:rFonts w:asciiTheme="minorHAnsi" w:hAnsiTheme="minorHAnsi"/>
          <w:lang w:eastAsia="cs-CZ"/>
        </w:rPr>
        <w:t>58.2</w:t>
      </w:r>
      <w:r w:rsidR="005A1060">
        <w:rPr>
          <w:rFonts w:asciiTheme="minorHAnsi" w:hAnsiTheme="minorHAnsi"/>
          <w:lang w:eastAsia="cs-CZ"/>
        </w:rPr>
        <w:tab/>
      </w:r>
      <w:r w:rsidRPr="007D7FC4">
        <w:rPr>
          <w:rFonts w:asciiTheme="minorHAnsi" w:hAnsiTheme="minorHAnsi"/>
          <w:lang w:eastAsia="cs-CZ"/>
        </w:rPr>
        <w:t>Vydávání softwaru</w:t>
      </w:r>
    </w:p>
    <w:p w14:paraId="6B71E215" w14:textId="03126A77" w:rsidR="00C85D5E" w:rsidRPr="007D7FC4" w:rsidRDefault="005A1060" w:rsidP="00617914">
      <w:pPr>
        <w:pStyle w:val="Bezmezer1"/>
        <w:spacing w:before="40" w:after="40" w:line="360" w:lineRule="auto"/>
        <w:ind w:left="1416" w:firstLine="708"/>
        <w:jc w:val="both"/>
        <w:rPr>
          <w:rFonts w:asciiTheme="minorHAnsi" w:hAnsiTheme="minorHAnsi"/>
          <w:lang w:eastAsia="cs-CZ"/>
        </w:rPr>
      </w:pPr>
      <w:r>
        <w:rPr>
          <w:rFonts w:asciiTheme="minorHAnsi" w:hAnsiTheme="minorHAnsi"/>
          <w:lang w:eastAsia="cs-CZ"/>
        </w:rPr>
        <w:t>58.21</w:t>
      </w:r>
      <w:r>
        <w:rPr>
          <w:rFonts w:asciiTheme="minorHAnsi" w:hAnsiTheme="minorHAnsi"/>
          <w:lang w:eastAsia="cs-CZ"/>
        </w:rPr>
        <w:tab/>
      </w:r>
      <w:r w:rsidR="00C85D5E" w:rsidRPr="007D7FC4">
        <w:rPr>
          <w:rFonts w:asciiTheme="minorHAnsi" w:hAnsiTheme="minorHAnsi"/>
          <w:lang w:eastAsia="cs-CZ"/>
        </w:rPr>
        <w:t>Vydávání počítačových her</w:t>
      </w:r>
    </w:p>
    <w:p w14:paraId="0AFB338C" w14:textId="169AD2AF" w:rsidR="00C85D5E" w:rsidRPr="007D7FC4" w:rsidRDefault="00C85D5E" w:rsidP="00617914">
      <w:pPr>
        <w:pStyle w:val="Bezmezer1"/>
        <w:spacing w:before="40" w:after="40" w:line="360" w:lineRule="auto"/>
        <w:ind w:left="1416" w:firstLine="708"/>
        <w:jc w:val="both"/>
        <w:rPr>
          <w:rFonts w:asciiTheme="minorHAnsi" w:hAnsiTheme="minorHAnsi"/>
          <w:lang w:eastAsia="cs-CZ"/>
        </w:rPr>
      </w:pPr>
      <w:r w:rsidRPr="007D7FC4">
        <w:rPr>
          <w:rFonts w:asciiTheme="minorHAnsi" w:hAnsiTheme="minorHAnsi"/>
          <w:lang w:eastAsia="cs-CZ"/>
        </w:rPr>
        <w:t>58.29</w:t>
      </w:r>
      <w:r w:rsidR="005A1060">
        <w:rPr>
          <w:rFonts w:asciiTheme="minorHAnsi" w:hAnsiTheme="minorHAnsi"/>
          <w:lang w:eastAsia="cs-CZ"/>
        </w:rPr>
        <w:tab/>
      </w:r>
      <w:r w:rsidRPr="007D7FC4">
        <w:rPr>
          <w:rFonts w:asciiTheme="minorHAnsi" w:hAnsiTheme="minorHAnsi"/>
          <w:lang w:eastAsia="cs-CZ"/>
        </w:rPr>
        <w:t>Ostatní vydávání softwaru</w:t>
      </w:r>
    </w:p>
    <w:p w14:paraId="61F53555" w14:textId="7B02337E" w:rsidR="00C85D5E" w:rsidRPr="007D7FC4" w:rsidRDefault="00C85D5E" w:rsidP="00617914">
      <w:pPr>
        <w:pStyle w:val="Bezmezer1"/>
        <w:spacing w:before="40" w:after="40" w:line="360" w:lineRule="auto"/>
        <w:ind w:firstLine="708"/>
        <w:jc w:val="both"/>
        <w:rPr>
          <w:rFonts w:asciiTheme="minorHAnsi" w:hAnsiTheme="minorHAnsi"/>
          <w:lang w:eastAsia="cs-CZ"/>
        </w:rPr>
      </w:pPr>
      <w:r w:rsidRPr="007D7FC4">
        <w:rPr>
          <w:rFonts w:asciiTheme="minorHAnsi" w:hAnsiTheme="minorHAnsi" w:cs="Arial"/>
          <w:lang w:eastAsia="cs-CZ"/>
        </w:rPr>
        <w:t>61</w:t>
      </w:r>
      <w:r w:rsidR="005A1060">
        <w:rPr>
          <w:rFonts w:asciiTheme="minorHAnsi" w:hAnsiTheme="minorHAnsi" w:cs="Arial"/>
          <w:lang w:eastAsia="cs-CZ"/>
        </w:rPr>
        <w:tab/>
      </w:r>
      <w:r w:rsidRPr="007D7FC4">
        <w:rPr>
          <w:rFonts w:asciiTheme="minorHAnsi" w:hAnsiTheme="minorHAnsi" w:cs="Arial"/>
          <w:lang w:eastAsia="cs-CZ"/>
        </w:rPr>
        <w:t>Telekomunikační činnosti</w:t>
      </w:r>
    </w:p>
    <w:p w14:paraId="170BF5EB" w14:textId="73294995" w:rsidR="00C85D5E" w:rsidRPr="007D7FC4" w:rsidRDefault="00C85D5E" w:rsidP="00617914">
      <w:pPr>
        <w:pStyle w:val="Bezmezer1"/>
        <w:spacing w:before="40" w:after="40" w:line="360" w:lineRule="auto"/>
        <w:ind w:firstLine="708"/>
        <w:jc w:val="both"/>
        <w:rPr>
          <w:rFonts w:asciiTheme="minorHAnsi" w:hAnsiTheme="minorHAnsi" w:cs="Arial"/>
        </w:rPr>
      </w:pPr>
      <w:r w:rsidRPr="007D7FC4">
        <w:rPr>
          <w:rFonts w:asciiTheme="minorHAnsi" w:hAnsiTheme="minorHAnsi"/>
          <w:lang w:eastAsia="cs-CZ"/>
        </w:rPr>
        <w:t>62</w:t>
      </w:r>
      <w:r w:rsidR="005A1060">
        <w:rPr>
          <w:rFonts w:asciiTheme="minorHAnsi" w:hAnsiTheme="minorHAnsi"/>
          <w:lang w:eastAsia="cs-CZ"/>
        </w:rPr>
        <w:tab/>
      </w:r>
      <w:r w:rsidRPr="007D7FC4">
        <w:rPr>
          <w:rFonts w:asciiTheme="minorHAnsi" w:hAnsiTheme="minorHAnsi" w:cs="Arial"/>
        </w:rPr>
        <w:t>Činnosti v oblasti informačních technologií</w:t>
      </w:r>
    </w:p>
    <w:p w14:paraId="40E5EB66" w14:textId="0F15ED54" w:rsidR="00C85D5E" w:rsidRPr="007D7FC4" w:rsidRDefault="00C85D5E" w:rsidP="00617914">
      <w:pPr>
        <w:pStyle w:val="Bezmezer1"/>
        <w:spacing w:before="40" w:after="40" w:line="360" w:lineRule="auto"/>
        <w:ind w:left="708" w:firstLine="708"/>
        <w:jc w:val="both"/>
        <w:rPr>
          <w:rFonts w:asciiTheme="minorHAnsi" w:hAnsiTheme="minorHAnsi"/>
          <w:lang w:eastAsia="cs-CZ"/>
        </w:rPr>
      </w:pPr>
      <w:r w:rsidRPr="007D7FC4">
        <w:rPr>
          <w:rFonts w:asciiTheme="minorHAnsi" w:hAnsiTheme="minorHAnsi"/>
          <w:lang w:eastAsia="cs-CZ"/>
        </w:rPr>
        <w:t>62.0</w:t>
      </w:r>
      <w:r w:rsidR="005A1060">
        <w:rPr>
          <w:rFonts w:asciiTheme="minorHAnsi" w:hAnsiTheme="minorHAnsi"/>
          <w:lang w:eastAsia="cs-CZ"/>
        </w:rPr>
        <w:tab/>
      </w:r>
      <w:r w:rsidRPr="007D7FC4">
        <w:rPr>
          <w:rFonts w:asciiTheme="minorHAnsi" w:hAnsiTheme="minorHAnsi"/>
          <w:lang w:eastAsia="cs-CZ"/>
        </w:rPr>
        <w:t>Činnosti v oblasti informačních technologií</w:t>
      </w:r>
    </w:p>
    <w:p w14:paraId="4F847647" w14:textId="0D99B0C5" w:rsidR="00C85D5E" w:rsidRPr="007D7FC4" w:rsidRDefault="00C85D5E" w:rsidP="00617914">
      <w:pPr>
        <w:pStyle w:val="Bezmezer1"/>
        <w:spacing w:before="40" w:after="40" w:line="360" w:lineRule="auto"/>
        <w:ind w:left="1416" w:firstLine="708"/>
        <w:jc w:val="both"/>
        <w:rPr>
          <w:rFonts w:asciiTheme="minorHAnsi" w:hAnsiTheme="minorHAnsi"/>
          <w:lang w:eastAsia="cs-CZ"/>
        </w:rPr>
      </w:pPr>
      <w:r w:rsidRPr="007D7FC4">
        <w:rPr>
          <w:rFonts w:asciiTheme="minorHAnsi" w:hAnsiTheme="minorHAnsi"/>
          <w:lang w:eastAsia="cs-CZ"/>
        </w:rPr>
        <w:t>62.01</w:t>
      </w:r>
      <w:r w:rsidR="005A1060">
        <w:rPr>
          <w:rFonts w:asciiTheme="minorHAnsi" w:hAnsiTheme="minorHAnsi"/>
          <w:lang w:eastAsia="cs-CZ"/>
        </w:rPr>
        <w:tab/>
      </w:r>
      <w:r w:rsidRPr="007D7FC4">
        <w:rPr>
          <w:rFonts w:asciiTheme="minorHAnsi" w:hAnsiTheme="minorHAnsi"/>
          <w:lang w:eastAsia="cs-CZ"/>
        </w:rPr>
        <w:t>Programování</w:t>
      </w:r>
    </w:p>
    <w:p w14:paraId="27BA73E9" w14:textId="341729EB" w:rsidR="00C85D5E" w:rsidRPr="007D7FC4" w:rsidRDefault="00C85D5E" w:rsidP="00617914">
      <w:pPr>
        <w:pStyle w:val="Bezmezer1"/>
        <w:spacing w:before="40" w:after="40" w:line="360" w:lineRule="auto"/>
        <w:ind w:left="1416" w:firstLine="708"/>
        <w:jc w:val="both"/>
        <w:rPr>
          <w:rFonts w:asciiTheme="minorHAnsi" w:hAnsiTheme="minorHAnsi"/>
          <w:lang w:eastAsia="cs-CZ"/>
        </w:rPr>
      </w:pPr>
      <w:r w:rsidRPr="007D7FC4">
        <w:rPr>
          <w:rFonts w:asciiTheme="minorHAnsi" w:hAnsiTheme="minorHAnsi"/>
          <w:lang w:eastAsia="cs-CZ"/>
        </w:rPr>
        <w:t>62.02</w:t>
      </w:r>
      <w:r w:rsidR="005A1060">
        <w:rPr>
          <w:rFonts w:asciiTheme="minorHAnsi" w:hAnsiTheme="minorHAnsi"/>
          <w:lang w:eastAsia="cs-CZ"/>
        </w:rPr>
        <w:tab/>
      </w:r>
      <w:r w:rsidRPr="007D7FC4">
        <w:rPr>
          <w:rFonts w:asciiTheme="minorHAnsi" w:hAnsiTheme="minorHAnsi"/>
          <w:lang w:eastAsia="cs-CZ"/>
        </w:rPr>
        <w:t>Poradenství v oblasti informačních technologií</w:t>
      </w:r>
    </w:p>
    <w:p w14:paraId="36FD7D9F" w14:textId="31240E38" w:rsidR="00C85D5E" w:rsidRPr="007D7FC4" w:rsidRDefault="005A1060" w:rsidP="00617914">
      <w:pPr>
        <w:pStyle w:val="Bezmezer1"/>
        <w:spacing w:before="40" w:after="40" w:line="360" w:lineRule="auto"/>
        <w:ind w:left="1416" w:firstLine="708"/>
        <w:jc w:val="both"/>
        <w:rPr>
          <w:rFonts w:asciiTheme="minorHAnsi" w:hAnsiTheme="minorHAnsi"/>
          <w:lang w:eastAsia="cs-CZ"/>
        </w:rPr>
      </w:pPr>
      <w:r>
        <w:rPr>
          <w:rFonts w:asciiTheme="minorHAnsi" w:hAnsiTheme="minorHAnsi"/>
          <w:lang w:eastAsia="cs-CZ"/>
        </w:rPr>
        <w:t>62.03</w:t>
      </w:r>
      <w:r>
        <w:rPr>
          <w:rFonts w:asciiTheme="minorHAnsi" w:hAnsiTheme="minorHAnsi"/>
          <w:lang w:eastAsia="cs-CZ"/>
        </w:rPr>
        <w:tab/>
      </w:r>
      <w:r w:rsidR="00C85D5E" w:rsidRPr="007D7FC4">
        <w:rPr>
          <w:rFonts w:asciiTheme="minorHAnsi" w:hAnsiTheme="minorHAnsi"/>
          <w:lang w:eastAsia="cs-CZ"/>
        </w:rPr>
        <w:t>Správa počítačového vybavení</w:t>
      </w:r>
    </w:p>
    <w:p w14:paraId="35C91DA5" w14:textId="3AC1CD7E" w:rsidR="00C85D5E" w:rsidRPr="00932941" w:rsidRDefault="00C85D5E" w:rsidP="00617914">
      <w:pPr>
        <w:pStyle w:val="Bezmezer1"/>
        <w:spacing w:before="40" w:after="40" w:line="360" w:lineRule="auto"/>
        <w:ind w:left="1416" w:firstLine="708"/>
        <w:jc w:val="both"/>
        <w:rPr>
          <w:rFonts w:asciiTheme="minorHAnsi" w:hAnsiTheme="minorHAnsi"/>
          <w:lang w:eastAsia="cs-CZ"/>
        </w:rPr>
      </w:pPr>
      <w:r w:rsidRPr="007D7FC4">
        <w:rPr>
          <w:rFonts w:asciiTheme="minorHAnsi" w:hAnsiTheme="minorHAnsi"/>
          <w:lang w:eastAsia="cs-CZ"/>
        </w:rPr>
        <w:t>62.09</w:t>
      </w:r>
      <w:r w:rsidR="005A1060">
        <w:rPr>
          <w:rFonts w:asciiTheme="minorHAnsi" w:hAnsiTheme="minorHAnsi"/>
          <w:lang w:eastAsia="cs-CZ"/>
        </w:rPr>
        <w:tab/>
      </w:r>
      <w:r w:rsidRPr="007D7FC4">
        <w:rPr>
          <w:rFonts w:asciiTheme="minorHAnsi" w:hAnsiTheme="minorHAnsi"/>
          <w:lang w:eastAsia="cs-CZ"/>
        </w:rPr>
        <w:t>Ostatní činnosti v oblasti informačních technologií</w:t>
      </w:r>
    </w:p>
    <w:p w14:paraId="7F831775" w14:textId="55D6325C" w:rsidR="00C85D5E" w:rsidRPr="000D695C" w:rsidRDefault="00C85D5E" w:rsidP="00617914">
      <w:pPr>
        <w:pStyle w:val="Bezmezer1"/>
        <w:spacing w:before="40" w:after="40" w:line="360" w:lineRule="auto"/>
        <w:ind w:firstLine="708"/>
        <w:jc w:val="both"/>
        <w:rPr>
          <w:rFonts w:asciiTheme="minorHAnsi" w:hAnsiTheme="minorHAnsi"/>
          <w:lang w:eastAsia="cs-CZ"/>
        </w:rPr>
      </w:pPr>
      <w:r w:rsidRPr="000D695C">
        <w:rPr>
          <w:rFonts w:asciiTheme="minorHAnsi" w:hAnsiTheme="minorHAnsi"/>
          <w:lang w:eastAsia="cs-CZ"/>
        </w:rPr>
        <w:t>63</w:t>
      </w:r>
      <w:r w:rsidR="005A1060">
        <w:rPr>
          <w:rFonts w:asciiTheme="minorHAnsi" w:hAnsiTheme="minorHAnsi"/>
          <w:lang w:eastAsia="cs-CZ"/>
        </w:rPr>
        <w:tab/>
      </w:r>
      <w:r w:rsidRPr="000D695C">
        <w:rPr>
          <w:rFonts w:asciiTheme="minorHAnsi" w:hAnsiTheme="minorHAnsi"/>
          <w:lang w:eastAsia="cs-CZ"/>
        </w:rPr>
        <w:t>Informační činnosti</w:t>
      </w:r>
    </w:p>
    <w:p w14:paraId="6327DF82" w14:textId="4051FAE3" w:rsidR="00C85D5E" w:rsidRPr="000D695C" w:rsidRDefault="00C85D5E" w:rsidP="00E85EAA">
      <w:pPr>
        <w:pStyle w:val="Bezmezer1"/>
        <w:spacing w:before="40" w:after="40" w:line="360" w:lineRule="auto"/>
        <w:ind w:left="2124" w:hanging="708"/>
        <w:jc w:val="both"/>
        <w:rPr>
          <w:rFonts w:asciiTheme="minorHAnsi" w:hAnsiTheme="minorHAnsi"/>
          <w:lang w:eastAsia="cs-CZ"/>
        </w:rPr>
      </w:pPr>
      <w:r w:rsidRPr="000D695C">
        <w:rPr>
          <w:rFonts w:asciiTheme="minorHAnsi" w:hAnsiTheme="minorHAnsi"/>
          <w:lang w:eastAsia="cs-CZ"/>
        </w:rPr>
        <w:t>63.1</w:t>
      </w:r>
      <w:r w:rsidR="005A1060">
        <w:rPr>
          <w:rFonts w:asciiTheme="minorHAnsi" w:hAnsiTheme="minorHAnsi"/>
          <w:lang w:eastAsia="cs-CZ"/>
        </w:rPr>
        <w:tab/>
      </w:r>
      <w:r w:rsidRPr="000D695C">
        <w:rPr>
          <w:rFonts w:asciiTheme="minorHAnsi" w:hAnsiTheme="minorHAnsi" w:cs="Arial"/>
        </w:rPr>
        <w:t>Činnosti související se zpracováním dat a hostingem; činnosti související s webovými portály </w:t>
      </w:r>
    </w:p>
    <w:p w14:paraId="0BB66FBF" w14:textId="7DABDEDD" w:rsidR="00C85D5E" w:rsidRPr="000D695C" w:rsidRDefault="00C85D5E" w:rsidP="00617914">
      <w:pPr>
        <w:pStyle w:val="Bezmezer1"/>
        <w:spacing w:before="40" w:after="40" w:line="360" w:lineRule="auto"/>
        <w:ind w:firstLine="708"/>
        <w:jc w:val="both"/>
        <w:rPr>
          <w:rFonts w:asciiTheme="minorHAnsi" w:hAnsiTheme="minorHAnsi"/>
          <w:lang w:eastAsia="cs-CZ"/>
        </w:rPr>
      </w:pPr>
      <w:r w:rsidRPr="000D695C">
        <w:rPr>
          <w:rFonts w:asciiTheme="minorHAnsi" w:hAnsiTheme="minorHAnsi"/>
          <w:lang w:eastAsia="cs-CZ"/>
        </w:rPr>
        <w:t>77</w:t>
      </w:r>
      <w:r w:rsidR="005A1060">
        <w:rPr>
          <w:rFonts w:asciiTheme="minorHAnsi" w:hAnsiTheme="minorHAnsi"/>
          <w:lang w:eastAsia="cs-CZ"/>
        </w:rPr>
        <w:tab/>
      </w:r>
      <w:r w:rsidRPr="000D695C">
        <w:rPr>
          <w:rFonts w:asciiTheme="minorHAnsi" w:hAnsiTheme="minorHAnsi"/>
          <w:lang w:eastAsia="cs-CZ"/>
        </w:rPr>
        <w:t>Činnosti v oblasti pronájmu a operativního leasingu</w:t>
      </w:r>
    </w:p>
    <w:p w14:paraId="70E9ACFA" w14:textId="04AFFB36" w:rsidR="00C85D5E" w:rsidRPr="000D695C" w:rsidRDefault="00C85D5E" w:rsidP="00617914">
      <w:pPr>
        <w:pStyle w:val="Bezmezer1"/>
        <w:spacing w:before="40" w:after="40" w:line="360" w:lineRule="auto"/>
        <w:ind w:left="708" w:firstLine="708"/>
        <w:jc w:val="both"/>
        <w:rPr>
          <w:rFonts w:asciiTheme="minorHAnsi" w:hAnsiTheme="minorHAnsi"/>
          <w:lang w:eastAsia="cs-CZ"/>
        </w:rPr>
      </w:pPr>
      <w:r w:rsidRPr="000D695C">
        <w:rPr>
          <w:rFonts w:asciiTheme="minorHAnsi" w:hAnsiTheme="minorHAnsi"/>
          <w:lang w:eastAsia="cs-CZ"/>
        </w:rPr>
        <w:t>77.3</w:t>
      </w:r>
      <w:r w:rsidR="005A1060">
        <w:rPr>
          <w:rFonts w:asciiTheme="minorHAnsi" w:hAnsiTheme="minorHAnsi"/>
          <w:lang w:eastAsia="cs-CZ"/>
        </w:rPr>
        <w:tab/>
      </w:r>
      <w:r w:rsidRPr="000D695C">
        <w:rPr>
          <w:rFonts w:asciiTheme="minorHAnsi" w:hAnsiTheme="minorHAnsi"/>
          <w:lang w:eastAsia="cs-CZ"/>
        </w:rPr>
        <w:t>Pronájem a leasing ostatních strojů, zařízení a výrobků</w:t>
      </w:r>
    </w:p>
    <w:p w14:paraId="4F9DF4AC" w14:textId="688B8D42" w:rsidR="00C85D5E" w:rsidRPr="000D695C" w:rsidRDefault="00C85D5E" w:rsidP="00617914">
      <w:pPr>
        <w:pStyle w:val="Bezmezer1"/>
        <w:spacing w:before="40" w:after="40" w:line="360" w:lineRule="auto"/>
        <w:ind w:left="1416" w:firstLine="708"/>
        <w:jc w:val="both"/>
        <w:rPr>
          <w:rFonts w:asciiTheme="minorHAnsi" w:hAnsiTheme="minorHAnsi"/>
          <w:lang w:eastAsia="cs-CZ"/>
        </w:rPr>
      </w:pPr>
      <w:r w:rsidRPr="000D695C">
        <w:rPr>
          <w:rFonts w:asciiTheme="minorHAnsi" w:hAnsiTheme="minorHAnsi"/>
          <w:lang w:eastAsia="cs-CZ"/>
        </w:rPr>
        <w:t>77.33</w:t>
      </w:r>
      <w:r w:rsidR="005A1060">
        <w:rPr>
          <w:rFonts w:asciiTheme="minorHAnsi" w:hAnsiTheme="minorHAnsi"/>
          <w:lang w:eastAsia="cs-CZ"/>
        </w:rPr>
        <w:tab/>
      </w:r>
      <w:r w:rsidRPr="000D695C">
        <w:rPr>
          <w:rFonts w:asciiTheme="minorHAnsi" w:hAnsiTheme="minorHAnsi"/>
          <w:lang w:eastAsia="cs-CZ"/>
        </w:rPr>
        <w:t>Pronájem a leasing kancelářských strojů a</w:t>
      </w:r>
      <w:r>
        <w:rPr>
          <w:rFonts w:asciiTheme="minorHAnsi" w:hAnsiTheme="minorHAnsi"/>
          <w:lang w:eastAsia="cs-CZ"/>
        </w:rPr>
        <w:t> </w:t>
      </w:r>
      <w:r w:rsidRPr="000D695C">
        <w:rPr>
          <w:rFonts w:asciiTheme="minorHAnsi" w:hAnsiTheme="minorHAnsi"/>
          <w:lang w:eastAsia="cs-CZ"/>
        </w:rPr>
        <w:t>zařízení, včetně počítačů</w:t>
      </w:r>
    </w:p>
    <w:p w14:paraId="79C03C14" w14:textId="249465AA" w:rsidR="00C85D5E" w:rsidRPr="000D695C" w:rsidRDefault="00C85D5E" w:rsidP="00617914">
      <w:pPr>
        <w:pStyle w:val="Bezmezer1"/>
        <w:spacing w:before="40" w:after="40" w:line="360" w:lineRule="auto"/>
        <w:ind w:firstLine="708"/>
        <w:jc w:val="both"/>
        <w:rPr>
          <w:rFonts w:asciiTheme="minorHAnsi" w:hAnsiTheme="minorHAnsi"/>
          <w:lang w:eastAsia="cs-CZ"/>
        </w:rPr>
      </w:pPr>
      <w:r w:rsidRPr="000D695C">
        <w:rPr>
          <w:rFonts w:asciiTheme="minorHAnsi" w:hAnsiTheme="minorHAnsi"/>
          <w:lang w:eastAsia="cs-CZ"/>
        </w:rPr>
        <w:t>95</w:t>
      </w:r>
      <w:r w:rsidR="005A1060">
        <w:rPr>
          <w:rFonts w:asciiTheme="minorHAnsi" w:hAnsiTheme="minorHAnsi"/>
          <w:lang w:eastAsia="cs-CZ"/>
        </w:rPr>
        <w:tab/>
      </w:r>
      <w:r w:rsidRPr="000D695C">
        <w:rPr>
          <w:rFonts w:asciiTheme="minorHAnsi" w:hAnsiTheme="minorHAnsi"/>
          <w:lang w:eastAsia="cs-CZ"/>
        </w:rPr>
        <w:t>Opravy počítačů a výrobků pro osobní potřebu a převážně pro domácnost</w:t>
      </w:r>
    </w:p>
    <w:p w14:paraId="5ECDC40C" w14:textId="493A017B" w:rsidR="00C85D5E" w:rsidRPr="000D695C" w:rsidRDefault="00C85D5E" w:rsidP="00617914">
      <w:pPr>
        <w:pStyle w:val="Bezmezer1"/>
        <w:spacing w:before="40" w:after="40" w:line="360" w:lineRule="auto"/>
        <w:ind w:left="708" w:firstLine="708"/>
        <w:jc w:val="both"/>
        <w:rPr>
          <w:rFonts w:asciiTheme="minorHAnsi" w:hAnsiTheme="minorHAnsi"/>
          <w:lang w:eastAsia="cs-CZ"/>
        </w:rPr>
      </w:pPr>
      <w:r w:rsidRPr="000D695C">
        <w:rPr>
          <w:rFonts w:asciiTheme="minorHAnsi" w:hAnsiTheme="minorHAnsi"/>
          <w:lang w:eastAsia="cs-CZ"/>
        </w:rPr>
        <w:t>95.1</w:t>
      </w:r>
      <w:r w:rsidR="005A1060">
        <w:rPr>
          <w:rFonts w:asciiTheme="minorHAnsi" w:hAnsiTheme="minorHAnsi"/>
          <w:lang w:eastAsia="cs-CZ"/>
        </w:rPr>
        <w:tab/>
      </w:r>
      <w:r w:rsidRPr="000D695C">
        <w:rPr>
          <w:rFonts w:asciiTheme="minorHAnsi" w:hAnsiTheme="minorHAnsi"/>
          <w:lang w:eastAsia="cs-CZ"/>
        </w:rPr>
        <w:t>Opravy počítačů a komunikačních zařízení</w:t>
      </w:r>
    </w:p>
    <w:p w14:paraId="16E6F912" w14:textId="29566449" w:rsidR="00C85D5E" w:rsidRPr="000D695C" w:rsidRDefault="00C85D5E" w:rsidP="00617914">
      <w:pPr>
        <w:pStyle w:val="Bezmezer1"/>
        <w:spacing w:before="40" w:after="40" w:line="360" w:lineRule="auto"/>
        <w:ind w:left="1416" w:firstLine="708"/>
        <w:jc w:val="both"/>
        <w:rPr>
          <w:rFonts w:asciiTheme="minorHAnsi" w:hAnsiTheme="minorHAnsi"/>
          <w:lang w:eastAsia="cs-CZ"/>
        </w:rPr>
      </w:pPr>
      <w:r w:rsidRPr="000D695C">
        <w:rPr>
          <w:rFonts w:asciiTheme="minorHAnsi" w:hAnsiTheme="minorHAnsi"/>
          <w:lang w:eastAsia="cs-CZ"/>
        </w:rPr>
        <w:t>95.11</w:t>
      </w:r>
      <w:r w:rsidR="005A1060">
        <w:rPr>
          <w:rFonts w:asciiTheme="minorHAnsi" w:hAnsiTheme="minorHAnsi"/>
          <w:lang w:eastAsia="cs-CZ"/>
        </w:rPr>
        <w:tab/>
      </w:r>
      <w:r w:rsidRPr="000D695C">
        <w:rPr>
          <w:rFonts w:asciiTheme="minorHAnsi" w:hAnsiTheme="minorHAnsi"/>
          <w:lang w:eastAsia="cs-CZ"/>
        </w:rPr>
        <w:t>Opravy počítačů a periferních zařízení</w:t>
      </w:r>
    </w:p>
    <w:p w14:paraId="35EDF2EB" w14:textId="51D6D2F1" w:rsidR="00C85D5E" w:rsidRPr="00500D98" w:rsidRDefault="00C85D5E" w:rsidP="00617914">
      <w:pPr>
        <w:pStyle w:val="Bezmezer1"/>
        <w:spacing w:before="40" w:after="200" w:line="360" w:lineRule="auto"/>
        <w:ind w:left="1416" w:firstLine="708"/>
        <w:jc w:val="both"/>
        <w:rPr>
          <w:rFonts w:asciiTheme="minorHAnsi" w:hAnsiTheme="minorHAnsi"/>
          <w:lang w:eastAsia="cs-CZ"/>
        </w:rPr>
      </w:pPr>
      <w:r w:rsidRPr="000D695C">
        <w:rPr>
          <w:rFonts w:asciiTheme="minorHAnsi" w:hAnsiTheme="minorHAnsi"/>
          <w:lang w:eastAsia="cs-CZ"/>
        </w:rPr>
        <w:t>95.12</w:t>
      </w:r>
      <w:r w:rsidR="005A1060">
        <w:rPr>
          <w:rFonts w:asciiTheme="minorHAnsi" w:hAnsiTheme="minorHAnsi"/>
          <w:lang w:eastAsia="cs-CZ"/>
        </w:rPr>
        <w:tab/>
      </w:r>
      <w:r w:rsidRPr="000D695C">
        <w:rPr>
          <w:rFonts w:asciiTheme="minorHAnsi" w:hAnsiTheme="minorHAnsi"/>
          <w:lang w:eastAsia="cs-CZ"/>
        </w:rPr>
        <w:t>Opravy komunikačních zařízení</w:t>
      </w:r>
    </w:p>
    <w:p w14:paraId="048CF0E0" w14:textId="0597D7A5" w:rsidR="00C85D5E" w:rsidRDefault="00C85D5E" w:rsidP="00617914">
      <w:pPr>
        <w:pStyle w:val="Bezmezer1"/>
        <w:spacing w:before="40" w:after="40" w:line="360" w:lineRule="auto"/>
        <w:jc w:val="both"/>
        <w:rPr>
          <w:rFonts w:asciiTheme="minorHAnsi" w:hAnsiTheme="minorHAnsi"/>
          <w:b/>
          <w:lang w:eastAsia="cs-CZ"/>
        </w:rPr>
      </w:pPr>
      <w:r w:rsidRPr="001C3461">
        <w:rPr>
          <w:rFonts w:asciiTheme="minorHAnsi" w:hAnsiTheme="minorHAnsi"/>
          <w:b/>
          <w:lang w:eastAsia="cs-CZ"/>
        </w:rPr>
        <w:t>Návazné CZ NACE, funkční vazby</w:t>
      </w:r>
    </w:p>
    <w:p w14:paraId="2E016A23" w14:textId="6AFBF7E1" w:rsidR="00C85D5E" w:rsidRPr="001C3461" w:rsidRDefault="00C85D5E" w:rsidP="00617914">
      <w:pPr>
        <w:pStyle w:val="Bezmezer1"/>
        <w:spacing w:before="40" w:after="40" w:line="360" w:lineRule="auto"/>
        <w:ind w:firstLine="708"/>
        <w:jc w:val="both"/>
        <w:rPr>
          <w:rFonts w:asciiTheme="minorHAnsi" w:hAnsiTheme="minorHAnsi"/>
          <w:b/>
          <w:lang w:eastAsia="cs-CZ"/>
        </w:rPr>
      </w:pPr>
      <w:r w:rsidRPr="008B4069">
        <w:rPr>
          <w:rFonts w:asciiTheme="minorHAnsi" w:hAnsiTheme="minorHAnsi" w:cs="Arial"/>
          <w:lang w:eastAsia="cs-CZ"/>
        </w:rPr>
        <w:t>60</w:t>
      </w:r>
      <w:r w:rsidR="00617914">
        <w:rPr>
          <w:rFonts w:asciiTheme="minorHAnsi" w:hAnsiTheme="minorHAnsi" w:cs="Arial"/>
          <w:lang w:eastAsia="cs-CZ"/>
        </w:rPr>
        <w:tab/>
      </w:r>
      <w:r w:rsidRPr="008B4069">
        <w:rPr>
          <w:rFonts w:asciiTheme="minorHAnsi" w:hAnsiTheme="minorHAnsi" w:cs="Arial"/>
          <w:lang w:eastAsia="cs-CZ"/>
        </w:rPr>
        <w:t>Tvorba programů a vysílání</w:t>
      </w:r>
    </w:p>
    <w:p w14:paraId="0751935D" w14:textId="36DCCC3C" w:rsidR="00C85D5E" w:rsidRDefault="00C85D5E" w:rsidP="00617914">
      <w:pPr>
        <w:pStyle w:val="Bezmezer1"/>
        <w:spacing w:before="40" w:after="40" w:line="360" w:lineRule="auto"/>
        <w:ind w:left="708" w:firstLine="708"/>
        <w:jc w:val="both"/>
        <w:rPr>
          <w:rFonts w:asciiTheme="minorHAnsi" w:hAnsiTheme="minorHAnsi"/>
          <w:lang w:eastAsia="cs-CZ"/>
        </w:rPr>
      </w:pPr>
      <w:r w:rsidRPr="00500D98">
        <w:rPr>
          <w:rFonts w:asciiTheme="minorHAnsi" w:hAnsiTheme="minorHAnsi"/>
          <w:lang w:eastAsia="cs-CZ"/>
        </w:rPr>
        <w:t>72.2</w:t>
      </w:r>
      <w:r w:rsidR="00617914">
        <w:rPr>
          <w:rFonts w:asciiTheme="minorHAnsi" w:hAnsiTheme="minorHAnsi"/>
          <w:lang w:eastAsia="cs-CZ"/>
        </w:rPr>
        <w:tab/>
      </w:r>
      <w:r w:rsidRPr="00500D98">
        <w:rPr>
          <w:rFonts w:asciiTheme="minorHAnsi" w:hAnsiTheme="minorHAnsi"/>
          <w:lang w:eastAsia="cs-CZ"/>
        </w:rPr>
        <w:t>Výzkum a vývoj v oblasti společenských a humanitních věd</w:t>
      </w:r>
    </w:p>
    <w:p w14:paraId="792E174F" w14:textId="77A49908" w:rsidR="00C22867" w:rsidRDefault="00C22867">
      <w:pPr>
        <w:spacing w:after="200" w:line="276" w:lineRule="auto"/>
        <w:rPr>
          <w:rFonts w:eastAsia="Times New Roman" w:cs="Times New Roman"/>
          <w:lang w:eastAsia="cs-CZ"/>
        </w:rPr>
      </w:pPr>
      <w:r>
        <w:rPr>
          <w:lang w:eastAsia="cs-CZ"/>
        </w:rPr>
        <w:br w:type="page"/>
      </w:r>
    </w:p>
    <w:p w14:paraId="662381BC" w14:textId="4A66D8CE" w:rsidR="006E6688" w:rsidRDefault="006E6688" w:rsidP="00DE49BF">
      <w:pPr>
        <w:pStyle w:val="Nadpis3"/>
        <w:spacing w:line="360" w:lineRule="auto"/>
        <w:jc w:val="both"/>
      </w:pPr>
      <w:bookmarkStart w:id="259" w:name="_Toc525716283"/>
      <w:r w:rsidRPr="00EF4A38">
        <w:t xml:space="preserve">Dopravní prostředky pro 21. století, výstupy z </w:t>
      </w:r>
      <w:r w:rsidR="001B7E11">
        <w:t>NIP</w:t>
      </w:r>
      <w:r w:rsidRPr="00EF4A38">
        <w:t xml:space="preserve"> III. „Výroba dopravních prostředků“</w:t>
      </w:r>
      <w:bookmarkEnd w:id="259"/>
    </w:p>
    <w:p w14:paraId="0ABDF278" w14:textId="5680BCD8" w:rsidR="001B7E11" w:rsidRDefault="001B7E11" w:rsidP="00DE49BF">
      <w:pPr>
        <w:pStyle w:val="Nadpis4"/>
        <w:spacing w:line="360" w:lineRule="auto"/>
      </w:pPr>
      <w:bookmarkStart w:id="260" w:name="_Toc525716284"/>
      <w:r>
        <w:t>Automotive</w:t>
      </w:r>
      <w:bookmarkEnd w:id="260"/>
    </w:p>
    <w:p w14:paraId="1C1E0A82" w14:textId="3D8BE490" w:rsidR="0049520A" w:rsidRDefault="0049520A" w:rsidP="00543C1B">
      <w:pPr>
        <w:pStyle w:val="Odstavecseseznamem"/>
        <w:numPr>
          <w:ilvl w:val="0"/>
          <w:numId w:val="154"/>
        </w:numPr>
        <w:spacing w:line="360" w:lineRule="auto"/>
        <w:rPr>
          <w:u w:val="single"/>
        </w:rPr>
      </w:pPr>
      <w:r w:rsidRPr="00DE49BF">
        <w:rPr>
          <w:u w:val="single"/>
        </w:rPr>
        <w:t>Témata VaVaI identifikovaná prostřednictvím EDP:</w:t>
      </w:r>
    </w:p>
    <w:p w14:paraId="36234DE8" w14:textId="77777777" w:rsidR="00CB46E5" w:rsidRPr="00CB46E5" w:rsidRDefault="00CB46E5" w:rsidP="00543C1B">
      <w:pPr>
        <w:numPr>
          <w:ilvl w:val="0"/>
          <w:numId w:val="157"/>
        </w:numPr>
        <w:spacing w:before="120" w:after="120" w:line="360" w:lineRule="auto"/>
        <w:ind w:left="737" w:hanging="377"/>
        <w:jc w:val="both"/>
        <w:rPr>
          <w:rFonts w:eastAsia="MS Mincho"/>
          <w:b/>
        </w:rPr>
      </w:pPr>
      <w:r w:rsidRPr="00CB46E5">
        <w:rPr>
          <w:rFonts w:eastAsia="MS Mincho"/>
          <w:b/>
        </w:rPr>
        <w:t>Vozidlo jako celek</w:t>
      </w:r>
    </w:p>
    <w:p w14:paraId="03709028" w14:textId="77777777" w:rsidR="00CB46E5" w:rsidRPr="00CB46E5" w:rsidRDefault="00CB46E5" w:rsidP="00543C1B">
      <w:pPr>
        <w:numPr>
          <w:ilvl w:val="1"/>
          <w:numId w:val="157"/>
        </w:numPr>
        <w:spacing w:after="120" w:line="360" w:lineRule="auto"/>
        <w:jc w:val="both"/>
        <w:rPr>
          <w:rFonts w:eastAsia="MS Mincho"/>
        </w:rPr>
      </w:pPr>
      <w:r w:rsidRPr="00CB46E5">
        <w:rPr>
          <w:rFonts w:eastAsia="MS Mincho"/>
        </w:rPr>
        <w:t>nové koncepce podvozků s pokročilými hnacími jednotkami a integrovaným řízením z hlediska dynamiky vozidla, aktivní bezpečnosti i pohodlí a hluku, uplatnění inteligentních silových prvků, lehké stavby karosérií a rámů, vnější a vnitřní aerodynamika vozidel, pokrokové materiály a technologie výroby.</w:t>
      </w:r>
    </w:p>
    <w:p w14:paraId="1056FDF7" w14:textId="77777777" w:rsidR="00CB46E5" w:rsidRPr="00CB46E5" w:rsidRDefault="00CB46E5" w:rsidP="00543C1B">
      <w:pPr>
        <w:numPr>
          <w:ilvl w:val="0"/>
          <w:numId w:val="158"/>
        </w:numPr>
        <w:spacing w:before="240" w:after="120" w:line="360" w:lineRule="auto"/>
        <w:ind w:left="737" w:hanging="377"/>
        <w:jc w:val="both"/>
        <w:rPr>
          <w:rFonts w:eastAsia="MS Mincho"/>
          <w:b/>
        </w:rPr>
      </w:pPr>
      <w:r w:rsidRPr="00CB46E5">
        <w:rPr>
          <w:rFonts w:eastAsia="MS Mincho"/>
          <w:b/>
        </w:rPr>
        <w:t>Hnací jednotky</w:t>
      </w:r>
    </w:p>
    <w:p w14:paraId="74599F61" w14:textId="77777777" w:rsidR="00CB46E5" w:rsidRPr="00CB46E5" w:rsidRDefault="00CB46E5" w:rsidP="00543C1B">
      <w:pPr>
        <w:numPr>
          <w:ilvl w:val="1"/>
          <w:numId w:val="158"/>
        </w:numPr>
        <w:spacing w:after="120" w:line="360" w:lineRule="auto"/>
        <w:jc w:val="both"/>
        <w:rPr>
          <w:rFonts w:eastAsia="MS Mincho"/>
        </w:rPr>
      </w:pPr>
      <w:r w:rsidRPr="00CB46E5">
        <w:rPr>
          <w:rFonts w:eastAsia="MS Mincho"/>
        </w:rPr>
        <w:t>agregáty na alternativní paliva</w:t>
      </w:r>
    </w:p>
    <w:p w14:paraId="2D44445A" w14:textId="77777777" w:rsidR="00CB46E5" w:rsidRPr="00CB46E5" w:rsidRDefault="00CB46E5" w:rsidP="00543C1B">
      <w:pPr>
        <w:numPr>
          <w:ilvl w:val="1"/>
          <w:numId w:val="158"/>
        </w:numPr>
        <w:spacing w:after="120" w:line="360" w:lineRule="auto"/>
        <w:jc w:val="both"/>
        <w:rPr>
          <w:rFonts w:eastAsia="MS Mincho"/>
        </w:rPr>
      </w:pPr>
      <w:r w:rsidRPr="00CB46E5">
        <w:rPr>
          <w:rFonts w:eastAsia="MS Mincho"/>
        </w:rPr>
        <w:t xml:space="preserve">hybridní pohony (výkonová elektronika, elektromotory, generátory, akumulátory, flexibilní spalovací motory inovativních hnacích jednotek na syntetická paliva apod.) </w:t>
      </w:r>
    </w:p>
    <w:p w14:paraId="2EFEEAC4" w14:textId="77777777" w:rsidR="00CB46E5" w:rsidRPr="00CB46E5" w:rsidRDefault="00CB46E5" w:rsidP="00543C1B">
      <w:pPr>
        <w:numPr>
          <w:ilvl w:val="1"/>
          <w:numId w:val="158"/>
        </w:numPr>
        <w:spacing w:after="120" w:line="360" w:lineRule="auto"/>
        <w:jc w:val="both"/>
        <w:rPr>
          <w:rFonts w:eastAsia="MS Mincho"/>
        </w:rPr>
      </w:pPr>
      <w:r w:rsidRPr="00CB46E5">
        <w:rPr>
          <w:rFonts w:eastAsia="MS Mincho"/>
        </w:rPr>
        <w:t>elektrické pohony (výkonová elektronika, elektrické motory a generátory, akumulátory apod.)</w:t>
      </w:r>
    </w:p>
    <w:p w14:paraId="04813248" w14:textId="77777777" w:rsidR="00CB46E5" w:rsidRPr="00CB46E5" w:rsidRDefault="00CB46E5" w:rsidP="00543C1B">
      <w:pPr>
        <w:numPr>
          <w:ilvl w:val="1"/>
          <w:numId w:val="158"/>
        </w:numPr>
        <w:spacing w:after="120" w:line="360" w:lineRule="auto"/>
        <w:jc w:val="both"/>
        <w:rPr>
          <w:rFonts w:eastAsia="MS Mincho"/>
        </w:rPr>
      </w:pPr>
      <w:r w:rsidRPr="00CB46E5">
        <w:rPr>
          <w:rFonts w:eastAsia="MS Mincho"/>
        </w:rPr>
        <w:t xml:space="preserve">spalovací motory se zvýšenou účinností na fosilní paliva, biopaliva 2. generace, biopaliva vyšších generací, materiály a komponenty alternativních hnacích jednotek, alternativní paliva a provozní tekutiny vozidel </w:t>
      </w:r>
    </w:p>
    <w:p w14:paraId="6B7295CC" w14:textId="77777777" w:rsidR="00CB46E5" w:rsidRPr="00CB46E5" w:rsidRDefault="00CB46E5" w:rsidP="00543C1B">
      <w:pPr>
        <w:numPr>
          <w:ilvl w:val="0"/>
          <w:numId w:val="155"/>
        </w:numPr>
        <w:spacing w:before="240" w:after="120" w:line="360" w:lineRule="auto"/>
        <w:ind w:left="737" w:hanging="377"/>
        <w:jc w:val="both"/>
        <w:rPr>
          <w:rFonts w:eastAsia="MS Mincho"/>
          <w:b/>
        </w:rPr>
      </w:pPr>
      <w:r w:rsidRPr="00CB46E5">
        <w:rPr>
          <w:rFonts w:eastAsia="MS Mincho"/>
          <w:b/>
        </w:rPr>
        <w:t xml:space="preserve">Elektrická a elektronická výbava vozidel </w:t>
      </w:r>
    </w:p>
    <w:p w14:paraId="25E9A24E" w14:textId="780F4731"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vozidlové sdělovací sítě, adaptivní a prediktivní řízení parametrů hnacích jednotek, integrované a hierarchické systémy řízení vozidel, včetně automatizace rutinních procesů, komponenty elektrických systémů s cílem snížení příkonu a ceny, zajištění robustnosti a</w:t>
      </w:r>
      <w:r w:rsidR="00494858">
        <w:rPr>
          <w:rFonts w:eastAsia="MS Mincho"/>
        </w:rPr>
        <w:t> </w:t>
      </w:r>
      <w:r w:rsidRPr="00CB46E5">
        <w:rPr>
          <w:rFonts w:eastAsia="MS Mincho"/>
        </w:rPr>
        <w:t xml:space="preserve">vysoké funkční spolehlivosti pro zvyšování bezpečnosti, snižování energetických nároků, řešení problémů EMC a snižování hluku, diagnostické prostředky pro zabezpečení spolehlivosti integrovaných systémů řízení s novými spotřebiči </w:t>
      </w:r>
    </w:p>
    <w:p w14:paraId="0F045318" w14:textId="77777777" w:rsidR="00CB46E5" w:rsidRPr="00CB46E5" w:rsidRDefault="00CB46E5" w:rsidP="00543C1B">
      <w:pPr>
        <w:numPr>
          <w:ilvl w:val="0"/>
          <w:numId w:val="155"/>
        </w:numPr>
        <w:spacing w:after="120" w:line="360" w:lineRule="auto"/>
        <w:jc w:val="both"/>
        <w:rPr>
          <w:rFonts w:eastAsia="MS Mincho"/>
          <w:b/>
        </w:rPr>
      </w:pPr>
      <w:r w:rsidRPr="00CB46E5">
        <w:rPr>
          <w:rFonts w:eastAsia="MS Mincho"/>
          <w:b/>
        </w:rPr>
        <w:t>Rozhraní stroj vs. člověk v dopravním provozu</w:t>
      </w:r>
    </w:p>
    <w:p w14:paraId="33F48182" w14:textId="77777777" w:rsidR="00CB46E5" w:rsidRPr="00CB46E5" w:rsidRDefault="00CB46E5" w:rsidP="00543C1B">
      <w:pPr>
        <w:numPr>
          <w:ilvl w:val="1"/>
          <w:numId w:val="155"/>
        </w:numPr>
        <w:spacing w:after="120" w:line="360" w:lineRule="auto"/>
        <w:jc w:val="both"/>
        <w:rPr>
          <w:rFonts w:eastAsia="MS Mincho"/>
        </w:rPr>
      </w:pPr>
      <w:r w:rsidRPr="00CB46E5">
        <w:rPr>
          <w:rFonts w:eastAsia="MS Mincho"/>
        </w:rPr>
        <w:t>HMI simulátory, vztah člověk/stroj, vnitřní/vnější HMI, akustický, mechanický a tepelný uživatelský komfort.</w:t>
      </w:r>
    </w:p>
    <w:p w14:paraId="46191E22" w14:textId="77777777" w:rsidR="00CB46E5" w:rsidRDefault="00CB46E5" w:rsidP="00543C1B">
      <w:pPr>
        <w:numPr>
          <w:ilvl w:val="1"/>
          <w:numId w:val="155"/>
        </w:numPr>
        <w:spacing w:after="120" w:line="360" w:lineRule="auto"/>
        <w:jc w:val="both"/>
        <w:rPr>
          <w:rFonts w:eastAsia="MS Mincho"/>
        </w:rPr>
      </w:pPr>
      <w:r w:rsidRPr="00CB46E5">
        <w:rPr>
          <w:rFonts w:eastAsia="MS Mincho"/>
        </w:rPr>
        <w:t>uživatelská akceptace systémů a pravidel autonomní mobility, „user experience“ testy</w:t>
      </w:r>
    </w:p>
    <w:p w14:paraId="63F1323D" w14:textId="77777777" w:rsidR="00C22867" w:rsidRPr="00CB46E5" w:rsidRDefault="00C22867" w:rsidP="00C22867">
      <w:pPr>
        <w:spacing w:after="120" w:line="360" w:lineRule="auto"/>
        <w:jc w:val="both"/>
        <w:rPr>
          <w:rFonts w:eastAsia="MS Mincho"/>
        </w:rPr>
      </w:pPr>
    </w:p>
    <w:p w14:paraId="4CA5EA3F" w14:textId="77777777" w:rsidR="00CB46E5" w:rsidRPr="00CB46E5" w:rsidRDefault="00CB46E5" w:rsidP="00543C1B">
      <w:pPr>
        <w:numPr>
          <w:ilvl w:val="0"/>
          <w:numId w:val="155"/>
        </w:numPr>
        <w:spacing w:after="120" w:line="360" w:lineRule="auto"/>
        <w:ind w:left="737" w:hanging="377"/>
        <w:jc w:val="both"/>
        <w:rPr>
          <w:rFonts w:eastAsia="MS Mincho"/>
          <w:b/>
        </w:rPr>
      </w:pPr>
      <w:r w:rsidRPr="00CB46E5">
        <w:rPr>
          <w:rFonts w:eastAsia="MS Mincho"/>
          <w:b/>
        </w:rPr>
        <w:t>Ekologie</w:t>
      </w:r>
    </w:p>
    <w:p w14:paraId="1418624F" w14:textId="77777777"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využití materiálů na bázi recyklátů či obnovitelných zdrojů</w:t>
      </w:r>
    </w:p>
    <w:p w14:paraId="06802800" w14:textId="77777777"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 xml:space="preserve">výzkum efektivního surovinového využití dopravních prostředků po ukončení jejich životnosti </w:t>
      </w:r>
    </w:p>
    <w:p w14:paraId="7D8B3D6C" w14:textId="77777777" w:rsidR="00CB46E5" w:rsidRPr="00CB46E5" w:rsidRDefault="00CB46E5" w:rsidP="00543C1B">
      <w:pPr>
        <w:numPr>
          <w:ilvl w:val="1"/>
          <w:numId w:val="155"/>
        </w:numPr>
        <w:spacing w:after="120" w:line="360" w:lineRule="auto"/>
        <w:ind w:left="1428"/>
        <w:jc w:val="both"/>
      </w:pPr>
      <w:r w:rsidRPr="00CB46E5">
        <w:rPr>
          <w:rFonts w:eastAsia="MS Mincho"/>
        </w:rPr>
        <w:t>výzkumné</w:t>
      </w:r>
      <w:r w:rsidRPr="00CB46E5">
        <w:t xml:space="preserve"> cíle s orientací na emisní parametry (EURO 6+)</w:t>
      </w:r>
    </w:p>
    <w:p w14:paraId="61C045A1" w14:textId="77777777" w:rsidR="00CB46E5" w:rsidRPr="00CB46E5" w:rsidRDefault="00CB46E5" w:rsidP="00543C1B">
      <w:pPr>
        <w:numPr>
          <w:ilvl w:val="1"/>
          <w:numId w:val="155"/>
        </w:numPr>
        <w:spacing w:after="120" w:line="360" w:lineRule="auto"/>
        <w:ind w:left="1428"/>
        <w:jc w:val="both"/>
      </w:pPr>
      <w:r w:rsidRPr="00CB46E5">
        <w:t>e-mobilitní technologie/zelená mobilita – komponenty a řízení pohonů</w:t>
      </w:r>
    </w:p>
    <w:p w14:paraId="283C12D2" w14:textId="77777777" w:rsidR="00CB46E5" w:rsidRPr="00CB46E5" w:rsidRDefault="00CB46E5" w:rsidP="00543C1B">
      <w:pPr>
        <w:numPr>
          <w:ilvl w:val="1"/>
          <w:numId w:val="155"/>
        </w:numPr>
        <w:spacing w:after="120" w:line="360" w:lineRule="auto"/>
        <w:ind w:left="1428"/>
        <w:jc w:val="both"/>
      </w:pPr>
      <w:r w:rsidRPr="00CB46E5">
        <w:t>elektromotory, výkonová elektronika, vyspělé algoritmy řízení pohonů, alternativní pohony.</w:t>
      </w:r>
    </w:p>
    <w:p w14:paraId="23AADA42" w14:textId="77777777" w:rsidR="00CB46E5" w:rsidRPr="00CB46E5" w:rsidRDefault="00CB46E5" w:rsidP="00543C1B">
      <w:pPr>
        <w:numPr>
          <w:ilvl w:val="0"/>
          <w:numId w:val="155"/>
        </w:numPr>
        <w:spacing w:before="240" w:after="120" w:line="360" w:lineRule="auto"/>
        <w:ind w:left="737" w:hanging="377"/>
        <w:jc w:val="both"/>
        <w:rPr>
          <w:rFonts w:eastAsia="MS Mincho"/>
          <w:b/>
        </w:rPr>
      </w:pPr>
      <w:r w:rsidRPr="00CB46E5">
        <w:rPr>
          <w:rFonts w:eastAsia="MS Mincho"/>
          <w:b/>
        </w:rPr>
        <w:t>Bezpečnost (Safety</w:t>
      </w:r>
      <w:r w:rsidRPr="00CB46E5">
        <w:rPr>
          <w:rFonts w:eastAsia="MS Mincho"/>
          <w:b/>
          <w:lang w:val="en-US"/>
        </w:rPr>
        <w:t>&amp;Security)</w:t>
      </w:r>
    </w:p>
    <w:p w14:paraId="6C83D2E4" w14:textId="06F6FE92"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prvky pro zlepšování aktivní a pasivní bezpečnosti vozidel, optimalizace vozidel z hlediska integrované bezpečnosti, podpůrná opatření pro bezpečnost silniční dopravy, vozová a</w:t>
      </w:r>
      <w:r w:rsidR="00494858">
        <w:rPr>
          <w:rFonts w:eastAsia="MS Mincho"/>
        </w:rPr>
        <w:t> </w:t>
      </w:r>
      <w:r w:rsidRPr="00CB46E5">
        <w:rPr>
          <w:rFonts w:eastAsia="MS Mincho"/>
        </w:rPr>
        <w:t xml:space="preserve">datová/komunikační bezpečnost, spolehlivost systémů. </w:t>
      </w:r>
    </w:p>
    <w:p w14:paraId="183E6885" w14:textId="77777777" w:rsidR="00CB46E5" w:rsidRPr="00CB46E5" w:rsidRDefault="00CB46E5" w:rsidP="00543C1B">
      <w:pPr>
        <w:numPr>
          <w:ilvl w:val="0"/>
          <w:numId w:val="155"/>
        </w:numPr>
        <w:spacing w:before="240" w:after="120" w:line="360" w:lineRule="auto"/>
        <w:ind w:left="737" w:hanging="377"/>
        <w:jc w:val="both"/>
        <w:rPr>
          <w:rFonts w:eastAsia="MS Mincho"/>
          <w:b/>
        </w:rPr>
      </w:pPr>
      <w:r w:rsidRPr="00CB46E5">
        <w:rPr>
          <w:rFonts w:eastAsia="MS Mincho"/>
          <w:b/>
        </w:rPr>
        <w:t xml:space="preserve">ITS, mobilita a infrastruktura </w:t>
      </w:r>
    </w:p>
    <w:p w14:paraId="2D3C7B2D" w14:textId="6F15895A"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kooperativní systémy pro on-line sdílení informací mezi vozidly a ostatními druhy dopravy a</w:t>
      </w:r>
      <w:r w:rsidR="00494858">
        <w:rPr>
          <w:rFonts w:eastAsia="MS Mincho"/>
        </w:rPr>
        <w:t> </w:t>
      </w:r>
      <w:r w:rsidRPr="00CB46E5">
        <w:rPr>
          <w:rFonts w:eastAsia="MS Mincho"/>
        </w:rPr>
        <w:t>mezi vozidlem a okolím, systémy pro optimální využití dat o silniční síti, dopravním provozu a cestování i o energetických možnostech dobíjení elektrických a hybridních vozidel</w:t>
      </w:r>
    </w:p>
    <w:p w14:paraId="044E446B" w14:textId="77777777"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 xml:space="preserve">energetické zásobníky, interakce nabíjecích systémů vozu s energetickou sítí, </w:t>
      </w:r>
    </w:p>
    <w:p w14:paraId="49A372E5" w14:textId="77777777"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garantované národní geografické a datové databáze, datové komunikační protokoly a sítě elektronických komunikací.</w:t>
      </w:r>
    </w:p>
    <w:p w14:paraId="1E7B939C" w14:textId="77777777"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výzkum, vývoj a implementace asistenčních systémů řidiče</w:t>
      </w:r>
    </w:p>
    <w:p w14:paraId="05DA880A" w14:textId="77777777" w:rsidR="00CB46E5" w:rsidRPr="00CB46E5" w:rsidRDefault="00CB46E5" w:rsidP="00543C1B">
      <w:pPr>
        <w:numPr>
          <w:ilvl w:val="1"/>
          <w:numId w:val="155"/>
        </w:numPr>
        <w:spacing w:after="120" w:line="360" w:lineRule="auto"/>
        <w:ind w:left="1428"/>
        <w:jc w:val="both"/>
        <w:rPr>
          <w:rFonts w:cs="Arial"/>
        </w:rPr>
      </w:pPr>
      <w:r w:rsidRPr="00CB46E5">
        <w:rPr>
          <w:rFonts w:eastAsia="MS Mincho"/>
        </w:rPr>
        <w:t>výzkum</w:t>
      </w:r>
      <w:r w:rsidRPr="00CB46E5">
        <w:rPr>
          <w:rFonts w:cs="Arial"/>
        </w:rPr>
        <w:t>, vývoj, legalizace a implementace systémů autonomní jízdy</w:t>
      </w:r>
    </w:p>
    <w:p w14:paraId="2BA19C3C" w14:textId="77777777" w:rsidR="00CB46E5" w:rsidRPr="00CB46E5" w:rsidRDefault="00CB46E5" w:rsidP="00543C1B">
      <w:pPr>
        <w:numPr>
          <w:ilvl w:val="0"/>
          <w:numId w:val="155"/>
        </w:numPr>
        <w:spacing w:before="240" w:after="120" w:line="360" w:lineRule="auto"/>
        <w:ind w:left="737" w:hanging="377"/>
        <w:jc w:val="both"/>
        <w:rPr>
          <w:rFonts w:eastAsia="MS Mincho"/>
          <w:b/>
        </w:rPr>
      </w:pPr>
      <w:r w:rsidRPr="00CB46E5">
        <w:rPr>
          <w:rFonts w:eastAsia="MS Mincho"/>
          <w:b/>
        </w:rPr>
        <w:t>Zpracování materiálu</w:t>
      </w:r>
    </w:p>
    <w:p w14:paraId="71F370E7" w14:textId="77777777" w:rsidR="00CB46E5" w:rsidRPr="00CB46E5" w:rsidRDefault="00CB46E5" w:rsidP="00543C1B">
      <w:pPr>
        <w:numPr>
          <w:ilvl w:val="1"/>
          <w:numId w:val="155"/>
        </w:numPr>
        <w:spacing w:after="120" w:line="360" w:lineRule="auto"/>
        <w:ind w:left="1428"/>
        <w:jc w:val="both"/>
      </w:pPr>
      <w:r w:rsidRPr="00CB46E5">
        <w:rPr>
          <w:rFonts w:eastAsia="MS Mincho"/>
        </w:rPr>
        <w:t>nanotechnologie pro multifunkční materiály, pokročilé kovové, plastové a kompozitní materiály, aplikace moderních metod obrábění, dělení a spojování materiálu, metody zvyšování produktivity, včetně Design4x, VaV optimalizace výrobních procesů a zvyšování jejich</w:t>
      </w:r>
      <w:r w:rsidRPr="00CB46E5">
        <w:t xml:space="preserve"> flexibility a likvidačních metod </w:t>
      </w:r>
    </w:p>
    <w:p w14:paraId="233F3638" w14:textId="77777777" w:rsidR="00CB46E5" w:rsidRPr="00CB46E5" w:rsidRDefault="00CB46E5" w:rsidP="00543C1B">
      <w:pPr>
        <w:numPr>
          <w:ilvl w:val="0"/>
          <w:numId w:val="155"/>
        </w:numPr>
        <w:spacing w:before="240" w:after="120" w:line="360" w:lineRule="auto"/>
        <w:ind w:left="737" w:hanging="377"/>
        <w:jc w:val="both"/>
        <w:rPr>
          <w:rFonts w:eastAsia="MS Mincho"/>
          <w:b/>
        </w:rPr>
      </w:pPr>
      <w:r w:rsidRPr="00CB46E5">
        <w:rPr>
          <w:rFonts w:eastAsia="MS Mincho"/>
          <w:b/>
        </w:rPr>
        <w:t xml:space="preserve">Virtuální vývoj </w:t>
      </w:r>
    </w:p>
    <w:p w14:paraId="4B0FD630" w14:textId="77777777" w:rsidR="00CB46E5" w:rsidRPr="00CB46E5" w:rsidRDefault="00CB46E5" w:rsidP="00543C1B">
      <w:pPr>
        <w:numPr>
          <w:ilvl w:val="1"/>
          <w:numId w:val="155"/>
        </w:numPr>
        <w:spacing w:after="120" w:line="360" w:lineRule="auto"/>
        <w:ind w:left="1428"/>
        <w:jc w:val="both"/>
      </w:pPr>
      <w:r w:rsidRPr="00CB46E5">
        <w:rPr>
          <w:rFonts w:eastAsia="MS Mincho"/>
        </w:rPr>
        <w:t>výzkum simulačních technik a technik virtuální reality (VR) pro parametrickou optimalizaci výrobků, pro konceptuální optimalizaci inovací vyšších řádů, VR pro urychlení přípravy výrobní fáze ve výrobním řetězci, využití VR při návrhu výrobní linky, aplikace</w:t>
      </w:r>
      <w:r w:rsidRPr="00CB46E5">
        <w:t xml:space="preserve"> pro návrhy uplatnitelné při zavádění koncepce Průmysl 4.0</w:t>
      </w:r>
    </w:p>
    <w:p w14:paraId="3998D318" w14:textId="77777777" w:rsidR="00CB46E5" w:rsidRPr="00CB46E5" w:rsidRDefault="00CB46E5" w:rsidP="00543C1B">
      <w:pPr>
        <w:numPr>
          <w:ilvl w:val="1"/>
          <w:numId w:val="155"/>
        </w:numPr>
        <w:spacing w:after="120" w:line="360" w:lineRule="auto"/>
        <w:ind w:left="1428"/>
        <w:jc w:val="both"/>
      </w:pPr>
      <w:r w:rsidRPr="00CB46E5">
        <w:t>Průmysl a Produkt 4.0 – logistické řetězce, řízené optimalizace energetických toků ve vozidle</w:t>
      </w:r>
    </w:p>
    <w:p w14:paraId="36E70986" w14:textId="77777777" w:rsidR="00CB46E5" w:rsidRPr="00CB46E5" w:rsidRDefault="00CB46E5" w:rsidP="00543C1B">
      <w:pPr>
        <w:numPr>
          <w:ilvl w:val="1"/>
          <w:numId w:val="155"/>
        </w:numPr>
        <w:spacing w:after="120" w:line="360" w:lineRule="auto"/>
        <w:jc w:val="both"/>
        <w:rPr>
          <w:rFonts w:cs="Arial"/>
        </w:rPr>
      </w:pPr>
      <w:r w:rsidRPr="00CB46E5">
        <w:rPr>
          <w:rFonts w:cs="Arial"/>
        </w:rPr>
        <w:t>Softwarové algoritmy (zpracování/plánování a vyhodnocení), nástroje pro vývoj a testování</w:t>
      </w:r>
    </w:p>
    <w:p w14:paraId="5865304C" w14:textId="77777777" w:rsidR="00CB46E5" w:rsidRPr="00CB46E5" w:rsidRDefault="00CB46E5" w:rsidP="00543C1B">
      <w:pPr>
        <w:numPr>
          <w:ilvl w:val="0"/>
          <w:numId w:val="156"/>
        </w:numPr>
        <w:spacing w:before="240" w:after="120" w:line="360" w:lineRule="auto"/>
        <w:ind w:left="737" w:hanging="377"/>
        <w:jc w:val="both"/>
        <w:rPr>
          <w:rFonts w:eastAsia="MS Mincho"/>
          <w:b/>
        </w:rPr>
      </w:pPr>
      <w:r w:rsidRPr="00CB46E5">
        <w:rPr>
          <w:rFonts w:eastAsia="MS Mincho"/>
          <w:b/>
        </w:rPr>
        <w:t>Výrobní procesy</w:t>
      </w:r>
    </w:p>
    <w:p w14:paraId="3CFAAC8D" w14:textId="77777777" w:rsidR="00CB46E5" w:rsidRPr="00CB46E5" w:rsidRDefault="00CB46E5" w:rsidP="00543C1B">
      <w:pPr>
        <w:numPr>
          <w:ilvl w:val="1"/>
          <w:numId w:val="156"/>
        </w:numPr>
        <w:spacing w:after="120" w:line="360" w:lineRule="auto"/>
        <w:jc w:val="both"/>
        <w:rPr>
          <w:rFonts w:eastAsia="MS Mincho"/>
        </w:rPr>
      </w:pPr>
      <w:r w:rsidRPr="00CB46E5">
        <w:rPr>
          <w:rFonts w:eastAsia="MS Mincho"/>
        </w:rPr>
        <w:t>provázat virtuální kybernetický svět se světem fyzické reality</w:t>
      </w:r>
    </w:p>
    <w:p w14:paraId="77BA67FF" w14:textId="77777777" w:rsidR="00CB46E5" w:rsidRPr="00CB46E5" w:rsidRDefault="00CB46E5" w:rsidP="00543C1B">
      <w:pPr>
        <w:numPr>
          <w:ilvl w:val="1"/>
          <w:numId w:val="156"/>
        </w:numPr>
        <w:spacing w:after="120" w:line="360" w:lineRule="auto"/>
        <w:jc w:val="both"/>
        <w:rPr>
          <w:rFonts w:cs="Arial"/>
        </w:rPr>
      </w:pPr>
      <w:r w:rsidRPr="00CB46E5">
        <w:rPr>
          <w:rFonts w:eastAsia="MS Mincho"/>
        </w:rPr>
        <w:t>rozvinout průmyslovou a provozní inteligenci založenou na informačních a kybernetických</w:t>
      </w:r>
      <w:r w:rsidRPr="00CB46E5">
        <w:rPr>
          <w:rFonts w:cs="Arial"/>
        </w:rPr>
        <w:t xml:space="preserve"> technologiích</w:t>
      </w:r>
    </w:p>
    <w:p w14:paraId="4534AC7B" w14:textId="77777777" w:rsidR="00CB46E5" w:rsidRPr="00CB46E5" w:rsidRDefault="00CB46E5" w:rsidP="00543C1B">
      <w:pPr>
        <w:numPr>
          <w:ilvl w:val="0"/>
          <w:numId w:val="155"/>
        </w:numPr>
        <w:spacing w:before="240" w:after="120" w:line="360" w:lineRule="auto"/>
        <w:ind w:left="737" w:hanging="377"/>
        <w:jc w:val="both"/>
        <w:rPr>
          <w:rFonts w:eastAsia="MS Mincho"/>
          <w:b/>
        </w:rPr>
      </w:pPr>
      <w:r w:rsidRPr="00CB46E5">
        <w:rPr>
          <w:rFonts w:eastAsia="MS Mincho"/>
          <w:b/>
        </w:rPr>
        <w:t xml:space="preserve">Energie </w:t>
      </w:r>
    </w:p>
    <w:p w14:paraId="10C9B47E" w14:textId="77777777"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 xml:space="preserve">power management vozidla pro řízení elektrobusů a hybridbusů </w:t>
      </w:r>
    </w:p>
    <w:p w14:paraId="251DF607" w14:textId="77777777" w:rsidR="00CB46E5" w:rsidRPr="00CB46E5" w:rsidRDefault="00CB46E5" w:rsidP="00543C1B">
      <w:pPr>
        <w:numPr>
          <w:ilvl w:val="1"/>
          <w:numId w:val="155"/>
        </w:numPr>
        <w:spacing w:after="120" w:line="360" w:lineRule="auto"/>
        <w:ind w:left="1428"/>
        <w:jc w:val="both"/>
        <w:rPr>
          <w:rFonts w:eastAsia="MS Mincho"/>
        </w:rPr>
      </w:pPr>
      <w:r w:rsidRPr="00CB46E5">
        <w:rPr>
          <w:rFonts w:eastAsia="MS Mincho"/>
        </w:rPr>
        <w:t xml:space="preserve">infrastruktura a dopravní systémy pro elektromobilitu </w:t>
      </w:r>
    </w:p>
    <w:p w14:paraId="0974437D" w14:textId="77777777" w:rsidR="00CB46E5" w:rsidRPr="00CB46E5" w:rsidRDefault="00CB46E5" w:rsidP="00543C1B">
      <w:pPr>
        <w:numPr>
          <w:ilvl w:val="1"/>
          <w:numId w:val="155"/>
        </w:numPr>
        <w:spacing w:after="120" w:line="360" w:lineRule="auto"/>
        <w:ind w:left="1428"/>
        <w:jc w:val="both"/>
      </w:pPr>
      <w:r w:rsidRPr="00CB46E5">
        <w:rPr>
          <w:rFonts w:eastAsia="MS Mincho"/>
        </w:rPr>
        <w:t>infrastruktura</w:t>
      </w:r>
      <w:r w:rsidRPr="00CB46E5">
        <w:t xml:space="preserve"> pro pokročilou dopravu – Smart Grids, vodíková infrastruktura</w:t>
      </w:r>
    </w:p>
    <w:p w14:paraId="4C4DB6D3" w14:textId="77777777" w:rsidR="00CB46E5" w:rsidRPr="00CB46E5" w:rsidRDefault="00CB46E5" w:rsidP="00543C1B">
      <w:pPr>
        <w:numPr>
          <w:ilvl w:val="0"/>
          <w:numId w:val="155"/>
        </w:numPr>
        <w:spacing w:before="240" w:after="120" w:line="360" w:lineRule="auto"/>
        <w:ind w:left="737" w:hanging="377"/>
        <w:jc w:val="both"/>
        <w:rPr>
          <w:rFonts w:eastAsia="MS Mincho"/>
          <w:b/>
        </w:rPr>
      </w:pPr>
      <w:r w:rsidRPr="00CB46E5">
        <w:rPr>
          <w:rFonts w:eastAsia="MS Mincho"/>
          <w:b/>
        </w:rPr>
        <w:t xml:space="preserve">Výzkum a vývoj návazných komponent </w:t>
      </w:r>
    </w:p>
    <w:p w14:paraId="713513E0" w14:textId="77777777" w:rsidR="00CB46E5" w:rsidRPr="00CB46E5" w:rsidRDefault="00CB46E5" w:rsidP="00CB46E5">
      <w:pPr>
        <w:spacing w:line="360" w:lineRule="auto"/>
        <w:rPr>
          <w:u w:val="single"/>
        </w:rPr>
      </w:pPr>
    </w:p>
    <w:p w14:paraId="7302628E" w14:textId="3ACC2F45" w:rsidR="0049520A" w:rsidRDefault="0049520A" w:rsidP="00543C1B">
      <w:pPr>
        <w:pStyle w:val="Odstavecseseznamem"/>
        <w:numPr>
          <w:ilvl w:val="0"/>
          <w:numId w:val="154"/>
        </w:numPr>
        <w:spacing w:line="360" w:lineRule="auto"/>
        <w:rPr>
          <w:u w:val="single"/>
        </w:rPr>
      </w:pPr>
      <w:r w:rsidRPr="00DE49BF">
        <w:rPr>
          <w:u w:val="single"/>
        </w:rPr>
        <w:t>Indikativní vztah ke klasifikaci CZ NACE</w:t>
      </w:r>
    </w:p>
    <w:p w14:paraId="15BD840D" w14:textId="3374E408" w:rsidR="00CB46E5" w:rsidRPr="001A38F0" w:rsidRDefault="00CB46E5" w:rsidP="005629D1">
      <w:pPr>
        <w:pStyle w:val="Bezmezer1"/>
        <w:spacing w:before="40" w:after="40" w:line="360" w:lineRule="auto"/>
        <w:jc w:val="both"/>
        <w:rPr>
          <w:rFonts w:asciiTheme="minorHAnsi" w:hAnsiTheme="minorHAnsi"/>
          <w:b/>
          <w:lang w:eastAsia="cs-CZ"/>
        </w:rPr>
      </w:pPr>
      <w:r w:rsidRPr="001A38F0">
        <w:rPr>
          <w:rFonts w:asciiTheme="minorHAnsi" w:hAnsiTheme="minorHAnsi"/>
          <w:b/>
          <w:lang w:eastAsia="cs-CZ"/>
        </w:rPr>
        <w:t>Hlavní relevantní CZ</w:t>
      </w:r>
      <w:r>
        <w:rPr>
          <w:rFonts w:asciiTheme="minorHAnsi" w:hAnsiTheme="minorHAnsi"/>
          <w:b/>
          <w:lang w:eastAsia="cs-CZ"/>
        </w:rPr>
        <w:t xml:space="preserve"> </w:t>
      </w:r>
      <w:r w:rsidRPr="001A38F0">
        <w:rPr>
          <w:rFonts w:asciiTheme="minorHAnsi" w:hAnsiTheme="minorHAnsi"/>
          <w:b/>
          <w:lang w:eastAsia="cs-CZ"/>
        </w:rPr>
        <w:t>NACE</w:t>
      </w:r>
    </w:p>
    <w:p w14:paraId="227F963B" w14:textId="54FE675C" w:rsidR="00CB46E5" w:rsidRPr="001A38F0" w:rsidRDefault="00CB46E5" w:rsidP="005629D1">
      <w:pPr>
        <w:pStyle w:val="Bezmezer1"/>
        <w:spacing w:before="40" w:after="40" w:line="360" w:lineRule="auto"/>
        <w:ind w:firstLine="708"/>
        <w:jc w:val="both"/>
        <w:rPr>
          <w:rFonts w:asciiTheme="minorHAnsi" w:hAnsiTheme="minorHAnsi"/>
          <w:lang w:eastAsia="cs-CZ"/>
        </w:rPr>
      </w:pPr>
      <w:r w:rsidRPr="001A38F0">
        <w:rPr>
          <w:rFonts w:asciiTheme="minorHAnsi" w:hAnsiTheme="minorHAnsi"/>
          <w:lang w:eastAsia="cs-CZ"/>
        </w:rPr>
        <w:t>29</w:t>
      </w:r>
      <w:r>
        <w:rPr>
          <w:rFonts w:asciiTheme="minorHAnsi" w:hAnsiTheme="minorHAnsi"/>
          <w:lang w:eastAsia="cs-CZ"/>
        </w:rPr>
        <w:tab/>
      </w:r>
      <w:r w:rsidRPr="001A38F0">
        <w:rPr>
          <w:rFonts w:asciiTheme="minorHAnsi" w:hAnsiTheme="minorHAnsi"/>
          <w:lang w:eastAsia="cs-CZ"/>
        </w:rPr>
        <w:t>Výroba motorových vozidel (kromě motocyklů), přívěsů a návěsů</w:t>
      </w:r>
    </w:p>
    <w:p w14:paraId="13B30F0E" w14:textId="4E5B568A" w:rsidR="00CB46E5" w:rsidRPr="001A38F0" w:rsidRDefault="00CB46E5" w:rsidP="005629D1">
      <w:pPr>
        <w:pStyle w:val="Bezmezer1"/>
        <w:spacing w:before="40" w:after="40" w:line="360" w:lineRule="auto"/>
        <w:ind w:left="708" w:firstLine="708"/>
        <w:jc w:val="both"/>
        <w:rPr>
          <w:rFonts w:asciiTheme="minorHAnsi" w:hAnsiTheme="minorHAnsi"/>
          <w:lang w:eastAsia="cs-CZ"/>
        </w:rPr>
      </w:pPr>
      <w:r w:rsidRPr="001A38F0">
        <w:rPr>
          <w:rFonts w:asciiTheme="minorHAnsi" w:hAnsiTheme="minorHAnsi"/>
          <w:lang w:eastAsia="cs-CZ"/>
        </w:rPr>
        <w:t>29.1</w:t>
      </w:r>
      <w:r>
        <w:rPr>
          <w:rFonts w:asciiTheme="minorHAnsi" w:hAnsiTheme="minorHAnsi"/>
          <w:lang w:eastAsia="cs-CZ"/>
        </w:rPr>
        <w:tab/>
      </w:r>
      <w:r w:rsidRPr="001A38F0">
        <w:rPr>
          <w:rFonts w:asciiTheme="minorHAnsi" w:hAnsiTheme="minorHAnsi"/>
          <w:lang w:eastAsia="cs-CZ"/>
        </w:rPr>
        <w:t>Výroba motorových vozidel a jejich motorů</w:t>
      </w:r>
    </w:p>
    <w:p w14:paraId="575559B6" w14:textId="0D2BE3D1" w:rsidR="00CB46E5" w:rsidRPr="001A38F0" w:rsidRDefault="00CB46E5" w:rsidP="005629D1">
      <w:pPr>
        <w:pStyle w:val="Bezmezer1"/>
        <w:spacing w:before="40" w:after="40" w:line="360" w:lineRule="auto"/>
        <w:ind w:left="708" w:firstLine="708"/>
        <w:jc w:val="both"/>
        <w:rPr>
          <w:rFonts w:asciiTheme="minorHAnsi" w:hAnsiTheme="minorHAnsi"/>
          <w:lang w:eastAsia="cs-CZ"/>
        </w:rPr>
      </w:pPr>
      <w:r w:rsidRPr="001A38F0">
        <w:rPr>
          <w:rFonts w:asciiTheme="minorHAnsi" w:hAnsiTheme="minorHAnsi"/>
          <w:lang w:eastAsia="cs-CZ"/>
        </w:rPr>
        <w:t>29.2</w:t>
      </w:r>
      <w:r>
        <w:rPr>
          <w:rFonts w:asciiTheme="minorHAnsi" w:hAnsiTheme="minorHAnsi"/>
          <w:lang w:eastAsia="cs-CZ"/>
        </w:rPr>
        <w:tab/>
      </w:r>
      <w:r w:rsidRPr="001A38F0">
        <w:rPr>
          <w:rFonts w:asciiTheme="minorHAnsi" w:hAnsiTheme="minorHAnsi"/>
          <w:lang w:eastAsia="cs-CZ"/>
        </w:rPr>
        <w:t>Výroba karoserií motorových vozidel; výroba přívěsů a</w:t>
      </w:r>
      <w:r>
        <w:rPr>
          <w:rFonts w:asciiTheme="minorHAnsi" w:hAnsiTheme="minorHAnsi"/>
          <w:lang w:eastAsia="cs-CZ"/>
        </w:rPr>
        <w:t> </w:t>
      </w:r>
      <w:r w:rsidRPr="001A38F0">
        <w:rPr>
          <w:rFonts w:asciiTheme="minorHAnsi" w:hAnsiTheme="minorHAnsi"/>
          <w:lang w:eastAsia="cs-CZ"/>
        </w:rPr>
        <w:t>návěsů</w:t>
      </w:r>
    </w:p>
    <w:p w14:paraId="005F7BDB" w14:textId="1D01374F" w:rsidR="00CB46E5" w:rsidRPr="001A38F0" w:rsidRDefault="00CB46E5" w:rsidP="005629D1">
      <w:pPr>
        <w:pStyle w:val="Bezmezer1"/>
        <w:spacing w:before="40" w:after="40" w:line="360" w:lineRule="auto"/>
        <w:ind w:left="708" w:firstLine="708"/>
        <w:jc w:val="both"/>
        <w:rPr>
          <w:rFonts w:asciiTheme="minorHAnsi" w:hAnsiTheme="minorHAnsi"/>
          <w:lang w:eastAsia="cs-CZ"/>
        </w:rPr>
      </w:pPr>
      <w:r w:rsidRPr="001A38F0">
        <w:rPr>
          <w:rFonts w:asciiTheme="minorHAnsi" w:hAnsiTheme="minorHAnsi"/>
          <w:lang w:eastAsia="cs-CZ"/>
        </w:rPr>
        <w:t>29.3</w:t>
      </w:r>
      <w:r>
        <w:rPr>
          <w:rFonts w:asciiTheme="minorHAnsi" w:hAnsiTheme="minorHAnsi"/>
          <w:lang w:eastAsia="cs-CZ"/>
        </w:rPr>
        <w:tab/>
      </w:r>
      <w:r w:rsidRPr="001A38F0">
        <w:rPr>
          <w:rFonts w:asciiTheme="minorHAnsi" w:hAnsiTheme="minorHAnsi"/>
          <w:lang w:eastAsia="cs-CZ"/>
        </w:rPr>
        <w:t>Výroba dílů a příslušenství pro motorová vozidla a jejich motory</w:t>
      </w:r>
    </w:p>
    <w:p w14:paraId="6A1F20C7" w14:textId="4EC36198" w:rsidR="00CB46E5" w:rsidRPr="001A38F0" w:rsidRDefault="00CB46E5" w:rsidP="005629D1">
      <w:pPr>
        <w:pStyle w:val="Bezmezer1"/>
        <w:spacing w:before="40" w:after="40" w:line="360" w:lineRule="auto"/>
        <w:ind w:left="1416" w:firstLine="708"/>
        <w:jc w:val="both"/>
        <w:rPr>
          <w:rFonts w:asciiTheme="minorHAnsi" w:hAnsiTheme="minorHAnsi"/>
          <w:lang w:eastAsia="cs-CZ"/>
        </w:rPr>
      </w:pPr>
      <w:r w:rsidRPr="001A38F0">
        <w:rPr>
          <w:rFonts w:asciiTheme="minorHAnsi" w:hAnsiTheme="minorHAnsi"/>
          <w:lang w:eastAsia="cs-CZ"/>
        </w:rPr>
        <w:t>29.31</w:t>
      </w:r>
      <w:r>
        <w:rPr>
          <w:rFonts w:asciiTheme="minorHAnsi" w:hAnsiTheme="minorHAnsi"/>
          <w:lang w:eastAsia="cs-CZ"/>
        </w:rPr>
        <w:tab/>
      </w:r>
      <w:r w:rsidRPr="001A38F0">
        <w:rPr>
          <w:rFonts w:asciiTheme="minorHAnsi" w:hAnsiTheme="minorHAnsi"/>
          <w:lang w:eastAsia="cs-CZ"/>
        </w:rPr>
        <w:t>Výroba elektrického a elektronického zařízení pro motorová vozidla</w:t>
      </w:r>
    </w:p>
    <w:p w14:paraId="4739502E" w14:textId="35411EC1" w:rsidR="00CB46E5" w:rsidRPr="001A38F0" w:rsidRDefault="00CB46E5" w:rsidP="005629D1">
      <w:pPr>
        <w:pStyle w:val="Bezmezer1"/>
        <w:spacing w:before="40" w:after="40" w:line="360" w:lineRule="auto"/>
        <w:ind w:left="1416" w:firstLine="708"/>
        <w:jc w:val="both"/>
        <w:rPr>
          <w:rFonts w:asciiTheme="minorHAnsi" w:hAnsiTheme="minorHAnsi"/>
          <w:lang w:eastAsia="cs-CZ"/>
        </w:rPr>
      </w:pPr>
      <w:r w:rsidRPr="001A38F0">
        <w:rPr>
          <w:rFonts w:asciiTheme="minorHAnsi" w:hAnsiTheme="minorHAnsi"/>
          <w:lang w:eastAsia="cs-CZ"/>
        </w:rPr>
        <w:t>29.32</w:t>
      </w:r>
      <w:r>
        <w:rPr>
          <w:rFonts w:asciiTheme="minorHAnsi" w:hAnsiTheme="minorHAnsi"/>
          <w:lang w:eastAsia="cs-CZ"/>
        </w:rPr>
        <w:tab/>
      </w:r>
      <w:r w:rsidRPr="001A38F0">
        <w:rPr>
          <w:rFonts w:asciiTheme="minorHAnsi" w:hAnsiTheme="minorHAnsi"/>
          <w:lang w:eastAsia="cs-CZ"/>
        </w:rPr>
        <w:t>Výroba ostatních dílů a příslušenství pro motorová vozidla</w:t>
      </w:r>
    </w:p>
    <w:p w14:paraId="7CC5CD6C" w14:textId="6E02CDED" w:rsidR="00CB46E5" w:rsidRPr="001A38F0" w:rsidRDefault="00CB46E5" w:rsidP="005629D1">
      <w:pPr>
        <w:pStyle w:val="Bezmezer1"/>
        <w:spacing w:before="40" w:after="40" w:line="360" w:lineRule="auto"/>
        <w:ind w:firstLine="708"/>
        <w:jc w:val="both"/>
        <w:rPr>
          <w:rFonts w:asciiTheme="minorHAnsi" w:hAnsiTheme="minorHAnsi"/>
          <w:lang w:eastAsia="cs-CZ"/>
        </w:rPr>
      </w:pPr>
      <w:r>
        <w:rPr>
          <w:rFonts w:asciiTheme="minorHAnsi" w:hAnsiTheme="minorHAnsi"/>
          <w:lang w:eastAsia="cs-CZ"/>
        </w:rPr>
        <w:t>71</w:t>
      </w:r>
      <w:r>
        <w:rPr>
          <w:rFonts w:asciiTheme="minorHAnsi" w:hAnsiTheme="minorHAnsi"/>
          <w:lang w:eastAsia="cs-CZ"/>
        </w:rPr>
        <w:tab/>
      </w:r>
      <w:r w:rsidRPr="001A38F0">
        <w:rPr>
          <w:rFonts w:asciiTheme="minorHAnsi" w:hAnsiTheme="minorHAnsi"/>
          <w:lang w:eastAsia="cs-CZ"/>
        </w:rPr>
        <w:t>Architektonické a inženýrské činnosti; technické zkoušky a analýzy</w:t>
      </w:r>
    </w:p>
    <w:p w14:paraId="4B66AAD6" w14:textId="1424216A" w:rsidR="00CB46E5" w:rsidRPr="001A38F0" w:rsidRDefault="00CB46E5" w:rsidP="005629D1">
      <w:pPr>
        <w:pStyle w:val="Bezmezer1"/>
        <w:spacing w:before="40" w:after="40" w:line="360" w:lineRule="auto"/>
        <w:ind w:left="708" w:firstLine="708"/>
        <w:jc w:val="both"/>
        <w:rPr>
          <w:rFonts w:asciiTheme="minorHAnsi" w:hAnsiTheme="minorHAnsi"/>
          <w:lang w:eastAsia="cs-CZ"/>
        </w:rPr>
      </w:pPr>
      <w:r>
        <w:rPr>
          <w:rFonts w:asciiTheme="minorHAnsi" w:hAnsiTheme="minorHAnsi"/>
          <w:lang w:eastAsia="cs-CZ"/>
        </w:rPr>
        <w:t>71.1</w:t>
      </w:r>
      <w:r>
        <w:rPr>
          <w:rFonts w:asciiTheme="minorHAnsi" w:hAnsiTheme="minorHAnsi"/>
          <w:lang w:eastAsia="cs-CZ"/>
        </w:rPr>
        <w:tab/>
      </w:r>
      <w:r w:rsidRPr="001A38F0">
        <w:rPr>
          <w:rFonts w:asciiTheme="minorHAnsi" w:hAnsiTheme="minorHAnsi"/>
          <w:lang w:eastAsia="cs-CZ"/>
        </w:rPr>
        <w:t xml:space="preserve">Architektonické a inženýrské činnosti a související technické poradenství </w:t>
      </w:r>
    </w:p>
    <w:p w14:paraId="3CB49E4C" w14:textId="502E0B0B" w:rsidR="00CB46E5" w:rsidRPr="001A38F0" w:rsidRDefault="00CB46E5" w:rsidP="005629D1">
      <w:pPr>
        <w:pStyle w:val="Bezmezer1"/>
        <w:spacing w:before="40" w:after="200" w:line="360" w:lineRule="auto"/>
        <w:ind w:left="1416" w:firstLine="708"/>
        <w:jc w:val="both"/>
        <w:rPr>
          <w:rFonts w:asciiTheme="minorHAnsi" w:hAnsiTheme="minorHAnsi"/>
          <w:lang w:eastAsia="cs-CZ"/>
        </w:rPr>
      </w:pPr>
      <w:r>
        <w:rPr>
          <w:rFonts w:asciiTheme="minorHAnsi" w:hAnsiTheme="minorHAnsi"/>
          <w:lang w:eastAsia="cs-CZ"/>
        </w:rPr>
        <w:t>71.12</w:t>
      </w:r>
      <w:r>
        <w:rPr>
          <w:rFonts w:asciiTheme="minorHAnsi" w:hAnsiTheme="minorHAnsi"/>
          <w:lang w:eastAsia="cs-CZ"/>
        </w:rPr>
        <w:tab/>
      </w:r>
      <w:r w:rsidRPr="001A38F0">
        <w:rPr>
          <w:rFonts w:asciiTheme="minorHAnsi" w:hAnsiTheme="minorHAnsi"/>
          <w:lang w:eastAsia="cs-CZ"/>
        </w:rPr>
        <w:t>Inženýrské činnosti a související technické poradenství</w:t>
      </w:r>
    </w:p>
    <w:p w14:paraId="7829992E" w14:textId="36C5E85D" w:rsidR="00CB46E5" w:rsidRPr="001A38F0" w:rsidRDefault="00733AD1" w:rsidP="005629D1">
      <w:pPr>
        <w:pStyle w:val="Bezmezer1"/>
        <w:spacing w:before="40" w:after="40" w:line="360" w:lineRule="auto"/>
        <w:jc w:val="both"/>
        <w:rPr>
          <w:rFonts w:asciiTheme="minorHAnsi" w:hAnsiTheme="minorHAnsi"/>
          <w:b/>
          <w:i/>
          <w:lang w:eastAsia="cs-CZ"/>
        </w:rPr>
      </w:pPr>
      <w:r>
        <w:rPr>
          <w:rFonts w:asciiTheme="minorHAnsi" w:hAnsiTheme="minorHAnsi"/>
          <w:b/>
          <w:lang w:eastAsia="cs-CZ"/>
        </w:rPr>
        <w:t>Návazné CZ</w:t>
      </w:r>
      <w:r w:rsidR="00CB46E5" w:rsidRPr="001A38F0">
        <w:rPr>
          <w:rFonts w:asciiTheme="minorHAnsi" w:hAnsiTheme="minorHAnsi"/>
          <w:b/>
          <w:lang w:eastAsia="cs-CZ"/>
        </w:rPr>
        <w:t xml:space="preserve"> NACE, funkční vazby</w:t>
      </w:r>
    </w:p>
    <w:p w14:paraId="6EE6762A" w14:textId="3EE3DA27" w:rsidR="00CB46E5" w:rsidRPr="001A38F0" w:rsidRDefault="00CB46E5" w:rsidP="005629D1">
      <w:pPr>
        <w:pStyle w:val="Bezmezer1"/>
        <w:spacing w:before="40" w:after="40" w:line="360" w:lineRule="auto"/>
        <w:ind w:firstLine="708"/>
        <w:jc w:val="both"/>
        <w:rPr>
          <w:rFonts w:asciiTheme="minorHAnsi" w:hAnsiTheme="minorHAnsi"/>
          <w:lang w:eastAsia="cs-CZ"/>
        </w:rPr>
      </w:pPr>
      <w:r w:rsidRPr="001A38F0">
        <w:rPr>
          <w:rFonts w:asciiTheme="minorHAnsi" w:hAnsiTheme="minorHAnsi"/>
          <w:lang w:eastAsia="cs-CZ"/>
        </w:rPr>
        <w:t>13</w:t>
      </w:r>
      <w:r>
        <w:rPr>
          <w:rFonts w:asciiTheme="minorHAnsi" w:hAnsiTheme="minorHAnsi"/>
          <w:lang w:eastAsia="cs-CZ"/>
        </w:rPr>
        <w:tab/>
      </w:r>
      <w:r w:rsidRPr="001A38F0">
        <w:rPr>
          <w:rFonts w:asciiTheme="minorHAnsi" w:hAnsiTheme="minorHAnsi"/>
          <w:lang w:eastAsia="cs-CZ"/>
        </w:rPr>
        <w:t>Výroba textilií</w:t>
      </w:r>
    </w:p>
    <w:p w14:paraId="1A501E39" w14:textId="77E7DDB4" w:rsidR="00CB46E5" w:rsidRPr="001A38F0" w:rsidRDefault="00CB46E5" w:rsidP="005629D1">
      <w:pPr>
        <w:pStyle w:val="Bezmezer1"/>
        <w:spacing w:before="40" w:after="40" w:line="360" w:lineRule="auto"/>
        <w:ind w:firstLine="708"/>
        <w:jc w:val="both"/>
        <w:rPr>
          <w:rFonts w:asciiTheme="minorHAnsi" w:hAnsiTheme="minorHAnsi"/>
          <w:lang w:eastAsia="cs-CZ"/>
        </w:rPr>
      </w:pPr>
      <w:r w:rsidRPr="001A38F0">
        <w:rPr>
          <w:rFonts w:asciiTheme="minorHAnsi" w:hAnsiTheme="minorHAnsi"/>
          <w:lang w:eastAsia="cs-CZ"/>
        </w:rPr>
        <w:t>20</w:t>
      </w:r>
      <w:r>
        <w:rPr>
          <w:rFonts w:asciiTheme="minorHAnsi" w:hAnsiTheme="minorHAnsi"/>
          <w:lang w:eastAsia="cs-CZ"/>
        </w:rPr>
        <w:tab/>
      </w:r>
      <w:r w:rsidRPr="001A38F0">
        <w:rPr>
          <w:rFonts w:asciiTheme="minorHAnsi" w:hAnsiTheme="minorHAnsi"/>
          <w:lang w:eastAsia="cs-CZ"/>
        </w:rPr>
        <w:t xml:space="preserve">Výroba </w:t>
      </w:r>
      <w:r w:rsidRPr="001A38F0">
        <w:rPr>
          <w:rFonts w:asciiTheme="minorHAnsi" w:hAnsiTheme="minorHAnsi"/>
        </w:rPr>
        <w:t>chemických látek a chemických přípravků</w:t>
      </w:r>
    </w:p>
    <w:p w14:paraId="0EA43904" w14:textId="1CAF6029" w:rsidR="00CB46E5" w:rsidRPr="001A38F0" w:rsidRDefault="00CB46E5" w:rsidP="005629D1">
      <w:pPr>
        <w:pStyle w:val="Bezmezer1"/>
        <w:spacing w:before="40" w:after="40" w:line="360" w:lineRule="auto"/>
        <w:ind w:firstLine="708"/>
        <w:jc w:val="both"/>
        <w:rPr>
          <w:rFonts w:asciiTheme="minorHAnsi" w:hAnsiTheme="minorHAnsi"/>
        </w:rPr>
      </w:pPr>
      <w:r w:rsidRPr="001A38F0">
        <w:rPr>
          <w:rFonts w:asciiTheme="minorHAnsi" w:hAnsiTheme="minorHAnsi"/>
          <w:lang w:eastAsia="cs-CZ"/>
        </w:rPr>
        <w:t>22</w:t>
      </w:r>
      <w:r>
        <w:rPr>
          <w:rFonts w:asciiTheme="minorHAnsi" w:hAnsiTheme="minorHAnsi"/>
          <w:lang w:eastAsia="cs-CZ"/>
        </w:rPr>
        <w:tab/>
      </w:r>
      <w:r w:rsidRPr="001A38F0">
        <w:rPr>
          <w:rFonts w:asciiTheme="minorHAnsi" w:hAnsiTheme="minorHAnsi"/>
        </w:rPr>
        <w:t>Výroba pryžových a plastových výrobků</w:t>
      </w:r>
    </w:p>
    <w:p w14:paraId="4D2C0CCB" w14:textId="7D8D555A" w:rsidR="00CB46E5" w:rsidRPr="001A38F0" w:rsidRDefault="00CB46E5" w:rsidP="005629D1">
      <w:pPr>
        <w:pStyle w:val="Bezmezer1"/>
        <w:spacing w:before="40" w:after="40" w:line="360" w:lineRule="auto"/>
        <w:ind w:left="708" w:firstLine="708"/>
        <w:jc w:val="both"/>
        <w:rPr>
          <w:rFonts w:asciiTheme="minorHAnsi" w:hAnsiTheme="minorHAnsi"/>
        </w:rPr>
      </w:pPr>
      <w:r>
        <w:rPr>
          <w:rFonts w:asciiTheme="minorHAnsi" w:hAnsiTheme="minorHAnsi"/>
        </w:rPr>
        <w:t>22.2</w:t>
      </w:r>
      <w:r>
        <w:rPr>
          <w:rFonts w:asciiTheme="minorHAnsi" w:hAnsiTheme="minorHAnsi"/>
        </w:rPr>
        <w:tab/>
      </w:r>
      <w:r w:rsidRPr="001A38F0">
        <w:rPr>
          <w:rFonts w:asciiTheme="minorHAnsi" w:hAnsiTheme="minorHAnsi"/>
        </w:rPr>
        <w:t>Výroba plastových výrobků</w:t>
      </w:r>
    </w:p>
    <w:p w14:paraId="2DF3A662" w14:textId="3AD7BC51" w:rsidR="00CB46E5" w:rsidRPr="001A38F0" w:rsidRDefault="00CB46E5" w:rsidP="005629D1">
      <w:pPr>
        <w:pStyle w:val="Bezmezer1"/>
        <w:spacing w:before="40" w:after="40" w:line="360" w:lineRule="auto"/>
        <w:ind w:firstLine="708"/>
        <w:jc w:val="both"/>
        <w:rPr>
          <w:rFonts w:asciiTheme="minorHAnsi" w:hAnsiTheme="minorHAnsi"/>
        </w:rPr>
      </w:pPr>
      <w:r w:rsidRPr="001A38F0">
        <w:rPr>
          <w:rFonts w:asciiTheme="minorHAnsi" w:hAnsiTheme="minorHAnsi"/>
        </w:rPr>
        <w:t>23</w:t>
      </w:r>
      <w:r>
        <w:rPr>
          <w:rFonts w:asciiTheme="minorHAnsi" w:hAnsiTheme="minorHAnsi"/>
        </w:rPr>
        <w:tab/>
      </w:r>
      <w:r w:rsidRPr="001A38F0">
        <w:rPr>
          <w:rFonts w:asciiTheme="minorHAnsi" w:hAnsiTheme="minorHAnsi"/>
          <w:color w:val="000000"/>
          <w:lang w:eastAsia="cs-CZ"/>
        </w:rPr>
        <w:t>Výroba ostatních nekovových minerálních výrobků</w:t>
      </w:r>
    </w:p>
    <w:p w14:paraId="7742C0E2" w14:textId="65606D74" w:rsidR="00CB46E5" w:rsidRPr="001A38F0" w:rsidRDefault="00CB46E5" w:rsidP="005629D1">
      <w:pPr>
        <w:pStyle w:val="Bezmezer1"/>
        <w:spacing w:before="40" w:after="40" w:line="360" w:lineRule="auto"/>
        <w:ind w:left="708" w:firstLine="708"/>
        <w:jc w:val="both"/>
        <w:rPr>
          <w:rFonts w:asciiTheme="minorHAnsi" w:hAnsiTheme="minorHAnsi"/>
          <w:lang w:eastAsia="cs-CZ"/>
        </w:rPr>
      </w:pPr>
      <w:r w:rsidRPr="001A38F0">
        <w:rPr>
          <w:rFonts w:asciiTheme="minorHAnsi" w:hAnsiTheme="minorHAnsi"/>
          <w:lang w:eastAsia="cs-CZ"/>
        </w:rPr>
        <w:t>23.1</w:t>
      </w:r>
      <w:r>
        <w:rPr>
          <w:rFonts w:asciiTheme="minorHAnsi" w:hAnsiTheme="minorHAnsi"/>
          <w:lang w:eastAsia="cs-CZ"/>
        </w:rPr>
        <w:tab/>
      </w:r>
      <w:r w:rsidRPr="001A38F0">
        <w:rPr>
          <w:rFonts w:asciiTheme="minorHAnsi" w:hAnsiTheme="minorHAnsi"/>
          <w:lang w:eastAsia="cs-CZ"/>
        </w:rPr>
        <w:t xml:space="preserve">Výroba skla a skleněných výrobků </w:t>
      </w:r>
    </w:p>
    <w:p w14:paraId="56EEA2A6" w14:textId="0E551BDE" w:rsidR="00CB46E5" w:rsidRPr="001A38F0" w:rsidRDefault="00CB46E5" w:rsidP="005629D1">
      <w:pPr>
        <w:pStyle w:val="Bezmezer1"/>
        <w:spacing w:before="40" w:after="40" w:line="360" w:lineRule="auto"/>
        <w:ind w:firstLine="708"/>
        <w:jc w:val="both"/>
        <w:rPr>
          <w:rFonts w:asciiTheme="minorHAnsi" w:hAnsiTheme="minorHAnsi"/>
          <w:lang w:eastAsia="cs-CZ"/>
        </w:rPr>
      </w:pPr>
      <w:r w:rsidRPr="001A38F0">
        <w:rPr>
          <w:rFonts w:asciiTheme="minorHAnsi" w:hAnsiTheme="minorHAnsi"/>
          <w:lang w:eastAsia="cs-CZ"/>
        </w:rPr>
        <w:t>26</w:t>
      </w:r>
      <w:r>
        <w:rPr>
          <w:rFonts w:asciiTheme="minorHAnsi" w:hAnsiTheme="minorHAnsi"/>
          <w:lang w:eastAsia="cs-CZ"/>
        </w:rPr>
        <w:tab/>
      </w:r>
      <w:r w:rsidRPr="001A38F0">
        <w:rPr>
          <w:rFonts w:asciiTheme="minorHAnsi" w:hAnsiTheme="minorHAnsi"/>
          <w:lang w:eastAsia="cs-CZ"/>
        </w:rPr>
        <w:t>Výroba počítačů, elektronických a optických přístrojů a zařízení</w:t>
      </w:r>
    </w:p>
    <w:p w14:paraId="1BE2A096" w14:textId="06D4B9A1" w:rsidR="00CB46E5" w:rsidRPr="001A38F0" w:rsidRDefault="00CB46E5" w:rsidP="005629D1">
      <w:pPr>
        <w:pStyle w:val="Bezmezer1"/>
        <w:spacing w:before="40" w:after="40" w:line="360" w:lineRule="auto"/>
        <w:ind w:left="708" w:firstLine="708"/>
        <w:jc w:val="both"/>
        <w:rPr>
          <w:rFonts w:asciiTheme="minorHAnsi" w:hAnsiTheme="minorHAnsi"/>
          <w:lang w:eastAsia="cs-CZ"/>
        </w:rPr>
      </w:pPr>
      <w:r w:rsidRPr="001A38F0">
        <w:rPr>
          <w:rFonts w:asciiTheme="minorHAnsi" w:hAnsiTheme="minorHAnsi"/>
          <w:lang w:eastAsia="cs-CZ"/>
        </w:rPr>
        <w:t>26.1</w:t>
      </w:r>
      <w:r>
        <w:rPr>
          <w:rFonts w:asciiTheme="minorHAnsi" w:hAnsiTheme="minorHAnsi"/>
          <w:lang w:eastAsia="cs-CZ"/>
        </w:rPr>
        <w:tab/>
      </w:r>
      <w:r w:rsidRPr="001A38F0">
        <w:rPr>
          <w:rFonts w:asciiTheme="minorHAnsi" w:hAnsiTheme="minorHAnsi"/>
          <w:lang w:eastAsia="cs-CZ"/>
        </w:rPr>
        <w:t>Výroba elektrických součástek a desek</w:t>
      </w:r>
    </w:p>
    <w:p w14:paraId="60374BA5" w14:textId="61B2240D" w:rsidR="00CB46E5" w:rsidRPr="001A38F0" w:rsidRDefault="00CB46E5" w:rsidP="005629D1">
      <w:pPr>
        <w:pStyle w:val="Bezmezer1"/>
        <w:spacing w:before="40" w:after="40" w:line="360" w:lineRule="auto"/>
        <w:ind w:firstLine="708"/>
        <w:jc w:val="both"/>
        <w:rPr>
          <w:rFonts w:asciiTheme="minorHAnsi" w:hAnsiTheme="minorHAnsi"/>
          <w:lang w:eastAsia="cs-CZ"/>
        </w:rPr>
      </w:pPr>
      <w:r w:rsidRPr="001A38F0">
        <w:rPr>
          <w:rFonts w:asciiTheme="minorHAnsi" w:hAnsiTheme="minorHAnsi"/>
          <w:lang w:eastAsia="cs-CZ"/>
        </w:rPr>
        <w:t>27</w:t>
      </w:r>
      <w:r>
        <w:rPr>
          <w:rFonts w:asciiTheme="minorHAnsi" w:hAnsiTheme="minorHAnsi"/>
          <w:lang w:eastAsia="cs-CZ"/>
        </w:rPr>
        <w:tab/>
      </w:r>
      <w:r w:rsidRPr="001A38F0">
        <w:rPr>
          <w:rFonts w:asciiTheme="minorHAnsi" w:hAnsiTheme="minorHAnsi"/>
          <w:lang w:eastAsia="cs-CZ"/>
        </w:rPr>
        <w:t>Výroba elektrických zařízení</w:t>
      </w:r>
    </w:p>
    <w:p w14:paraId="445DD8C6" w14:textId="3C9AC82B" w:rsidR="00CB46E5" w:rsidRPr="001A38F0" w:rsidRDefault="00CB46E5" w:rsidP="005629D1">
      <w:pPr>
        <w:pStyle w:val="Bezmezer1"/>
        <w:spacing w:before="40" w:after="40" w:line="360" w:lineRule="auto"/>
        <w:ind w:left="2127" w:hanging="711"/>
        <w:jc w:val="both"/>
        <w:rPr>
          <w:rFonts w:asciiTheme="minorHAnsi" w:hAnsiTheme="minorHAnsi"/>
          <w:lang w:eastAsia="cs-CZ"/>
        </w:rPr>
      </w:pPr>
      <w:r w:rsidRPr="001A38F0">
        <w:rPr>
          <w:rFonts w:asciiTheme="minorHAnsi" w:hAnsiTheme="minorHAnsi"/>
          <w:lang w:eastAsia="cs-CZ"/>
        </w:rPr>
        <w:t>27.1</w:t>
      </w:r>
      <w:r>
        <w:rPr>
          <w:rFonts w:asciiTheme="minorHAnsi" w:hAnsiTheme="minorHAnsi"/>
          <w:lang w:eastAsia="cs-CZ"/>
        </w:rPr>
        <w:tab/>
      </w:r>
      <w:r w:rsidRPr="001A38F0">
        <w:rPr>
          <w:rFonts w:asciiTheme="minorHAnsi" w:hAnsiTheme="minorHAnsi"/>
          <w:lang w:eastAsia="cs-CZ"/>
        </w:rPr>
        <w:t>Výroba elektrických motorů, generátorů, transformátorů a elektrických rozvodných a kontrolních zařízení</w:t>
      </w:r>
    </w:p>
    <w:p w14:paraId="5F5209FB" w14:textId="5F60DF55" w:rsidR="00CB46E5" w:rsidRPr="001A38F0" w:rsidRDefault="00CB46E5" w:rsidP="005629D1">
      <w:pPr>
        <w:pStyle w:val="Bezmezer1"/>
        <w:spacing w:before="40" w:after="40" w:line="360" w:lineRule="auto"/>
        <w:ind w:firstLine="708"/>
        <w:jc w:val="both"/>
        <w:rPr>
          <w:rFonts w:asciiTheme="minorHAnsi" w:hAnsiTheme="minorHAnsi"/>
          <w:lang w:eastAsia="cs-CZ"/>
        </w:rPr>
      </w:pPr>
      <w:r w:rsidRPr="001A38F0">
        <w:rPr>
          <w:rFonts w:asciiTheme="minorHAnsi" w:hAnsiTheme="minorHAnsi"/>
          <w:lang w:eastAsia="cs-CZ"/>
        </w:rPr>
        <w:t>30</w:t>
      </w:r>
      <w:r>
        <w:rPr>
          <w:rFonts w:asciiTheme="minorHAnsi" w:hAnsiTheme="minorHAnsi"/>
          <w:lang w:eastAsia="cs-CZ"/>
        </w:rPr>
        <w:tab/>
      </w:r>
      <w:r w:rsidRPr="001A38F0">
        <w:rPr>
          <w:rFonts w:asciiTheme="minorHAnsi" w:hAnsiTheme="minorHAnsi"/>
          <w:lang w:eastAsia="cs-CZ"/>
        </w:rPr>
        <w:t xml:space="preserve">Výroba ostatních dopravních prostředků </w:t>
      </w:r>
    </w:p>
    <w:p w14:paraId="6955CB28" w14:textId="0CBF8799" w:rsidR="00CB46E5" w:rsidRPr="001A38F0" w:rsidRDefault="00CB46E5" w:rsidP="005629D1">
      <w:pPr>
        <w:pStyle w:val="Bezmezer1"/>
        <w:spacing w:before="40" w:after="40" w:line="360" w:lineRule="auto"/>
        <w:ind w:firstLine="708"/>
        <w:jc w:val="both"/>
        <w:rPr>
          <w:rFonts w:asciiTheme="minorHAnsi" w:hAnsiTheme="minorHAnsi"/>
          <w:lang w:eastAsia="cs-CZ"/>
        </w:rPr>
      </w:pPr>
      <w:r w:rsidRPr="001A38F0">
        <w:rPr>
          <w:rFonts w:asciiTheme="minorHAnsi" w:hAnsiTheme="minorHAnsi"/>
          <w:lang w:eastAsia="cs-CZ"/>
        </w:rPr>
        <w:t>46</w:t>
      </w:r>
      <w:r>
        <w:rPr>
          <w:rFonts w:asciiTheme="minorHAnsi" w:hAnsiTheme="minorHAnsi"/>
          <w:lang w:eastAsia="cs-CZ"/>
        </w:rPr>
        <w:tab/>
      </w:r>
      <w:r w:rsidRPr="001A38F0">
        <w:rPr>
          <w:rFonts w:asciiTheme="minorHAnsi" w:hAnsiTheme="minorHAnsi"/>
          <w:lang w:eastAsia="cs-CZ"/>
        </w:rPr>
        <w:t>Velkoobchod, kromě motorových vozidel</w:t>
      </w:r>
    </w:p>
    <w:p w14:paraId="1B5FA9BB" w14:textId="65F4EA76" w:rsidR="00CB46E5" w:rsidRPr="001A38F0" w:rsidRDefault="00CB46E5" w:rsidP="005629D1">
      <w:pPr>
        <w:pStyle w:val="Bezmezer1"/>
        <w:spacing w:before="40" w:after="40" w:line="360" w:lineRule="auto"/>
        <w:ind w:firstLine="708"/>
        <w:jc w:val="both"/>
        <w:rPr>
          <w:rFonts w:asciiTheme="minorHAnsi" w:hAnsiTheme="minorHAnsi"/>
          <w:lang w:eastAsia="cs-CZ"/>
        </w:rPr>
      </w:pPr>
      <w:r w:rsidRPr="001A38F0">
        <w:rPr>
          <w:rFonts w:asciiTheme="minorHAnsi" w:hAnsiTheme="minorHAnsi"/>
          <w:lang w:eastAsia="cs-CZ"/>
        </w:rPr>
        <w:t>49</w:t>
      </w:r>
      <w:r>
        <w:rPr>
          <w:rFonts w:asciiTheme="minorHAnsi" w:hAnsiTheme="minorHAnsi"/>
          <w:lang w:eastAsia="cs-CZ"/>
        </w:rPr>
        <w:tab/>
      </w:r>
      <w:r w:rsidRPr="001A38F0">
        <w:rPr>
          <w:rFonts w:asciiTheme="minorHAnsi" w:hAnsiTheme="minorHAnsi"/>
          <w:lang w:eastAsia="cs-CZ"/>
        </w:rPr>
        <w:t>Pozemní a potrubní doprava</w:t>
      </w:r>
    </w:p>
    <w:p w14:paraId="3FFF2980" w14:textId="260E7B3C" w:rsidR="00CB46E5" w:rsidRPr="001A38F0" w:rsidRDefault="00CB46E5" w:rsidP="005629D1">
      <w:pPr>
        <w:pStyle w:val="Bezmezer1"/>
        <w:spacing w:before="40" w:after="40" w:line="360" w:lineRule="auto"/>
        <w:ind w:left="708" w:firstLine="708"/>
        <w:jc w:val="both"/>
        <w:rPr>
          <w:rFonts w:asciiTheme="minorHAnsi" w:hAnsiTheme="minorHAnsi"/>
          <w:lang w:eastAsia="cs-CZ"/>
        </w:rPr>
      </w:pPr>
      <w:r w:rsidRPr="001A38F0">
        <w:rPr>
          <w:rFonts w:asciiTheme="minorHAnsi" w:hAnsiTheme="minorHAnsi"/>
          <w:lang w:eastAsia="cs-CZ"/>
        </w:rPr>
        <w:t>49.4</w:t>
      </w:r>
      <w:r>
        <w:rPr>
          <w:rFonts w:asciiTheme="minorHAnsi" w:hAnsiTheme="minorHAnsi"/>
          <w:lang w:eastAsia="cs-CZ"/>
        </w:rPr>
        <w:tab/>
      </w:r>
      <w:r w:rsidRPr="001A38F0">
        <w:rPr>
          <w:rFonts w:asciiTheme="minorHAnsi" w:hAnsiTheme="minorHAnsi"/>
          <w:lang w:eastAsia="cs-CZ"/>
        </w:rPr>
        <w:t>Silniční nákladní doprava a stěhovací služby</w:t>
      </w:r>
    </w:p>
    <w:p w14:paraId="3AE7E0AD" w14:textId="05C1BD30" w:rsidR="00CB46E5" w:rsidRPr="001A38F0" w:rsidRDefault="00CB46E5" w:rsidP="005629D1">
      <w:pPr>
        <w:pStyle w:val="Bezmezer1"/>
        <w:spacing w:before="40" w:after="40" w:line="360" w:lineRule="auto"/>
        <w:ind w:firstLine="708"/>
        <w:jc w:val="both"/>
        <w:rPr>
          <w:rFonts w:asciiTheme="minorHAnsi" w:hAnsiTheme="minorHAnsi"/>
          <w:lang w:eastAsia="cs-CZ"/>
        </w:rPr>
      </w:pPr>
      <w:r w:rsidRPr="001A38F0">
        <w:rPr>
          <w:rFonts w:asciiTheme="minorHAnsi" w:hAnsiTheme="minorHAnsi"/>
          <w:lang w:eastAsia="cs-CZ"/>
        </w:rPr>
        <w:t>72</w:t>
      </w:r>
      <w:r>
        <w:rPr>
          <w:rFonts w:asciiTheme="minorHAnsi" w:hAnsiTheme="minorHAnsi"/>
          <w:lang w:eastAsia="cs-CZ"/>
        </w:rPr>
        <w:tab/>
      </w:r>
      <w:r w:rsidRPr="001A38F0">
        <w:rPr>
          <w:rFonts w:asciiTheme="minorHAnsi" w:hAnsiTheme="minorHAnsi"/>
          <w:lang w:eastAsia="cs-CZ"/>
        </w:rPr>
        <w:t>Výzkum a vývoj</w:t>
      </w:r>
    </w:p>
    <w:p w14:paraId="6CA32A22" w14:textId="732ABB3B" w:rsidR="00CB46E5" w:rsidRPr="001A38F0" w:rsidRDefault="00CB46E5" w:rsidP="005629D1">
      <w:pPr>
        <w:pStyle w:val="Default"/>
        <w:spacing w:before="40" w:after="40" w:line="360" w:lineRule="auto"/>
        <w:ind w:left="708" w:firstLine="708"/>
        <w:jc w:val="both"/>
        <w:rPr>
          <w:rFonts w:asciiTheme="minorHAnsi" w:hAnsiTheme="minorHAnsi"/>
          <w:color w:val="auto"/>
          <w:sz w:val="22"/>
          <w:szCs w:val="22"/>
        </w:rPr>
      </w:pPr>
      <w:r w:rsidRPr="001A38F0">
        <w:rPr>
          <w:rFonts w:asciiTheme="minorHAnsi" w:hAnsiTheme="minorHAnsi"/>
          <w:sz w:val="22"/>
          <w:szCs w:val="22"/>
          <w:lang w:eastAsia="cs-CZ"/>
        </w:rPr>
        <w:t>72.1</w:t>
      </w:r>
      <w:r>
        <w:rPr>
          <w:rFonts w:asciiTheme="minorHAnsi" w:hAnsiTheme="minorHAnsi"/>
          <w:sz w:val="22"/>
          <w:szCs w:val="22"/>
          <w:lang w:eastAsia="cs-CZ"/>
        </w:rPr>
        <w:tab/>
      </w:r>
      <w:r w:rsidRPr="001A38F0">
        <w:rPr>
          <w:rFonts w:asciiTheme="minorHAnsi" w:hAnsiTheme="minorHAnsi"/>
          <w:sz w:val="22"/>
          <w:szCs w:val="22"/>
          <w:lang w:eastAsia="cs-CZ"/>
        </w:rPr>
        <w:t>Výzkum a vývoj v oblasti přírodních a technických věd</w:t>
      </w:r>
    </w:p>
    <w:p w14:paraId="5B2A7F46" w14:textId="3DE0DC65" w:rsidR="00C22867" w:rsidRDefault="00C22867">
      <w:pPr>
        <w:spacing w:after="200" w:line="276" w:lineRule="auto"/>
      </w:pPr>
      <w:r>
        <w:br w:type="page"/>
      </w:r>
    </w:p>
    <w:p w14:paraId="04BF1237" w14:textId="56290C92" w:rsidR="001B034E" w:rsidRDefault="001B034E" w:rsidP="00AD6B5E">
      <w:pPr>
        <w:pStyle w:val="Nadpis4"/>
        <w:spacing w:line="360" w:lineRule="auto"/>
      </w:pPr>
      <w:bookmarkStart w:id="261" w:name="_Toc525716285"/>
      <w:r>
        <w:t>Letecký a kosmický průmysl</w:t>
      </w:r>
      <w:bookmarkEnd w:id="261"/>
    </w:p>
    <w:p w14:paraId="72D42DAB" w14:textId="676B7870" w:rsidR="001B034E" w:rsidRDefault="001B034E" w:rsidP="00543C1B">
      <w:pPr>
        <w:pStyle w:val="Odstavecseseznamem"/>
        <w:numPr>
          <w:ilvl w:val="0"/>
          <w:numId w:val="159"/>
        </w:numPr>
        <w:spacing w:line="360" w:lineRule="auto"/>
        <w:rPr>
          <w:u w:val="single"/>
        </w:rPr>
      </w:pPr>
      <w:r w:rsidRPr="001B034E">
        <w:rPr>
          <w:u w:val="single"/>
        </w:rPr>
        <w:t>Témata VaVaI identifikovaná prostřednictvím EDP:</w:t>
      </w:r>
    </w:p>
    <w:p w14:paraId="114E7893" w14:textId="77777777" w:rsidR="000771FD" w:rsidRPr="000771FD" w:rsidRDefault="000771FD" w:rsidP="00543C1B">
      <w:pPr>
        <w:numPr>
          <w:ilvl w:val="0"/>
          <w:numId w:val="160"/>
        </w:numPr>
        <w:spacing w:before="240" w:after="120" w:line="360" w:lineRule="auto"/>
        <w:ind w:left="737" w:hanging="377"/>
        <w:jc w:val="both"/>
        <w:rPr>
          <w:rFonts w:eastAsia="MS Mincho"/>
          <w:b/>
        </w:rPr>
      </w:pPr>
      <w:r w:rsidRPr="000771FD">
        <w:rPr>
          <w:rFonts w:eastAsia="MS Mincho"/>
          <w:b/>
        </w:rPr>
        <w:t xml:space="preserve">Aerodynamika, termomechanika, mechanika letu </w:t>
      </w:r>
    </w:p>
    <w:p w14:paraId="0A7462C4"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SW pro aerodynamické výpočty </w:t>
      </w:r>
    </w:p>
    <w:p w14:paraId="2DFDB7FF"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aerodynamické profily </w:t>
      </w:r>
    </w:p>
    <w:p w14:paraId="79886D5A"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řízení mezní vrstvy </w:t>
      </w:r>
    </w:p>
    <w:p w14:paraId="01D80CFC"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efektivní vztlaková mechanizace</w:t>
      </w:r>
    </w:p>
    <w:p w14:paraId="5876D99D"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 aktivní prvky řízení aerodynamiky letounu, analýza dynamických stavů letu </w:t>
      </w:r>
    </w:p>
    <w:p w14:paraId="62875379"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letové vlastnosti a výkony</w:t>
      </w:r>
    </w:p>
    <w:p w14:paraId="7C9A27F6"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simulace vlivu námrazy a její eliminace </w:t>
      </w:r>
    </w:p>
    <w:p w14:paraId="40FC14DC"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predikce vnitřního prostředí v kabinách </w:t>
      </w:r>
    </w:p>
    <w:p w14:paraId="21B90594"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optimální aerodynamický návrh VTOL/STOL letadel </w:t>
      </w:r>
    </w:p>
    <w:p w14:paraId="5217C772"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optimalizace hydrodynamiky u plovákových letadel a létajících člunů </w:t>
      </w:r>
    </w:p>
    <w:p w14:paraId="754B4198"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termodynamika suborbitálních letounů </w:t>
      </w:r>
    </w:p>
    <w:p w14:paraId="6320549C"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optimalizace průtočné cesty turbínových motorů </w:t>
      </w:r>
    </w:p>
    <w:p w14:paraId="6A5AD031"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optimalizace lopatkových částí turbínových motorů </w:t>
      </w:r>
    </w:p>
    <w:p w14:paraId="38F1DABE"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optimalizace aerodynamického návrhu vrtulí </w:t>
      </w:r>
    </w:p>
    <w:p w14:paraId="316176ED"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 xml:space="preserve">aeroelasticita simulace aeroelastických jevů s vlivem prostředí </w:t>
      </w:r>
    </w:p>
    <w:p w14:paraId="031C3C04" w14:textId="77777777" w:rsidR="000771FD" w:rsidRPr="000771FD" w:rsidRDefault="000771FD" w:rsidP="00543C1B">
      <w:pPr>
        <w:numPr>
          <w:ilvl w:val="1"/>
          <w:numId w:val="160"/>
        </w:numPr>
        <w:spacing w:after="120" w:line="360" w:lineRule="auto"/>
        <w:jc w:val="both"/>
        <w:rPr>
          <w:rFonts w:eastAsia="MS Mincho"/>
        </w:rPr>
      </w:pPr>
      <w:r w:rsidRPr="000771FD">
        <w:rPr>
          <w:rFonts w:eastAsia="MS Mincho"/>
        </w:rPr>
        <w:t>aeroakustika</w:t>
      </w:r>
    </w:p>
    <w:p w14:paraId="6D3717BA" w14:textId="77777777" w:rsidR="000771FD" w:rsidRPr="000771FD" w:rsidRDefault="000771FD" w:rsidP="00543C1B">
      <w:pPr>
        <w:numPr>
          <w:ilvl w:val="1"/>
          <w:numId w:val="161"/>
        </w:numPr>
        <w:spacing w:before="240" w:after="120" w:line="360" w:lineRule="auto"/>
        <w:ind w:left="737" w:hanging="377"/>
        <w:jc w:val="both"/>
        <w:rPr>
          <w:rFonts w:eastAsia="MS Mincho"/>
          <w:b/>
        </w:rPr>
      </w:pPr>
      <w:r w:rsidRPr="000771FD">
        <w:rPr>
          <w:rFonts w:eastAsia="MS Mincho"/>
          <w:b/>
        </w:rPr>
        <w:t>Moderní konstrukce a technologie</w:t>
      </w:r>
    </w:p>
    <w:p w14:paraId="75963634"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progresivní konstrukční návrhy s ohledem na nové technologie a materiály</w:t>
      </w:r>
    </w:p>
    <w:p w14:paraId="1EAA4E92"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 xml:space="preserve">optimalizační nástroje pro progresivní design s ohledem na výrobní technologii </w:t>
      </w:r>
    </w:p>
    <w:p w14:paraId="0694FD40" w14:textId="51DF9BCC" w:rsidR="000771FD" w:rsidRPr="000771FD" w:rsidRDefault="000771FD" w:rsidP="00543C1B">
      <w:pPr>
        <w:numPr>
          <w:ilvl w:val="1"/>
          <w:numId w:val="162"/>
        </w:numPr>
        <w:spacing w:after="120" w:line="360" w:lineRule="auto"/>
        <w:jc w:val="both"/>
        <w:rPr>
          <w:rFonts w:eastAsia="MS Mincho"/>
        </w:rPr>
      </w:pPr>
      <w:r w:rsidRPr="000771FD">
        <w:rPr>
          <w:rFonts w:eastAsia="MS Mincho"/>
        </w:rPr>
        <w:t>posuzování leteckých konstrukcí v oblasti únosnosti, únavy a životnosti, mezních stavů a</w:t>
      </w:r>
      <w:r w:rsidR="001B2164">
        <w:rPr>
          <w:rFonts w:eastAsia="MS Mincho"/>
        </w:rPr>
        <w:t> </w:t>
      </w:r>
      <w:r w:rsidRPr="000771FD">
        <w:rPr>
          <w:rFonts w:eastAsia="MS Mincho"/>
        </w:rPr>
        <w:t xml:space="preserve">způsobů porušování leteckých konstrukcí, únavového porušování, zpřesnění predikce zbytkové životnosti </w:t>
      </w:r>
    </w:p>
    <w:p w14:paraId="1CC43B4C"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 xml:space="preserve">výzkum vlivu konstrukčních, materiálových či technologických změn na porušování letadlových konstrukcí, zvyšování životnosti letadel </w:t>
      </w:r>
    </w:p>
    <w:p w14:paraId="2F238B2E"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 xml:space="preserve">nové kompozitní technologie </w:t>
      </w:r>
    </w:p>
    <w:p w14:paraId="019F42E0"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 xml:space="preserve">spojování konstrukčních částí, výroba integrálních konstrukcí, alternativní metody sestavování a montáže (3D metrologie, rozšířená/virtuální realita) </w:t>
      </w:r>
    </w:p>
    <w:p w14:paraId="55D532B6"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odlévání částí leteckých konstrukcí z hliníkových a hořčíkových slitin, vč. počítačových simulací</w:t>
      </w:r>
    </w:p>
    <w:p w14:paraId="6F0757D1"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 xml:space="preserve">objemové a plošné tváření nekonvenčních materiálů, vysoko-pevnostních ocelí a neželezných slitin </w:t>
      </w:r>
    </w:p>
    <w:p w14:paraId="07C0E138"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moderní povrchové ochrany materiálů, efektivní technologie pro 3D metrologii</w:t>
      </w:r>
    </w:p>
    <w:p w14:paraId="0D8CD13A"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 xml:space="preserve">ADM – Additive Layer Manufacturing </w:t>
      </w:r>
    </w:p>
    <w:p w14:paraId="6E43542B" w14:textId="77777777" w:rsidR="000771FD" w:rsidRPr="000771FD" w:rsidRDefault="000771FD" w:rsidP="00543C1B">
      <w:pPr>
        <w:numPr>
          <w:ilvl w:val="1"/>
          <w:numId w:val="162"/>
        </w:numPr>
        <w:spacing w:after="120" w:line="360" w:lineRule="auto"/>
        <w:jc w:val="both"/>
        <w:rPr>
          <w:rFonts w:eastAsia="MS Mincho"/>
        </w:rPr>
      </w:pPr>
      <w:r w:rsidRPr="000771FD">
        <w:rPr>
          <w:rFonts w:eastAsia="MS Mincho"/>
        </w:rPr>
        <w:t xml:space="preserve">predikce hluku, prostředky snižující vnější a vnitřní hluk </w:t>
      </w:r>
    </w:p>
    <w:p w14:paraId="2800D502" w14:textId="77777777" w:rsidR="000771FD" w:rsidRPr="000771FD" w:rsidRDefault="000771FD" w:rsidP="00543C1B">
      <w:pPr>
        <w:numPr>
          <w:ilvl w:val="0"/>
          <w:numId w:val="163"/>
        </w:numPr>
        <w:spacing w:before="240" w:after="120" w:line="360" w:lineRule="auto"/>
        <w:ind w:left="737" w:hanging="377"/>
        <w:jc w:val="both"/>
        <w:rPr>
          <w:rFonts w:eastAsia="MS Mincho"/>
          <w:b/>
        </w:rPr>
      </w:pPr>
      <w:r w:rsidRPr="000771FD">
        <w:rPr>
          <w:rFonts w:eastAsia="MS Mincho"/>
          <w:b/>
        </w:rPr>
        <w:t xml:space="preserve">Materiály </w:t>
      </w:r>
    </w:p>
    <w:p w14:paraId="42F86A0B" w14:textId="77777777" w:rsidR="000771FD" w:rsidRPr="000771FD" w:rsidRDefault="000771FD" w:rsidP="00543C1B">
      <w:pPr>
        <w:numPr>
          <w:ilvl w:val="1"/>
          <w:numId w:val="163"/>
        </w:numPr>
        <w:spacing w:after="120" w:line="360" w:lineRule="auto"/>
        <w:jc w:val="both"/>
        <w:rPr>
          <w:rFonts w:eastAsia="MS Mincho"/>
        </w:rPr>
      </w:pPr>
      <w:r w:rsidRPr="000771FD">
        <w:rPr>
          <w:rFonts w:eastAsia="MS Mincho"/>
        </w:rPr>
        <w:t xml:space="preserve">materiály nových vlastností - antikorozní ochrana, teplotní odolnost, hořlavost apod., nové typy inteligentních materiálů, aplikace kompozitních a nanokompozitních materiálů </w:t>
      </w:r>
    </w:p>
    <w:p w14:paraId="4F090A4D" w14:textId="77777777" w:rsidR="000771FD" w:rsidRPr="000771FD" w:rsidRDefault="000771FD" w:rsidP="00543C1B">
      <w:pPr>
        <w:numPr>
          <w:ilvl w:val="1"/>
          <w:numId w:val="163"/>
        </w:numPr>
        <w:spacing w:after="120" w:line="360" w:lineRule="auto"/>
        <w:jc w:val="both"/>
        <w:rPr>
          <w:rFonts w:eastAsia="MS Mincho"/>
        </w:rPr>
      </w:pPr>
      <w:r w:rsidRPr="000771FD">
        <w:rPr>
          <w:rFonts w:eastAsia="MS Mincho"/>
        </w:rPr>
        <w:t xml:space="preserve">materiály s kluznými vlastnostmi (pohybové části) </w:t>
      </w:r>
    </w:p>
    <w:p w14:paraId="28DD11CD" w14:textId="77777777" w:rsidR="000771FD" w:rsidRPr="000771FD" w:rsidRDefault="000771FD" w:rsidP="00543C1B">
      <w:pPr>
        <w:numPr>
          <w:ilvl w:val="1"/>
          <w:numId w:val="163"/>
        </w:numPr>
        <w:spacing w:after="120" w:line="360" w:lineRule="auto"/>
        <w:jc w:val="both"/>
        <w:rPr>
          <w:rFonts w:eastAsia="MS Mincho"/>
        </w:rPr>
      </w:pPr>
      <w:r w:rsidRPr="000771FD">
        <w:rPr>
          <w:rFonts w:eastAsia="MS Mincho"/>
        </w:rPr>
        <w:t xml:space="preserve">materiály s antiicing vlastnostmi </w:t>
      </w:r>
    </w:p>
    <w:p w14:paraId="4400B98B" w14:textId="77777777" w:rsidR="000771FD" w:rsidRPr="000771FD" w:rsidRDefault="000771FD" w:rsidP="00543C1B">
      <w:pPr>
        <w:numPr>
          <w:ilvl w:val="1"/>
          <w:numId w:val="163"/>
        </w:numPr>
        <w:spacing w:after="120" w:line="360" w:lineRule="auto"/>
        <w:jc w:val="both"/>
        <w:rPr>
          <w:rFonts w:eastAsia="MS Mincho"/>
        </w:rPr>
      </w:pPr>
      <w:r w:rsidRPr="000771FD">
        <w:rPr>
          <w:rFonts w:eastAsia="MS Mincho"/>
        </w:rPr>
        <w:t xml:space="preserve">materiály snižující povrchové tření </w:t>
      </w:r>
    </w:p>
    <w:p w14:paraId="6ADADBB1" w14:textId="77777777" w:rsidR="000771FD" w:rsidRPr="000771FD" w:rsidRDefault="000771FD" w:rsidP="00543C1B">
      <w:pPr>
        <w:numPr>
          <w:ilvl w:val="1"/>
          <w:numId w:val="163"/>
        </w:numPr>
        <w:spacing w:after="120" w:line="360" w:lineRule="auto"/>
        <w:jc w:val="both"/>
        <w:rPr>
          <w:rFonts w:eastAsia="MS Mincho"/>
        </w:rPr>
      </w:pPr>
      <w:r w:rsidRPr="000771FD">
        <w:rPr>
          <w:rFonts w:eastAsia="MS Mincho"/>
        </w:rPr>
        <w:t xml:space="preserve">materiály schopné absorbovat vysokou energii (přistávací podvozky) </w:t>
      </w:r>
    </w:p>
    <w:p w14:paraId="692AF91A" w14:textId="77777777" w:rsidR="000771FD" w:rsidRPr="000771FD" w:rsidRDefault="000771FD" w:rsidP="00543C1B">
      <w:pPr>
        <w:numPr>
          <w:ilvl w:val="1"/>
          <w:numId w:val="163"/>
        </w:numPr>
        <w:spacing w:after="120" w:line="360" w:lineRule="auto"/>
        <w:jc w:val="both"/>
        <w:rPr>
          <w:rFonts w:eastAsia="MS Mincho"/>
        </w:rPr>
      </w:pPr>
      <w:r w:rsidRPr="000771FD">
        <w:rPr>
          <w:rFonts w:eastAsia="MS Mincho"/>
        </w:rPr>
        <w:t xml:space="preserve">materiály s programovatelnými a inteligentními vlastnostmi apod. </w:t>
      </w:r>
    </w:p>
    <w:p w14:paraId="30A3588D" w14:textId="77777777" w:rsidR="000771FD" w:rsidRPr="000771FD" w:rsidRDefault="000771FD" w:rsidP="00543C1B">
      <w:pPr>
        <w:numPr>
          <w:ilvl w:val="1"/>
          <w:numId w:val="163"/>
        </w:numPr>
        <w:spacing w:after="120" w:line="360" w:lineRule="auto"/>
        <w:jc w:val="both"/>
        <w:rPr>
          <w:rFonts w:eastAsia="MS Mincho"/>
        </w:rPr>
      </w:pPr>
      <w:r w:rsidRPr="000771FD">
        <w:rPr>
          <w:rFonts w:eastAsia="MS Mincho"/>
        </w:rPr>
        <w:t>materiály s nanovlákny a nanoplnivy</w:t>
      </w:r>
    </w:p>
    <w:p w14:paraId="0588E79A" w14:textId="77777777" w:rsidR="000771FD" w:rsidRPr="000771FD" w:rsidRDefault="000771FD" w:rsidP="00543C1B">
      <w:pPr>
        <w:numPr>
          <w:ilvl w:val="1"/>
          <w:numId w:val="163"/>
        </w:numPr>
        <w:spacing w:after="120" w:line="360" w:lineRule="auto"/>
        <w:jc w:val="both"/>
        <w:rPr>
          <w:rFonts w:eastAsia="MS Mincho"/>
        </w:rPr>
      </w:pPr>
      <w:r w:rsidRPr="000771FD">
        <w:rPr>
          <w:rFonts w:eastAsia="MS Mincho"/>
        </w:rPr>
        <w:t>vývoj pokročilých leteckých materiálů, jejich testování a obrábění a aplikace již existujících pokročilých materiálů</w:t>
      </w:r>
    </w:p>
    <w:p w14:paraId="7029B245" w14:textId="77777777" w:rsidR="000771FD" w:rsidRPr="000771FD" w:rsidRDefault="000771FD" w:rsidP="00543C1B">
      <w:pPr>
        <w:numPr>
          <w:ilvl w:val="0"/>
          <w:numId w:val="164"/>
        </w:numPr>
        <w:spacing w:before="240" w:after="120" w:line="360" w:lineRule="auto"/>
        <w:ind w:left="737" w:hanging="377"/>
        <w:jc w:val="both"/>
        <w:rPr>
          <w:rFonts w:eastAsia="MS Mincho"/>
          <w:b/>
        </w:rPr>
      </w:pPr>
      <w:r w:rsidRPr="000771FD">
        <w:rPr>
          <w:rFonts w:eastAsia="MS Mincho"/>
          <w:b/>
        </w:rPr>
        <w:t xml:space="preserve">Pohon </w:t>
      </w:r>
    </w:p>
    <w:p w14:paraId="0AA8EB2B" w14:textId="77777777" w:rsidR="000771FD" w:rsidRPr="000771FD" w:rsidRDefault="000771FD" w:rsidP="00543C1B">
      <w:pPr>
        <w:numPr>
          <w:ilvl w:val="1"/>
          <w:numId w:val="164"/>
        </w:numPr>
        <w:spacing w:after="120" w:line="360" w:lineRule="auto"/>
        <w:jc w:val="both"/>
        <w:rPr>
          <w:rFonts w:eastAsia="MS Mincho"/>
        </w:rPr>
      </w:pPr>
      <w:r w:rsidRPr="000771FD">
        <w:rPr>
          <w:rFonts w:eastAsia="MS Mincho"/>
        </w:rPr>
        <w:t xml:space="preserve">alternativní paliva </w:t>
      </w:r>
    </w:p>
    <w:p w14:paraId="0D528BE5" w14:textId="77777777" w:rsidR="000771FD" w:rsidRPr="000771FD" w:rsidRDefault="000771FD" w:rsidP="00543C1B">
      <w:pPr>
        <w:numPr>
          <w:ilvl w:val="1"/>
          <w:numId w:val="164"/>
        </w:numPr>
        <w:spacing w:after="120" w:line="360" w:lineRule="auto"/>
        <w:jc w:val="both"/>
        <w:rPr>
          <w:rFonts w:eastAsia="MS Mincho"/>
        </w:rPr>
      </w:pPr>
      <w:r w:rsidRPr="000771FD">
        <w:rPr>
          <w:rFonts w:eastAsia="MS Mincho"/>
        </w:rPr>
        <w:t xml:space="preserve">nové pohonné systémy - pohony pro malá letadla, pohonné jednotky pro kluzáky, restartovatelný raketový pohon, elektrické a hybridní pohonné jednotky, vodíkové palivové články </w:t>
      </w:r>
    </w:p>
    <w:p w14:paraId="32CD774E" w14:textId="77777777" w:rsidR="000771FD" w:rsidRPr="000771FD" w:rsidRDefault="000771FD" w:rsidP="00543C1B">
      <w:pPr>
        <w:numPr>
          <w:ilvl w:val="1"/>
          <w:numId w:val="164"/>
        </w:numPr>
        <w:spacing w:after="120" w:line="360" w:lineRule="auto"/>
        <w:jc w:val="both"/>
        <w:rPr>
          <w:rFonts w:eastAsia="MS Mincho"/>
        </w:rPr>
      </w:pPr>
      <w:r w:rsidRPr="000771FD">
        <w:rPr>
          <w:rFonts w:eastAsia="MS Mincho"/>
        </w:rPr>
        <w:t>spalovací komory</w:t>
      </w:r>
    </w:p>
    <w:p w14:paraId="0F66BE23" w14:textId="77777777" w:rsidR="000771FD" w:rsidRPr="000771FD" w:rsidRDefault="000771FD" w:rsidP="00543C1B">
      <w:pPr>
        <w:numPr>
          <w:ilvl w:val="1"/>
          <w:numId w:val="164"/>
        </w:numPr>
        <w:spacing w:after="120" w:line="360" w:lineRule="auto"/>
        <w:jc w:val="both"/>
        <w:rPr>
          <w:rFonts w:eastAsia="MS Mincho"/>
        </w:rPr>
      </w:pPr>
      <w:r w:rsidRPr="000771FD">
        <w:rPr>
          <w:rFonts w:eastAsia="MS Mincho"/>
        </w:rPr>
        <w:t>diagnostické systémy pohonných jednotek</w:t>
      </w:r>
    </w:p>
    <w:p w14:paraId="7398ED2C" w14:textId="77777777" w:rsidR="000771FD" w:rsidRPr="000771FD" w:rsidRDefault="000771FD" w:rsidP="00543C1B">
      <w:pPr>
        <w:numPr>
          <w:ilvl w:val="1"/>
          <w:numId w:val="164"/>
        </w:numPr>
        <w:spacing w:after="120" w:line="360" w:lineRule="auto"/>
        <w:jc w:val="both"/>
        <w:rPr>
          <w:rFonts w:eastAsia="MS Mincho"/>
        </w:rPr>
      </w:pPr>
      <w:r w:rsidRPr="000771FD">
        <w:rPr>
          <w:rFonts w:eastAsia="MS Mincho"/>
        </w:rPr>
        <w:t>konstrukce a modelování leteckých motorů a jejich komponent</w:t>
      </w:r>
    </w:p>
    <w:p w14:paraId="4CCFB47C" w14:textId="77777777" w:rsidR="000771FD" w:rsidRPr="000771FD" w:rsidRDefault="000771FD" w:rsidP="00543C1B">
      <w:pPr>
        <w:numPr>
          <w:ilvl w:val="1"/>
          <w:numId w:val="164"/>
        </w:numPr>
        <w:spacing w:after="120" w:line="360" w:lineRule="auto"/>
        <w:jc w:val="both"/>
        <w:rPr>
          <w:rFonts w:eastAsia="MS Mincho"/>
        </w:rPr>
      </w:pPr>
      <w:r w:rsidRPr="000771FD">
        <w:rPr>
          <w:rFonts w:eastAsia="MS Mincho"/>
        </w:rPr>
        <w:t xml:space="preserve">optimalizace návrhu lehkých vrtulí a ventilátorů </w:t>
      </w:r>
    </w:p>
    <w:p w14:paraId="574BCA7E" w14:textId="6EADAFE3" w:rsidR="000771FD" w:rsidRPr="000771FD" w:rsidRDefault="000771FD" w:rsidP="00543C1B">
      <w:pPr>
        <w:numPr>
          <w:ilvl w:val="1"/>
          <w:numId w:val="164"/>
        </w:numPr>
        <w:spacing w:after="120" w:line="360" w:lineRule="auto"/>
        <w:jc w:val="both"/>
        <w:rPr>
          <w:rFonts w:eastAsia="MS Mincho"/>
        </w:rPr>
      </w:pPr>
      <w:r w:rsidRPr="000771FD">
        <w:rPr>
          <w:rFonts w:eastAsia="MS Mincho"/>
        </w:rPr>
        <w:t>dynamické simulace regulačních a řídicích systémů turbínového motoru, modelování a</w:t>
      </w:r>
      <w:r w:rsidR="001B2164">
        <w:rPr>
          <w:rFonts w:eastAsia="MS Mincho"/>
        </w:rPr>
        <w:t> </w:t>
      </w:r>
      <w:r w:rsidRPr="000771FD">
        <w:rPr>
          <w:rFonts w:eastAsia="MS Mincho"/>
        </w:rPr>
        <w:t>optimalizace termodynamických procesů ve spalovacích komorách, návrh a optimalizace vysokootáčkových převodovek</w:t>
      </w:r>
    </w:p>
    <w:p w14:paraId="11A42EA0" w14:textId="77777777" w:rsidR="000771FD" w:rsidRPr="000771FD" w:rsidRDefault="000771FD" w:rsidP="00543C1B">
      <w:pPr>
        <w:numPr>
          <w:ilvl w:val="0"/>
          <w:numId w:val="165"/>
        </w:numPr>
        <w:spacing w:before="240" w:after="120" w:line="360" w:lineRule="auto"/>
        <w:ind w:left="737" w:hanging="377"/>
        <w:jc w:val="both"/>
        <w:rPr>
          <w:rFonts w:eastAsia="MS Mincho"/>
          <w:b/>
        </w:rPr>
      </w:pPr>
      <w:r w:rsidRPr="000771FD">
        <w:rPr>
          <w:rFonts w:eastAsia="MS Mincho"/>
          <w:b/>
        </w:rPr>
        <w:t xml:space="preserve">Letadlové soustavy </w:t>
      </w:r>
    </w:p>
    <w:p w14:paraId="629D6459" w14:textId="77777777" w:rsidR="000771FD" w:rsidRPr="000771FD" w:rsidRDefault="000771FD" w:rsidP="00543C1B">
      <w:pPr>
        <w:numPr>
          <w:ilvl w:val="1"/>
          <w:numId w:val="165"/>
        </w:numPr>
        <w:spacing w:after="120" w:line="360" w:lineRule="auto"/>
        <w:jc w:val="both"/>
        <w:rPr>
          <w:rFonts w:eastAsia="MS Mincho"/>
        </w:rPr>
      </w:pPr>
      <w:r w:rsidRPr="000771FD">
        <w:rPr>
          <w:rFonts w:eastAsia="MS Mincho"/>
        </w:rPr>
        <w:t xml:space="preserve">integrace systémových soustav (hydraulika, palivo, vzduchotechnika) </w:t>
      </w:r>
    </w:p>
    <w:p w14:paraId="4B1F9B53" w14:textId="77777777" w:rsidR="000771FD" w:rsidRPr="000771FD" w:rsidRDefault="000771FD" w:rsidP="00543C1B">
      <w:pPr>
        <w:numPr>
          <w:ilvl w:val="1"/>
          <w:numId w:val="165"/>
        </w:numPr>
        <w:spacing w:after="120" w:line="360" w:lineRule="auto"/>
        <w:jc w:val="both"/>
        <w:rPr>
          <w:rFonts w:eastAsia="MS Mincho"/>
        </w:rPr>
      </w:pPr>
      <w:r w:rsidRPr="000771FD">
        <w:rPr>
          <w:rFonts w:eastAsia="MS Mincho"/>
        </w:rPr>
        <w:t xml:space="preserve">optimalizace automatického řízení pohybu (funkce autopilota) </w:t>
      </w:r>
    </w:p>
    <w:p w14:paraId="169695B3" w14:textId="77777777" w:rsidR="000771FD" w:rsidRPr="000771FD" w:rsidRDefault="000771FD" w:rsidP="00543C1B">
      <w:pPr>
        <w:numPr>
          <w:ilvl w:val="1"/>
          <w:numId w:val="165"/>
        </w:numPr>
        <w:spacing w:after="120" w:line="360" w:lineRule="auto"/>
        <w:jc w:val="both"/>
        <w:rPr>
          <w:rFonts w:eastAsia="MS Mincho"/>
        </w:rPr>
      </w:pPr>
      <w:r w:rsidRPr="000771FD">
        <w:rPr>
          <w:rFonts w:eastAsia="MS Mincho"/>
        </w:rPr>
        <w:t xml:space="preserve">bezpečné datové komunikace </w:t>
      </w:r>
    </w:p>
    <w:p w14:paraId="29F99FA3" w14:textId="77777777" w:rsidR="000771FD" w:rsidRPr="000771FD" w:rsidRDefault="000771FD" w:rsidP="00543C1B">
      <w:pPr>
        <w:numPr>
          <w:ilvl w:val="1"/>
          <w:numId w:val="165"/>
        </w:numPr>
        <w:spacing w:after="120" w:line="360" w:lineRule="auto"/>
        <w:jc w:val="both"/>
        <w:rPr>
          <w:rFonts w:eastAsia="MS Mincho"/>
        </w:rPr>
      </w:pPr>
      <w:r w:rsidRPr="000771FD">
        <w:rPr>
          <w:rFonts w:eastAsia="MS Mincho"/>
        </w:rPr>
        <w:t>integrovaný elektrický zdrojový rozvodný systém</w:t>
      </w:r>
    </w:p>
    <w:p w14:paraId="686DFF1D" w14:textId="77777777" w:rsidR="000771FD" w:rsidRPr="000771FD" w:rsidRDefault="000771FD" w:rsidP="00543C1B">
      <w:pPr>
        <w:numPr>
          <w:ilvl w:val="1"/>
          <w:numId w:val="165"/>
        </w:numPr>
        <w:spacing w:after="120" w:line="360" w:lineRule="auto"/>
        <w:jc w:val="both"/>
        <w:rPr>
          <w:rFonts w:eastAsia="MS Mincho"/>
        </w:rPr>
      </w:pPr>
      <w:r w:rsidRPr="000771FD">
        <w:rPr>
          <w:rFonts w:eastAsia="MS Mincho"/>
        </w:rPr>
        <w:t xml:space="preserve"> zvýšení přesnosti nízkonákladových inerciálních leteckých měřících jednotek s využitím GPS a magnetometrů</w:t>
      </w:r>
    </w:p>
    <w:p w14:paraId="5EE0DFA3" w14:textId="77777777" w:rsidR="000771FD" w:rsidRPr="000771FD" w:rsidRDefault="000771FD" w:rsidP="00543C1B">
      <w:pPr>
        <w:numPr>
          <w:ilvl w:val="1"/>
          <w:numId w:val="165"/>
        </w:numPr>
        <w:spacing w:after="120" w:line="360" w:lineRule="auto"/>
        <w:jc w:val="both"/>
        <w:rPr>
          <w:rFonts w:eastAsia="MS Mincho"/>
        </w:rPr>
      </w:pPr>
      <w:r w:rsidRPr="000771FD">
        <w:rPr>
          <w:rFonts w:eastAsia="MS Mincho"/>
        </w:rPr>
        <w:t xml:space="preserve"> částicové filtry </w:t>
      </w:r>
    </w:p>
    <w:p w14:paraId="73F063D4" w14:textId="77777777" w:rsidR="000771FD" w:rsidRPr="000771FD" w:rsidRDefault="000771FD" w:rsidP="00543C1B">
      <w:pPr>
        <w:numPr>
          <w:ilvl w:val="1"/>
          <w:numId w:val="165"/>
        </w:numPr>
        <w:spacing w:after="120" w:line="360" w:lineRule="auto"/>
        <w:jc w:val="both"/>
        <w:rPr>
          <w:rFonts w:eastAsia="MS Mincho"/>
        </w:rPr>
      </w:pPr>
      <w:r w:rsidRPr="000771FD">
        <w:rPr>
          <w:rFonts w:eastAsia="MS Mincho"/>
        </w:rPr>
        <w:t xml:space="preserve">identifikace a řídicí algoritmy dynamických systémů </w:t>
      </w:r>
    </w:p>
    <w:p w14:paraId="6832A044" w14:textId="77777777" w:rsidR="000771FD" w:rsidRPr="000771FD" w:rsidRDefault="000771FD" w:rsidP="00543C1B">
      <w:pPr>
        <w:numPr>
          <w:ilvl w:val="1"/>
          <w:numId w:val="165"/>
        </w:numPr>
        <w:spacing w:after="120" w:line="360" w:lineRule="auto"/>
        <w:jc w:val="both"/>
        <w:rPr>
          <w:rFonts w:eastAsia="MS Mincho"/>
        </w:rPr>
      </w:pPr>
      <w:r w:rsidRPr="000771FD">
        <w:rPr>
          <w:rFonts w:eastAsia="MS Mincho"/>
        </w:rPr>
        <w:t xml:space="preserve">integrované přijímače družicové navigace, automatizovaný systém řízení </w:t>
      </w:r>
    </w:p>
    <w:p w14:paraId="793B5267" w14:textId="77777777" w:rsidR="000771FD" w:rsidRPr="000771FD" w:rsidRDefault="000771FD" w:rsidP="00543C1B">
      <w:pPr>
        <w:numPr>
          <w:ilvl w:val="1"/>
          <w:numId w:val="165"/>
        </w:numPr>
        <w:spacing w:after="120" w:line="360" w:lineRule="auto"/>
        <w:jc w:val="both"/>
        <w:rPr>
          <w:rFonts w:eastAsia="MS Mincho"/>
        </w:rPr>
      </w:pPr>
      <w:r w:rsidRPr="000771FD">
        <w:rPr>
          <w:rFonts w:eastAsia="MS Mincho"/>
        </w:rPr>
        <w:t xml:space="preserve">integrované stabilizované letadlové optické systémy </w:t>
      </w:r>
    </w:p>
    <w:p w14:paraId="73D5235D" w14:textId="77777777" w:rsidR="000771FD" w:rsidRPr="000771FD" w:rsidRDefault="000771FD" w:rsidP="00543C1B">
      <w:pPr>
        <w:numPr>
          <w:ilvl w:val="0"/>
          <w:numId w:val="166"/>
        </w:numPr>
        <w:spacing w:before="240" w:after="120" w:line="360" w:lineRule="auto"/>
        <w:ind w:left="737" w:hanging="377"/>
        <w:jc w:val="both"/>
        <w:rPr>
          <w:rFonts w:eastAsia="MS Mincho"/>
          <w:b/>
        </w:rPr>
      </w:pPr>
      <w:r w:rsidRPr="000771FD">
        <w:rPr>
          <w:rFonts w:eastAsia="MS Mincho"/>
          <w:b/>
        </w:rPr>
        <w:t xml:space="preserve">Bezpilotní prostředky </w:t>
      </w:r>
    </w:p>
    <w:p w14:paraId="52BAA0FE" w14:textId="77777777" w:rsidR="000771FD" w:rsidRPr="000771FD" w:rsidRDefault="000771FD" w:rsidP="00543C1B">
      <w:pPr>
        <w:numPr>
          <w:ilvl w:val="1"/>
          <w:numId w:val="166"/>
        </w:numPr>
        <w:spacing w:after="120" w:line="360" w:lineRule="auto"/>
        <w:jc w:val="both"/>
        <w:rPr>
          <w:rFonts w:eastAsia="MS Mincho"/>
        </w:rPr>
      </w:pPr>
      <w:r w:rsidRPr="000771FD">
        <w:rPr>
          <w:rFonts w:eastAsia="MS Mincho"/>
        </w:rPr>
        <w:t xml:space="preserve">výzkum k využití dronů pro fyzickou ochranu kritické infrastruktury, ostrahy perimetrů </w:t>
      </w:r>
    </w:p>
    <w:p w14:paraId="5CBF1400" w14:textId="77777777" w:rsidR="000771FD" w:rsidRPr="000771FD" w:rsidRDefault="000771FD" w:rsidP="00543C1B">
      <w:pPr>
        <w:numPr>
          <w:ilvl w:val="1"/>
          <w:numId w:val="166"/>
        </w:numPr>
        <w:spacing w:after="120" w:line="360" w:lineRule="auto"/>
        <w:jc w:val="both"/>
        <w:rPr>
          <w:rFonts w:eastAsia="MS Mincho"/>
        </w:rPr>
      </w:pPr>
      <w:r w:rsidRPr="000771FD">
        <w:rPr>
          <w:rFonts w:eastAsia="MS Mincho"/>
        </w:rPr>
        <w:t xml:space="preserve">výzkum k využití dronů pro zemědělství a lesnictví - požární ochrana, monitoring poškození lesů </w:t>
      </w:r>
    </w:p>
    <w:p w14:paraId="296F3B23" w14:textId="77777777" w:rsidR="000771FD" w:rsidRPr="000771FD" w:rsidRDefault="000771FD" w:rsidP="00543C1B">
      <w:pPr>
        <w:numPr>
          <w:ilvl w:val="1"/>
          <w:numId w:val="166"/>
        </w:numPr>
        <w:spacing w:after="120" w:line="360" w:lineRule="auto"/>
        <w:jc w:val="both"/>
        <w:rPr>
          <w:rFonts w:eastAsia="MS Mincho"/>
        </w:rPr>
      </w:pPr>
      <w:r w:rsidRPr="000771FD">
        <w:rPr>
          <w:rFonts w:eastAsia="MS Mincho"/>
        </w:rPr>
        <w:t xml:space="preserve">výzkum k využití dronů pro tvorbu ortofotomap </w:t>
      </w:r>
    </w:p>
    <w:p w14:paraId="2B3C8036" w14:textId="77777777" w:rsidR="000771FD" w:rsidRPr="000771FD" w:rsidRDefault="000771FD" w:rsidP="00543C1B">
      <w:pPr>
        <w:numPr>
          <w:ilvl w:val="1"/>
          <w:numId w:val="166"/>
        </w:numPr>
        <w:spacing w:after="120" w:line="360" w:lineRule="auto"/>
        <w:jc w:val="both"/>
        <w:rPr>
          <w:rFonts w:eastAsia="MS Mincho"/>
        </w:rPr>
      </w:pPr>
      <w:r w:rsidRPr="000771FD">
        <w:rPr>
          <w:rFonts w:eastAsia="MS Mincho"/>
        </w:rPr>
        <w:t xml:space="preserve">výzkum k využití dronů pro lineární stavby (dráty, produktovody, hranice) </w:t>
      </w:r>
    </w:p>
    <w:p w14:paraId="4B0F70EE" w14:textId="77777777" w:rsidR="000771FD" w:rsidRPr="000771FD" w:rsidRDefault="000771FD" w:rsidP="00543C1B">
      <w:pPr>
        <w:numPr>
          <w:ilvl w:val="1"/>
          <w:numId w:val="166"/>
        </w:numPr>
        <w:spacing w:after="120" w:line="360" w:lineRule="auto"/>
        <w:jc w:val="both"/>
        <w:rPr>
          <w:rFonts w:cs="Arial"/>
        </w:rPr>
      </w:pPr>
      <w:r w:rsidRPr="000771FD">
        <w:rPr>
          <w:rFonts w:eastAsia="MS Mincho"/>
        </w:rPr>
        <w:t>výzkum pro použití více bezpilotních prostředků v jednom prostoru - zahrnuje tactical, planning a collision avoidance, možnost plnění různých úkolů - tracking, surveillance, monitoring, patrolling, atd.,</w:t>
      </w:r>
      <w:r w:rsidRPr="000771FD">
        <w:rPr>
          <w:rFonts w:cs="Arial"/>
        </w:rPr>
        <w:t xml:space="preserve"> použití GT pro více prostředků </w:t>
      </w:r>
    </w:p>
    <w:p w14:paraId="2A6C4815" w14:textId="77777777" w:rsidR="000771FD" w:rsidRPr="000771FD" w:rsidRDefault="000771FD" w:rsidP="00543C1B">
      <w:pPr>
        <w:numPr>
          <w:ilvl w:val="0"/>
          <w:numId w:val="167"/>
        </w:numPr>
        <w:spacing w:before="240" w:after="120" w:line="360" w:lineRule="auto"/>
        <w:ind w:left="737" w:hanging="377"/>
        <w:jc w:val="both"/>
        <w:rPr>
          <w:rFonts w:eastAsia="MS Mincho"/>
          <w:b/>
        </w:rPr>
      </w:pPr>
      <w:r w:rsidRPr="000771FD">
        <w:rPr>
          <w:rFonts w:eastAsia="MS Mincho"/>
          <w:b/>
        </w:rPr>
        <w:t>Kosmické aktivity</w:t>
      </w:r>
    </w:p>
    <w:p w14:paraId="17161D81"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 xml:space="preserve">sensorika a přístrojová technika (akcelerometr, altimetr, radar, lidar, magnetometr atd.) </w:t>
      </w:r>
    </w:p>
    <w:p w14:paraId="4676A977"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 xml:space="preserve">pozemní testovací zařízení (EGSE, MGSE, OGSE) </w:t>
      </w:r>
    </w:p>
    <w:p w14:paraId="51501EA2"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 xml:space="preserve">mikropočítač pro družicové systémy, družicové palubní a SW systémy </w:t>
      </w:r>
    </w:p>
    <w:p w14:paraId="09B415FB"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 xml:space="preserve">automatické a robotické systémy </w:t>
      </w:r>
    </w:p>
    <w:p w14:paraId="5CBBEB97"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 xml:space="preserve">otevřené a bezpečné komunikační protokoly </w:t>
      </w:r>
    </w:p>
    <w:p w14:paraId="3049DC8B"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 xml:space="preserve">MEMS technologie </w:t>
      </w:r>
    </w:p>
    <w:p w14:paraId="1C9E8E6D"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 xml:space="preserve">materiály vylepšených vlastností pro použití v kosmu </w:t>
      </w:r>
    </w:p>
    <w:p w14:paraId="09CA9B7B"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 xml:space="preserve">strukturální a termální analýza </w:t>
      </w:r>
    </w:p>
    <w:p w14:paraId="3CBB73C8"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simulace aerotermoelastických jevů</w:t>
      </w:r>
    </w:p>
    <w:p w14:paraId="7E559F09"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malé družice</w:t>
      </w:r>
    </w:p>
    <w:p w14:paraId="35C3253D"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 xml:space="preserve">technologie pro raketové nosiče </w:t>
      </w:r>
    </w:p>
    <w:p w14:paraId="1A787080" w14:textId="77777777" w:rsidR="000771FD" w:rsidRPr="000771FD" w:rsidRDefault="000771FD" w:rsidP="00543C1B">
      <w:pPr>
        <w:numPr>
          <w:ilvl w:val="1"/>
          <w:numId w:val="167"/>
        </w:numPr>
        <w:spacing w:after="120" w:line="360" w:lineRule="auto"/>
        <w:jc w:val="both"/>
        <w:rPr>
          <w:rFonts w:eastAsia="MS Mincho"/>
        </w:rPr>
      </w:pPr>
      <w:r w:rsidRPr="000771FD">
        <w:rPr>
          <w:rFonts w:eastAsia="MS Mincho"/>
        </w:rPr>
        <w:t>automatizované vyhodnocování dat z družicových systémů (především pozorování Země)</w:t>
      </w:r>
    </w:p>
    <w:p w14:paraId="1980A217" w14:textId="77777777" w:rsidR="000771FD" w:rsidRPr="000771FD" w:rsidRDefault="000771FD" w:rsidP="00543C1B">
      <w:pPr>
        <w:numPr>
          <w:ilvl w:val="0"/>
          <w:numId w:val="168"/>
        </w:numPr>
        <w:spacing w:before="240" w:after="120" w:line="360" w:lineRule="auto"/>
        <w:ind w:left="737" w:hanging="377"/>
        <w:jc w:val="both"/>
        <w:rPr>
          <w:rFonts w:eastAsia="MS Mincho"/>
          <w:b/>
        </w:rPr>
      </w:pPr>
      <w:r w:rsidRPr="000771FD">
        <w:rPr>
          <w:rFonts w:eastAsia="MS Mincho"/>
          <w:b/>
        </w:rPr>
        <w:t xml:space="preserve">Bezpečnost a spolehlivost </w:t>
      </w:r>
    </w:p>
    <w:p w14:paraId="76D6F9AF"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provozní bezpečnost a spolehlivost konstrukcí</w:t>
      </w:r>
    </w:p>
    <w:p w14:paraId="3035AAA8"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civilní aplikace bezpilotních prostředků</w:t>
      </w:r>
    </w:p>
    <w:p w14:paraId="15E0C115"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 xml:space="preserve">zvyšování životnosti leteckých konstrukcí - vyhodnocování poškozování letadel, experimentální prostředky pro sledování, měření a vyhodnocování namáhání a deformací částí leteckých konstrukcí za provozu </w:t>
      </w:r>
    </w:p>
    <w:p w14:paraId="6A5BF222"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 xml:space="preserve">pokročilé pilotní kabiny </w:t>
      </w:r>
    </w:p>
    <w:p w14:paraId="6464E255"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low-cost konstrukční prvky letadel</w:t>
      </w:r>
    </w:p>
    <w:p w14:paraId="0D4BCADF"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efektivní využití interiéru letadla</w:t>
      </w:r>
    </w:p>
    <w:p w14:paraId="2FB28762"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technické systémy pro poskytování letových provozních služeb, včetně technologie pro její vzdálené poskytování</w:t>
      </w:r>
    </w:p>
    <w:p w14:paraId="6F00812E"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letecké informační a komunikační technologie</w:t>
      </w:r>
    </w:p>
    <w:p w14:paraId="0168C5F7"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 xml:space="preserve">letadla s redukovanou posádkou a bezpilotní prostředky, včetně detekčních zařízení pro bezpilotní prostředky v okolí velkých letišť </w:t>
      </w:r>
    </w:p>
    <w:p w14:paraId="2B7F38C6"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„protiteroristické" prvky</w:t>
      </w:r>
    </w:p>
    <w:p w14:paraId="4AB1C591"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pasivní bezpečnost posádky a cestujících</w:t>
      </w:r>
    </w:p>
    <w:p w14:paraId="20F53584"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 xml:space="preserve">snížení zátěže pilota </w:t>
      </w:r>
    </w:p>
    <w:p w14:paraId="7A12BF0C"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 xml:space="preserve">přenos a sdílení velkých objemů konstrukčních dat mezi vzdálenými uživateli </w:t>
      </w:r>
    </w:p>
    <w:p w14:paraId="3C38351B"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 xml:space="preserve">virtuální realita v konstruování </w:t>
      </w:r>
    </w:p>
    <w:p w14:paraId="2EE10EF8" w14:textId="77777777" w:rsidR="000771FD" w:rsidRPr="000771FD" w:rsidRDefault="000771FD" w:rsidP="00543C1B">
      <w:pPr>
        <w:numPr>
          <w:ilvl w:val="1"/>
          <w:numId w:val="168"/>
        </w:numPr>
        <w:spacing w:after="120" w:line="360" w:lineRule="auto"/>
        <w:jc w:val="both"/>
        <w:rPr>
          <w:rFonts w:eastAsia="MS Mincho"/>
        </w:rPr>
      </w:pPr>
      <w:r w:rsidRPr="000771FD">
        <w:rPr>
          <w:rFonts w:eastAsia="MS Mincho"/>
        </w:rPr>
        <w:t xml:space="preserve">pokročilé odmrazovací systémy, ochrana proti vlivům blesku </w:t>
      </w:r>
    </w:p>
    <w:p w14:paraId="36C90668" w14:textId="0B0803D5" w:rsidR="00AD6B5E" w:rsidRDefault="000771FD" w:rsidP="00543C1B">
      <w:pPr>
        <w:numPr>
          <w:ilvl w:val="1"/>
          <w:numId w:val="168"/>
        </w:numPr>
        <w:spacing w:after="120" w:line="360" w:lineRule="auto"/>
        <w:jc w:val="both"/>
        <w:rPr>
          <w:rFonts w:eastAsia="MS Mincho"/>
        </w:rPr>
      </w:pPr>
      <w:r w:rsidRPr="000771FD">
        <w:rPr>
          <w:rFonts w:eastAsia="MS Mincho"/>
        </w:rPr>
        <w:t>záchranné systémy pro letouny, vystřelovací sedačky</w:t>
      </w:r>
    </w:p>
    <w:p w14:paraId="59AC240F" w14:textId="77777777" w:rsidR="00C22867" w:rsidRDefault="00C22867" w:rsidP="00C22867">
      <w:pPr>
        <w:spacing w:after="120" w:line="360" w:lineRule="auto"/>
        <w:jc w:val="both"/>
        <w:rPr>
          <w:rFonts w:eastAsia="MS Mincho"/>
        </w:rPr>
      </w:pPr>
    </w:p>
    <w:p w14:paraId="55638ED6" w14:textId="0FF3F2C7" w:rsidR="001B034E" w:rsidRDefault="001B034E" w:rsidP="00543C1B">
      <w:pPr>
        <w:pStyle w:val="Odstavecseseznamem"/>
        <w:numPr>
          <w:ilvl w:val="0"/>
          <w:numId w:val="159"/>
        </w:numPr>
        <w:spacing w:line="360" w:lineRule="auto"/>
        <w:rPr>
          <w:u w:val="single"/>
        </w:rPr>
      </w:pPr>
      <w:r w:rsidRPr="001B034E">
        <w:rPr>
          <w:u w:val="single"/>
        </w:rPr>
        <w:t>Indikativní vztah ke klasifikaci CZ NACE</w:t>
      </w:r>
    </w:p>
    <w:p w14:paraId="764BE29E" w14:textId="0CD71290" w:rsidR="001B2164" w:rsidRPr="001B2164" w:rsidRDefault="001B2164" w:rsidP="001B2164">
      <w:pPr>
        <w:pStyle w:val="Bezmezer1"/>
        <w:spacing w:before="40" w:after="40" w:line="360" w:lineRule="auto"/>
        <w:jc w:val="both"/>
        <w:rPr>
          <w:rFonts w:asciiTheme="minorHAnsi" w:hAnsiTheme="minorHAnsi"/>
          <w:b/>
        </w:rPr>
      </w:pPr>
      <w:r w:rsidRPr="001B2164">
        <w:rPr>
          <w:rFonts w:asciiTheme="minorHAnsi" w:hAnsiTheme="minorHAnsi"/>
          <w:b/>
        </w:rPr>
        <w:t>Hlavní relevantní CZ</w:t>
      </w:r>
      <w:r w:rsidR="00054BF8">
        <w:rPr>
          <w:rFonts w:asciiTheme="minorHAnsi" w:hAnsiTheme="minorHAnsi"/>
          <w:b/>
        </w:rPr>
        <w:t xml:space="preserve"> </w:t>
      </w:r>
      <w:r w:rsidRPr="001B2164">
        <w:rPr>
          <w:rFonts w:asciiTheme="minorHAnsi" w:hAnsiTheme="minorHAnsi"/>
          <w:b/>
        </w:rPr>
        <w:t>NACE</w:t>
      </w:r>
    </w:p>
    <w:p w14:paraId="5841C0B5" w14:textId="61F11987" w:rsidR="001B2164" w:rsidRPr="001B2164" w:rsidRDefault="001B2164" w:rsidP="001B2164">
      <w:pPr>
        <w:pStyle w:val="Bezmezer1"/>
        <w:spacing w:before="40" w:after="40" w:line="360" w:lineRule="auto"/>
        <w:ind w:left="708" w:firstLine="708"/>
        <w:jc w:val="both"/>
        <w:rPr>
          <w:rFonts w:asciiTheme="minorHAnsi" w:hAnsiTheme="minorHAnsi"/>
        </w:rPr>
      </w:pPr>
      <w:r w:rsidRPr="001B2164">
        <w:rPr>
          <w:rFonts w:asciiTheme="minorHAnsi" w:hAnsiTheme="minorHAnsi"/>
        </w:rPr>
        <w:t>30.3</w:t>
      </w:r>
      <w:r w:rsidRPr="001B2164">
        <w:rPr>
          <w:rFonts w:asciiTheme="minorHAnsi" w:hAnsiTheme="minorHAnsi"/>
        </w:rPr>
        <w:tab/>
        <w:t>Výroba letadel a jejich motorů, kosmických lodí a souvisejících zařízení</w:t>
      </w:r>
    </w:p>
    <w:p w14:paraId="6D8ABC96" w14:textId="31EFE5DF" w:rsidR="001B2164" w:rsidRPr="001B2164" w:rsidRDefault="001B2164" w:rsidP="001B2164">
      <w:pPr>
        <w:pStyle w:val="Bezmezer1"/>
        <w:spacing w:before="40" w:line="360" w:lineRule="auto"/>
        <w:jc w:val="both"/>
        <w:rPr>
          <w:rFonts w:asciiTheme="minorHAnsi" w:hAnsiTheme="minorHAnsi"/>
          <w:b/>
        </w:rPr>
      </w:pPr>
      <w:r w:rsidRPr="001B2164">
        <w:rPr>
          <w:rFonts w:asciiTheme="minorHAnsi" w:hAnsiTheme="minorHAnsi"/>
          <w:b/>
        </w:rPr>
        <w:t>Návazné CZ NACE, funkční vazby</w:t>
      </w:r>
    </w:p>
    <w:p w14:paraId="7E71C8B7" w14:textId="6D0C07D7" w:rsidR="001B2164" w:rsidRPr="001B2164" w:rsidRDefault="001B2164" w:rsidP="001B2164">
      <w:pPr>
        <w:pStyle w:val="Bezmezer1"/>
        <w:spacing w:before="40" w:after="40" w:line="360" w:lineRule="auto"/>
        <w:ind w:firstLine="708"/>
        <w:jc w:val="both"/>
        <w:rPr>
          <w:rFonts w:asciiTheme="minorHAnsi" w:hAnsiTheme="minorHAnsi"/>
        </w:rPr>
      </w:pPr>
      <w:r w:rsidRPr="001B2164">
        <w:rPr>
          <w:rFonts w:asciiTheme="minorHAnsi" w:hAnsiTheme="minorHAnsi"/>
        </w:rPr>
        <w:t>20</w:t>
      </w:r>
      <w:r w:rsidRPr="001B2164">
        <w:rPr>
          <w:rFonts w:asciiTheme="minorHAnsi" w:hAnsiTheme="minorHAnsi"/>
        </w:rPr>
        <w:tab/>
        <w:t>Výroba chemických látek a chemických přípravků</w:t>
      </w:r>
    </w:p>
    <w:p w14:paraId="6E2E08FE" w14:textId="6522B11B" w:rsidR="001B2164" w:rsidRPr="001B2164" w:rsidRDefault="001B2164" w:rsidP="001B2164">
      <w:pPr>
        <w:pStyle w:val="Bezmezer1"/>
        <w:spacing w:before="40" w:after="40" w:line="360" w:lineRule="auto"/>
        <w:ind w:firstLine="708"/>
        <w:jc w:val="both"/>
        <w:rPr>
          <w:rFonts w:asciiTheme="minorHAnsi" w:hAnsiTheme="minorHAnsi"/>
        </w:rPr>
      </w:pPr>
      <w:r w:rsidRPr="001B2164">
        <w:rPr>
          <w:rFonts w:asciiTheme="minorHAnsi" w:hAnsiTheme="minorHAnsi"/>
        </w:rPr>
        <w:t>22</w:t>
      </w:r>
      <w:r w:rsidRPr="001B2164">
        <w:rPr>
          <w:rFonts w:asciiTheme="minorHAnsi" w:hAnsiTheme="minorHAnsi"/>
        </w:rPr>
        <w:tab/>
        <w:t>Výroba pryžových a plastových výrobků</w:t>
      </w:r>
    </w:p>
    <w:p w14:paraId="771BE37E" w14:textId="089AEBA4" w:rsidR="001B2164" w:rsidRPr="001B2164" w:rsidRDefault="001B2164" w:rsidP="001B2164">
      <w:pPr>
        <w:pStyle w:val="Bezmezer1"/>
        <w:spacing w:before="40" w:after="40" w:line="360" w:lineRule="auto"/>
        <w:ind w:firstLine="708"/>
        <w:jc w:val="both"/>
        <w:rPr>
          <w:rFonts w:asciiTheme="minorHAnsi" w:hAnsiTheme="minorHAnsi"/>
        </w:rPr>
      </w:pPr>
      <w:r w:rsidRPr="001B2164">
        <w:rPr>
          <w:rFonts w:asciiTheme="minorHAnsi" w:hAnsiTheme="minorHAnsi"/>
        </w:rPr>
        <w:t>23</w:t>
      </w:r>
      <w:r w:rsidRPr="001B2164">
        <w:rPr>
          <w:rFonts w:asciiTheme="minorHAnsi" w:hAnsiTheme="minorHAnsi"/>
        </w:rPr>
        <w:tab/>
        <w:t>Výroba ostatních nekovových minerálních výrobků</w:t>
      </w:r>
    </w:p>
    <w:p w14:paraId="03F35648" w14:textId="6C9D155C" w:rsidR="001B2164" w:rsidRPr="001B2164" w:rsidRDefault="001B2164" w:rsidP="001B2164">
      <w:pPr>
        <w:autoSpaceDE w:val="0"/>
        <w:autoSpaceDN w:val="0"/>
        <w:adjustRightInd w:val="0"/>
        <w:spacing w:before="40" w:after="40" w:line="360" w:lineRule="auto"/>
        <w:ind w:left="708" w:firstLine="708"/>
        <w:jc w:val="both"/>
      </w:pPr>
      <w:r w:rsidRPr="001B2164">
        <w:t>23.1</w:t>
      </w:r>
      <w:r w:rsidRPr="001B2164">
        <w:tab/>
        <w:t xml:space="preserve">Výroba skla a skleněných výrobků </w:t>
      </w:r>
    </w:p>
    <w:p w14:paraId="2941C539" w14:textId="5395C708" w:rsidR="001B2164" w:rsidRPr="001B2164" w:rsidRDefault="001B2164" w:rsidP="001B2164">
      <w:pPr>
        <w:pStyle w:val="Bezmezer1"/>
        <w:spacing w:before="40" w:after="40" w:line="360" w:lineRule="auto"/>
        <w:ind w:firstLine="708"/>
        <w:jc w:val="both"/>
        <w:rPr>
          <w:rFonts w:asciiTheme="minorHAnsi" w:hAnsiTheme="minorHAnsi"/>
        </w:rPr>
      </w:pPr>
      <w:r w:rsidRPr="001B2164">
        <w:rPr>
          <w:rFonts w:asciiTheme="minorHAnsi" w:hAnsiTheme="minorHAnsi"/>
        </w:rPr>
        <w:t>26</w:t>
      </w:r>
      <w:r w:rsidRPr="001B2164">
        <w:rPr>
          <w:rFonts w:asciiTheme="minorHAnsi" w:hAnsiTheme="minorHAnsi"/>
        </w:rPr>
        <w:tab/>
        <w:t xml:space="preserve">Výroba počítačů, elektronických a optických přístrojů a zařízení </w:t>
      </w:r>
    </w:p>
    <w:p w14:paraId="5B37F6F8" w14:textId="364D40FE" w:rsidR="001B2164" w:rsidRPr="001B2164" w:rsidRDefault="001B2164" w:rsidP="001B2164">
      <w:pPr>
        <w:pStyle w:val="Bezmezer1"/>
        <w:spacing w:before="40" w:after="40" w:line="360" w:lineRule="auto"/>
        <w:ind w:firstLine="708"/>
        <w:jc w:val="both"/>
        <w:rPr>
          <w:rFonts w:asciiTheme="minorHAnsi" w:hAnsiTheme="minorHAnsi"/>
        </w:rPr>
      </w:pPr>
      <w:r w:rsidRPr="001B2164">
        <w:rPr>
          <w:rFonts w:asciiTheme="minorHAnsi" w:hAnsiTheme="minorHAnsi"/>
        </w:rPr>
        <w:t>51</w:t>
      </w:r>
      <w:r w:rsidRPr="001B2164">
        <w:rPr>
          <w:rFonts w:asciiTheme="minorHAnsi" w:hAnsiTheme="minorHAnsi"/>
        </w:rPr>
        <w:tab/>
        <w:t>Letecká doprava</w:t>
      </w:r>
    </w:p>
    <w:p w14:paraId="0D0A6B14" w14:textId="7E52F081" w:rsidR="001B2164" w:rsidRPr="001B2164" w:rsidRDefault="001B2164" w:rsidP="001B2164">
      <w:pPr>
        <w:pStyle w:val="Bezmezer1"/>
        <w:spacing w:before="40" w:after="40" w:line="360" w:lineRule="auto"/>
        <w:ind w:left="1416" w:firstLine="708"/>
        <w:jc w:val="both"/>
        <w:rPr>
          <w:rFonts w:asciiTheme="minorHAnsi" w:hAnsiTheme="minorHAnsi"/>
        </w:rPr>
      </w:pPr>
      <w:r w:rsidRPr="001B2164">
        <w:rPr>
          <w:rFonts w:asciiTheme="minorHAnsi" w:hAnsiTheme="minorHAnsi"/>
        </w:rPr>
        <w:t>71.20</w:t>
      </w:r>
      <w:r w:rsidRPr="001B2164">
        <w:rPr>
          <w:rFonts w:asciiTheme="minorHAnsi" w:hAnsiTheme="minorHAnsi"/>
        </w:rPr>
        <w:tab/>
        <w:t>Technické zkoušky a analýzy</w:t>
      </w:r>
    </w:p>
    <w:p w14:paraId="63BA8FB7" w14:textId="0670701E" w:rsidR="001B2164" w:rsidRPr="001B2164" w:rsidRDefault="001B2164" w:rsidP="001B2164">
      <w:pPr>
        <w:pStyle w:val="Bezmezer1"/>
        <w:spacing w:before="40" w:after="40" w:line="360" w:lineRule="auto"/>
        <w:ind w:left="708" w:firstLine="708"/>
        <w:jc w:val="both"/>
        <w:rPr>
          <w:rFonts w:asciiTheme="minorHAnsi" w:hAnsiTheme="minorHAnsi"/>
        </w:rPr>
      </w:pPr>
      <w:r w:rsidRPr="001B2164">
        <w:rPr>
          <w:rFonts w:asciiTheme="minorHAnsi" w:hAnsiTheme="minorHAnsi"/>
        </w:rPr>
        <w:t>72.1</w:t>
      </w:r>
      <w:r w:rsidRPr="001B2164">
        <w:rPr>
          <w:rFonts w:asciiTheme="minorHAnsi" w:hAnsiTheme="minorHAnsi"/>
        </w:rPr>
        <w:tab/>
        <w:t>Výzkum a vývoj v oblasti přírodních a technických věd</w:t>
      </w:r>
    </w:p>
    <w:p w14:paraId="25170775" w14:textId="28599D69" w:rsidR="00C22867" w:rsidRDefault="00C22867">
      <w:pPr>
        <w:spacing w:after="200" w:line="276" w:lineRule="auto"/>
        <w:rPr>
          <w:u w:val="single"/>
        </w:rPr>
      </w:pPr>
      <w:r>
        <w:rPr>
          <w:u w:val="single"/>
        </w:rPr>
        <w:br w:type="page"/>
      </w:r>
    </w:p>
    <w:p w14:paraId="67861EDC" w14:textId="24C439B6" w:rsidR="00FB5580" w:rsidRDefault="00FB5580" w:rsidP="00FB5580">
      <w:pPr>
        <w:pStyle w:val="Nadpis4"/>
        <w:spacing w:line="360" w:lineRule="auto"/>
      </w:pPr>
      <w:bookmarkStart w:id="262" w:name="_Toc525716286"/>
      <w:r>
        <w:t>Železniční a kolejová vozidla</w:t>
      </w:r>
      <w:bookmarkEnd w:id="262"/>
    </w:p>
    <w:p w14:paraId="79B731CC" w14:textId="600588DC" w:rsidR="00FB5580" w:rsidRDefault="00FB5580" w:rsidP="00543C1B">
      <w:pPr>
        <w:pStyle w:val="Odstavecseseznamem"/>
        <w:numPr>
          <w:ilvl w:val="0"/>
          <w:numId w:val="169"/>
        </w:numPr>
        <w:spacing w:line="360" w:lineRule="auto"/>
        <w:rPr>
          <w:u w:val="single"/>
        </w:rPr>
      </w:pPr>
      <w:r w:rsidRPr="00FB5580">
        <w:rPr>
          <w:u w:val="single"/>
        </w:rPr>
        <w:t>Témata VaVaI identifikovaná prostřednictvím EDP</w:t>
      </w:r>
    </w:p>
    <w:p w14:paraId="76181D52" w14:textId="77777777" w:rsidR="00FB5580" w:rsidRPr="00FB5580" w:rsidRDefault="00FB5580" w:rsidP="00543C1B">
      <w:pPr>
        <w:numPr>
          <w:ilvl w:val="0"/>
          <w:numId w:val="171"/>
        </w:numPr>
        <w:spacing w:before="240" w:after="120" w:line="360" w:lineRule="auto"/>
        <w:ind w:left="737" w:hanging="377"/>
        <w:jc w:val="both"/>
        <w:rPr>
          <w:rFonts w:eastAsia="MS Mincho"/>
          <w:b/>
        </w:rPr>
      </w:pPr>
      <w:r w:rsidRPr="00FB5580">
        <w:rPr>
          <w:rFonts w:eastAsia="MS Mincho"/>
          <w:b/>
        </w:rPr>
        <w:t xml:space="preserve">Pokročilé materiály </w:t>
      </w:r>
    </w:p>
    <w:p w14:paraId="1629B9E5" w14:textId="77777777" w:rsidR="00FB5580" w:rsidRPr="00FB5580" w:rsidRDefault="00FB5580" w:rsidP="00543C1B">
      <w:pPr>
        <w:numPr>
          <w:ilvl w:val="1"/>
          <w:numId w:val="172"/>
        </w:numPr>
        <w:spacing w:after="120" w:line="360" w:lineRule="auto"/>
        <w:ind w:left="1276" w:hanging="283"/>
        <w:jc w:val="both"/>
        <w:rPr>
          <w:rFonts w:eastAsia="MS Mincho"/>
        </w:rPr>
      </w:pPr>
      <w:r w:rsidRPr="00FB5580">
        <w:rPr>
          <w:rFonts w:eastAsia="MS Mincho"/>
        </w:rPr>
        <w:t>materiály nových vlastností pro redukci emise a šíření hluku a vibrací v železničním provozu</w:t>
      </w:r>
    </w:p>
    <w:p w14:paraId="59CD3745" w14:textId="77777777" w:rsidR="00FB5580" w:rsidRPr="00FB5580" w:rsidRDefault="00FB5580" w:rsidP="00543C1B">
      <w:pPr>
        <w:numPr>
          <w:ilvl w:val="1"/>
          <w:numId w:val="172"/>
        </w:numPr>
        <w:spacing w:after="120" w:line="360" w:lineRule="auto"/>
        <w:ind w:left="1276" w:hanging="283"/>
        <w:jc w:val="both"/>
        <w:rPr>
          <w:rFonts w:eastAsia="MS Mincho"/>
        </w:rPr>
      </w:pPr>
      <w:r w:rsidRPr="00FB5580">
        <w:rPr>
          <w:rFonts w:eastAsia="MS Mincho"/>
        </w:rPr>
        <w:t xml:space="preserve">vývoj materiálů železničních kol a náprav s vyšší životností a bezpečností v provozu, včetně jejich technologií tepelného zpracování, výzkum a ověřování nových kovových i nekovových materiálů </w:t>
      </w:r>
    </w:p>
    <w:p w14:paraId="30CE2AEF" w14:textId="77777777" w:rsidR="00FB5580" w:rsidRPr="00FB5580" w:rsidRDefault="00FB5580" w:rsidP="00543C1B">
      <w:pPr>
        <w:numPr>
          <w:ilvl w:val="1"/>
          <w:numId w:val="172"/>
        </w:numPr>
        <w:spacing w:after="120" w:line="360" w:lineRule="auto"/>
        <w:ind w:left="1276" w:hanging="283"/>
        <w:jc w:val="both"/>
        <w:rPr>
          <w:rFonts w:eastAsia="MS Mincho"/>
        </w:rPr>
      </w:pPr>
      <w:r w:rsidRPr="00FB5580">
        <w:rPr>
          <w:rFonts w:eastAsia="MS Mincho"/>
        </w:rPr>
        <w:t xml:space="preserve">vývoj nových konstrukcí pryží odpružených kol pro městskou a příměstskou kolejovou dopravu </w:t>
      </w:r>
    </w:p>
    <w:p w14:paraId="7051D6A2" w14:textId="77777777" w:rsidR="00FB5580" w:rsidRPr="00FB5580" w:rsidRDefault="00FB5580" w:rsidP="00543C1B">
      <w:pPr>
        <w:numPr>
          <w:ilvl w:val="0"/>
          <w:numId w:val="173"/>
        </w:numPr>
        <w:spacing w:before="240" w:after="120" w:line="360" w:lineRule="auto"/>
        <w:jc w:val="both"/>
        <w:rPr>
          <w:b/>
        </w:rPr>
      </w:pPr>
      <w:r w:rsidRPr="00FB5580">
        <w:rPr>
          <w:b/>
        </w:rPr>
        <w:t>Pokročilé výrobní technologie</w:t>
      </w:r>
    </w:p>
    <w:p w14:paraId="0EA3ED74" w14:textId="77777777" w:rsidR="00FB5580" w:rsidRPr="00FB5580" w:rsidRDefault="00FB5580" w:rsidP="00543C1B">
      <w:pPr>
        <w:pStyle w:val="Default"/>
        <w:numPr>
          <w:ilvl w:val="0"/>
          <w:numId w:val="173"/>
        </w:numPr>
        <w:spacing w:after="140" w:line="360" w:lineRule="auto"/>
        <w:jc w:val="both"/>
        <w:rPr>
          <w:rFonts w:asciiTheme="minorHAnsi" w:hAnsiTheme="minorHAnsi"/>
          <w:b/>
          <w:color w:val="auto"/>
          <w:sz w:val="22"/>
          <w:szCs w:val="22"/>
        </w:rPr>
      </w:pPr>
      <w:r w:rsidRPr="00FB5580">
        <w:rPr>
          <w:rFonts w:asciiTheme="minorHAnsi" w:hAnsiTheme="minorHAnsi"/>
          <w:b/>
          <w:color w:val="auto"/>
          <w:sz w:val="22"/>
          <w:szCs w:val="22"/>
        </w:rPr>
        <w:t xml:space="preserve">Produkty </w:t>
      </w:r>
    </w:p>
    <w:p w14:paraId="41D9447F" w14:textId="77777777" w:rsidR="00FB5580" w:rsidRPr="00FB5580" w:rsidRDefault="00FB5580" w:rsidP="00543C1B">
      <w:pPr>
        <w:numPr>
          <w:ilvl w:val="0"/>
          <w:numId w:val="170"/>
        </w:numPr>
        <w:spacing w:after="120" w:line="360" w:lineRule="auto"/>
        <w:ind w:left="1440"/>
        <w:jc w:val="both"/>
        <w:rPr>
          <w:rFonts w:eastAsia="MS Mincho"/>
        </w:rPr>
      </w:pPr>
      <w:r w:rsidRPr="00FB5580">
        <w:rPr>
          <w:rFonts w:eastAsia="MS Mincho"/>
        </w:rPr>
        <w:t>řešení interiérů drážních vozidel, pro dosažení maximálních energetických úspor, minimalizace emisí a distribuce hluku a vibrací, zvyšování funkční a požární bezpečnosti interiéru kolejových vozidel</w:t>
      </w:r>
    </w:p>
    <w:p w14:paraId="47258F4F" w14:textId="77777777" w:rsidR="00FB5580" w:rsidRPr="00FB5580" w:rsidRDefault="00FB5580" w:rsidP="00543C1B">
      <w:pPr>
        <w:numPr>
          <w:ilvl w:val="0"/>
          <w:numId w:val="170"/>
        </w:numPr>
        <w:spacing w:after="120" w:line="360" w:lineRule="auto"/>
        <w:ind w:left="1440"/>
        <w:jc w:val="both"/>
        <w:rPr>
          <w:rFonts w:eastAsia="MS Mincho"/>
        </w:rPr>
      </w:pPr>
      <w:r w:rsidRPr="00FB5580">
        <w:rPr>
          <w:rFonts w:eastAsia="MS Mincho"/>
        </w:rPr>
        <w:t>implementace nových evropských legislativních požadavků kladených na kolejová vozidla - interoperabilita, bezpečnost a provozní efektivnost a systém prokazování shody</w:t>
      </w:r>
    </w:p>
    <w:p w14:paraId="06F79502" w14:textId="77777777" w:rsidR="00FB5580" w:rsidRPr="00FB5580" w:rsidRDefault="00FB5580" w:rsidP="00543C1B">
      <w:pPr>
        <w:numPr>
          <w:ilvl w:val="0"/>
          <w:numId w:val="170"/>
        </w:numPr>
        <w:spacing w:after="120" w:line="360" w:lineRule="auto"/>
        <w:ind w:left="1440"/>
        <w:jc w:val="both"/>
        <w:rPr>
          <w:rFonts w:eastAsia="MS Mincho"/>
        </w:rPr>
      </w:pPr>
      <w:r w:rsidRPr="00FB5580">
        <w:rPr>
          <w:rFonts w:eastAsia="MS Mincho"/>
        </w:rPr>
        <w:t>vývoj a realizace prototypů kolejových vozidel za účelem ověření dosažení požadované úrovně interoperability</w:t>
      </w:r>
    </w:p>
    <w:p w14:paraId="631C0FE4" w14:textId="77777777" w:rsidR="00FB5580" w:rsidRPr="00FB5580" w:rsidRDefault="00FB5580" w:rsidP="00543C1B">
      <w:pPr>
        <w:numPr>
          <w:ilvl w:val="0"/>
          <w:numId w:val="170"/>
        </w:numPr>
        <w:spacing w:after="120" w:line="360" w:lineRule="auto"/>
        <w:ind w:left="1440"/>
        <w:jc w:val="both"/>
        <w:rPr>
          <w:rFonts w:eastAsia="MS Mincho"/>
        </w:rPr>
      </w:pPr>
      <w:r w:rsidRPr="00FB5580">
        <w:rPr>
          <w:rFonts w:eastAsia="MS Mincho"/>
        </w:rPr>
        <w:t xml:space="preserve">návrh a optimalizace nových konstrukcí kol a náprav pro vysoké rychlosti nad 300km/h </w:t>
      </w:r>
    </w:p>
    <w:p w14:paraId="469A9770" w14:textId="77777777" w:rsidR="00FB5580" w:rsidRPr="00FB5580" w:rsidRDefault="00FB5580" w:rsidP="00543C1B">
      <w:pPr>
        <w:numPr>
          <w:ilvl w:val="0"/>
          <w:numId w:val="170"/>
        </w:numPr>
        <w:spacing w:after="120" w:line="360" w:lineRule="auto"/>
        <w:ind w:left="1440"/>
        <w:jc w:val="both"/>
        <w:rPr>
          <w:rFonts w:eastAsia="MS Mincho"/>
        </w:rPr>
      </w:pPr>
      <w:r w:rsidRPr="00FB5580">
        <w:rPr>
          <w:rFonts w:eastAsia="MS Mincho"/>
        </w:rPr>
        <w:t xml:space="preserve">vývoj v oblasti zvyšování životnosti infrastruktury a jejích komponent, nové diagnostické metody pro železniční infrastrukturu a kolejová vozidla </w:t>
      </w:r>
    </w:p>
    <w:p w14:paraId="33B075F6" w14:textId="77777777" w:rsidR="00FB5580" w:rsidRPr="00FB5580" w:rsidRDefault="00FB5580" w:rsidP="00543C1B">
      <w:pPr>
        <w:numPr>
          <w:ilvl w:val="0"/>
          <w:numId w:val="170"/>
        </w:numPr>
        <w:spacing w:after="120" w:line="360" w:lineRule="auto"/>
        <w:ind w:left="1440"/>
        <w:jc w:val="both"/>
        <w:rPr>
          <w:rFonts w:eastAsia="MS Mincho"/>
        </w:rPr>
      </w:pPr>
      <w:r w:rsidRPr="00FB5580">
        <w:rPr>
          <w:rFonts w:eastAsia="MS Mincho"/>
        </w:rPr>
        <w:t>zvyšování technických parametrů komponent a celků</w:t>
      </w:r>
    </w:p>
    <w:p w14:paraId="13AA22C8" w14:textId="77777777" w:rsidR="00FB5580" w:rsidRPr="00FB5580" w:rsidRDefault="00FB5580" w:rsidP="00543C1B">
      <w:pPr>
        <w:numPr>
          <w:ilvl w:val="0"/>
          <w:numId w:val="170"/>
        </w:numPr>
        <w:spacing w:after="120" w:line="360" w:lineRule="auto"/>
        <w:ind w:left="1440"/>
        <w:jc w:val="both"/>
        <w:rPr>
          <w:rFonts w:eastAsia="MS Mincho"/>
        </w:rPr>
      </w:pPr>
      <w:r w:rsidRPr="00FB5580">
        <w:rPr>
          <w:rFonts w:eastAsia="MS Mincho"/>
        </w:rPr>
        <w:t xml:space="preserve">viz také téma u Emise/Hluk „Ekologické pohony“ </w:t>
      </w:r>
    </w:p>
    <w:p w14:paraId="0104FFEB" w14:textId="77777777" w:rsidR="00FB5580" w:rsidRPr="00FB5580" w:rsidRDefault="00FB5580" w:rsidP="00543C1B">
      <w:pPr>
        <w:numPr>
          <w:ilvl w:val="0"/>
          <w:numId w:val="170"/>
        </w:numPr>
        <w:spacing w:after="120" w:line="360" w:lineRule="auto"/>
        <w:ind w:left="1440"/>
        <w:jc w:val="both"/>
        <w:rPr>
          <w:rFonts w:eastAsia="MS Mincho"/>
        </w:rPr>
      </w:pPr>
      <w:r w:rsidRPr="00FB5580">
        <w:rPr>
          <w:rFonts w:eastAsia="MS Mincho"/>
        </w:rPr>
        <w:t>aerodynamika kolejových vozidel, včetně účinku bočního větru, návrhu a vypracování větrné mapy ČR v územích sítě TEN-T a tras uvažovaných pro výstavbu VRT</w:t>
      </w:r>
    </w:p>
    <w:p w14:paraId="37DA82C2" w14:textId="77777777" w:rsidR="00FB5580" w:rsidRPr="00FB5580" w:rsidRDefault="00FB5580" w:rsidP="00543C1B">
      <w:pPr>
        <w:numPr>
          <w:ilvl w:val="0"/>
          <w:numId w:val="174"/>
        </w:numPr>
        <w:spacing w:before="240" w:after="120" w:line="360" w:lineRule="auto"/>
        <w:ind w:left="737" w:hanging="377"/>
        <w:jc w:val="both"/>
        <w:rPr>
          <w:rFonts w:eastAsia="MS Mincho"/>
          <w:b/>
        </w:rPr>
      </w:pPr>
      <w:r w:rsidRPr="00FB5580">
        <w:rPr>
          <w:rFonts w:eastAsia="MS Mincho"/>
          <w:b/>
        </w:rPr>
        <w:t xml:space="preserve">Emise/Hluk/Energie </w:t>
      </w:r>
    </w:p>
    <w:p w14:paraId="54D722A5" w14:textId="77777777" w:rsidR="00FB5580" w:rsidRPr="00FB5580" w:rsidRDefault="00FB5580" w:rsidP="00543C1B">
      <w:pPr>
        <w:numPr>
          <w:ilvl w:val="0"/>
          <w:numId w:val="175"/>
        </w:numPr>
        <w:spacing w:after="120" w:line="360" w:lineRule="auto"/>
        <w:jc w:val="both"/>
        <w:rPr>
          <w:rFonts w:eastAsia="MS Mincho"/>
        </w:rPr>
      </w:pPr>
      <w:r w:rsidRPr="00FB5580">
        <w:rPr>
          <w:rFonts w:eastAsia="MS Mincho"/>
        </w:rPr>
        <w:t xml:space="preserve">vývoj tlumících systémů kol pro snižování hluku </w:t>
      </w:r>
    </w:p>
    <w:p w14:paraId="5C58F4E6" w14:textId="77777777" w:rsidR="00FB5580" w:rsidRPr="00FB5580" w:rsidRDefault="00FB5580" w:rsidP="00543C1B">
      <w:pPr>
        <w:numPr>
          <w:ilvl w:val="0"/>
          <w:numId w:val="175"/>
        </w:numPr>
        <w:spacing w:after="120" w:line="360" w:lineRule="auto"/>
        <w:jc w:val="both"/>
        <w:rPr>
          <w:rFonts w:eastAsia="MS Mincho"/>
        </w:rPr>
      </w:pPr>
      <w:r w:rsidRPr="00FB5580">
        <w:rPr>
          <w:rFonts w:eastAsia="MS Mincho"/>
        </w:rPr>
        <w:t>ekologické pohony budoucnosti v železniční dopravě a odpovídající návazné technologie železniční infrastruktury</w:t>
      </w:r>
    </w:p>
    <w:p w14:paraId="5BB7F70A" w14:textId="77777777" w:rsidR="00FB5580" w:rsidRPr="00FB5580" w:rsidRDefault="00FB5580" w:rsidP="00543C1B">
      <w:pPr>
        <w:numPr>
          <w:ilvl w:val="0"/>
          <w:numId w:val="175"/>
        </w:numPr>
        <w:spacing w:after="120" w:line="360" w:lineRule="auto"/>
        <w:jc w:val="both"/>
        <w:rPr>
          <w:rFonts w:eastAsia="MS Mincho"/>
        </w:rPr>
      </w:pPr>
      <w:r w:rsidRPr="00FB5580">
        <w:rPr>
          <w:rFonts w:eastAsia="MS Mincho"/>
        </w:rPr>
        <w:t>výzkum a vývoj pokročilých kompletních rekuperačních systémů</w:t>
      </w:r>
    </w:p>
    <w:p w14:paraId="3B8D3285" w14:textId="77777777" w:rsidR="00FB5580" w:rsidRPr="00FB5580" w:rsidRDefault="00FB5580" w:rsidP="00543C1B">
      <w:pPr>
        <w:numPr>
          <w:ilvl w:val="0"/>
          <w:numId w:val="175"/>
        </w:numPr>
        <w:spacing w:after="120" w:line="360" w:lineRule="auto"/>
        <w:jc w:val="both"/>
        <w:rPr>
          <w:rFonts w:eastAsia="MS Mincho"/>
        </w:rPr>
      </w:pPr>
      <w:r w:rsidRPr="00FB5580">
        <w:rPr>
          <w:rFonts w:eastAsia="MS Mincho"/>
        </w:rPr>
        <w:t>systémy automatického řízení drážních vozidel a dopravy s ohledem na optimalizaci využití energie</w:t>
      </w:r>
    </w:p>
    <w:p w14:paraId="32D7E3C5" w14:textId="77777777" w:rsidR="00FB5580" w:rsidRPr="00FB5580" w:rsidRDefault="00FB5580" w:rsidP="00543C1B">
      <w:pPr>
        <w:numPr>
          <w:ilvl w:val="0"/>
          <w:numId w:val="175"/>
        </w:numPr>
        <w:spacing w:after="120" w:line="360" w:lineRule="auto"/>
        <w:jc w:val="both"/>
        <w:rPr>
          <w:rFonts w:eastAsia="MS Mincho"/>
        </w:rPr>
      </w:pPr>
      <w:r w:rsidRPr="00FB5580">
        <w:rPr>
          <w:rFonts w:eastAsia="MS Mincho"/>
        </w:rPr>
        <w:t>zlepšování energetických a trakčních parametrů komponent trakčních výzbrojí železničních vozidel</w:t>
      </w:r>
    </w:p>
    <w:p w14:paraId="1F49D309" w14:textId="77777777" w:rsidR="00FB5580" w:rsidRPr="00FB5580" w:rsidRDefault="00FB5580" w:rsidP="00543C1B">
      <w:pPr>
        <w:numPr>
          <w:ilvl w:val="0"/>
          <w:numId w:val="175"/>
        </w:numPr>
        <w:spacing w:after="120" w:line="360" w:lineRule="auto"/>
        <w:jc w:val="both"/>
        <w:rPr>
          <w:rFonts w:eastAsia="MS Mincho"/>
        </w:rPr>
      </w:pPr>
      <w:r w:rsidRPr="00FB5580">
        <w:rPr>
          <w:rFonts w:eastAsia="MS Mincho"/>
        </w:rPr>
        <w:t>metody řízení pohonů s cílem snižovaní energetické spotřeby komponent a kolejových vozidel a optimálního využití adhezních podmínek</w:t>
      </w:r>
    </w:p>
    <w:p w14:paraId="6E31CB45" w14:textId="77777777" w:rsidR="00FB5580" w:rsidRPr="00FB5580" w:rsidRDefault="00FB5580" w:rsidP="00543C1B">
      <w:pPr>
        <w:numPr>
          <w:ilvl w:val="0"/>
          <w:numId w:val="175"/>
        </w:numPr>
        <w:spacing w:after="120" w:line="360" w:lineRule="auto"/>
        <w:jc w:val="both"/>
        <w:rPr>
          <w:rFonts w:eastAsia="MS Mincho"/>
        </w:rPr>
      </w:pPr>
      <w:r w:rsidRPr="00FB5580">
        <w:rPr>
          <w:rFonts w:eastAsia="MS Mincho"/>
        </w:rPr>
        <w:t>výzkum a vývoj nízkoemisních pohonů</w:t>
      </w:r>
    </w:p>
    <w:p w14:paraId="07500F74" w14:textId="77777777" w:rsidR="00FB5580" w:rsidRPr="00FB5580" w:rsidRDefault="00FB5580" w:rsidP="00543C1B">
      <w:pPr>
        <w:numPr>
          <w:ilvl w:val="0"/>
          <w:numId w:val="176"/>
        </w:numPr>
        <w:spacing w:before="240" w:after="120" w:line="360" w:lineRule="auto"/>
        <w:ind w:left="737" w:hanging="377"/>
        <w:jc w:val="both"/>
        <w:rPr>
          <w:rFonts w:eastAsia="MS Mincho"/>
          <w:b/>
        </w:rPr>
      </w:pPr>
      <w:r w:rsidRPr="00FB5580">
        <w:rPr>
          <w:rFonts w:eastAsia="MS Mincho"/>
          <w:b/>
        </w:rPr>
        <w:t xml:space="preserve">Řídicí systémy/elektronika </w:t>
      </w:r>
    </w:p>
    <w:p w14:paraId="256D9282"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aplikace satelitní lokalizace v zabezpečovací technice se zaměřením především na ETCS, zvýšení bezpečnosti na regionálních tratích, telematické aplikace, včetně diagnostiky </w:t>
      </w:r>
    </w:p>
    <w:p w14:paraId="779A55FF"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rozvoj evropského zabezpečovacího systému (ERTMS – ERTMS/ETCS a ERTMS/GSM-R) se zaměřením na zavedení funkčního klíčového on-line managementu </w:t>
      </w:r>
    </w:p>
    <w:p w14:paraId="76E2107E"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implementace ETCS na drážní vozidla </w:t>
      </w:r>
    </w:p>
    <w:p w14:paraId="599FB186"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integrace sofistikovaných řešení automatického řízení vlaku navázaného na systémy řízení dopravy</w:t>
      </w:r>
    </w:p>
    <w:p w14:paraId="5E6A5657" w14:textId="1AF5B20E" w:rsidR="00FB5580" w:rsidRPr="00FB5580" w:rsidRDefault="00FB5580" w:rsidP="00543C1B">
      <w:pPr>
        <w:numPr>
          <w:ilvl w:val="0"/>
          <w:numId w:val="177"/>
        </w:numPr>
        <w:spacing w:after="120" w:line="360" w:lineRule="auto"/>
        <w:jc w:val="both"/>
        <w:rPr>
          <w:rFonts w:eastAsia="MS Mincho"/>
        </w:rPr>
      </w:pPr>
      <w:r w:rsidRPr="00FB5580">
        <w:rPr>
          <w:rFonts w:eastAsia="MS Mincho"/>
        </w:rPr>
        <w:t>rozvoj mobilních částí ETCS dle nových specifikací a nal</w:t>
      </w:r>
      <w:r>
        <w:rPr>
          <w:rFonts w:eastAsia="MS Mincho"/>
        </w:rPr>
        <w:t>ezení optimálního technického a </w:t>
      </w:r>
      <w:r w:rsidRPr="00FB5580">
        <w:rPr>
          <w:rFonts w:eastAsia="MS Mincho"/>
        </w:rPr>
        <w:t xml:space="preserve">finančního kompromisu pro aplikaci na regionálních tratích </w:t>
      </w:r>
    </w:p>
    <w:p w14:paraId="307F40B1"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rozvoj detekčních prostředků pro zjišťování volnosti / obsazení kolejových úseků v souladu s rozvojem trakčních pohonů lokomotiv, vývoj neohraničených kolejových obvodů umožňující rozšíření aplikace bezstykové koleje </w:t>
      </w:r>
    </w:p>
    <w:p w14:paraId="1CE18E29"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vývoj plné automatizace řízení dopravy, včetně provázání na drážní vozidla (SW, HW) </w:t>
      </w:r>
    </w:p>
    <w:p w14:paraId="141775CB"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optimalizace automatického řízení drážní dopravy z hlediska efektivního hospodaření s energetickými zdroji</w:t>
      </w:r>
    </w:p>
    <w:p w14:paraId="630E9761"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rozvoj stacionární infrastruktury pro automatizaci řízení jízdy vozidel, včetně on-line přenosu dat </w:t>
      </w:r>
    </w:p>
    <w:p w14:paraId="41D24BA4"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rozvoj bezpečných radiových přenosových systémů </w:t>
      </w:r>
    </w:p>
    <w:p w14:paraId="3BAC9F88"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informační systémy pro cestující – poskytnutí vizuální i zvukové informace, včetně multimédií jak pro cestující, tak pro personál vlaku </w:t>
      </w:r>
    </w:p>
    <w:p w14:paraId="6870ECC9"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centrální správa dat a jejich distribuce na jednotlivá vozidla dopravců </w:t>
      </w:r>
    </w:p>
    <w:p w14:paraId="4F38C6B1" w14:textId="77777777" w:rsidR="00FB5580" w:rsidRPr="00FB5580" w:rsidRDefault="00FB5580" w:rsidP="00543C1B">
      <w:pPr>
        <w:numPr>
          <w:ilvl w:val="0"/>
          <w:numId w:val="177"/>
        </w:numPr>
        <w:spacing w:after="120" w:line="360" w:lineRule="auto"/>
        <w:jc w:val="both"/>
        <w:rPr>
          <w:rFonts w:eastAsia="MS Mincho"/>
        </w:rPr>
      </w:pPr>
      <w:r w:rsidRPr="00FB5580">
        <w:rPr>
          <w:rFonts w:eastAsia="MS Mincho"/>
        </w:rPr>
        <w:t xml:space="preserve">řešení zvýšení bezpečnosti na železničních přejezdech </w:t>
      </w:r>
    </w:p>
    <w:p w14:paraId="502B4ED0" w14:textId="77777777" w:rsidR="00FB5580" w:rsidRPr="00FB5580" w:rsidRDefault="00FB5580" w:rsidP="00543C1B">
      <w:pPr>
        <w:numPr>
          <w:ilvl w:val="0"/>
          <w:numId w:val="178"/>
        </w:numPr>
        <w:spacing w:before="240" w:after="120" w:line="360" w:lineRule="auto"/>
        <w:ind w:left="737" w:hanging="377"/>
        <w:jc w:val="both"/>
        <w:rPr>
          <w:rFonts w:eastAsia="MS Mincho"/>
          <w:b/>
        </w:rPr>
      </w:pPr>
      <w:r w:rsidRPr="00FB5580">
        <w:rPr>
          <w:rFonts w:eastAsia="MS Mincho"/>
          <w:b/>
        </w:rPr>
        <w:t xml:space="preserve">Zkušebnictví </w:t>
      </w:r>
    </w:p>
    <w:p w14:paraId="287B6B96" w14:textId="77777777" w:rsidR="00FB5580" w:rsidRPr="00FB5580" w:rsidRDefault="00FB5580" w:rsidP="00543C1B">
      <w:pPr>
        <w:numPr>
          <w:ilvl w:val="0"/>
          <w:numId w:val="179"/>
        </w:numPr>
        <w:spacing w:after="120" w:line="360" w:lineRule="auto"/>
        <w:jc w:val="both"/>
        <w:rPr>
          <w:rFonts w:eastAsia="MS Mincho"/>
        </w:rPr>
      </w:pPr>
      <w:r w:rsidRPr="00FB5580">
        <w:rPr>
          <w:rFonts w:eastAsia="MS Mincho"/>
        </w:rPr>
        <w:t>zkušebnictví a inženýrské činnosti; technické zkoušky, analýzy, simulace, ověřování, hodnocení, certifikace (prokázání shody s legislativními požadavky) a technické poradenství spojené s ověřováním dosažení požadované úrovně interoperability a bezpečnosti pro ověření výsledků předmětu vývoje a jejich aplikovatelnosti</w:t>
      </w:r>
    </w:p>
    <w:p w14:paraId="21DB3428" w14:textId="77777777" w:rsidR="00FB5580" w:rsidRPr="00FB5580" w:rsidRDefault="00FB5580" w:rsidP="00543C1B">
      <w:pPr>
        <w:numPr>
          <w:ilvl w:val="0"/>
          <w:numId w:val="181"/>
        </w:numPr>
        <w:spacing w:before="240" w:after="120" w:line="360" w:lineRule="auto"/>
        <w:ind w:left="709" w:hanging="283"/>
        <w:jc w:val="both"/>
        <w:rPr>
          <w:rFonts w:eastAsia="MS Mincho"/>
          <w:b/>
        </w:rPr>
      </w:pPr>
      <w:r w:rsidRPr="00FB5580">
        <w:rPr>
          <w:rFonts w:eastAsia="MS Mincho"/>
          <w:b/>
        </w:rPr>
        <w:t>Normalizace a novotvorba</w:t>
      </w:r>
    </w:p>
    <w:p w14:paraId="716CB420" w14:textId="77777777" w:rsidR="00FB5580" w:rsidRPr="00FB5580" w:rsidRDefault="00FB5580" w:rsidP="00543C1B">
      <w:pPr>
        <w:numPr>
          <w:ilvl w:val="0"/>
          <w:numId w:val="180"/>
        </w:numPr>
        <w:spacing w:after="120" w:line="360" w:lineRule="auto"/>
        <w:jc w:val="both"/>
      </w:pPr>
      <w:r w:rsidRPr="00FB5580">
        <w:rPr>
          <w:rFonts w:eastAsia="MS Mincho"/>
        </w:rPr>
        <w:t>rozvoj a podpora normotvorné činnosti a doprovodných aktivit ve vazbě na aktuální stav techniky a výsledků</w:t>
      </w:r>
      <w:r w:rsidRPr="00FB5580">
        <w:t xml:space="preserve"> výzkumu</w:t>
      </w:r>
    </w:p>
    <w:p w14:paraId="72472868" w14:textId="77777777" w:rsidR="00FB5580" w:rsidRPr="00FB5580" w:rsidRDefault="00FB5580" w:rsidP="00543C1B">
      <w:pPr>
        <w:numPr>
          <w:ilvl w:val="0"/>
          <w:numId w:val="182"/>
        </w:numPr>
        <w:spacing w:before="240" w:after="120" w:line="360" w:lineRule="auto"/>
        <w:ind w:left="737" w:hanging="377"/>
        <w:jc w:val="both"/>
        <w:rPr>
          <w:rFonts w:eastAsia="MS Mincho"/>
          <w:b/>
        </w:rPr>
      </w:pPr>
      <w:r w:rsidRPr="00FB5580">
        <w:rPr>
          <w:rFonts w:eastAsia="MS Mincho"/>
          <w:b/>
        </w:rPr>
        <w:t>Personální rozvoj vývojových a inženýrských kapacit</w:t>
      </w:r>
    </w:p>
    <w:p w14:paraId="2EE6167E" w14:textId="77777777" w:rsidR="00FB5580" w:rsidRPr="00FB5580" w:rsidRDefault="00FB5580" w:rsidP="00543C1B">
      <w:pPr>
        <w:numPr>
          <w:ilvl w:val="0"/>
          <w:numId w:val="183"/>
        </w:numPr>
        <w:spacing w:after="120" w:line="360" w:lineRule="auto"/>
        <w:jc w:val="both"/>
      </w:pPr>
      <w:r w:rsidRPr="00FB5580">
        <w:rPr>
          <w:rFonts w:eastAsia="MS Mincho"/>
        </w:rPr>
        <w:t>řešení nedostatku odborných kapacit rozvojem a podporou dostupných kapacit formou rozvoje středního a vysokého školství a celoživotního vzdělávání; cílené profesní směřování této formy vzdělávání</w:t>
      </w:r>
      <w:r w:rsidRPr="00FB5580">
        <w:t xml:space="preserve"> dle potřeb sektoru</w:t>
      </w:r>
    </w:p>
    <w:p w14:paraId="37E6476C" w14:textId="77777777" w:rsidR="008D3633" w:rsidRDefault="00FB5580" w:rsidP="00543C1B">
      <w:pPr>
        <w:numPr>
          <w:ilvl w:val="0"/>
          <w:numId w:val="184"/>
        </w:numPr>
        <w:spacing w:before="240" w:after="120" w:line="360" w:lineRule="auto"/>
        <w:ind w:left="737" w:hanging="377"/>
        <w:jc w:val="both"/>
        <w:rPr>
          <w:rFonts w:eastAsia="MS Mincho"/>
          <w:b/>
        </w:rPr>
      </w:pPr>
      <w:r w:rsidRPr="00FB5580">
        <w:rPr>
          <w:rFonts w:eastAsia="MS Mincho"/>
          <w:b/>
        </w:rPr>
        <w:t>Bezpečnost a Ekologie</w:t>
      </w:r>
    </w:p>
    <w:p w14:paraId="27F7C4C4" w14:textId="184EBF19" w:rsidR="00FB5580" w:rsidRPr="008D3633" w:rsidRDefault="00FB5580" w:rsidP="00543C1B">
      <w:pPr>
        <w:numPr>
          <w:ilvl w:val="0"/>
          <w:numId w:val="183"/>
        </w:numPr>
        <w:spacing w:after="120" w:line="360" w:lineRule="auto"/>
        <w:jc w:val="both"/>
        <w:rPr>
          <w:rFonts w:eastAsia="MS Mincho"/>
        </w:rPr>
      </w:pPr>
      <w:r w:rsidRPr="008D3633">
        <w:rPr>
          <w:rFonts w:eastAsia="MS Mincho"/>
        </w:rPr>
        <w:t>rozvoj a podpora systému údržby a modernizace kolejových vozidel s cílem zvýšit bezpečnost a ekologičnost provozu</w:t>
      </w:r>
    </w:p>
    <w:p w14:paraId="4269F63B" w14:textId="77777777" w:rsidR="00FB5580" w:rsidRPr="00FB5580" w:rsidRDefault="00FB5580" w:rsidP="00FB5580">
      <w:pPr>
        <w:spacing w:line="360" w:lineRule="auto"/>
        <w:rPr>
          <w:u w:val="single"/>
        </w:rPr>
      </w:pPr>
    </w:p>
    <w:p w14:paraId="000BCEB4" w14:textId="3B695812" w:rsidR="00FB5580" w:rsidRPr="00FB5580" w:rsidRDefault="00FB5580" w:rsidP="00543C1B">
      <w:pPr>
        <w:pStyle w:val="Odstavecseseznamem"/>
        <w:numPr>
          <w:ilvl w:val="0"/>
          <w:numId w:val="169"/>
        </w:numPr>
        <w:spacing w:line="360" w:lineRule="auto"/>
        <w:rPr>
          <w:u w:val="single"/>
        </w:rPr>
      </w:pPr>
      <w:r w:rsidRPr="00FB5580">
        <w:rPr>
          <w:u w:val="single"/>
        </w:rPr>
        <w:t>Indikativní vztah ke klasifikaci CZ NACE</w:t>
      </w:r>
    </w:p>
    <w:p w14:paraId="2A3F88B0" w14:textId="1D5CD5EA" w:rsidR="00244B04" w:rsidRPr="00241437" w:rsidRDefault="00244B04" w:rsidP="00244B04">
      <w:pPr>
        <w:pStyle w:val="Bezmezer1"/>
        <w:spacing w:before="40" w:after="40" w:line="360" w:lineRule="auto"/>
        <w:jc w:val="both"/>
        <w:rPr>
          <w:rFonts w:asciiTheme="minorHAnsi" w:hAnsiTheme="minorHAnsi"/>
          <w:b/>
        </w:rPr>
      </w:pPr>
      <w:r w:rsidRPr="00241437">
        <w:rPr>
          <w:rFonts w:asciiTheme="minorHAnsi" w:hAnsiTheme="minorHAnsi"/>
          <w:b/>
        </w:rPr>
        <w:t>Hlavní relevantní CZ</w:t>
      </w:r>
      <w:r>
        <w:rPr>
          <w:rFonts w:asciiTheme="minorHAnsi" w:hAnsiTheme="minorHAnsi"/>
          <w:b/>
        </w:rPr>
        <w:t xml:space="preserve"> </w:t>
      </w:r>
      <w:r w:rsidRPr="00241437">
        <w:rPr>
          <w:rFonts w:asciiTheme="minorHAnsi" w:hAnsiTheme="minorHAnsi"/>
          <w:b/>
        </w:rPr>
        <w:t>NACE</w:t>
      </w:r>
    </w:p>
    <w:p w14:paraId="626B9FAD" w14:textId="63C30047" w:rsidR="00244B04" w:rsidRPr="00241437" w:rsidRDefault="00244B04" w:rsidP="00244B04">
      <w:pPr>
        <w:pStyle w:val="Bezmezer1"/>
        <w:spacing w:before="40" w:after="40" w:line="360" w:lineRule="auto"/>
        <w:ind w:firstLine="708"/>
        <w:jc w:val="both"/>
        <w:rPr>
          <w:rFonts w:asciiTheme="minorHAnsi" w:hAnsiTheme="minorHAnsi"/>
        </w:rPr>
      </w:pPr>
      <w:r w:rsidRPr="00241437">
        <w:rPr>
          <w:rFonts w:asciiTheme="minorHAnsi" w:hAnsiTheme="minorHAnsi"/>
        </w:rPr>
        <w:t>30</w:t>
      </w:r>
      <w:r>
        <w:rPr>
          <w:rFonts w:asciiTheme="minorHAnsi" w:hAnsiTheme="minorHAnsi"/>
        </w:rPr>
        <w:tab/>
      </w:r>
      <w:r w:rsidRPr="00241437">
        <w:rPr>
          <w:rFonts w:asciiTheme="minorHAnsi" w:hAnsiTheme="minorHAnsi"/>
        </w:rPr>
        <w:t>Výroba ostatních dopravních prostředků a zařízení</w:t>
      </w:r>
    </w:p>
    <w:p w14:paraId="55D9A496" w14:textId="502CF72E" w:rsidR="00244B04" w:rsidRPr="00241437" w:rsidRDefault="00244B04" w:rsidP="00244B04">
      <w:pPr>
        <w:pStyle w:val="Bezmezer1"/>
        <w:spacing w:before="40" w:after="40" w:line="360" w:lineRule="auto"/>
        <w:ind w:left="708" w:firstLine="708"/>
        <w:jc w:val="both"/>
        <w:rPr>
          <w:rFonts w:asciiTheme="minorHAnsi" w:hAnsiTheme="minorHAnsi"/>
        </w:rPr>
      </w:pPr>
      <w:r w:rsidRPr="00241437">
        <w:rPr>
          <w:rFonts w:asciiTheme="minorHAnsi" w:hAnsiTheme="minorHAnsi"/>
        </w:rPr>
        <w:t>30.2</w:t>
      </w:r>
      <w:r>
        <w:rPr>
          <w:rFonts w:asciiTheme="minorHAnsi" w:hAnsiTheme="minorHAnsi"/>
        </w:rPr>
        <w:tab/>
      </w:r>
      <w:r w:rsidRPr="00241437">
        <w:rPr>
          <w:rFonts w:asciiTheme="minorHAnsi" w:hAnsiTheme="minorHAnsi"/>
        </w:rPr>
        <w:t>Výroba železničních lokomotiv a vozového parku</w:t>
      </w:r>
    </w:p>
    <w:p w14:paraId="198BE82F" w14:textId="4E058993" w:rsidR="00244B04" w:rsidRPr="00241437" w:rsidRDefault="00244B04" w:rsidP="00244B04">
      <w:pPr>
        <w:pStyle w:val="Bezmezer1"/>
        <w:spacing w:before="40" w:after="40" w:line="360" w:lineRule="auto"/>
        <w:ind w:firstLine="708"/>
        <w:jc w:val="both"/>
        <w:rPr>
          <w:rFonts w:asciiTheme="minorHAnsi" w:hAnsiTheme="minorHAnsi"/>
          <w:color w:val="000000" w:themeColor="text1"/>
        </w:rPr>
      </w:pPr>
      <w:r w:rsidRPr="00241437">
        <w:rPr>
          <w:rFonts w:asciiTheme="minorHAnsi" w:hAnsiTheme="minorHAnsi"/>
          <w:color w:val="000000" w:themeColor="text1"/>
        </w:rPr>
        <w:t>71</w:t>
      </w:r>
      <w:r>
        <w:rPr>
          <w:rFonts w:asciiTheme="minorHAnsi" w:hAnsiTheme="minorHAnsi"/>
          <w:color w:val="000000" w:themeColor="text1"/>
        </w:rPr>
        <w:tab/>
      </w:r>
      <w:r w:rsidRPr="00241437">
        <w:rPr>
          <w:rFonts w:asciiTheme="minorHAnsi" w:hAnsiTheme="minorHAnsi"/>
          <w:color w:val="000000" w:themeColor="text1"/>
        </w:rPr>
        <w:t>Architektonické a inženýrské činnosti; technické zkoušky a analýzy</w:t>
      </w:r>
    </w:p>
    <w:p w14:paraId="275716D0" w14:textId="48175604" w:rsidR="00244B04" w:rsidRPr="00241437" w:rsidRDefault="00244B04" w:rsidP="00244B04">
      <w:pPr>
        <w:pStyle w:val="Bezmezer1"/>
        <w:spacing w:before="40" w:after="200" w:line="360" w:lineRule="auto"/>
        <w:ind w:left="2127" w:hanging="711"/>
        <w:jc w:val="both"/>
        <w:rPr>
          <w:rFonts w:asciiTheme="minorHAnsi" w:hAnsiTheme="minorHAnsi"/>
        </w:rPr>
      </w:pPr>
      <w:r w:rsidRPr="00241437">
        <w:rPr>
          <w:rFonts w:asciiTheme="minorHAnsi" w:hAnsiTheme="minorHAnsi"/>
        </w:rPr>
        <w:t>71.20</w:t>
      </w:r>
      <w:r>
        <w:rPr>
          <w:rFonts w:asciiTheme="minorHAnsi" w:hAnsiTheme="minorHAnsi"/>
        </w:rPr>
        <w:tab/>
      </w:r>
      <w:r w:rsidRPr="00241437">
        <w:rPr>
          <w:rFonts w:asciiTheme="minorHAnsi" w:hAnsiTheme="minorHAnsi"/>
        </w:rPr>
        <w:t>Zkušebnictví a inženýrské činnosti; technické zkoušky, analýzy, simulace, ověřování, certifikace a technické poradenství</w:t>
      </w:r>
      <w:r w:rsidRPr="00241437">
        <w:rPr>
          <w:rFonts w:asciiTheme="minorHAnsi" w:hAnsiTheme="minorHAnsi"/>
          <w:sz w:val="24"/>
          <w:szCs w:val="24"/>
        </w:rPr>
        <w:t xml:space="preserve"> </w:t>
      </w:r>
    </w:p>
    <w:p w14:paraId="5312E4D4" w14:textId="17F77238" w:rsidR="00244B04" w:rsidRPr="00241437" w:rsidRDefault="00244B04" w:rsidP="00244B04">
      <w:pPr>
        <w:pStyle w:val="Bezmezer1"/>
        <w:spacing w:before="40" w:after="40" w:line="360" w:lineRule="auto"/>
        <w:jc w:val="both"/>
        <w:rPr>
          <w:rFonts w:asciiTheme="minorHAnsi" w:hAnsiTheme="minorHAnsi"/>
          <w:b/>
        </w:rPr>
      </w:pPr>
      <w:r w:rsidRPr="00241437">
        <w:rPr>
          <w:rFonts w:asciiTheme="minorHAnsi" w:hAnsiTheme="minorHAnsi"/>
          <w:b/>
        </w:rPr>
        <w:t>Návazné CZ</w:t>
      </w:r>
      <w:r>
        <w:rPr>
          <w:rFonts w:asciiTheme="minorHAnsi" w:hAnsiTheme="minorHAnsi"/>
          <w:b/>
        </w:rPr>
        <w:t xml:space="preserve"> </w:t>
      </w:r>
      <w:r w:rsidRPr="00241437">
        <w:rPr>
          <w:rFonts w:asciiTheme="minorHAnsi" w:hAnsiTheme="minorHAnsi"/>
          <w:b/>
        </w:rPr>
        <w:t>NACE, funkční vazby</w:t>
      </w:r>
    </w:p>
    <w:p w14:paraId="16E18CDC" w14:textId="1B72C5F2" w:rsidR="00244B04" w:rsidRPr="00241437" w:rsidRDefault="00244B04" w:rsidP="00244B04">
      <w:pPr>
        <w:pStyle w:val="Bezmezer1"/>
        <w:spacing w:before="40" w:after="40" w:line="360" w:lineRule="auto"/>
        <w:ind w:firstLine="708"/>
        <w:jc w:val="both"/>
        <w:rPr>
          <w:rFonts w:asciiTheme="minorHAnsi" w:hAnsiTheme="minorHAnsi"/>
        </w:rPr>
      </w:pPr>
      <w:r>
        <w:rPr>
          <w:rFonts w:asciiTheme="minorHAnsi" w:hAnsiTheme="minorHAnsi"/>
        </w:rPr>
        <w:t>20</w:t>
      </w:r>
      <w:r>
        <w:rPr>
          <w:rFonts w:asciiTheme="minorHAnsi" w:hAnsiTheme="minorHAnsi"/>
        </w:rPr>
        <w:tab/>
      </w:r>
      <w:r w:rsidRPr="00241437">
        <w:rPr>
          <w:rFonts w:asciiTheme="minorHAnsi" w:hAnsiTheme="minorHAnsi"/>
        </w:rPr>
        <w:t>Výroba chemických látek a chemických přípravků</w:t>
      </w:r>
    </w:p>
    <w:p w14:paraId="65E5805A" w14:textId="03681E27" w:rsidR="00244B04" w:rsidRPr="00241437" w:rsidRDefault="00244B04" w:rsidP="00244B04">
      <w:pPr>
        <w:pStyle w:val="Bezmezer1"/>
        <w:spacing w:before="40" w:after="40" w:line="360" w:lineRule="auto"/>
        <w:ind w:firstLine="708"/>
        <w:jc w:val="both"/>
        <w:rPr>
          <w:rFonts w:asciiTheme="minorHAnsi" w:hAnsiTheme="minorHAnsi"/>
        </w:rPr>
      </w:pPr>
      <w:r w:rsidRPr="00241437">
        <w:rPr>
          <w:rFonts w:asciiTheme="minorHAnsi" w:hAnsiTheme="minorHAnsi"/>
        </w:rPr>
        <w:t>22</w:t>
      </w:r>
      <w:r>
        <w:rPr>
          <w:rFonts w:asciiTheme="minorHAnsi" w:hAnsiTheme="minorHAnsi"/>
        </w:rPr>
        <w:tab/>
      </w:r>
      <w:r w:rsidRPr="00241437">
        <w:rPr>
          <w:rFonts w:asciiTheme="minorHAnsi" w:hAnsiTheme="minorHAnsi"/>
        </w:rPr>
        <w:t>Výroba pryžových a plastových výrobků</w:t>
      </w:r>
    </w:p>
    <w:p w14:paraId="3079F1E2" w14:textId="1D0248C8" w:rsidR="00244B04" w:rsidRPr="00241437" w:rsidRDefault="00244B04" w:rsidP="00244B04">
      <w:pPr>
        <w:pStyle w:val="Bezmezer1"/>
        <w:spacing w:before="40" w:after="40" w:line="360" w:lineRule="auto"/>
        <w:ind w:firstLine="708"/>
        <w:jc w:val="both"/>
        <w:rPr>
          <w:rFonts w:asciiTheme="minorHAnsi" w:hAnsiTheme="minorHAnsi"/>
        </w:rPr>
      </w:pPr>
      <w:r w:rsidRPr="00241437">
        <w:rPr>
          <w:rFonts w:asciiTheme="minorHAnsi" w:hAnsiTheme="minorHAnsi"/>
        </w:rPr>
        <w:t>23</w:t>
      </w:r>
      <w:r>
        <w:rPr>
          <w:rFonts w:asciiTheme="minorHAnsi" w:hAnsiTheme="minorHAnsi"/>
        </w:rPr>
        <w:tab/>
      </w:r>
      <w:r w:rsidRPr="00241437">
        <w:rPr>
          <w:rFonts w:asciiTheme="minorHAnsi" w:hAnsiTheme="minorHAnsi"/>
          <w:color w:val="000000"/>
        </w:rPr>
        <w:t>Výroba ostatních nekovových minerálních výrobků</w:t>
      </w:r>
    </w:p>
    <w:p w14:paraId="5141483D" w14:textId="7F713279" w:rsidR="00244B04" w:rsidRPr="00241437" w:rsidRDefault="00244B04" w:rsidP="00244B04">
      <w:pPr>
        <w:pStyle w:val="Bezmezer1"/>
        <w:spacing w:before="40" w:after="40" w:line="360" w:lineRule="auto"/>
        <w:ind w:left="708" w:firstLine="708"/>
        <w:jc w:val="both"/>
        <w:rPr>
          <w:rFonts w:asciiTheme="minorHAnsi" w:hAnsiTheme="minorHAnsi"/>
        </w:rPr>
      </w:pPr>
      <w:r w:rsidRPr="00241437">
        <w:rPr>
          <w:rFonts w:asciiTheme="minorHAnsi" w:hAnsiTheme="minorHAnsi"/>
        </w:rPr>
        <w:t>23.1</w:t>
      </w:r>
      <w:r>
        <w:rPr>
          <w:rFonts w:asciiTheme="minorHAnsi" w:hAnsiTheme="minorHAnsi"/>
        </w:rPr>
        <w:tab/>
      </w:r>
      <w:r w:rsidRPr="00241437">
        <w:rPr>
          <w:rFonts w:asciiTheme="minorHAnsi" w:hAnsiTheme="minorHAnsi"/>
        </w:rPr>
        <w:t xml:space="preserve">Výroba skla a skleněných výrobků </w:t>
      </w:r>
    </w:p>
    <w:p w14:paraId="507D1D88" w14:textId="04D98B67" w:rsidR="00244B04" w:rsidRPr="00241437" w:rsidRDefault="00244B04" w:rsidP="00244B04">
      <w:pPr>
        <w:pStyle w:val="Bezmezer1"/>
        <w:spacing w:before="40" w:after="40" w:line="360" w:lineRule="auto"/>
        <w:ind w:firstLine="708"/>
        <w:jc w:val="both"/>
        <w:rPr>
          <w:rFonts w:asciiTheme="minorHAnsi" w:hAnsiTheme="minorHAnsi"/>
        </w:rPr>
      </w:pPr>
      <w:r w:rsidRPr="00241437">
        <w:rPr>
          <w:rFonts w:asciiTheme="minorHAnsi" w:hAnsiTheme="minorHAnsi"/>
        </w:rPr>
        <w:t>26</w:t>
      </w:r>
      <w:r>
        <w:rPr>
          <w:rFonts w:asciiTheme="minorHAnsi" w:hAnsiTheme="minorHAnsi"/>
        </w:rPr>
        <w:tab/>
      </w:r>
      <w:r w:rsidRPr="00241437">
        <w:rPr>
          <w:rFonts w:asciiTheme="minorHAnsi" w:hAnsiTheme="minorHAnsi"/>
        </w:rPr>
        <w:t>Výroba počítačů, elektronických a optických přístrojů a zařízení</w:t>
      </w:r>
    </w:p>
    <w:p w14:paraId="6AE2CE49" w14:textId="41C3B5A6" w:rsidR="00244B04" w:rsidRPr="00241437" w:rsidRDefault="00244B04" w:rsidP="00244B04">
      <w:pPr>
        <w:pStyle w:val="Bezmezer1"/>
        <w:spacing w:before="40" w:after="40" w:line="360" w:lineRule="auto"/>
        <w:ind w:left="708" w:firstLine="708"/>
        <w:jc w:val="both"/>
        <w:rPr>
          <w:rFonts w:asciiTheme="minorHAnsi" w:hAnsiTheme="minorHAnsi"/>
        </w:rPr>
      </w:pPr>
      <w:r w:rsidRPr="00241437">
        <w:rPr>
          <w:rFonts w:asciiTheme="minorHAnsi" w:hAnsiTheme="minorHAnsi"/>
        </w:rPr>
        <w:t>26.1</w:t>
      </w:r>
      <w:r>
        <w:rPr>
          <w:rFonts w:asciiTheme="minorHAnsi" w:hAnsiTheme="minorHAnsi"/>
        </w:rPr>
        <w:tab/>
      </w:r>
      <w:r w:rsidRPr="00241437">
        <w:rPr>
          <w:rFonts w:asciiTheme="minorHAnsi" w:hAnsiTheme="minorHAnsi"/>
        </w:rPr>
        <w:t>Výroba elektrických součástek a desek</w:t>
      </w:r>
    </w:p>
    <w:p w14:paraId="1A10A53B" w14:textId="38D00D18" w:rsidR="00244B04" w:rsidRPr="00241437" w:rsidRDefault="00244B04" w:rsidP="00244B04">
      <w:pPr>
        <w:pStyle w:val="Bezmezer1"/>
        <w:spacing w:before="40" w:after="40" w:line="360" w:lineRule="auto"/>
        <w:ind w:firstLine="708"/>
        <w:jc w:val="both"/>
        <w:rPr>
          <w:rFonts w:asciiTheme="minorHAnsi" w:hAnsiTheme="minorHAnsi"/>
        </w:rPr>
      </w:pPr>
      <w:r w:rsidRPr="00241437">
        <w:rPr>
          <w:rFonts w:asciiTheme="minorHAnsi" w:hAnsiTheme="minorHAnsi"/>
        </w:rPr>
        <w:t>27</w:t>
      </w:r>
      <w:r>
        <w:rPr>
          <w:rFonts w:asciiTheme="minorHAnsi" w:hAnsiTheme="minorHAnsi"/>
        </w:rPr>
        <w:tab/>
      </w:r>
      <w:r w:rsidRPr="00241437">
        <w:rPr>
          <w:rFonts w:asciiTheme="minorHAnsi" w:hAnsiTheme="minorHAnsi"/>
        </w:rPr>
        <w:t>Výroba elektrických zařízení</w:t>
      </w:r>
    </w:p>
    <w:p w14:paraId="0B9F92B1" w14:textId="456BA79E" w:rsidR="00244B04" w:rsidRPr="00241437" w:rsidRDefault="00244B04" w:rsidP="00244B04">
      <w:pPr>
        <w:pStyle w:val="Bezmezer1"/>
        <w:spacing w:before="40" w:after="40" w:line="360" w:lineRule="auto"/>
        <w:ind w:left="2127" w:hanging="711"/>
        <w:jc w:val="both"/>
        <w:rPr>
          <w:rFonts w:asciiTheme="minorHAnsi" w:hAnsiTheme="minorHAnsi"/>
        </w:rPr>
      </w:pPr>
      <w:r w:rsidRPr="00241437">
        <w:rPr>
          <w:rFonts w:asciiTheme="minorHAnsi" w:hAnsiTheme="minorHAnsi"/>
        </w:rPr>
        <w:t>27.1</w:t>
      </w:r>
      <w:r>
        <w:rPr>
          <w:rFonts w:asciiTheme="minorHAnsi" w:hAnsiTheme="minorHAnsi"/>
        </w:rPr>
        <w:tab/>
      </w:r>
      <w:r w:rsidRPr="00241437">
        <w:rPr>
          <w:rFonts w:asciiTheme="minorHAnsi" w:hAnsiTheme="minorHAnsi"/>
        </w:rPr>
        <w:t>Výroba elektrických motorů, generátorů, transformátorů a elektrických rozvodných a kontrolních zařízení</w:t>
      </w:r>
    </w:p>
    <w:p w14:paraId="03CB4401" w14:textId="577737BD" w:rsidR="00244B04" w:rsidRPr="00241437" w:rsidRDefault="00244B04" w:rsidP="00244B04">
      <w:pPr>
        <w:pStyle w:val="Bezmezer1"/>
        <w:spacing w:before="40" w:after="40" w:line="360" w:lineRule="auto"/>
        <w:ind w:firstLine="708"/>
        <w:jc w:val="both"/>
        <w:rPr>
          <w:rFonts w:asciiTheme="minorHAnsi" w:hAnsiTheme="minorHAnsi"/>
        </w:rPr>
      </w:pPr>
      <w:r w:rsidRPr="00241437">
        <w:rPr>
          <w:rFonts w:asciiTheme="minorHAnsi" w:hAnsiTheme="minorHAnsi"/>
        </w:rPr>
        <w:t>72</w:t>
      </w:r>
      <w:r>
        <w:rPr>
          <w:rFonts w:asciiTheme="minorHAnsi" w:hAnsiTheme="minorHAnsi"/>
        </w:rPr>
        <w:tab/>
      </w:r>
      <w:r w:rsidRPr="00241437">
        <w:rPr>
          <w:rFonts w:asciiTheme="minorHAnsi" w:hAnsiTheme="minorHAnsi"/>
        </w:rPr>
        <w:t>Výzkum a vývoj</w:t>
      </w:r>
    </w:p>
    <w:p w14:paraId="27FC9A94" w14:textId="5258C290" w:rsidR="00244B04" w:rsidRPr="00241437" w:rsidRDefault="00244B04" w:rsidP="00244B04">
      <w:pPr>
        <w:pStyle w:val="Bezmezer1"/>
        <w:spacing w:before="40" w:after="40" w:line="360" w:lineRule="auto"/>
        <w:ind w:left="708" w:firstLine="708"/>
        <w:jc w:val="both"/>
        <w:rPr>
          <w:rFonts w:asciiTheme="minorHAnsi" w:hAnsiTheme="minorHAnsi"/>
        </w:rPr>
      </w:pPr>
      <w:r w:rsidRPr="00241437">
        <w:rPr>
          <w:rFonts w:asciiTheme="minorHAnsi" w:hAnsiTheme="minorHAnsi"/>
        </w:rPr>
        <w:t>72.1</w:t>
      </w:r>
      <w:r>
        <w:rPr>
          <w:rFonts w:asciiTheme="minorHAnsi" w:hAnsiTheme="minorHAnsi"/>
        </w:rPr>
        <w:tab/>
      </w:r>
      <w:r w:rsidRPr="00241437">
        <w:rPr>
          <w:rFonts w:asciiTheme="minorHAnsi" w:hAnsiTheme="minorHAnsi"/>
        </w:rPr>
        <w:t>Výzkum a vývoj v oblasti přírodních a technických věd</w:t>
      </w:r>
    </w:p>
    <w:p w14:paraId="5102CD27" w14:textId="2D28D906" w:rsidR="00C22867" w:rsidRDefault="00C22867">
      <w:pPr>
        <w:spacing w:after="200" w:line="276" w:lineRule="auto"/>
      </w:pPr>
      <w:r>
        <w:br w:type="page"/>
      </w:r>
    </w:p>
    <w:p w14:paraId="7B34EA53" w14:textId="4798A812" w:rsidR="006E6688" w:rsidRDefault="006E6688" w:rsidP="006B20A5">
      <w:pPr>
        <w:pStyle w:val="Nadpis3"/>
        <w:spacing w:line="360" w:lineRule="auto"/>
        <w:jc w:val="both"/>
      </w:pPr>
      <w:bookmarkStart w:id="263" w:name="_Toc525716287"/>
      <w:r w:rsidRPr="00EF4A38">
        <w:t xml:space="preserve">Péče o zdraví, pokročilá medicína - výstupy z </w:t>
      </w:r>
      <w:r w:rsidR="00B3535F">
        <w:t>NIP</w:t>
      </w:r>
      <w:r w:rsidRPr="00EF4A38">
        <w:t xml:space="preserve"> IV. „Léčiva, biotechnologie, prostředky zdravotnické techniky a Life Sciences“</w:t>
      </w:r>
      <w:bookmarkEnd w:id="263"/>
    </w:p>
    <w:p w14:paraId="7FECC906" w14:textId="348FD96A" w:rsidR="006B20A5" w:rsidRDefault="006B20A5" w:rsidP="006B20A5">
      <w:pPr>
        <w:pStyle w:val="Nadpis4"/>
        <w:spacing w:line="360" w:lineRule="auto"/>
      </w:pPr>
      <w:bookmarkStart w:id="264" w:name="_Toc525716288"/>
      <w:r>
        <w:t>Léčiva, biotechnologie, prostředky zdravotnické techniky a Life Sciences</w:t>
      </w:r>
      <w:bookmarkEnd w:id="264"/>
    </w:p>
    <w:p w14:paraId="0F1C6571" w14:textId="45652BDE" w:rsidR="006B20A5" w:rsidRDefault="006B20A5" w:rsidP="00543C1B">
      <w:pPr>
        <w:pStyle w:val="Odstavecseseznamem"/>
        <w:numPr>
          <w:ilvl w:val="0"/>
          <w:numId w:val="185"/>
        </w:numPr>
        <w:spacing w:line="360" w:lineRule="auto"/>
        <w:rPr>
          <w:u w:val="single"/>
        </w:rPr>
      </w:pPr>
      <w:r w:rsidRPr="006B20A5">
        <w:rPr>
          <w:u w:val="single"/>
        </w:rPr>
        <w:t>Témata VaVaI identifikovaná prostřednictvím EDP:</w:t>
      </w:r>
    </w:p>
    <w:p w14:paraId="4064DF5E" w14:textId="77777777" w:rsidR="006B20A5" w:rsidRPr="006B20A5" w:rsidRDefault="006B20A5" w:rsidP="00543C1B">
      <w:pPr>
        <w:numPr>
          <w:ilvl w:val="0"/>
          <w:numId w:val="186"/>
        </w:numPr>
        <w:spacing w:before="240" w:after="120" w:line="360" w:lineRule="auto"/>
        <w:ind w:left="737" w:hanging="377"/>
        <w:jc w:val="both"/>
        <w:rPr>
          <w:rFonts w:eastAsia="MS Mincho"/>
          <w:b/>
        </w:rPr>
      </w:pPr>
      <w:r w:rsidRPr="006B20A5">
        <w:rPr>
          <w:rFonts w:eastAsia="MS Mincho"/>
          <w:b/>
        </w:rPr>
        <w:t>Inovativní léčiva (humánní i veterinární)</w:t>
      </w:r>
    </w:p>
    <w:p w14:paraId="78D9FD06" w14:textId="549700FF" w:rsidR="006B20A5" w:rsidRPr="006B20A5" w:rsidRDefault="006B20A5" w:rsidP="00543C1B">
      <w:pPr>
        <w:numPr>
          <w:ilvl w:val="1"/>
          <w:numId w:val="186"/>
        </w:numPr>
        <w:spacing w:after="120" w:line="360" w:lineRule="auto"/>
        <w:jc w:val="both"/>
        <w:rPr>
          <w:rFonts w:eastAsia="MS Mincho"/>
        </w:rPr>
      </w:pPr>
      <w:r w:rsidRPr="006B20A5">
        <w:rPr>
          <w:rFonts w:eastAsia="MS Mincho"/>
        </w:rPr>
        <w:t>vývoj nových léčiv založených na nových strukturách</w:t>
      </w:r>
    </w:p>
    <w:p w14:paraId="5DCCD440" w14:textId="400E1E43" w:rsidR="006B20A5" w:rsidRPr="006B20A5" w:rsidRDefault="006B20A5" w:rsidP="00543C1B">
      <w:pPr>
        <w:numPr>
          <w:ilvl w:val="1"/>
          <w:numId w:val="186"/>
        </w:numPr>
        <w:spacing w:after="120" w:line="360" w:lineRule="auto"/>
        <w:jc w:val="both"/>
        <w:rPr>
          <w:rFonts w:eastAsia="MS Mincho"/>
        </w:rPr>
      </w:pPr>
      <w:r w:rsidRPr="006B20A5">
        <w:rPr>
          <w:rFonts w:eastAsia="MS Mincho"/>
        </w:rPr>
        <w:t>nové formulační postupy ve vývoji léčiv</w:t>
      </w:r>
    </w:p>
    <w:p w14:paraId="15F78BDF" w14:textId="77777777" w:rsidR="006B20A5" w:rsidRPr="006B20A5" w:rsidRDefault="006B20A5" w:rsidP="00543C1B">
      <w:pPr>
        <w:numPr>
          <w:ilvl w:val="1"/>
          <w:numId w:val="186"/>
        </w:numPr>
        <w:spacing w:after="120" w:line="360" w:lineRule="auto"/>
        <w:jc w:val="both"/>
        <w:rPr>
          <w:rFonts w:eastAsia="MS Mincho"/>
        </w:rPr>
      </w:pPr>
      <w:r w:rsidRPr="006B20A5">
        <w:rPr>
          <w:rFonts w:eastAsia="MS Mincho"/>
        </w:rPr>
        <w:t xml:space="preserve">produkty cílené léčby (drug delivery systémy) s využitím nanotechnologických, biomolekulárních a makromolekulárních nosičů </w:t>
      </w:r>
    </w:p>
    <w:p w14:paraId="54BD9DB6" w14:textId="77777777" w:rsidR="006B20A5" w:rsidRPr="006B20A5" w:rsidRDefault="006B20A5" w:rsidP="00543C1B">
      <w:pPr>
        <w:numPr>
          <w:ilvl w:val="1"/>
          <w:numId w:val="186"/>
        </w:numPr>
        <w:spacing w:after="120" w:line="360" w:lineRule="auto"/>
        <w:jc w:val="both"/>
        <w:rPr>
          <w:rFonts w:eastAsia="MS Mincho"/>
        </w:rPr>
      </w:pPr>
      <w:r w:rsidRPr="006B20A5">
        <w:rPr>
          <w:rFonts w:eastAsia="MS Mincho"/>
        </w:rPr>
        <w:t>biologická léčiva, včetně terapeutických a preventivních vakcín</w:t>
      </w:r>
    </w:p>
    <w:p w14:paraId="095835B3" w14:textId="77777777" w:rsidR="006B20A5" w:rsidRPr="006B20A5" w:rsidRDefault="006B20A5" w:rsidP="00543C1B">
      <w:pPr>
        <w:numPr>
          <w:ilvl w:val="1"/>
          <w:numId w:val="186"/>
        </w:numPr>
        <w:spacing w:after="120" w:line="360" w:lineRule="auto"/>
        <w:jc w:val="both"/>
        <w:rPr>
          <w:rFonts w:eastAsia="MS Mincho"/>
        </w:rPr>
      </w:pPr>
      <w:r w:rsidRPr="006B20A5">
        <w:rPr>
          <w:rFonts w:eastAsia="MS Mincho"/>
        </w:rPr>
        <w:t xml:space="preserve">vývoj a terapeutické využití produktů pokročilé buněčné léčby (ATMP)  </w:t>
      </w:r>
    </w:p>
    <w:p w14:paraId="1810BAB1" w14:textId="77777777" w:rsidR="006B20A5" w:rsidRPr="006B20A5" w:rsidRDefault="006B20A5" w:rsidP="00543C1B">
      <w:pPr>
        <w:numPr>
          <w:ilvl w:val="1"/>
          <w:numId w:val="186"/>
        </w:numPr>
        <w:spacing w:after="120" w:line="360" w:lineRule="auto"/>
        <w:jc w:val="both"/>
        <w:rPr>
          <w:rFonts w:eastAsia="MS Mincho"/>
        </w:rPr>
      </w:pPr>
      <w:r w:rsidRPr="006B20A5">
        <w:rPr>
          <w:rFonts w:eastAsia="MS Mincho"/>
        </w:rPr>
        <w:t>desinfekce</w:t>
      </w:r>
    </w:p>
    <w:p w14:paraId="54D6E7A6" w14:textId="77777777" w:rsidR="006B20A5" w:rsidRPr="006B20A5" w:rsidRDefault="006B20A5" w:rsidP="00543C1B">
      <w:pPr>
        <w:numPr>
          <w:ilvl w:val="0"/>
          <w:numId w:val="187"/>
        </w:numPr>
        <w:spacing w:before="240" w:after="120" w:line="360" w:lineRule="auto"/>
        <w:ind w:left="737" w:hanging="377"/>
        <w:jc w:val="both"/>
        <w:rPr>
          <w:rFonts w:eastAsia="MS Mincho"/>
          <w:b/>
        </w:rPr>
      </w:pPr>
      <w:r w:rsidRPr="006B20A5">
        <w:rPr>
          <w:rFonts w:eastAsia="MS Mincho"/>
          <w:b/>
        </w:rPr>
        <w:t>Nové diagnostické postupy a produkty personalizované medicíny (humánní i veterinární)</w:t>
      </w:r>
    </w:p>
    <w:p w14:paraId="5381B2DB" w14:textId="77777777" w:rsidR="006B20A5" w:rsidRPr="006B20A5" w:rsidRDefault="006B20A5" w:rsidP="00543C1B">
      <w:pPr>
        <w:numPr>
          <w:ilvl w:val="1"/>
          <w:numId w:val="187"/>
        </w:numPr>
        <w:spacing w:after="120" w:line="360" w:lineRule="auto"/>
        <w:jc w:val="both"/>
        <w:rPr>
          <w:rFonts w:eastAsia="MS Mincho"/>
        </w:rPr>
      </w:pPr>
      <w:r w:rsidRPr="006B20A5">
        <w:rPr>
          <w:rFonts w:eastAsia="MS Mincho"/>
        </w:rPr>
        <w:t>nové technologie pro in vitro diagnostiku</w:t>
      </w:r>
    </w:p>
    <w:p w14:paraId="31B75673" w14:textId="77777777" w:rsidR="006B20A5" w:rsidRPr="006B20A5" w:rsidRDefault="006B20A5" w:rsidP="00543C1B">
      <w:pPr>
        <w:numPr>
          <w:ilvl w:val="1"/>
          <w:numId w:val="187"/>
        </w:numPr>
        <w:spacing w:after="120" w:line="360" w:lineRule="auto"/>
        <w:jc w:val="both"/>
        <w:rPr>
          <w:rFonts w:eastAsia="MS Mincho"/>
        </w:rPr>
      </w:pPr>
      <w:r w:rsidRPr="006B20A5">
        <w:rPr>
          <w:rFonts w:eastAsia="MS Mincho"/>
        </w:rPr>
        <w:t>výzkum a vývoj diagnostických, prognostických a prediktivních biomarkerů onemocnění</w:t>
      </w:r>
    </w:p>
    <w:p w14:paraId="617C39EA" w14:textId="77777777" w:rsidR="006B20A5" w:rsidRPr="006B20A5" w:rsidRDefault="006B20A5" w:rsidP="00543C1B">
      <w:pPr>
        <w:numPr>
          <w:ilvl w:val="1"/>
          <w:numId w:val="187"/>
        </w:numPr>
        <w:spacing w:after="120" w:line="360" w:lineRule="auto"/>
        <w:jc w:val="both"/>
        <w:rPr>
          <w:rFonts w:eastAsia="MS Mincho"/>
        </w:rPr>
      </w:pPr>
      <w:r w:rsidRPr="006B20A5">
        <w:rPr>
          <w:rFonts w:eastAsia="MS Mincho"/>
        </w:rPr>
        <w:t xml:space="preserve">diagnostické postupy využívající in vivo zobrazování </w:t>
      </w:r>
    </w:p>
    <w:p w14:paraId="75C6B26D" w14:textId="77777777" w:rsidR="006B20A5" w:rsidRPr="006B20A5" w:rsidRDefault="006B20A5" w:rsidP="00543C1B">
      <w:pPr>
        <w:numPr>
          <w:ilvl w:val="1"/>
          <w:numId w:val="187"/>
        </w:numPr>
        <w:spacing w:after="120" w:line="360" w:lineRule="auto"/>
        <w:jc w:val="both"/>
        <w:rPr>
          <w:rFonts w:eastAsia="MS Mincho"/>
        </w:rPr>
      </w:pPr>
      <w:r w:rsidRPr="006B20A5">
        <w:rPr>
          <w:rFonts w:eastAsia="MS Mincho"/>
        </w:rPr>
        <w:t>Point-of-care diagnostika</w:t>
      </w:r>
    </w:p>
    <w:p w14:paraId="62B7F96E" w14:textId="77777777" w:rsidR="006B20A5" w:rsidRPr="006B20A5" w:rsidRDefault="006B20A5" w:rsidP="00543C1B">
      <w:pPr>
        <w:numPr>
          <w:ilvl w:val="1"/>
          <w:numId w:val="187"/>
        </w:numPr>
        <w:spacing w:after="120" w:line="360" w:lineRule="auto"/>
        <w:jc w:val="both"/>
        <w:rPr>
          <w:rFonts w:eastAsia="MS Mincho"/>
        </w:rPr>
      </w:pPr>
      <w:r w:rsidRPr="006B20A5">
        <w:rPr>
          <w:rFonts w:eastAsia="MS Mincho"/>
        </w:rPr>
        <w:t xml:space="preserve">screeningové technologie pro populační diagnostiku významných onemocnění </w:t>
      </w:r>
    </w:p>
    <w:p w14:paraId="46E8D849" w14:textId="77777777" w:rsidR="006B20A5" w:rsidRPr="006B20A5" w:rsidRDefault="006B20A5" w:rsidP="00543C1B">
      <w:pPr>
        <w:numPr>
          <w:ilvl w:val="0"/>
          <w:numId w:val="188"/>
        </w:numPr>
        <w:spacing w:before="240" w:after="120" w:line="360" w:lineRule="auto"/>
        <w:ind w:left="737" w:hanging="377"/>
        <w:jc w:val="both"/>
        <w:rPr>
          <w:rFonts w:eastAsia="MS Mincho"/>
          <w:b/>
        </w:rPr>
      </w:pPr>
      <w:r w:rsidRPr="006B20A5">
        <w:rPr>
          <w:rFonts w:eastAsia="MS Mincho"/>
          <w:b/>
        </w:rPr>
        <w:t>Prostředky zdravotnické techniky</w:t>
      </w:r>
    </w:p>
    <w:p w14:paraId="6DBE54DD"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tkáňové a orgánové náhrady (biopolymerní, slitinové apod.)</w:t>
      </w:r>
    </w:p>
    <w:p w14:paraId="39CA9527" w14:textId="1E32FE62" w:rsidR="006B20A5" w:rsidRPr="006B20A5" w:rsidRDefault="006B20A5" w:rsidP="00543C1B">
      <w:pPr>
        <w:numPr>
          <w:ilvl w:val="1"/>
          <w:numId w:val="188"/>
        </w:numPr>
        <w:spacing w:after="120" w:line="360" w:lineRule="auto"/>
        <w:jc w:val="both"/>
        <w:rPr>
          <w:rFonts w:eastAsia="MS Mincho"/>
        </w:rPr>
      </w:pPr>
      <w:r w:rsidRPr="006B20A5">
        <w:rPr>
          <w:rFonts w:eastAsia="MS Mincho"/>
        </w:rPr>
        <w:t>produkty přístrojové techniky pro využití ve zdravotnictví, biotechnologické výrobě a</w:t>
      </w:r>
      <w:r w:rsidR="005D51F5">
        <w:rPr>
          <w:rFonts w:eastAsia="MS Mincho"/>
        </w:rPr>
        <w:t> </w:t>
      </w:r>
      <w:r w:rsidRPr="006B20A5">
        <w:rPr>
          <w:rFonts w:eastAsia="MS Mincho"/>
        </w:rPr>
        <w:t>veterinárním lékařství</w:t>
      </w:r>
    </w:p>
    <w:p w14:paraId="2BC8BE2E"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 xml:space="preserve">materiálový výzkum v biotechnologiích </w:t>
      </w:r>
    </w:p>
    <w:p w14:paraId="4F34A95A"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progresivní robotické systémy pro medicínské aplikace</w:t>
      </w:r>
    </w:p>
    <w:p w14:paraId="3251B5D7"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progresivní zobrazovací a jiné systémy pro neinvazivní aplikace v medicíně</w:t>
      </w:r>
    </w:p>
    <w:p w14:paraId="03B9D246"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inteligentní a zpětnovazebné systémy, přístroje a zařízení pro diagnostiku a terapii</w:t>
      </w:r>
    </w:p>
    <w:p w14:paraId="0AC480C1"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inovativní lékařské nástroje a implantáty z nových materiálů, včetně využití nanotechnologií (např. nanovlákenné struktury pro regenerativní medicínu, tkáňové inženýrství, cílená distribuce léčiv v nanokapslích, mikro a nanotechnologické postupy prozměnu fyzikálních vlastností doplňků stravy či léčiv pro zvýšení jejich účinnosti, snížení toxicity a nežádoucích účinků, nanovlákenné bariérové textilie pro ochranu proti alergenům, bakteriím a virům apod.)</w:t>
      </w:r>
    </w:p>
    <w:p w14:paraId="2F8C1DDE"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progresivní prostředky pro zkvalitňování následné lékařské péče</w:t>
      </w:r>
    </w:p>
    <w:p w14:paraId="2D629881"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nové materiály, prostředky a nástroje pro tělní náhrady a medicínské aplikace</w:t>
      </w:r>
    </w:p>
    <w:p w14:paraId="3A8151F3"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nové mobilní prostředky pro medicínu katastrof</w:t>
      </w:r>
    </w:p>
    <w:p w14:paraId="0E319CE4"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progresivní systémy a přístroje pro účinnou fyzikální terapii</w:t>
      </w:r>
    </w:p>
    <w:p w14:paraId="205C807E"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prostředky osobní ochrany</w:t>
      </w:r>
    </w:p>
    <w:p w14:paraId="17BA14F4"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inovativní prostředky pro prevenci a včasnou indikaci onemocnění</w:t>
      </w:r>
    </w:p>
    <w:p w14:paraId="58C28A70" w14:textId="77777777" w:rsidR="006B20A5" w:rsidRPr="006B20A5" w:rsidRDefault="006B20A5" w:rsidP="00543C1B">
      <w:pPr>
        <w:numPr>
          <w:ilvl w:val="1"/>
          <w:numId w:val="188"/>
        </w:numPr>
        <w:spacing w:after="120" w:line="360" w:lineRule="auto"/>
        <w:jc w:val="both"/>
        <w:rPr>
          <w:rFonts w:eastAsia="MS Mincho"/>
        </w:rPr>
      </w:pPr>
      <w:r w:rsidRPr="006B20A5">
        <w:rPr>
          <w:rFonts w:eastAsia="MS Mincho"/>
        </w:rPr>
        <w:t>nové prostředky pro zvyšování kvality a efektivity poskytované lékařské péče</w:t>
      </w:r>
    </w:p>
    <w:p w14:paraId="3A45D490" w14:textId="77777777" w:rsidR="006B20A5" w:rsidRPr="006B20A5" w:rsidRDefault="006B20A5" w:rsidP="00543C1B">
      <w:pPr>
        <w:numPr>
          <w:ilvl w:val="0"/>
          <w:numId w:val="189"/>
        </w:numPr>
        <w:spacing w:before="240" w:after="120" w:line="360" w:lineRule="auto"/>
        <w:ind w:left="737" w:hanging="377"/>
        <w:jc w:val="both"/>
        <w:rPr>
          <w:rFonts w:eastAsia="MS Mincho"/>
          <w:b/>
        </w:rPr>
      </w:pPr>
      <w:r w:rsidRPr="006B20A5">
        <w:rPr>
          <w:rFonts w:eastAsia="MS Mincho"/>
          <w:b/>
        </w:rPr>
        <w:t>Informační a komunikační systémy ve zdravotnictví, telemedicína</w:t>
      </w:r>
    </w:p>
    <w:p w14:paraId="23F8650B" w14:textId="78ABD231" w:rsidR="006B20A5" w:rsidRPr="006B20A5" w:rsidRDefault="006B20A5" w:rsidP="00543C1B">
      <w:pPr>
        <w:numPr>
          <w:ilvl w:val="1"/>
          <w:numId w:val="189"/>
        </w:numPr>
        <w:spacing w:after="120" w:line="360" w:lineRule="auto"/>
        <w:jc w:val="both"/>
        <w:rPr>
          <w:rFonts w:eastAsia="MS Mincho"/>
        </w:rPr>
      </w:pPr>
      <w:r w:rsidRPr="006B20A5">
        <w:rPr>
          <w:rFonts w:eastAsia="MS Mincho"/>
        </w:rPr>
        <w:t>vývoj pokročilých informačních systémů k efektivní diagnostice nebo terapii</w:t>
      </w:r>
    </w:p>
    <w:p w14:paraId="0B490A7A" w14:textId="3B52AAF3" w:rsidR="006B20A5" w:rsidRPr="006B20A5" w:rsidRDefault="006B20A5" w:rsidP="00543C1B">
      <w:pPr>
        <w:numPr>
          <w:ilvl w:val="1"/>
          <w:numId w:val="189"/>
        </w:numPr>
        <w:spacing w:after="120" w:line="360" w:lineRule="auto"/>
        <w:jc w:val="both"/>
        <w:rPr>
          <w:rFonts w:eastAsia="MS Mincho"/>
        </w:rPr>
      </w:pPr>
      <w:r w:rsidRPr="006B20A5">
        <w:rPr>
          <w:rFonts w:eastAsia="MS Mincho"/>
        </w:rPr>
        <w:t>vývoj komunikačních prostředků pro vzdálené monitorování pacientů</w:t>
      </w:r>
    </w:p>
    <w:p w14:paraId="0C2395A2" w14:textId="77777777" w:rsidR="006B20A5" w:rsidRPr="006B20A5" w:rsidRDefault="006B20A5" w:rsidP="00543C1B">
      <w:pPr>
        <w:numPr>
          <w:ilvl w:val="0"/>
          <w:numId w:val="189"/>
        </w:numPr>
        <w:spacing w:after="120" w:line="276" w:lineRule="auto"/>
        <w:ind w:left="709" w:hanging="349"/>
        <w:jc w:val="both"/>
        <w:rPr>
          <w:rFonts w:eastAsia="MS Mincho"/>
        </w:rPr>
      </w:pPr>
      <w:r w:rsidRPr="006B20A5">
        <w:rPr>
          <w:b/>
          <w:lang w:eastAsia="cs-CZ"/>
        </w:rPr>
        <w:t>Potraviny pro zvláštní účely a doplňky stravy na bázi speciální výživy</w:t>
      </w:r>
    </w:p>
    <w:p w14:paraId="73C348B7" w14:textId="77777777" w:rsidR="006B20A5" w:rsidRPr="006B20A5" w:rsidRDefault="006B20A5" w:rsidP="006B20A5">
      <w:pPr>
        <w:spacing w:line="360" w:lineRule="auto"/>
        <w:rPr>
          <w:u w:val="single"/>
        </w:rPr>
      </w:pPr>
    </w:p>
    <w:p w14:paraId="117EB7FD" w14:textId="434E8241" w:rsidR="006B20A5" w:rsidRDefault="006B20A5" w:rsidP="00543C1B">
      <w:pPr>
        <w:pStyle w:val="Odstavecseseznamem"/>
        <w:numPr>
          <w:ilvl w:val="0"/>
          <w:numId w:val="185"/>
        </w:numPr>
        <w:spacing w:line="360" w:lineRule="auto"/>
        <w:rPr>
          <w:u w:val="single"/>
        </w:rPr>
      </w:pPr>
      <w:r w:rsidRPr="006B20A5">
        <w:rPr>
          <w:u w:val="single"/>
        </w:rPr>
        <w:t>Indikativní vztah ke klasifikaci CZ NACE</w:t>
      </w:r>
    </w:p>
    <w:p w14:paraId="3BCB9AF5" w14:textId="6D75121A" w:rsidR="002F0A74" w:rsidRPr="002F0A74" w:rsidRDefault="002F0A74" w:rsidP="002F0A74">
      <w:pPr>
        <w:pStyle w:val="Bezmezer1"/>
        <w:spacing w:before="40" w:after="40" w:line="360" w:lineRule="auto"/>
        <w:ind w:firstLine="708"/>
        <w:jc w:val="both"/>
        <w:rPr>
          <w:rFonts w:asciiTheme="minorHAnsi" w:hAnsiTheme="minorHAnsi"/>
          <w:lang w:eastAsia="cs-CZ"/>
        </w:rPr>
      </w:pPr>
      <w:r w:rsidRPr="002F0A74">
        <w:rPr>
          <w:rFonts w:asciiTheme="minorHAnsi" w:hAnsiTheme="minorHAnsi"/>
          <w:b/>
          <w:lang w:eastAsia="cs-CZ"/>
        </w:rPr>
        <w:t>Hlavní relevantní CZ</w:t>
      </w:r>
      <w:r>
        <w:rPr>
          <w:rFonts w:asciiTheme="minorHAnsi" w:hAnsiTheme="minorHAnsi"/>
          <w:b/>
          <w:lang w:eastAsia="cs-CZ"/>
        </w:rPr>
        <w:t xml:space="preserve"> </w:t>
      </w:r>
      <w:r w:rsidRPr="002F0A74">
        <w:rPr>
          <w:rFonts w:asciiTheme="minorHAnsi" w:hAnsiTheme="minorHAnsi"/>
          <w:b/>
          <w:lang w:eastAsia="cs-CZ"/>
        </w:rPr>
        <w:t>NACE</w:t>
      </w:r>
      <w:r w:rsidRPr="002F0A74">
        <w:rPr>
          <w:rFonts w:asciiTheme="minorHAnsi" w:hAnsiTheme="minorHAnsi"/>
          <w:lang w:eastAsia="cs-CZ"/>
        </w:rPr>
        <w:t>21</w:t>
      </w:r>
      <w:r>
        <w:rPr>
          <w:rFonts w:asciiTheme="minorHAnsi" w:hAnsiTheme="minorHAnsi"/>
          <w:lang w:eastAsia="cs-CZ"/>
        </w:rPr>
        <w:tab/>
      </w:r>
      <w:r w:rsidRPr="002F0A74">
        <w:rPr>
          <w:rFonts w:asciiTheme="minorHAnsi" w:hAnsiTheme="minorHAnsi"/>
          <w:lang w:eastAsia="cs-CZ"/>
        </w:rPr>
        <w:t>Výroba základních farmaceutických výrobků a farmaceutických přípravků</w:t>
      </w:r>
    </w:p>
    <w:p w14:paraId="0D049009" w14:textId="658F5F8B" w:rsidR="002F0A74" w:rsidRPr="002F0A74" w:rsidRDefault="002F0A74" w:rsidP="002F0A74">
      <w:pPr>
        <w:pStyle w:val="Bezmezer1"/>
        <w:spacing w:before="40" w:after="40" w:line="360" w:lineRule="auto"/>
        <w:ind w:firstLine="708"/>
        <w:jc w:val="both"/>
        <w:rPr>
          <w:rFonts w:asciiTheme="minorHAnsi" w:hAnsiTheme="minorHAnsi"/>
          <w:lang w:eastAsia="cs-CZ"/>
        </w:rPr>
      </w:pPr>
      <w:r w:rsidRPr="002F0A74">
        <w:rPr>
          <w:rFonts w:asciiTheme="minorHAnsi" w:hAnsiTheme="minorHAnsi"/>
          <w:lang w:eastAsia="cs-CZ"/>
        </w:rPr>
        <w:t>26</w:t>
      </w:r>
      <w:r>
        <w:rPr>
          <w:rFonts w:asciiTheme="minorHAnsi" w:hAnsiTheme="minorHAnsi"/>
          <w:lang w:eastAsia="cs-CZ"/>
        </w:rPr>
        <w:tab/>
      </w:r>
      <w:r w:rsidRPr="002F0A74">
        <w:rPr>
          <w:rFonts w:asciiTheme="minorHAnsi" w:hAnsiTheme="minorHAnsi"/>
          <w:lang w:eastAsia="cs-CZ"/>
        </w:rPr>
        <w:t>Výroba počítačů, elektronických a optických přístrojů a zařízení</w:t>
      </w:r>
    </w:p>
    <w:p w14:paraId="03165362" w14:textId="721FF0E6" w:rsidR="002F0A74" w:rsidRPr="002F0A74" w:rsidRDefault="002F0A74" w:rsidP="002F0A74">
      <w:pPr>
        <w:pStyle w:val="Bezmezer1"/>
        <w:spacing w:before="40" w:after="40" w:line="360" w:lineRule="auto"/>
        <w:ind w:left="708" w:firstLine="708"/>
        <w:jc w:val="both"/>
        <w:rPr>
          <w:rFonts w:asciiTheme="minorHAnsi" w:hAnsiTheme="minorHAnsi"/>
          <w:lang w:eastAsia="cs-CZ"/>
        </w:rPr>
      </w:pPr>
      <w:r w:rsidRPr="002F0A74">
        <w:rPr>
          <w:rFonts w:asciiTheme="minorHAnsi" w:hAnsiTheme="minorHAnsi"/>
          <w:lang w:eastAsia="cs-CZ"/>
        </w:rPr>
        <w:t>32.5</w:t>
      </w:r>
      <w:r>
        <w:rPr>
          <w:rFonts w:asciiTheme="minorHAnsi" w:hAnsiTheme="minorHAnsi"/>
          <w:lang w:eastAsia="cs-CZ"/>
        </w:rPr>
        <w:tab/>
      </w:r>
      <w:r w:rsidRPr="002F0A74">
        <w:rPr>
          <w:rFonts w:asciiTheme="minorHAnsi" w:hAnsiTheme="minorHAnsi"/>
          <w:lang w:eastAsia="cs-CZ"/>
        </w:rPr>
        <w:t>Výroba lékařských a dentálních nástrojů a potřeb</w:t>
      </w:r>
    </w:p>
    <w:p w14:paraId="0A898D3A" w14:textId="422B1F21" w:rsidR="002F0A74" w:rsidRPr="002F0A74" w:rsidRDefault="002F0A74" w:rsidP="002F0A74">
      <w:pPr>
        <w:spacing w:after="0" w:line="360" w:lineRule="auto"/>
        <w:ind w:firstLine="708"/>
        <w:jc w:val="both"/>
      </w:pPr>
      <w:r w:rsidRPr="002F0A74">
        <w:rPr>
          <w:rFonts w:cs="Times New Roman"/>
        </w:rPr>
        <w:t>72</w:t>
      </w:r>
      <w:r>
        <w:rPr>
          <w:rFonts w:cs="Times New Roman"/>
        </w:rPr>
        <w:tab/>
      </w:r>
      <w:r w:rsidRPr="002F0A74">
        <w:rPr>
          <w:rFonts w:cs="Times New Roman"/>
        </w:rPr>
        <w:t>Výzkum a vývoj</w:t>
      </w:r>
    </w:p>
    <w:p w14:paraId="59FBAD82" w14:textId="153D3430" w:rsidR="002F0A74" w:rsidRPr="002F0A74" w:rsidRDefault="002F0A74" w:rsidP="002F0A74">
      <w:pPr>
        <w:pStyle w:val="Bezmezer1"/>
        <w:spacing w:before="40" w:after="200" w:line="360" w:lineRule="auto"/>
        <w:ind w:left="1416"/>
        <w:jc w:val="both"/>
        <w:rPr>
          <w:rFonts w:asciiTheme="minorHAnsi" w:hAnsiTheme="minorHAnsi"/>
          <w:lang w:eastAsia="cs-CZ"/>
        </w:rPr>
      </w:pPr>
      <w:r w:rsidRPr="002F0A74">
        <w:rPr>
          <w:rFonts w:asciiTheme="minorHAnsi" w:hAnsiTheme="minorHAnsi" w:cstheme="minorHAnsi"/>
        </w:rPr>
        <w:t>72.11</w:t>
      </w:r>
      <w:r>
        <w:rPr>
          <w:rFonts w:asciiTheme="minorHAnsi" w:hAnsiTheme="minorHAnsi" w:cstheme="minorHAnsi"/>
        </w:rPr>
        <w:tab/>
      </w:r>
      <w:r w:rsidRPr="002F0A74">
        <w:rPr>
          <w:rFonts w:asciiTheme="minorHAnsi" w:hAnsiTheme="minorHAnsi" w:cstheme="minorHAnsi"/>
        </w:rPr>
        <w:t>Výzkum a vývoj v oblasti biotechnologie</w:t>
      </w:r>
    </w:p>
    <w:p w14:paraId="273C30FB" w14:textId="0EA833DA" w:rsidR="002F0A74" w:rsidRPr="002F0A74" w:rsidRDefault="002F0A74" w:rsidP="002F0A74">
      <w:pPr>
        <w:pStyle w:val="Bezmezer1"/>
        <w:spacing w:before="40" w:after="40" w:line="360" w:lineRule="auto"/>
        <w:jc w:val="both"/>
        <w:rPr>
          <w:rFonts w:asciiTheme="minorHAnsi" w:hAnsiTheme="minorHAnsi"/>
          <w:b/>
          <w:lang w:eastAsia="cs-CZ"/>
        </w:rPr>
      </w:pPr>
      <w:r>
        <w:rPr>
          <w:rFonts w:asciiTheme="minorHAnsi" w:hAnsiTheme="minorHAnsi"/>
          <w:b/>
          <w:lang w:eastAsia="cs-CZ"/>
        </w:rPr>
        <w:t>Návazné CZ</w:t>
      </w:r>
      <w:r w:rsidRPr="002F0A74">
        <w:rPr>
          <w:rFonts w:asciiTheme="minorHAnsi" w:hAnsiTheme="minorHAnsi"/>
          <w:b/>
          <w:lang w:eastAsia="cs-CZ"/>
        </w:rPr>
        <w:t xml:space="preserve"> NACE, funkční vazby</w:t>
      </w:r>
    </w:p>
    <w:p w14:paraId="4B2FD2CB" w14:textId="522C6843" w:rsidR="002F0A74" w:rsidRPr="002F0A74" w:rsidRDefault="002F0A74" w:rsidP="00FB6D80">
      <w:pPr>
        <w:spacing w:before="40" w:after="40" w:line="360" w:lineRule="auto"/>
        <w:ind w:left="708" w:firstLine="708"/>
        <w:jc w:val="both"/>
        <w:rPr>
          <w:rFonts w:cs="Times New Roman"/>
        </w:rPr>
      </w:pPr>
      <w:r w:rsidRPr="002F0A74">
        <w:rPr>
          <w:rFonts w:cs="Times New Roman"/>
        </w:rPr>
        <w:t>01.2</w:t>
      </w:r>
      <w:r w:rsidR="00FB6D80">
        <w:rPr>
          <w:rFonts w:cs="Times New Roman"/>
        </w:rPr>
        <w:tab/>
      </w:r>
      <w:r w:rsidRPr="002F0A74">
        <w:rPr>
          <w:rFonts w:cs="Times New Roman"/>
        </w:rPr>
        <w:t>Pěstování trvalých plodin</w:t>
      </w:r>
    </w:p>
    <w:p w14:paraId="04B685C6" w14:textId="1C253C55" w:rsidR="002F0A74" w:rsidRPr="002F0A74" w:rsidRDefault="002F0A74" w:rsidP="00FB6D80">
      <w:pPr>
        <w:spacing w:before="40" w:after="40" w:line="360" w:lineRule="auto"/>
        <w:ind w:left="708" w:firstLine="708"/>
        <w:jc w:val="both"/>
        <w:rPr>
          <w:rFonts w:cs="Times New Roman"/>
        </w:rPr>
      </w:pPr>
      <w:r w:rsidRPr="002F0A74">
        <w:rPr>
          <w:rFonts w:cs="Times New Roman"/>
        </w:rPr>
        <w:t>01.4</w:t>
      </w:r>
      <w:r w:rsidR="00FB6D80">
        <w:rPr>
          <w:rFonts w:cs="Times New Roman"/>
        </w:rPr>
        <w:tab/>
      </w:r>
      <w:r w:rsidRPr="002F0A74">
        <w:rPr>
          <w:rFonts w:cs="Times New Roman"/>
        </w:rPr>
        <w:t>Živočišná výroba</w:t>
      </w:r>
    </w:p>
    <w:p w14:paraId="6936B01B" w14:textId="1768BF3D" w:rsidR="002F0A74" w:rsidRPr="002F0A74" w:rsidRDefault="002F0A74" w:rsidP="00FB6D80">
      <w:pPr>
        <w:spacing w:before="40" w:after="40" w:line="360" w:lineRule="auto"/>
        <w:ind w:firstLine="708"/>
        <w:jc w:val="both"/>
        <w:rPr>
          <w:rFonts w:cs="Times New Roman"/>
        </w:rPr>
      </w:pPr>
      <w:r w:rsidRPr="002F0A74">
        <w:rPr>
          <w:rFonts w:cs="Times New Roman"/>
        </w:rPr>
        <w:t>02</w:t>
      </w:r>
      <w:r w:rsidR="00FB6D80">
        <w:rPr>
          <w:rFonts w:cs="Times New Roman"/>
        </w:rPr>
        <w:tab/>
      </w:r>
      <w:r w:rsidRPr="002F0A74">
        <w:rPr>
          <w:rFonts w:cs="Times New Roman"/>
        </w:rPr>
        <w:t>Lesnictví a těžba dřeva</w:t>
      </w:r>
    </w:p>
    <w:p w14:paraId="720ED7F8" w14:textId="6833A5E4" w:rsidR="002F0A74" w:rsidRPr="002F0A74" w:rsidRDefault="00663FF6" w:rsidP="00FB6D80">
      <w:pPr>
        <w:spacing w:before="40" w:after="40" w:line="360" w:lineRule="auto"/>
        <w:ind w:left="1416" w:firstLine="708"/>
        <w:jc w:val="both"/>
        <w:rPr>
          <w:rFonts w:cs="Times New Roman"/>
        </w:rPr>
      </w:pPr>
      <w:hyperlink r:id="rId46" w:history="1">
        <w:r w:rsidR="002F0A74" w:rsidRPr="002F0A74">
          <w:rPr>
            <w:rFonts w:cs="Times New Roman"/>
          </w:rPr>
          <w:t>10.86</w:t>
        </w:r>
        <w:r w:rsidR="00FB6D80">
          <w:rPr>
            <w:rFonts w:cs="Times New Roman"/>
          </w:rPr>
          <w:tab/>
        </w:r>
        <w:r w:rsidR="002F0A74" w:rsidRPr="002F0A74">
          <w:rPr>
            <w:rFonts w:cs="Times New Roman"/>
          </w:rPr>
          <w:t>Výroba homogeniz. potravin. přípravků, dietních potravin</w:t>
        </w:r>
      </w:hyperlink>
    </w:p>
    <w:p w14:paraId="3E802EF8" w14:textId="32704523" w:rsidR="002F0A74" w:rsidRPr="002F0A74" w:rsidRDefault="002F0A74" w:rsidP="00FB6D80">
      <w:pPr>
        <w:spacing w:before="40" w:after="40" w:line="360" w:lineRule="auto"/>
        <w:ind w:firstLine="708"/>
        <w:jc w:val="both"/>
        <w:rPr>
          <w:rFonts w:cs="Times New Roman"/>
        </w:rPr>
      </w:pPr>
      <w:r w:rsidRPr="002F0A74">
        <w:rPr>
          <w:rFonts w:cs="Times New Roman"/>
        </w:rPr>
        <w:t>13</w:t>
      </w:r>
      <w:r w:rsidR="00FB6D80">
        <w:rPr>
          <w:rFonts w:cs="Times New Roman"/>
        </w:rPr>
        <w:tab/>
      </w:r>
      <w:r w:rsidRPr="002F0A74">
        <w:rPr>
          <w:rFonts w:cs="Times New Roman"/>
        </w:rPr>
        <w:t>Výroba textilií</w:t>
      </w:r>
    </w:p>
    <w:p w14:paraId="5696ACE5" w14:textId="2A02B43E" w:rsidR="002F0A74" w:rsidRPr="002F0A74" w:rsidRDefault="002F0A74" w:rsidP="00FB6D80">
      <w:pPr>
        <w:spacing w:before="40" w:after="40" w:line="360" w:lineRule="auto"/>
        <w:ind w:firstLine="708"/>
        <w:jc w:val="both"/>
        <w:rPr>
          <w:rFonts w:cs="Times New Roman"/>
        </w:rPr>
      </w:pPr>
      <w:r w:rsidRPr="002F0A74">
        <w:rPr>
          <w:rFonts w:cs="Times New Roman"/>
        </w:rPr>
        <w:t>20</w:t>
      </w:r>
      <w:r w:rsidR="00FB6D80">
        <w:rPr>
          <w:rFonts w:cs="Times New Roman"/>
        </w:rPr>
        <w:tab/>
      </w:r>
      <w:r w:rsidRPr="002F0A74">
        <w:rPr>
          <w:rFonts w:cs="Times New Roman"/>
        </w:rPr>
        <w:t>Výroba chemických látek a chemických přípravků</w:t>
      </w:r>
    </w:p>
    <w:p w14:paraId="09E7038E" w14:textId="510B7B2F" w:rsidR="002F0A74" w:rsidRPr="002F0A74" w:rsidRDefault="002F0A74" w:rsidP="00FB6D80">
      <w:pPr>
        <w:pStyle w:val="Bezmezer1"/>
        <w:spacing w:before="40" w:after="40" w:line="360" w:lineRule="auto"/>
        <w:ind w:left="2124"/>
        <w:jc w:val="both"/>
        <w:rPr>
          <w:rFonts w:asciiTheme="minorHAnsi" w:hAnsiTheme="minorHAnsi"/>
          <w:lang w:eastAsia="cs-CZ"/>
        </w:rPr>
      </w:pPr>
      <w:r w:rsidRPr="002F0A74">
        <w:rPr>
          <w:rFonts w:asciiTheme="minorHAnsi" w:hAnsiTheme="minorHAnsi"/>
          <w:lang w:eastAsia="cs-CZ"/>
        </w:rPr>
        <w:t>26.60</w:t>
      </w:r>
      <w:r w:rsidR="00FB6D80">
        <w:rPr>
          <w:rFonts w:asciiTheme="minorHAnsi" w:hAnsiTheme="minorHAnsi"/>
          <w:lang w:eastAsia="cs-CZ"/>
        </w:rPr>
        <w:tab/>
      </w:r>
      <w:r w:rsidRPr="002F0A74">
        <w:rPr>
          <w:rFonts w:asciiTheme="minorHAnsi" w:hAnsiTheme="minorHAnsi"/>
          <w:lang w:eastAsia="cs-CZ"/>
        </w:rPr>
        <w:t>Výroba ozařovacích, elektrolé</w:t>
      </w:r>
      <w:r w:rsidR="00FB6D80">
        <w:rPr>
          <w:rFonts w:asciiTheme="minorHAnsi" w:hAnsiTheme="minorHAnsi"/>
          <w:lang w:eastAsia="cs-CZ"/>
        </w:rPr>
        <w:t xml:space="preserve">čebných a elektroterapeutických </w:t>
      </w:r>
      <w:r w:rsidRPr="002F0A74">
        <w:rPr>
          <w:rFonts w:asciiTheme="minorHAnsi" w:hAnsiTheme="minorHAnsi"/>
          <w:lang w:eastAsia="cs-CZ"/>
        </w:rPr>
        <w:t>přístrojů</w:t>
      </w:r>
    </w:p>
    <w:p w14:paraId="7E80120F" w14:textId="4567D170" w:rsidR="002F0A74" w:rsidRPr="002F0A74" w:rsidRDefault="002F0A74" w:rsidP="00FB6D80">
      <w:pPr>
        <w:pStyle w:val="Bezmezer1"/>
        <w:spacing w:before="40" w:after="40" w:line="360" w:lineRule="auto"/>
        <w:ind w:firstLine="708"/>
        <w:jc w:val="both"/>
        <w:rPr>
          <w:rFonts w:asciiTheme="minorHAnsi" w:hAnsiTheme="minorHAnsi"/>
        </w:rPr>
      </w:pPr>
      <w:r w:rsidRPr="002F0A74">
        <w:rPr>
          <w:rFonts w:asciiTheme="minorHAnsi" w:hAnsiTheme="minorHAnsi"/>
          <w:lang w:eastAsia="cs-CZ"/>
        </w:rPr>
        <w:t>62</w:t>
      </w:r>
      <w:r w:rsidR="00FB6D80">
        <w:rPr>
          <w:rFonts w:asciiTheme="minorHAnsi" w:hAnsiTheme="minorHAnsi"/>
          <w:lang w:eastAsia="cs-CZ"/>
        </w:rPr>
        <w:tab/>
      </w:r>
      <w:r w:rsidRPr="002F0A74">
        <w:rPr>
          <w:rFonts w:asciiTheme="minorHAnsi" w:hAnsiTheme="minorHAnsi" w:cs="Arial"/>
        </w:rPr>
        <w:t>Činnosti v oblasti informačních technologií</w:t>
      </w:r>
    </w:p>
    <w:p w14:paraId="1241C17D" w14:textId="412EBC99" w:rsidR="002F0A74" w:rsidRPr="002F0A74" w:rsidRDefault="002F0A74" w:rsidP="00FB6D80">
      <w:pPr>
        <w:spacing w:before="40" w:after="40" w:line="360" w:lineRule="auto"/>
        <w:ind w:left="708" w:firstLine="708"/>
        <w:jc w:val="both"/>
        <w:rPr>
          <w:rFonts w:cs="Times New Roman"/>
        </w:rPr>
      </w:pPr>
      <w:r w:rsidRPr="002F0A74">
        <w:rPr>
          <w:rFonts w:cs="Times New Roman"/>
        </w:rPr>
        <w:t>71.2</w:t>
      </w:r>
      <w:r w:rsidR="00FB6D80">
        <w:rPr>
          <w:rFonts w:cs="Times New Roman"/>
        </w:rPr>
        <w:tab/>
      </w:r>
      <w:r w:rsidRPr="002F0A74">
        <w:rPr>
          <w:rFonts w:cs="Times New Roman"/>
        </w:rPr>
        <w:t>Technické zkoušky a analýzy</w:t>
      </w:r>
    </w:p>
    <w:p w14:paraId="7FA88B95" w14:textId="386070B3" w:rsidR="002F0A74" w:rsidRPr="002F0A74" w:rsidRDefault="002F0A74" w:rsidP="00FB6D80">
      <w:pPr>
        <w:pStyle w:val="Bezmezer1"/>
        <w:spacing w:before="40" w:after="40" w:line="360" w:lineRule="auto"/>
        <w:ind w:firstLine="708"/>
        <w:jc w:val="both"/>
        <w:rPr>
          <w:rFonts w:asciiTheme="minorHAnsi" w:hAnsiTheme="minorHAnsi"/>
          <w:lang w:eastAsia="cs-CZ"/>
        </w:rPr>
      </w:pPr>
      <w:r w:rsidRPr="002F0A74">
        <w:rPr>
          <w:rFonts w:asciiTheme="minorHAnsi" w:hAnsiTheme="minorHAnsi"/>
          <w:lang w:eastAsia="cs-CZ"/>
        </w:rPr>
        <w:t>75</w:t>
      </w:r>
      <w:r w:rsidR="00FB6D80">
        <w:rPr>
          <w:rFonts w:asciiTheme="minorHAnsi" w:hAnsiTheme="minorHAnsi"/>
          <w:lang w:eastAsia="cs-CZ"/>
        </w:rPr>
        <w:tab/>
      </w:r>
      <w:r w:rsidRPr="002F0A74">
        <w:rPr>
          <w:rFonts w:asciiTheme="minorHAnsi" w:hAnsiTheme="minorHAnsi"/>
          <w:lang w:eastAsia="cs-CZ"/>
        </w:rPr>
        <w:t>Veterinární činnosti</w:t>
      </w:r>
    </w:p>
    <w:p w14:paraId="7FFFD5A7" w14:textId="6436AEEB" w:rsidR="002F0A74" w:rsidRPr="002F0A74" w:rsidRDefault="002F0A74" w:rsidP="00FB6D80">
      <w:pPr>
        <w:spacing w:before="40" w:after="40" w:line="360" w:lineRule="auto"/>
        <w:ind w:firstLine="708"/>
        <w:jc w:val="both"/>
        <w:rPr>
          <w:rFonts w:cs="Times New Roman"/>
        </w:rPr>
      </w:pPr>
      <w:r w:rsidRPr="002F0A74">
        <w:rPr>
          <w:rFonts w:cs="Times New Roman"/>
        </w:rPr>
        <w:t>86</w:t>
      </w:r>
      <w:r w:rsidR="00FB6D80">
        <w:rPr>
          <w:rFonts w:cs="Times New Roman"/>
        </w:rPr>
        <w:tab/>
      </w:r>
      <w:r w:rsidRPr="002F0A74">
        <w:rPr>
          <w:rFonts w:cs="Times New Roman"/>
        </w:rPr>
        <w:t>Zdravotní péče</w:t>
      </w:r>
    </w:p>
    <w:p w14:paraId="4286C809" w14:textId="2C14F24E" w:rsidR="00713698" w:rsidRDefault="00713698">
      <w:pPr>
        <w:spacing w:after="200" w:line="276" w:lineRule="auto"/>
        <w:rPr>
          <w:u w:val="single"/>
        </w:rPr>
      </w:pPr>
      <w:r>
        <w:rPr>
          <w:u w:val="single"/>
        </w:rPr>
        <w:br w:type="page"/>
      </w:r>
    </w:p>
    <w:p w14:paraId="380E7AF9" w14:textId="6E956B4F" w:rsidR="006E6688" w:rsidRDefault="00CB7943" w:rsidP="002A2819">
      <w:pPr>
        <w:pStyle w:val="Nadpis3"/>
        <w:jc w:val="both"/>
      </w:pPr>
      <w:bookmarkStart w:id="265" w:name="_Toc525716289"/>
      <w:r>
        <w:t xml:space="preserve">Kulturní a kreativní odvětví </w:t>
      </w:r>
      <w:r w:rsidR="006E6688" w:rsidRPr="00EF4A38">
        <w:t xml:space="preserve">- výstupy z </w:t>
      </w:r>
      <w:r>
        <w:t>NIP</w:t>
      </w:r>
      <w:r w:rsidR="006E6688" w:rsidRPr="00EF4A38">
        <w:t xml:space="preserve"> V. „Kulturní a kreativní odvětví“</w:t>
      </w:r>
      <w:bookmarkEnd w:id="265"/>
    </w:p>
    <w:p w14:paraId="5DBF12AA" w14:textId="421FE8F7" w:rsidR="00F97BDF" w:rsidRDefault="00F97BDF" w:rsidP="00F97BDF">
      <w:pPr>
        <w:pStyle w:val="Nadpis4"/>
      </w:pPr>
      <w:bookmarkStart w:id="266" w:name="_Toc525716290"/>
      <w:r>
        <w:t xml:space="preserve">Tradiční kulturní a kreativní </w:t>
      </w:r>
      <w:r w:rsidR="00E26592">
        <w:t>odvětví</w:t>
      </w:r>
      <w:bookmarkEnd w:id="266"/>
    </w:p>
    <w:p w14:paraId="3F4469E1" w14:textId="26088B0F" w:rsidR="00C27903" w:rsidRPr="00196F3D" w:rsidRDefault="00C27903" w:rsidP="00543C1B">
      <w:pPr>
        <w:pStyle w:val="Odstavecseseznamem"/>
        <w:numPr>
          <w:ilvl w:val="0"/>
          <w:numId w:val="191"/>
        </w:numPr>
        <w:rPr>
          <w:u w:val="single"/>
        </w:rPr>
      </w:pPr>
      <w:r w:rsidRPr="00196F3D">
        <w:rPr>
          <w:u w:val="single"/>
        </w:rPr>
        <w:t>Témata VaVaI identifikovaná prostřednictvím EDP</w:t>
      </w:r>
      <w:r w:rsidR="00196F3D" w:rsidRPr="00196F3D">
        <w:rPr>
          <w:u w:val="single"/>
        </w:rPr>
        <w:t>:</w:t>
      </w:r>
    </w:p>
    <w:p w14:paraId="0E4DFE7C" w14:textId="77777777" w:rsidR="00196F3D" w:rsidRPr="00196F3D" w:rsidRDefault="00196F3D" w:rsidP="00543C1B">
      <w:pPr>
        <w:numPr>
          <w:ilvl w:val="0"/>
          <w:numId w:val="192"/>
        </w:numPr>
        <w:spacing w:before="240" w:after="120" w:line="360" w:lineRule="auto"/>
        <w:ind w:left="737" w:hanging="377"/>
        <w:jc w:val="both"/>
        <w:rPr>
          <w:rFonts w:eastAsia="MS Mincho"/>
          <w:b/>
        </w:rPr>
      </w:pPr>
      <w:r w:rsidRPr="00196F3D">
        <w:rPr>
          <w:rFonts w:eastAsia="MS Mincho"/>
          <w:b/>
        </w:rPr>
        <w:t>Výzkum materiálů a technologií</w:t>
      </w:r>
    </w:p>
    <w:p w14:paraId="61288262" w14:textId="77777777" w:rsidR="00196F3D" w:rsidRPr="00196F3D" w:rsidRDefault="00196F3D" w:rsidP="00543C1B">
      <w:pPr>
        <w:numPr>
          <w:ilvl w:val="1"/>
          <w:numId w:val="192"/>
        </w:numPr>
        <w:spacing w:after="120" w:line="360" w:lineRule="auto"/>
        <w:jc w:val="both"/>
        <w:rPr>
          <w:rFonts w:eastAsia="MS Mincho"/>
        </w:rPr>
      </w:pPr>
      <w:r w:rsidRPr="00196F3D">
        <w:rPr>
          <w:rFonts w:eastAsia="MS Mincho"/>
        </w:rPr>
        <w:t>využívání vlastností nových materiálů a nové postupy práce s těmito materiály</w:t>
      </w:r>
    </w:p>
    <w:p w14:paraId="6A1ED14D" w14:textId="77777777" w:rsidR="00196F3D" w:rsidRPr="00196F3D" w:rsidRDefault="00196F3D" w:rsidP="00543C1B">
      <w:pPr>
        <w:numPr>
          <w:ilvl w:val="1"/>
          <w:numId w:val="192"/>
        </w:numPr>
        <w:spacing w:after="120" w:line="360" w:lineRule="auto"/>
        <w:jc w:val="both"/>
        <w:rPr>
          <w:rFonts w:eastAsia="MS Mincho"/>
        </w:rPr>
      </w:pPr>
      <w:r w:rsidRPr="00196F3D">
        <w:rPr>
          <w:rFonts w:eastAsia="MS Mincho"/>
        </w:rPr>
        <w:t xml:space="preserve">vyhledávání a využití nových materiálů z oblasti základního i aplikovaného výzkumu </w:t>
      </w:r>
    </w:p>
    <w:p w14:paraId="3B505FCC" w14:textId="77777777" w:rsidR="00196F3D" w:rsidRPr="00196F3D" w:rsidRDefault="00196F3D" w:rsidP="00543C1B">
      <w:pPr>
        <w:numPr>
          <w:ilvl w:val="1"/>
          <w:numId w:val="192"/>
        </w:numPr>
        <w:spacing w:after="120" w:line="360" w:lineRule="auto"/>
        <w:jc w:val="both"/>
        <w:rPr>
          <w:rFonts w:eastAsia="MS Mincho"/>
        </w:rPr>
      </w:pPr>
      <w:r w:rsidRPr="00196F3D">
        <w:rPr>
          <w:rFonts w:eastAsia="MS Mincho"/>
        </w:rPr>
        <w:t>výzkum životního cyklu materiálů a produktů z nich</w:t>
      </w:r>
    </w:p>
    <w:p w14:paraId="1577F35F" w14:textId="77777777" w:rsidR="00196F3D" w:rsidRPr="00196F3D" w:rsidRDefault="00196F3D" w:rsidP="00543C1B">
      <w:pPr>
        <w:numPr>
          <w:ilvl w:val="1"/>
          <w:numId w:val="192"/>
        </w:numPr>
        <w:spacing w:after="120" w:line="360" w:lineRule="auto"/>
        <w:jc w:val="both"/>
        <w:rPr>
          <w:rFonts w:eastAsia="MS Mincho"/>
        </w:rPr>
      </w:pPr>
      <w:r w:rsidRPr="00196F3D">
        <w:rPr>
          <w:rFonts w:eastAsia="MS Mincho"/>
        </w:rPr>
        <w:t>materiály určené pro opravy památkově chráněných objektů</w:t>
      </w:r>
    </w:p>
    <w:p w14:paraId="35C04A52" w14:textId="77777777" w:rsidR="00196F3D" w:rsidRPr="00196F3D" w:rsidRDefault="00196F3D" w:rsidP="00543C1B">
      <w:pPr>
        <w:numPr>
          <w:ilvl w:val="1"/>
          <w:numId w:val="192"/>
        </w:numPr>
        <w:spacing w:after="120" w:line="360" w:lineRule="auto"/>
        <w:jc w:val="both"/>
        <w:rPr>
          <w:rFonts w:eastAsia="MS Mincho"/>
        </w:rPr>
      </w:pPr>
      <w:r w:rsidRPr="00196F3D">
        <w:rPr>
          <w:rFonts w:eastAsia="MS Mincho"/>
        </w:rPr>
        <w:t>inovace a modifikace tradičních postupů zpracování a aplikace materiálů</w:t>
      </w:r>
    </w:p>
    <w:p w14:paraId="2CEFF838" w14:textId="77777777" w:rsidR="00196F3D" w:rsidRPr="00196F3D" w:rsidRDefault="00196F3D" w:rsidP="00543C1B">
      <w:pPr>
        <w:numPr>
          <w:ilvl w:val="1"/>
          <w:numId w:val="192"/>
        </w:numPr>
        <w:spacing w:after="120" w:line="360" w:lineRule="auto"/>
        <w:jc w:val="both"/>
        <w:rPr>
          <w:rFonts w:eastAsia="MS Mincho"/>
        </w:rPr>
      </w:pPr>
      <w:r w:rsidRPr="00196F3D">
        <w:rPr>
          <w:rFonts w:eastAsia="MS Mincho"/>
        </w:rPr>
        <w:t>inovativní postupy zpracování a aplikace tradičních materiálů, včetně výzkumu a aplikace výsledků do vývoje nového produktu</w:t>
      </w:r>
    </w:p>
    <w:p w14:paraId="0D123A50" w14:textId="77777777" w:rsidR="00196F3D" w:rsidRPr="00196F3D" w:rsidRDefault="00196F3D" w:rsidP="00543C1B">
      <w:pPr>
        <w:numPr>
          <w:ilvl w:val="1"/>
          <w:numId w:val="192"/>
        </w:numPr>
        <w:spacing w:after="120" w:line="360" w:lineRule="auto"/>
        <w:jc w:val="both"/>
        <w:rPr>
          <w:rFonts w:eastAsia="MS Mincho"/>
        </w:rPr>
      </w:pPr>
      <w:r w:rsidRPr="00196F3D">
        <w:rPr>
          <w:rFonts w:eastAsia="MS Mincho"/>
        </w:rPr>
        <w:t>modifikace a rozvoj technologií pro zpracování nových materiálů</w:t>
      </w:r>
    </w:p>
    <w:p w14:paraId="0F53CADC" w14:textId="77777777" w:rsidR="00196F3D" w:rsidRPr="00196F3D" w:rsidRDefault="00196F3D" w:rsidP="00543C1B">
      <w:pPr>
        <w:numPr>
          <w:ilvl w:val="1"/>
          <w:numId w:val="192"/>
        </w:numPr>
        <w:spacing w:after="120" w:line="360" w:lineRule="auto"/>
        <w:jc w:val="both"/>
        <w:rPr>
          <w:rFonts w:eastAsia="MS Mincho"/>
        </w:rPr>
      </w:pPr>
      <w:r w:rsidRPr="00196F3D">
        <w:rPr>
          <w:rFonts w:eastAsia="MS Mincho"/>
        </w:rPr>
        <w:t>inovativní využití pokročilých technologií v procesu návrhu</w:t>
      </w:r>
    </w:p>
    <w:p w14:paraId="1C9A0B74" w14:textId="77777777" w:rsidR="00196F3D" w:rsidRPr="00196F3D" w:rsidRDefault="00196F3D" w:rsidP="00543C1B">
      <w:pPr>
        <w:numPr>
          <w:ilvl w:val="1"/>
          <w:numId w:val="192"/>
        </w:numPr>
        <w:spacing w:after="120" w:line="360" w:lineRule="auto"/>
        <w:jc w:val="both"/>
        <w:rPr>
          <w:rFonts w:eastAsia="MS Mincho"/>
        </w:rPr>
      </w:pPr>
      <w:r w:rsidRPr="00196F3D">
        <w:rPr>
          <w:rFonts w:eastAsia="MS Mincho"/>
        </w:rPr>
        <w:t>i tvorby (včetně ICT)</w:t>
      </w:r>
    </w:p>
    <w:p w14:paraId="5CB61716" w14:textId="77777777" w:rsidR="00196F3D" w:rsidRPr="00196F3D" w:rsidRDefault="00196F3D" w:rsidP="00543C1B">
      <w:pPr>
        <w:numPr>
          <w:ilvl w:val="0"/>
          <w:numId w:val="193"/>
        </w:numPr>
        <w:spacing w:before="240" w:after="120" w:line="360" w:lineRule="auto"/>
        <w:ind w:left="737" w:hanging="377"/>
        <w:jc w:val="both"/>
        <w:rPr>
          <w:rFonts w:eastAsia="MS Mincho"/>
          <w:b/>
        </w:rPr>
      </w:pPr>
      <w:r w:rsidRPr="00196F3D">
        <w:rPr>
          <w:rFonts w:eastAsia="MS Mincho"/>
          <w:b/>
        </w:rPr>
        <w:t>Výroba skla, keramiky a porcelánu</w:t>
      </w:r>
    </w:p>
    <w:p w14:paraId="50A09ECD" w14:textId="77777777" w:rsidR="00196F3D" w:rsidRPr="00196F3D" w:rsidRDefault="00196F3D" w:rsidP="00543C1B">
      <w:pPr>
        <w:numPr>
          <w:ilvl w:val="1"/>
          <w:numId w:val="193"/>
        </w:numPr>
        <w:spacing w:after="120" w:line="360" w:lineRule="auto"/>
        <w:jc w:val="both"/>
        <w:rPr>
          <w:rFonts w:eastAsia="MS Mincho"/>
        </w:rPr>
      </w:pPr>
      <w:r w:rsidRPr="00196F3D">
        <w:rPr>
          <w:rFonts w:eastAsia="MS Mincho"/>
        </w:rPr>
        <w:t xml:space="preserve">vývoj skla z hlediska bezpečnosti a odpovědnosti vůči životnímu prostředí (bezolovnaté sklo, vnitřní pnutí, ochranná povrchová úprava – nano-paint) </w:t>
      </w:r>
    </w:p>
    <w:p w14:paraId="3CF90952" w14:textId="0B9DD001" w:rsidR="00196F3D" w:rsidRPr="00196F3D" w:rsidRDefault="00196F3D" w:rsidP="00543C1B">
      <w:pPr>
        <w:numPr>
          <w:ilvl w:val="1"/>
          <w:numId w:val="193"/>
        </w:numPr>
        <w:spacing w:after="120" w:line="360" w:lineRule="auto"/>
        <w:jc w:val="both"/>
        <w:rPr>
          <w:rFonts w:eastAsia="MS Mincho"/>
        </w:rPr>
      </w:pPr>
      <w:r w:rsidRPr="00196F3D">
        <w:rPr>
          <w:rFonts w:eastAsia="MS Mincho"/>
        </w:rPr>
        <w:t>povrchová úprava skla v souladu s požadavky obchodních trendů i legislativy (ochranné a</w:t>
      </w:r>
      <w:r w:rsidR="006E2797">
        <w:rPr>
          <w:rFonts w:eastAsia="MS Mincho"/>
        </w:rPr>
        <w:t> </w:t>
      </w:r>
      <w:r w:rsidRPr="00196F3D">
        <w:rPr>
          <w:rFonts w:eastAsia="MS Mincho"/>
        </w:rPr>
        <w:t xml:space="preserve">antiadhesivní nátěry) </w:t>
      </w:r>
    </w:p>
    <w:p w14:paraId="38E76961" w14:textId="77777777" w:rsidR="00196F3D" w:rsidRPr="00196F3D" w:rsidRDefault="00196F3D" w:rsidP="00543C1B">
      <w:pPr>
        <w:numPr>
          <w:ilvl w:val="1"/>
          <w:numId w:val="193"/>
        </w:numPr>
        <w:spacing w:after="120" w:line="360" w:lineRule="auto"/>
        <w:jc w:val="both"/>
        <w:rPr>
          <w:rFonts w:eastAsia="MS Mincho"/>
        </w:rPr>
      </w:pPr>
      <w:r w:rsidRPr="00196F3D">
        <w:rPr>
          <w:rFonts w:eastAsia="MS Mincho"/>
        </w:rPr>
        <w:t xml:space="preserve">integrace skla do finálních produktů (fixační trubice, teleskopické závěsné systémy) </w:t>
      </w:r>
    </w:p>
    <w:p w14:paraId="20C278DE" w14:textId="77777777" w:rsidR="00196F3D" w:rsidRPr="00196F3D" w:rsidRDefault="00196F3D" w:rsidP="00543C1B">
      <w:pPr>
        <w:numPr>
          <w:ilvl w:val="1"/>
          <w:numId w:val="193"/>
        </w:numPr>
        <w:spacing w:after="120" w:line="360" w:lineRule="auto"/>
        <w:jc w:val="both"/>
        <w:rPr>
          <w:rFonts w:eastAsia="MS Mincho"/>
        </w:rPr>
      </w:pPr>
      <w:r w:rsidRPr="00196F3D">
        <w:rPr>
          <w:rFonts w:eastAsia="MS Mincho"/>
        </w:rPr>
        <w:t xml:space="preserve">technologie propojující sklo se světelností (nano-paint, světelné zdroje jako LED, oLED technologie nebo úsporné zářivky) </w:t>
      </w:r>
    </w:p>
    <w:p w14:paraId="5FA3B330" w14:textId="77777777" w:rsidR="00196F3D" w:rsidRPr="00196F3D" w:rsidRDefault="00196F3D" w:rsidP="00543C1B">
      <w:pPr>
        <w:numPr>
          <w:ilvl w:val="1"/>
          <w:numId w:val="193"/>
        </w:numPr>
        <w:spacing w:after="120" w:line="360" w:lineRule="auto"/>
        <w:jc w:val="both"/>
        <w:rPr>
          <w:rFonts w:eastAsia="MS Mincho"/>
        </w:rPr>
      </w:pPr>
      <w:r w:rsidRPr="00196F3D">
        <w:rPr>
          <w:rFonts w:eastAsia="MS Mincho"/>
        </w:rPr>
        <w:t xml:space="preserve">pokročilé principy příprav skel a robotizace jejich výrob s příznivým energetickým, ekologickým a kvalitativním dopadem (renovace současných technologií a aplikace nových výrobních postupů a příprav) </w:t>
      </w:r>
    </w:p>
    <w:p w14:paraId="261E30C6" w14:textId="77777777" w:rsidR="00196F3D" w:rsidRPr="00196F3D" w:rsidRDefault="00196F3D" w:rsidP="00543C1B">
      <w:pPr>
        <w:numPr>
          <w:ilvl w:val="1"/>
          <w:numId w:val="193"/>
        </w:numPr>
        <w:spacing w:after="120" w:line="360" w:lineRule="auto"/>
        <w:jc w:val="both"/>
        <w:rPr>
          <w:rFonts w:eastAsia="MS Mincho"/>
        </w:rPr>
      </w:pPr>
      <w:r w:rsidRPr="00196F3D">
        <w:rPr>
          <w:rFonts w:eastAsia="MS Mincho"/>
        </w:rPr>
        <w:t xml:space="preserve">nové suroviny a skla s významnými vlastnostmi pro hromadné i speciální použití a jejich originální zpracování (nové přírodní suroviny, odpady, nové typy skel s význačnými fyzikálními, chemickými a estetickými vlastnostmi, jejich objemové a povrchové zpracování) </w:t>
      </w:r>
    </w:p>
    <w:p w14:paraId="6F41EAD4" w14:textId="77777777" w:rsidR="00196F3D" w:rsidRPr="00196F3D" w:rsidRDefault="00196F3D" w:rsidP="00543C1B">
      <w:pPr>
        <w:numPr>
          <w:ilvl w:val="1"/>
          <w:numId w:val="193"/>
        </w:numPr>
        <w:spacing w:after="120" w:line="360" w:lineRule="auto"/>
        <w:jc w:val="both"/>
        <w:rPr>
          <w:rFonts w:eastAsia="MS Mincho"/>
        </w:rPr>
      </w:pPr>
      <w:r w:rsidRPr="00196F3D">
        <w:rPr>
          <w:rFonts w:eastAsia="MS Mincho"/>
        </w:rPr>
        <w:t xml:space="preserve">nové aplikace skel a sklářských výrobků (skla jako náhrady kovů, plastů a stavebních materiálů, sklo v kombinaci s jinými materiály, sklo v medicíně, sklo jako designový prvek, sklo pro ukládání radioaktivních odpadů, aplikace speciálních skel v ochraně cenin a dokladů) </w:t>
      </w:r>
    </w:p>
    <w:p w14:paraId="4EDAAB1F" w14:textId="77777777" w:rsidR="00196F3D" w:rsidRPr="00196F3D" w:rsidRDefault="00196F3D" w:rsidP="00543C1B">
      <w:pPr>
        <w:numPr>
          <w:ilvl w:val="1"/>
          <w:numId w:val="193"/>
        </w:numPr>
        <w:spacing w:after="120" w:line="360" w:lineRule="auto"/>
        <w:jc w:val="both"/>
        <w:rPr>
          <w:rFonts w:eastAsia="MS Mincho"/>
        </w:rPr>
      </w:pPr>
      <w:r w:rsidRPr="00196F3D">
        <w:rPr>
          <w:rFonts w:eastAsia="MS Mincho"/>
        </w:rPr>
        <w:t xml:space="preserve">barevné glazury, vlastnosti glazur a vliv oxidů </w:t>
      </w:r>
    </w:p>
    <w:p w14:paraId="35E39184" w14:textId="77777777" w:rsidR="00196F3D" w:rsidRPr="00196F3D" w:rsidRDefault="00196F3D" w:rsidP="00543C1B">
      <w:pPr>
        <w:numPr>
          <w:ilvl w:val="1"/>
          <w:numId w:val="193"/>
        </w:numPr>
        <w:spacing w:after="120" w:line="360" w:lineRule="auto"/>
        <w:jc w:val="both"/>
        <w:rPr>
          <w:rFonts w:eastAsia="MS Mincho"/>
        </w:rPr>
      </w:pPr>
      <w:r w:rsidRPr="00196F3D">
        <w:rPr>
          <w:rFonts w:eastAsia="MS Mincho"/>
        </w:rPr>
        <w:t xml:space="preserve">vývoj keramického granulátu </w:t>
      </w:r>
    </w:p>
    <w:p w14:paraId="765232D7" w14:textId="77777777" w:rsidR="00196F3D" w:rsidRPr="00196F3D" w:rsidRDefault="00196F3D" w:rsidP="00543C1B">
      <w:pPr>
        <w:numPr>
          <w:ilvl w:val="0"/>
          <w:numId w:val="194"/>
        </w:numPr>
        <w:spacing w:before="240" w:after="120" w:line="360" w:lineRule="auto"/>
        <w:ind w:left="737" w:hanging="377"/>
        <w:jc w:val="both"/>
        <w:rPr>
          <w:rFonts w:eastAsia="MS Mincho"/>
          <w:b/>
        </w:rPr>
      </w:pPr>
      <w:r w:rsidRPr="00196F3D">
        <w:rPr>
          <w:rFonts w:eastAsia="MS Mincho"/>
          <w:b/>
        </w:rPr>
        <w:t xml:space="preserve">Textilní výroba </w:t>
      </w:r>
    </w:p>
    <w:p w14:paraId="4A7563A8" w14:textId="77777777" w:rsidR="00196F3D" w:rsidRPr="00196F3D" w:rsidRDefault="00196F3D" w:rsidP="00543C1B">
      <w:pPr>
        <w:numPr>
          <w:ilvl w:val="1"/>
          <w:numId w:val="194"/>
        </w:numPr>
        <w:spacing w:after="120" w:line="360" w:lineRule="auto"/>
        <w:ind w:left="1418" w:hanging="284"/>
        <w:jc w:val="both"/>
        <w:rPr>
          <w:rFonts w:eastAsia="MS Mincho"/>
        </w:rPr>
      </w:pPr>
      <w:r w:rsidRPr="00196F3D">
        <w:rPr>
          <w:rFonts w:eastAsia="MS Mincho"/>
        </w:rPr>
        <w:t xml:space="preserve">výroba a použití nanovláken a nanovlákenných struktur </w:t>
      </w:r>
    </w:p>
    <w:p w14:paraId="147D001F" w14:textId="77777777" w:rsidR="00196F3D" w:rsidRPr="00196F3D" w:rsidRDefault="00196F3D" w:rsidP="00543C1B">
      <w:pPr>
        <w:numPr>
          <w:ilvl w:val="1"/>
          <w:numId w:val="194"/>
        </w:numPr>
        <w:spacing w:after="120" w:line="360" w:lineRule="auto"/>
        <w:ind w:left="1418" w:hanging="284"/>
        <w:jc w:val="both"/>
        <w:rPr>
          <w:rFonts w:eastAsia="MS Mincho"/>
        </w:rPr>
      </w:pPr>
      <w:r w:rsidRPr="00196F3D">
        <w:rPr>
          <w:rFonts w:eastAsia="MS Mincho"/>
        </w:rPr>
        <w:t xml:space="preserve">v textilu, aplikace nanočástic pro speciální efekty (např. nanovlákenné membrány a speciální textilie pro funkční oblečení, apod.)vývoj kompozitních struktur s obsahem anorganických vláken a textilních výztuží, inteligentní textilie </w:t>
      </w:r>
    </w:p>
    <w:p w14:paraId="1A7A61CE" w14:textId="77777777" w:rsidR="00196F3D" w:rsidRPr="00196F3D" w:rsidRDefault="00196F3D" w:rsidP="00543C1B">
      <w:pPr>
        <w:numPr>
          <w:ilvl w:val="1"/>
          <w:numId w:val="194"/>
        </w:numPr>
        <w:spacing w:after="120" w:line="360" w:lineRule="auto"/>
        <w:ind w:left="1418" w:hanging="284"/>
        <w:jc w:val="both"/>
        <w:rPr>
          <w:rFonts w:eastAsia="MS Mincho"/>
        </w:rPr>
      </w:pPr>
      <w:r w:rsidRPr="00196F3D">
        <w:rPr>
          <w:rFonts w:eastAsia="MS Mincho"/>
        </w:rPr>
        <w:t xml:space="preserve">použití optických vláken a materiálů s tvarovou pamětí pro technické výrobky </w:t>
      </w:r>
    </w:p>
    <w:p w14:paraId="6406ECAF" w14:textId="77777777" w:rsidR="00196F3D" w:rsidRPr="00196F3D" w:rsidRDefault="00196F3D" w:rsidP="00543C1B">
      <w:pPr>
        <w:numPr>
          <w:ilvl w:val="1"/>
          <w:numId w:val="194"/>
        </w:numPr>
        <w:spacing w:after="120" w:line="360" w:lineRule="auto"/>
        <w:ind w:left="1418" w:hanging="284"/>
        <w:jc w:val="both"/>
        <w:rPr>
          <w:rFonts w:eastAsia="MS Mincho"/>
        </w:rPr>
      </w:pPr>
      <w:r w:rsidRPr="00196F3D">
        <w:rPr>
          <w:rFonts w:eastAsia="MS Mincho"/>
        </w:rPr>
        <w:t xml:space="preserve">textilní čidla a čidla vhodná pro použití v textiliích </w:t>
      </w:r>
    </w:p>
    <w:p w14:paraId="78B2CF09" w14:textId="77777777" w:rsidR="00196F3D" w:rsidRPr="00196F3D" w:rsidRDefault="00196F3D" w:rsidP="00543C1B">
      <w:pPr>
        <w:numPr>
          <w:ilvl w:val="1"/>
          <w:numId w:val="194"/>
        </w:numPr>
        <w:spacing w:after="120" w:line="360" w:lineRule="auto"/>
        <w:ind w:left="1418" w:hanging="284"/>
        <w:jc w:val="both"/>
        <w:rPr>
          <w:rFonts w:eastAsia="MS Mincho"/>
        </w:rPr>
      </w:pPr>
      <w:r w:rsidRPr="00196F3D">
        <w:rPr>
          <w:rFonts w:eastAsia="MS Mincho"/>
        </w:rPr>
        <w:t xml:space="preserve">modifikace a rozvoj technologií pro zpracování nových materiálů, ekologické aspekty nových technologií </w:t>
      </w:r>
    </w:p>
    <w:p w14:paraId="7EBD87D3" w14:textId="77777777" w:rsidR="00196F3D" w:rsidRPr="00196F3D" w:rsidRDefault="00196F3D" w:rsidP="00543C1B">
      <w:pPr>
        <w:numPr>
          <w:ilvl w:val="0"/>
          <w:numId w:val="195"/>
        </w:numPr>
        <w:spacing w:before="240" w:after="120" w:line="360" w:lineRule="auto"/>
        <w:ind w:left="737" w:hanging="377"/>
        <w:jc w:val="both"/>
        <w:rPr>
          <w:rFonts w:eastAsia="MS Mincho"/>
          <w:b/>
        </w:rPr>
      </w:pPr>
      <w:r w:rsidRPr="00196F3D">
        <w:rPr>
          <w:rFonts w:eastAsia="MS Mincho"/>
          <w:b/>
        </w:rPr>
        <w:t>Zpracování dřeva a výroba hudebních nástrojů</w:t>
      </w:r>
    </w:p>
    <w:p w14:paraId="481097B9" w14:textId="77777777" w:rsidR="00196F3D" w:rsidRPr="00196F3D" w:rsidRDefault="00196F3D" w:rsidP="00543C1B">
      <w:pPr>
        <w:numPr>
          <w:ilvl w:val="1"/>
          <w:numId w:val="195"/>
        </w:numPr>
        <w:spacing w:after="120" w:line="360" w:lineRule="auto"/>
        <w:jc w:val="both"/>
        <w:rPr>
          <w:rFonts w:eastAsia="MS Mincho"/>
        </w:rPr>
      </w:pPr>
      <w:r w:rsidRPr="00196F3D">
        <w:rPr>
          <w:rFonts w:eastAsia="MS Mincho"/>
        </w:rPr>
        <w:t xml:space="preserve">technologie spojů materiálů na bázi dřeva </w:t>
      </w:r>
    </w:p>
    <w:p w14:paraId="3F99679A" w14:textId="77777777" w:rsidR="00196F3D" w:rsidRPr="00196F3D" w:rsidRDefault="00196F3D" w:rsidP="00543C1B">
      <w:pPr>
        <w:numPr>
          <w:ilvl w:val="1"/>
          <w:numId w:val="195"/>
        </w:numPr>
        <w:spacing w:after="120" w:line="360" w:lineRule="auto"/>
        <w:jc w:val="both"/>
        <w:rPr>
          <w:rFonts w:eastAsia="MS Mincho"/>
        </w:rPr>
      </w:pPr>
      <w:r w:rsidRPr="00196F3D">
        <w:rPr>
          <w:rFonts w:eastAsia="MS Mincho"/>
        </w:rPr>
        <w:t xml:space="preserve">matematické simulace tuhosti konstrukcí ze dřeva </w:t>
      </w:r>
    </w:p>
    <w:p w14:paraId="7B285F26" w14:textId="77777777" w:rsidR="00196F3D" w:rsidRPr="00196F3D" w:rsidRDefault="00196F3D" w:rsidP="00543C1B">
      <w:pPr>
        <w:numPr>
          <w:ilvl w:val="1"/>
          <w:numId w:val="195"/>
        </w:numPr>
        <w:spacing w:after="120" w:line="360" w:lineRule="auto"/>
        <w:jc w:val="both"/>
        <w:rPr>
          <w:rFonts w:eastAsia="MS Mincho"/>
        </w:rPr>
      </w:pPr>
      <w:r w:rsidRPr="00196F3D">
        <w:rPr>
          <w:rFonts w:eastAsia="MS Mincho"/>
        </w:rPr>
        <w:t xml:space="preserve">vývoj materiálů na bázi dřeva s vysokou odolností vůči biotickým činitelům a ohni </w:t>
      </w:r>
    </w:p>
    <w:p w14:paraId="56D73DB3" w14:textId="77777777" w:rsidR="00196F3D" w:rsidRPr="00196F3D" w:rsidRDefault="00196F3D" w:rsidP="00543C1B">
      <w:pPr>
        <w:numPr>
          <w:ilvl w:val="1"/>
          <w:numId w:val="195"/>
        </w:numPr>
        <w:spacing w:after="120" w:line="360" w:lineRule="auto"/>
        <w:jc w:val="both"/>
        <w:rPr>
          <w:rFonts w:eastAsia="MS Mincho"/>
        </w:rPr>
      </w:pPr>
      <w:r w:rsidRPr="00196F3D">
        <w:rPr>
          <w:rFonts w:eastAsia="MS Mincho"/>
        </w:rPr>
        <w:t xml:space="preserve">lepené lamelové dřevo a jeho užití v architektuře dřevostaveb </w:t>
      </w:r>
    </w:p>
    <w:p w14:paraId="1A66D079" w14:textId="77777777" w:rsidR="00196F3D" w:rsidRPr="00196F3D" w:rsidRDefault="00196F3D" w:rsidP="00543C1B">
      <w:pPr>
        <w:numPr>
          <w:ilvl w:val="1"/>
          <w:numId w:val="195"/>
        </w:numPr>
        <w:spacing w:after="120" w:line="360" w:lineRule="auto"/>
        <w:jc w:val="both"/>
        <w:rPr>
          <w:rFonts w:eastAsia="MS Mincho"/>
        </w:rPr>
      </w:pPr>
      <w:r w:rsidRPr="00196F3D">
        <w:rPr>
          <w:rFonts w:eastAsia="MS Mincho"/>
        </w:rPr>
        <w:t>ekologické aspekty zpracování dřeva a materiálů na bázi dřeva</w:t>
      </w:r>
    </w:p>
    <w:p w14:paraId="755880A1" w14:textId="77777777" w:rsidR="00196F3D" w:rsidRPr="00196F3D" w:rsidRDefault="00196F3D" w:rsidP="00543C1B">
      <w:pPr>
        <w:numPr>
          <w:ilvl w:val="1"/>
          <w:numId w:val="195"/>
        </w:numPr>
        <w:spacing w:after="120" w:line="360" w:lineRule="auto"/>
        <w:jc w:val="both"/>
        <w:rPr>
          <w:rFonts w:eastAsia="MS Mincho"/>
        </w:rPr>
      </w:pPr>
      <w:r w:rsidRPr="00196F3D">
        <w:rPr>
          <w:rFonts w:eastAsia="MS Mincho"/>
        </w:rPr>
        <w:t>hudební akustika a technická fyzika (výzkum zvukové kvality hudebních nástrojů a jejich vyrovnanosti)</w:t>
      </w:r>
    </w:p>
    <w:p w14:paraId="57139A05" w14:textId="416548AD" w:rsidR="00855226" w:rsidRDefault="00855226">
      <w:pPr>
        <w:spacing w:after="200" w:line="276" w:lineRule="auto"/>
      </w:pPr>
      <w:r>
        <w:br w:type="page"/>
      </w:r>
    </w:p>
    <w:p w14:paraId="324B2E03" w14:textId="3400B88E" w:rsidR="00C27903" w:rsidRDefault="00C27903" w:rsidP="00543C1B">
      <w:pPr>
        <w:pStyle w:val="Odstavecseseznamem"/>
        <w:numPr>
          <w:ilvl w:val="0"/>
          <w:numId w:val="191"/>
        </w:numPr>
        <w:rPr>
          <w:u w:val="single"/>
        </w:rPr>
      </w:pPr>
      <w:r w:rsidRPr="00EE10F6">
        <w:rPr>
          <w:u w:val="single"/>
        </w:rPr>
        <w:t>Indikativní vztah ke klasifikaci CZ NACE</w:t>
      </w:r>
    </w:p>
    <w:p w14:paraId="21068595" w14:textId="0C8D7DD0" w:rsidR="00D3529A" w:rsidRPr="00987809" w:rsidRDefault="00D3529A" w:rsidP="00D3529A">
      <w:pPr>
        <w:pStyle w:val="Bezmezer1"/>
        <w:spacing w:before="40" w:after="40" w:line="360" w:lineRule="auto"/>
        <w:ind w:left="360"/>
        <w:rPr>
          <w:rFonts w:asciiTheme="minorHAnsi" w:hAnsiTheme="minorHAnsi"/>
          <w:b/>
          <w:lang w:eastAsia="cs-CZ"/>
        </w:rPr>
      </w:pPr>
      <w:r w:rsidRPr="00987809">
        <w:rPr>
          <w:rFonts w:asciiTheme="minorHAnsi" w:hAnsiTheme="minorHAnsi"/>
          <w:b/>
          <w:lang w:eastAsia="cs-CZ"/>
        </w:rPr>
        <w:t>Hlavní relevantní CZ</w:t>
      </w:r>
      <w:r>
        <w:rPr>
          <w:rFonts w:asciiTheme="minorHAnsi" w:hAnsiTheme="minorHAnsi"/>
          <w:b/>
          <w:lang w:eastAsia="cs-CZ"/>
        </w:rPr>
        <w:t xml:space="preserve"> </w:t>
      </w:r>
      <w:r w:rsidRPr="00987809">
        <w:rPr>
          <w:rFonts w:asciiTheme="minorHAnsi" w:hAnsiTheme="minorHAnsi"/>
          <w:b/>
          <w:lang w:eastAsia="cs-CZ"/>
        </w:rPr>
        <w:t>NACE</w:t>
      </w:r>
    </w:p>
    <w:p w14:paraId="123F796D" w14:textId="77777777" w:rsidR="00D3529A" w:rsidRPr="00D3529A" w:rsidRDefault="00D3529A" w:rsidP="00D3529A">
      <w:pPr>
        <w:autoSpaceDE w:val="0"/>
        <w:autoSpaceDN w:val="0"/>
        <w:adjustRightInd w:val="0"/>
        <w:spacing w:before="40" w:after="40" w:line="360" w:lineRule="auto"/>
        <w:ind w:left="360"/>
        <w:rPr>
          <w:rFonts w:cs="Arial-BoldMT"/>
          <w:bCs/>
          <w:color w:val="000000" w:themeColor="text1"/>
        </w:rPr>
      </w:pPr>
      <w:r w:rsidRPr="00D3529A">
        <w:rPr>
          <w:rFonts w:cs="Arial-BoldMT"/>
          <w:bCs/>
          <w:color w:val="000000" w:themeColor="text1"/>
        </w:rPr>
        <w:t>Architektura</w:t>
      </w:r>
    </w:p>
    <w:p w14:paraId="28220B56" w14:textId="1560A9D7" w:rsidR="00D3529A" w:rsidRPr="00D3529A" w:rsidRDefault="00D3529A" w:rsidP="00D3529A">
      <w:pPr>
        <w:autoSpaceDE w:val="0"/>
        <w:autoSpaceDN w:val="0"/>
        <w:adjustRightInd w:val="0"/>
        <w:spacing w:before="40" w:after="40" w:line="360" w:lineRule="auto"/>
        <w:ind w:left="1776" w:firstLine="348"/>
        <w:rPr>
          <w:rFonts w:cs="Arial-BoldMT"/>
          <w:bCs/>
          <w:color w:val="000000" w:themeColor="text1"/>
        </w:rPr>
      </w:pPr>
      <w:r w:rsidRPr="00D3529A">
        <w:rPr>
          <w:rFonts w:cs="Arial-BoldMT"/>
          <w:bCs/>
          <w:color w:val="000000" w:themeColor="text1"/>
        </w:rPr>
        <w:t>71.11</w:t>
      </w:r>
      <w:r>
        <w:rPr>
          <w:rFonts w:cs="Arial-BoldMT"/>
          <w:bCs/>
          <w:color w:val="000000" w:themeColor="text1"/>
        </w:rPr>
        <w:tab/>
      </w:r>
      <w:r w:rsidRPr="00D3529A">
        <w:rPr>
          <w:rFonts w:cs="Arial-BoldMT"/>
          <w:bCs/>
          <w:color w:val="000000" w:themeColor="text1"/>
        </w:rPr>
        <w:t>Architektonické činnosti</w:t>
      </w:r>
    </w:p>
    <w:p w14:paraId="3D19B9AF" w14:textId="77777777" w:rsidR="00D3529A" w:rsidRPr="00D3529A" w:rsidRDefault="00D3529A" w:rsidP="00D3529A">
      <w:pPr>
        <w:autoSpaceDE w:val="0"/>
        <w:autoSpaceDN w:val="0"/>
        <w:adjustRightInd w:val="0"/>
        <w:spacing w:before="40" w:after="40" w:line="360" w:lineRule="auto"/>
        <w:ind w:left="360"/>
        <w:rPr>
          <w:rFonts w:cs="Arial-BoldMT"/>
          <w:bCs/>
          <w:color w:val="000000" w:themeColor="text1"/>
        </w:rPr>
      </w:pPr>
      <w:r w:rsidRPr="00D3529A">
        <w:rPr>
          <w:rFonts w:cs="Arial-BoldMT"/>
          <w:bCs/>
          <w:color w:val="000000" w:themeColor="text1"/>
        </w:rPr>
        <w:t>Design</w:t>
      </w:r>
    </w:p>
    <w:p w14:paraId="1EF54771" w14:textId="6267B125" w:rsidR="00D3529A" w:rsidRPr="00D3529A" w:rsidRDefault="00D3529A" w:rsidP="00D3529A">
      <w:pPr>
        <w:autoSpaceDE w:val="0"/>
        <w:autoSpaceDN w:val="0"/>
        <w:adjustRightInd w:val="0"/>
        <w:spacing w:before="40" w:after="40" w:line="360" w:lineRule="auto"/>
        <w:ind w:left="1776" w:firstLine="348"/>
        <w:rPr>
          <w:rFonts w:cs="Arial-BoldMT"/>
          <w:bCs/>
          <w:color w:val="000000" w:themeColor="text1"/>
        </w:rPr>
      </w:pPr>
      <w:r w:rsidRPr="00D3529A">
        <w:rPr>
          <w:rFonts w:cs="Arial-BoldMT"/>
          <w:bCs/>
          <w:color w:val="000000" w:themeColor="text1"/>
        </w:rPr>
        <w:t>74.10</w:t>
      </w:r>
      <w:r>
        <w:rPr>
          <w:rFonts w:cs="Arial-BoldMT"/>
          <w:bCs/>
          <w:color w:val="000000" w:themeColor="text1"/>
        </w:rPr>
        <w:tab/>
      </w:r>
      <w:r w:rsidRPr="00D3529A">
        <w:rPr>
          <w:rFonts w:cs="Arial-BoldMT"/>
          <w:bCs/>
          <w:color w:val="000000" w:themeColor="text1"/>
        </w:rPr>
        <w:t>Specializované návrhářské činnosti</w:t>
      </w:r>
    </w:p>
    <w:p w14:paraId="42C27DDC" w14:textId="77777777" w:rsidR="00D3529A" w:rsidRPr="00D3529A" w:rsidRDefault="00D3529A" w:rsidP="00D3529A">
      <w:pPr>
        <w:autoSpaceDE w:val="0"/>
        <w:autoSpaceDN w:val="0"/>
        <w:adjustRightInd w:val="0"/>
        <w:spacing w:before="40" w:after="40" w:line="360" w:lineRule="auto"/>
        <w:ind w:left="360"/>
        <w:rPr>
          <w:rFonts w:cs="Arial-BoldMT"/>
          <w:bCs/>
          <w:color w:val="000000" w:themeColor="text1"/>
        </w:rPr>
      </w:pPr>
      <w:r w:rsidRPr="00D3529A">
        <w:rPr>
          <w:rFonts w:cs="Arial-BoldMT"/>
          <w:bCs/>
          <w:color w:val="000000" w:themeColor="text1"/>
        </w:rPr>
        <w:t>Umělecká řemesla vážící se k následujícím oborům:</w:t>
      </w:r>
    </w:p>
    <w:p w14:paraId="3A634986" w14:textId="77777777" w:rsidR="00D3529A" w:rsidRPr="00987809" w:rsidRDefault="00D3529A" w:rsidP="00D3529A">
      <w:pPr>
        <w:pStyle w:val="Prosttext"/>
        <w:spacing w:before="40" w:after="40" w:line="360" w:lineRule="auto"/>
        <w:ind w:left="360"/>
        <w:rPr>
          <w:rFonts w:asciiTheme="minorHAnsi" w:hAnsiTheme="minorHAnsi"/>
          <w:sz w:val="22"/>
          <w:szCs w:val="22"/>
        </w:rPr>
      </w:pPr>
      <w:r w:rsidRPr="00987809">
        <w:rPr>
          <w:rFonts w:asciiTheme="minorHAnsi" w:hAnsiTheme="minorHAnsi"/>
          <w:sz w:val="22"/>
          <w:szCs w:val="22"/>
        </w:rPr>
        <w:t>Sekce C a F – oděvní (módní) průmysl a řemesla</w:t>
      </w:r>
    </w:p>
    <w:p w14:paraId="0E08630A" w14:textId="77777777" w:rsidR="00D3529A" w:rsidRPr="00987809" w:rsidRDefault="00D3529A" w:rsidP="00D3529A">
      <w:pPr>
        <w:pStyle w:val="Prosttext"/>
        <w:spacing w:before="40" w:after="40" w:line="360" w:lineRule="auto"/>
        <w:ind w:left="360"/>
        <w:rPr>
          <w:rFonts w:asciiTheme="minorHAnsi" w:hAnsiTheme="minorHAnsi"/>
          <w:sz w:val="22"/>
          <w:szCs w:val="22"/>
        </w:rPr>
      </w:pPr>
      <w:r w:rsidRPr="00987809">
        <w:rPr>
          <w:rFonts w:asciiTheme="minorHAnsi" w:hAnsiTheme="minorHAnsi"/>
          <w:sz w:val="22"/>
          <w:szCs w:val="22"/>
        </w:rPr>
        <w:t>Sekce C – Zpracovatelský průmysl</w:t>
      </w:r>
    </w:p>
    <w:p w14:paraId="72CC2370" w14:textId="3B1AA74F" w:rsidR="00D3529A" w:rsidRDefault="00D3529A" w:rsidP="00D3529A">
      <w:pPr>
        <w:pStyle w:val="Prosttext"/>
        <w:spacing w:before="40" w:after="40" w:line="360" w:lineRule="auto"/>
        <w:ind w:left="360" w:firstLine="348"/>
        <w:rPr>
          <w:rFonts w:asciiTheme="minorHAnsi" w:hAnsiTheme="minorHAnsi"/>
          <w:sz w:val="22"/>
          <w:szCs w:val="22"/>
        </w:rPr>
      </w:pPr>
      <w:r>
        <w:rPr>
          <w:rFonts w:asciiTheme="minorHAnsi" w:hAnsiTheme="minorHAnsi"/>
          <w:sz w:val="22"/>
          <w:szCs w:val="22"/>
        </w:rPr>
        <w:t>13</w:t>
      </w:r>
      <w:r>
        <w:rPr>
          <w:rFonts w:asciiTheme="minorHAnsi" w:hAnsiTheme="minorHAnsi"/>
          <w:sz w:val="22"/>
          <w:szCs w:val="22"/>
        </w:rPr>
        <w:tab/>
        <w:t>Výroba textilií</w:t>
      </w:r>
    </w:p>
    <w:p w14:paraId="1C78715B" w14:textId="4D4619B9" w:rsidR="00D3529A" w:rsidRPr="00987809" w:rsidRDefault="00D3529A" w:rsidP="00D3529A">
      <w:pPr>
        <w:pStyle w:val="Prosttext"/>
        <w:spacing w:before="40" w:after="40" w:line="360" w:lineRule="auto"/>
        <w:ind w:left="360" w:firstLine="348"/>
        <w:rPr>
          <w:rFonts w:asciiTheme="minorHAnsi" w:hAnsiTheme="minorHAnsi"/>
          <w:sz w:val="22"/>
          <w:szCs w:val="22"/>
        </w:rPr>
      </w:pPr>
      <w:r w:rsidRPr="00987809">
        <w:rPr>
          <w:rFonts w:asciiTheme="minorHAnsi" w:hAnsiTheme="minorHAnsi"/>
          <w:sz w:val="22"/>
          <w:szCs w:val="22"/>
        </w:rPr>
        <w:t>14</w:t>
      </w:r>
      <w:r>
        <w:rPr>
          <w:rFonts w:asciiTheme="minorHAnsi" w:hAnsiTheme="minorHAnsi"/>
          <w:sz w:val="22"/>
          <w:szCs w:val="22"/>
        </w:rPr>
        <w:tab/>
      </w:r>
      <w:r w:rsidRPr="00987809">
        <w:rPr>
          <w:rFonts w:asciiTheme="minorHAnsi" w:hAnsiTheme="minorHAnsi"/>
          <w:sz w:val="22"/>
          <w:szCs w:val="22"/>
        </w:rPr>
        <w:t>Výroba oděvů (celá 14)</w:t>
      </w:r>
    </w:p>
    <w:p w14:paraId="53A178AA" w14:textId="14DCE659" w:rsidR="00D3529A" w:rsidRPr="00987809" w:rsidRDefault="00D3529A" w:rsidP="00D3529A">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14.11</w:t>
      </w:r>
      <w:r>
        <w:rPr>
          <w:rFonts w:asciiTheme="minorHAnsi" w:hAnsiTheme="minorHAnsi"/>
          <w:sz w:val="22"/>
          <w:szCs w:val="22"/>
        </w:rPr>
        <w:tab/>
      </w:r>
      <w:r w:rsidRPr="00987809">
        <w:rPr>
          <w:rFonts w:asciiTheme="minorHAnsi" w:hAnsiTheme="minorHAnsi"/>
          <w:sz w:val="22"/>
          <w:szCs w:val="22"/>
        </w:rPr>
        <w:t>Výroba kožených oděvů</w:t>
      </w:r>
    </w:p>
    <w:p w14:paraId="749EEBF8" w14:textId="660FA583" w:rsidR="00D3529A" w:rsidRPr="00987809" w:rsidRDefault="00D3529A" w:rsidP="00D3529A">
      <w:pPr>
        <w:pStyle w:val="Prosttext"/>
        <w:spacing w:before="40" w:after="40" w:line="360" w:lineRule="auto"/>
        <w:ind w:left="720" w:firstLine="696"/>
        <w:rPr>
          <w:rFonts w:asciiTheme="minorHAnsi" w:hAnsiTheme="minorHAnsi"/>
          <w:sz w:val="22"/>
          <w:szCs w:val="22"/>
        </w:rPr>
      </w:pPr>
      <w:r w:rsidRPr="00987809">
        <w:rPr>
          <w:rFonts w:asciiTheme="minorHAnsi" w:hAnsiTheme="minorHAnsi"/>
          <w:sz w:val="22"/>
          <w:szCs w:val="22"/>
        </w:rPr>
        <w:t>14.12</w:t>
      </w:r>
      <w:r>
        <w:rPr>
          <w:rFonts w:asciiTheme="minorHAnsi" w:hAnsiTheme="minorHAnsi"/>
          <w:sz w:val="22"/>
          <w:szCs w:val="22"/>
        </w:rPr>
        <w:tab/>
      </w:r>
      <w:r w:rsidRPr="00987809">
        <w:rPr>
          <w:rFonts w:asciiTheme="minorHAnsi" w:hAnsiTheme="minorHAnsi"/>
          <w:sz w:val="22"/>
          <w:szCs w:val="22"/>
        </w:rPr>
        <w:t>Výroba pracovních oděvů</w:t>
      </w:r>
    </w:p>
    <w:p w14:paraId="0FCF7D9C" w14:textId="131A4011" w:rsidR="00D3529A" w:rsidRPr="00987809" w:rsidRDefault="00D3529A" w:rsidP="00D3529A">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14.13</w:t>
      </w:r>
      <w:r>
        <w:rPr>
          <w:rFonts w:asciiTheme="minorHAnsi" w:hAnsiTheme="minorHAnsi"/>
          <w:sz w:val="22"/>
          <w:szCs w:val="22"/>
        </w:rPr>
        <w:tab/>
      </w:r>
      <w:r w:rsidRPr="00987809">
        <w:rPr>
          <w:rFonts w:asciiTheme="minorHAnsi" w:hAnsiTheme="minorHAnsi"/>
          <w:sz w:val="22"/>
          <w:szCs w:val="22"/>
        </w:rPr>
        <w:t>Výroba ostatních svrchních oděvů</w:t>
      </w:r>
    </w:p>
    <w:p w14:paraId="26128E88" w14:textId="541F8441" w:rsidR="00D3529A" w:rsidRPr="00987809" w:rsidRDefault="00D3529A" w:rsidP="00D3529A">
      <w:pPr>
        <w:pStyle w:val="Prosttext"/>
        <w:spacing w:before="40" w:after="40" w:line="360" w:lineRule="auto"/>
        <w:ind w:left="720" w:firstLine="696"/>
        <w:rPr>
          <w:rFonts w:asciiTheme="minorHAnsi" w:hAnsiTheme="minorHAnsi"/>
          <w:sz w:val="22"/>
          <w:szCs w:val="22"/>
        </w:rPr>
      </w:pPr>
      <w:r w:rsidRPr="00987809">
        <w:rPr>
          <w:rFonts w:asciiTheme="minorHAnsi" w:hAnsiTheme="minorHAnsi"/>
          <w:sz w:val="22"/>
          <w:szCs w:val="22"/>
        </w:rPr>
        <w:t>14.14</w:t>
      </w:r>
      <w:r>
        <w:rPr>
          <w:rFonts w:asciiTheme="minorHAnsi" w:hAnsiTheme="minorHAnsi"/>
          <w:sz w:val="22"/>
          <w:szCs w:val="22"/>
        </w:rPr>
        <w:tab/>
      </w:r>
      <w:r w:rsidRPr="00987809">
        <w:rPr>
          <w:rFonts w:asciiTheme="minorHAnsi" w:hAnsiTheme="minorHAnsi"/>
          <w:sz w:val="22"/>
          <w:szCs w:val="22"/>
        </w:rPr>
        <w:t>Výroba osobního prádla</w:t>
      </w:r>
    </w:p>
    <w:p w14:paraId="30F2CE79" w14:textId="1B376412" w:rsidR="00D3529A" w:rsidRPr="00987809" w:rsidRDefault="00D3529A" w:rsidP="00D3529A">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14.19</w:t>
      </w:r>
      <w:r>
        <w:rPr>
          <w:rFonts w:asciiTheme="minorHAnsi" w:hAnsiTheme="minorHAnsi"/>
          <w:sz w:val="22"/>
          <w:szCs w:val="22"/>
        </w:rPr>
        <w:tab/>
      </w:r>
      <w:r w:rsidRPr="00987809">
        <w:rPr>
          <w:rFonts w:asciiTheme="minorHAnsi" w:hAnsiTheme="minorHAnsi"/>
          <w:sz w:val="22"/>
          <w:szCs w:val="22"/>
        </w:rPr>
        <w:t xml:space="preserve">Výroba ostatních oděvů a oděvních doplňků </w:t>
      </w:r>
    </w:p>
    <w:p w14:paraId="6DE7D457" w14:textId="1C5F4BFC" w:rsidR="00D3529A" w:rsidRPr="00987809" w:rsidRDefault="00D3529A" w:rsidP="00D3529A">
      <w:pPr>
        <w:pStyle w:val="Prosttext"/>
        <w:spacing w:before="40" w:after="40" w:line="360" w:lineRule="auto"/>
        <w:ind w:left="720" w:firstLine="696"/>
        <w:rPr>
          <w:rFonts w:asciiTheme="minorHAnsi" w:hAnsiTheme="minorHAnsi"/>
          <w:sz w:val="22"/>
          <w:szCs w:val="22"/>
        </w:rPr>
      </w:pPr>
      <w:r w:rsidRPr="00987809">
        <w:rPr>
          <w:rFonts w:asciiTheme="minorHAnsi" w:hAnsiTheme="minorHAnsi"/>
          <w:sz w:val="22"/>
          <w:szCs w:val="22"/>
        </w:rPr>
        <w:t>14.20</w:t>
      </w:r>
      <w:r>
        <w:rPr>
          <w:rFonts w:asciiTheme="minorHAnsi" w:hAnsiTheme="minorHAnsi"/>
          <w:sz w:val="22"/>
          <w:szCs w:val="22"/>
        </w:rPr>
        <w:tab/>
      </w:r>
      <w:r w:rsidRPr="00987809">
        <w:rPr>
          <w:rFonts w:asciiTheme="minorHAnsi" w:hAnsiTheme="minorHAnsi"/>
          <w:sz w:val="22"/>
          <w:szCs w:val="22"/>
        </w:rPr>
        <w:t>Výroba kožešinových výrobků</w:t>
      </w:r>
    </w:p>
    <w:p w14:paraId="71CA0C62" w14:textId="29B46B28" w:rsidR="00D3529A" w:rsidRPr="00987809" w:rsidRDefault="00D3529A" w:rsidP="00D3529A">
      <w:pPr>
        <w:pStyle w:val="Prosttext"/>
        <w:spacing w:before="40" w:after="40" w:line="360" w:lineRule="auto"/>
        <w:ind w:left="1068"/>
        <w:rPr>
          <w:rFonts w:asciiTheme="minorHAnsi" w:hAnsiTheme="minorHAnsi"/>
          <w:sz w:val="22"/>
          <w:szCs w:val="22"/>
        </w:rPr>
      </w:pPr>
      <w:r w:rsidRPr="00987809">
        <w:rPr>
          <w:rFonts w:asciiTheme="minorHAnsi" w:hAnsiTheme="minorHAnsi"/>
          <w:sz w:val="22"/>
          <w:szCs w:val="22"/>
        </w:rPr>
        <w:t>14.3</w:t>
      </w:r>
      <w:r>
        <w:rPr>
          <w:rFonts w:asciiTheme="minorHAnsi" w:hAnsiTheme="minorHAnsi"/>
          <w:sz w:val="22"/>
          <w:szCs w:val="22"/>
        </w:rPr>
        <w:tab/>
      </w:r>
      <w:r w:rsidRPr="00987809">
        <w:rPr>
          <w:rFonts w:asciiTheme="minorHAnsi" w:hAnsiTheme="minorHAnsi"/>
          <w:sz w:val="22"/>
          <w:szCs w:val="22"/>
        </w:rPr>
        <w:t>Výroba pletených a háčkovaných oděvů</w:t>
      </w:r>
    </w:p>
    <w:p w14:paraId="6F49F253" w14:textId="52BF92D0" w:rsidR="00D3529A" w:rsidRPr="00987809" w:rsidRDefault="00D3529A" w:rsidP="00D3529A">
      <w:pPr>
        <w:pStyle w:val="Prosttext"/>
        <w:spacing w:before="40" w:after="40" w:line="360" w:lineRule="auto"/>
        <w:ind w:left="720" w:firstLine="696"/>
        <w:rPr>
          <w:rFonts w:asciiTheme="minorHAnsi" w:hAnsiTheme="minorHAnsi"/>
          <w:sz w:val="22"/>
          <w:szCs w:val="22"/>
        </w:rPr>
      </w:pPr>
      <w:r w:rsidRPr="00987809">
        <w:rPr>
          <w:rFonts w:asciiTheme="minorHAnsi" w:hAnsiTheme="minorHAnsi"/>
          <w:sz w:val="22"/>
          <w:szCs w:val="22"/>
        </w:rPr>
        <w:t>14.31</w:t>
      </w:r>
      <w:r>
        <w:rPr>
          <w:rFonts w:asciiTheme="minorHAnsi" w:hAnsiTheme="minorHAnsi"/>
          <w:sz w:val="22"/>
          <w:szCs w:val="22"/>
        </w:rPr>
        <w:tab/>
      </w:r>
      <w:r w:rsidRPr="00987809">
        <w:rPr>
          <w:rFonts w:asciiTheme="minorHAnsi" w:hAnsiTheme="minorHAnsi"/>
          <w:sz w:val="22"/>
          <w:szCs w:val="22"/>
        </w:rPr>
        <w:t>Výroba pletených a háčkovaných punčochových výrobků</w:t>
      </w:r>
    </w:p>
    <w:p w14:paraId="02E25B8F" w14:textId="592E0707" w:rsidR="00D3529A" w:rsidRPr="00987809" w:rsidRDefault="00D3529A" w:rsidP="00D3529A">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14.39</w:t>
      </w:r>
      <w:r>
        <w:rPr>
          <w:rFonts w:asciiTheme="minorHAnsi" w:hAnsiTheme="minorHAnsi"/>
          <w:sz w:val="22"/>
          <w:szCs w:val="22"/>
        </w:rPr>
        <w:tab/>
      </w:r>
      <w:r w:rsidRPr="00987809">
        <w:rPr>
          <w:rFonts w:asciiTheme="minorHAnsi" w:hAnsiTheme="minorHAnsi"/>
          <w:sz w:val="22"/>
          <w:szCs w:val="22"/>
        </w:rPr>
        <w:t>Výroba ostatních pletených a háčkovaných oděvů</w:t>
      </w:r>
    </w:p>
    <w:p w14:paraId="40DF24BD" w14:textId="3966A518" w:rsidR="00D3529A" w:rsidRPr="00987809" w:rsidRDefault="00D3529A" w:rsidP="00D3529A">
      <w:pPr>
        <w:pStyle w:val="Prosttext"/>
        <w:spacing w:before="40" w:after="40" w:line="360" w:lineRule="auto"/>
        <w:ind w:left="360" w:firstLine="348"/>
        <w:rPr>
          <w:rFonts w:asciiTheme="minorHAnsi" w:hAnsiTheme="minorHAnsi"/>
          <w:sz w:val="22"/>
          <w:szCs w:val="22"/>
        </w:rPr>
      </w:pPr>
      <w:r w:rsidRPr="00987809">
        <w:rPr>
          <w:rFonts w:asciiTheme="minorHAnsi" w:hAnsiTheme="minorHAnsi"/>
          <w:sz w:val="22"/>
          <w:szCs w:val="22"/>
        </w:rPr>
        <w:t>15</w:t>
      </w:r>
      <w:r>
        <w:rPr>
          <w:rFonts w:asciiTheme="minorHAnsi" w:hAnsiTheme="minorHAnsi"/>
          <w:sz w:val="22"/>
          <w:szCs w:val="22"/>
        </w:rPr>
        <w:tab/>
      </w:r>
      <w:r w:rsidRPr="00987809">
        <w:rPr>
          <w:rFonts w:asciiTheme="minorHAnsi" w:hAnsiTheme="minorHAnsi"/>
          <w:sz w:val="22"/>
          <w:szCs w:val="22"/>
        </w:rPr>
        <w:t>Výroba usní a souvisejících výrobků (celá 15)</w:t>
      </w:r>
    </w:p>
    <w:p w14:paraId="4B912B72" w14:textId="51C440E9" w:rsidR="00D3529A" w:rsidRPr="00987809" w:rsidRDefault="00D3529A" w:rsidP="00D3529A">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15.11</w:t>
      </w:r>
      <w:r>
        <w:rPr>
          <w:rFonts w:asciiTheme="minorHAnsi" w:hAnsiTheme="minorHAnsi"/>
          <w:sz w:val="22"/>
          <w:szCs w:val="22"/>
        </w:rPr>
        <w:tab/>
      </w:r>
      <w:r w:rsidRPr="00987809">
        <w:rPr>
          <w:rFonts w:asciiTheme="minorHAnsi" w:hAnsiTheme="minorHAnsi"/>
          <w:sz w:val="22"/>
          <w:szCs w:val="22"/>
        </w:rPr>
        <w:t>Činění a úprava usní (vyčiněných kůží); zpracování a barvení kožešin</w:t>
      </w:r>
    </w:p>
    <w:p w14:paraId="1B3C9B85" w14:textId="69917316" w:rsidR="00D3529A" w:rsidRPr="00987809" w:rsidRDefault="00D3529A" w:rsidP="00D3529A">
      <w:pPr>
        <w:pStyle w:val="Prosttext"/>
        <w:spacing w:before="40" w:after="40" w:line="360" w:lineRule="auto"/>
        <w:ind w:left="720" w:firstLine="696"/>
        <w:rPr>
          <w:rFonts w:asciiTheme="minorHAnsi" w:hAnsiTheme="minorHAnsi"/>
          <w:sz w:val="22"/>
          <w:szCs w:val="22"/>
        </w:rPr>
      </w:pPr>
      <w:r w:rsidRPr="00987809">
        <w:rPr>
          <w:rFonts w:asciiTheme="minorHAnsi" w:hAnsiTheme="minorHAnsi"/>
          <w:sz w:val="22"/>
          <w:szCs w:val="22"/>
        </w:rPr>
        <w:t>15.12</w:t>
      </w:r>
      <w:r>
        <w:rPr>
          <w:rFonts w:asciiTheme="minorHAnsi" w:hAnsiTheme="minorHAnsi"/>
          <w:sz w:val="22"/>
          <w:szCs w:val="22"/>
        </w:rPr>
        <w:tab/>
      </w:r>
      <w:r w:rsidRPr="00987809">
        <w:rPr>
          <w:rFonts w:asciiTheme="minorHAnsi" w:hAnsiTheme="minorHAnsi"/>
          <w:sz w:val="22"/>
          <w:szCs w:val="22"/>
        </w:rPr>
        <w:t xml:space="preserve">Výroba brašnářských, sedlářských a podobných výrobků </w:t>
      </w:r>
    </w:p>
    <w:p w14:paraId="7F26EE64" w14:textId="6B628DDB" w:rsidR="00D3529A" w:rsidRPr="00987809" w:rsidRDefault="00D3529A" w:rsidP="00D3529A">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15.20</w:t>
      </w:r>
      <w:r>
        <w:rPr>
          <w:rFonts w:asciiTheme="minorHAnsi" w:hAnsiTheme="minorHAnsi"/>
          <w:sz w:val="22"/>
          <w:szCs w:val="22"/>
        </w:rPr>
        <w:tab/>
      </w:r>
      <w:r w:rsidRPr="00987809">
        <w:rPr>
          <w:rFonts w:asciiTheme="minorHAnsi" w:hAnsiTheme="minorHAnsi"/>
          <w:sz w:val="22"/>
          <w:szCs w:val="22"/>
        </w:rPr>
        <w:t>Výroba obuvi</w:t>
      </w:r>
    </w:p>
    <w:p w14:paraId="1394718F" w14:textId="510BD77E" w:rsidR="00D3529A" w:rsidRPr="00987809" w:rsidRDefault="00D3529A" w:rsidP="00D3529A">
      <w:pPr>
        <w:pStyle w:val="Prosttext"/>
        <w:spacing w:before="40" w:after="40" w:line="360" w:lineRule="auto"/>
        <w:ind w:left="1428" w:firstLine="696"/>
        <w:rPr>
          <w:rFonts w:asciiTheme="minorHAnsi" w:hAnsiTheme="minorHAnsi"/>
          <w:sz w:val="22"/>
          <w:szCs w:val="22"/>
        </w:rPr>
      </w:pPr>
      <w:r w:rsidRPr="00987809">
        <w:rPr>
          <w:rFonts w:asciiTheme="minorHAnsi" w:hAnsiTheme="minorHAnsi"/>
          <w:sz w:val="22"/>
          <w:szCs w:val="22"/>
        </w:rPr>
        <w:t>15.20.1</w:t>
      </w:r>
      <w:r>
        <w:rPr>
          <w:rFonts w:asciiTheme="minorHAnsi" w:hAnsiTheme="minorHAnsi"/>
          <w:sz w:val="22"/>
          <w:szCs w:val="22"/>
        </w:rPr>
        <w:t xml:space="preserve">      </w:t>
      </w:r>
      <w:r w:rsidRPr="00987809">
        <w:rPr>
          <w:rFonts w:asciiTheme="minorHAnsi" w:hAnsiTheme="minorHAnsi"/>
          <w:sz w:val="22"/>
          <w:szCs w:val="22"/>
        </w:rPr>
        <w:t>Výroba obuvi s usňovým svrškem</w:t>
      </w:r>
    </w:p>
    <w:p w14:paraId="40D53EE9" w14:textId="4E56D410" w:rsidR="00D3529A" w:rsidRPr="00987809" w:rsidRDefault="00D3529A" w:rsidP="00D3529A">
      <w:pPr>
        <w:pStyle w:val="Prosttext"/>
        <w:spacing w:before="40" w:after="40" w:line="360" w:lineRule="auto"/>
        <w:ind w:left="1776" w:firstLine="348"/>
        <w:rPr>
          <w:rFonts w:asciiTheme="minorHAnsi" w:hAnsiTheme="minorHAnsi"/>
          <w:sz w:val="22"/>
          <w:szCs w:val="22"/>
        </w:rPr>
      </w:pPr>
      <w:r w:rsidRPr="00987809">
        <w:rPr>
          <w:rFonts w:asciiTheme="minorHAnsi" w:hAnsiTheme="minorHAnsi"/>
          <w:sz w:val="22"/>
          <w:szCs w:val="22"/>
        </w:rPr>
        <w:t xml:space="preserve">15.20.9 </w:t>
      </w:r>
      <w:r>
        <w:rPr>
          <w:rFonts w:asciiTheme="minorHAnsi" w:hAnsiTheme="minorHAnsi"/>
          <w:sz w:val="22"/>
          <w:szCs w:val="22"/>
        </w:rPr>
        <w:t xml:space="preserve">     </w:t>
      </w:r>
      <w:r w:rsidRPr="00987809">
        <w:rPr>
          <w:rFonts w:asciiTheme="minorHAnsi" w:hAnsiTheme="minorHAnsi"/>
          <w:sz w:val="22"/>
          <w:szCs w:val="22"/>
        </w:rPr>
        <w:t>Výroba obuvi z ostatních materiálů</w:t>
      </w:r>
    </w:p>
    <w:p w14:paraId="4FDB40D1" w14:textId="74125B1A" w:rsidR="00D3529A" w:rsidRPr="00987809" w:rsidRDefault="00D3529A" w:rsidP="009E248D">
      <w:pPr>
        <w:pStyle w:val="Prosttext"/>
        <w:spacing w:before="40" w:after="40" w:line="360" w:lineRule="auto"/>
        <w:ind w:left="2124" w:hanging="706"/>
        <w:rPr>
          <w:rFonts w:asciiTheme="minorHAnsi" w:hAnsiTheme="minorHAnsi"/>
          <w:sz w:val="22"/>
          <w:szCs w:val="22"/>
        </w:rPr>
      </w:pPr>
      <w:r w:rsidRPr="00987809">
        <w:rPr>
          <w:rFonts w:asciiTheme="minorHAnsi" w:hAnsiTheme="minorHAnsi"/>
          <w:sz w:val="22"/>
          <w:szCs w:val="22"/>
        </w:rPr>
        <w:t>16.29</w:t>
      </w:r>
      <w:r>
        <w:rPr>
          <w:rFonts w:asciiTheme="minorHAnsi" w:hAnsiTheme="minorHAnsi"/>
          <w:sz w:val="22"/>
          <w:szCs w:val="22"/>
        </w:rPr>
        <w:tab/>
      </w:r>
      <w:r w:rsidRPr="00987809">
        <w:rPr>
          <w:rFonts w:asciiTheme="minorHAnsi" w:hAnsiTheme="minorHAnsi"/>
          <w:sz w:val="22"/>
          <w:szCs w:val="22"/>
        </w:rPr>
        <w:t xml:space="preserve"> Výroba ostatních dřevěných, korkových, proutěných a slaměných výrobků, kromě nábytku</w:t>
      </w:r>
    </w:p>
    <w:p w14:paraId="29527967" w14:textId="03C39412" w:rsidR="00D3529A" w:rsidRPr="00987809" w:rsidRDefault="00D3529A" w:rsidP="00AF5C86">
      <w:pPr>
        <w:pStyle w:val="Prosttext"/>
        <w:spacing w:before="40" w:after="40" w:line="360" w:lineRule="auto"/>
        <w:ind w:left="786" w:firstLine="630"/>
        <w:rPr>
          <w:rFonts w:asciiTheme="minorHAnsi" w:hAnsiTheme="minorHAnsi"/>
          <w:sz w:val="22"/>
          <w:szCs w:val="22"/>
        </w:rPr>
      </w:pPr>
      <w:r w:rsidRPr="00987809">
        <w:rPr>
          <w:rFonts w:asciiTheme="minorHAnsi" w:hAnsiTheme="minorHAnsi"/>
          <w:sz w:val="22"/>
          <w:szCs w:val="22"/>
        </w:rPr>
        <w:t>17.24</w:t>
      </w:r>
      <w:r w:rsidR="00AF5C86">
        <w:rPr>
          <w:rFonts w:asciiTheme="minorHAnsi" w:hAnsiTheme="minorHAnsi"/>
          <w:sz w:val="22"/>
          <w:szCs w:val="22"/>
        </w:rPr>
        <w:tab/>
      </w:r>
      <w:r w:rsidRPr="00987809">
        <w:rPr>
          <w:rFonts w:asciiTheme="minorHAnsi" w:hAnsiTheme="minorHAnsi"/>
          <w:sz w:val="22"/>
          <w:szCs w:val="22"/>
        </w:rPr>
        <w:t>Výroba tapet</w:t>
      </w:r>
    </w:p>
    <w:p w14:paraId="5C083856" w14:textId="7BED8085" w:rsidR="00D3529A" w:rsidRPr="00987809" w:rsidRDefault="00D3529A" w:rsidP="00AF5C86">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23.13</w:t>
      </w:r>
      <w:r w:rsidR="00AF5C86">
        <w:rPr>
          <w:rFonts w:asciiTheme="minorHAnsi" w:hAnsiTheme="minorHAnsi"/>
          <w:sz w:val="22"/>
          <w:szCs w:val="22"/>
        </w:rPr>
        <w:tab/>
      </w:r>
      <w:r w:rsidRPr="00987809">
        <w:rPr>
          <w:rFonts w:asciiTheme="minorHAnsi" w:hAnsiTheme="minorHAnsi"/>
          <w:sz w:val="22"/>
          <w:szCs w:val="22"/>
        </w:rPr>
        <w:t>Výroba dutého skla</w:t>
      </w:r>
    </w:p>
    <w:p w14:paraId="426625DE" w14:textId="7EFA3AE0" w:rsidR="00D3529A" w:rsidRPr="00987809" w:rsidRDefault="00D3529A" w:rsidP="00AF5C86">
      <w:pPr>
        <w:pStyle w:val="Prosttext"/>
        <w:spacing w:before="40" w:after="40" w:line="360" w:lineRule="auto"/>
        <w:ind w:left="720" w:firstLine="696"/>
        <w:rPr>
          <w:rFonts w:asciiTheme="minorHAnsi" w:hAnsiTheme="minorHAnsi"/>
          <w:sz w:val="22"/>
          <w:szCs w:val="22"/>
        </w:rPr>
      </w:pPr>
      <w:r w:rsidRPr="00987809">
        <w:rPr>
          <w:rFonts w:asciiTheme="minorHAnsi" w:hAnsiTheme="minorHAnsi"/>
          <w:sz w:val="22"/>
          <w:szCs w:val="22"/>
        </w:rPr>
        <w:t>23.19</w:t>
      </w:r>
      <w:r w:rsidR="00AF5C86">
        <w:rPr>
          <w:rFonts w:asciiTheme="minorHAnsi" w:hAnsiTheme="minorHAnsi"/>
          <w:sz w:val="22"/>
          <w:szCs w:val="22"/>
        </w:rPr>
        <w:tab/>
      </w:r>
      <w:r w:rsidRPr="00987809">
        <w:rPr>
          <w:rFonts w:asciiTheme="minorHAnsi" w:hAnsiTheme="minorHAnsi"/>
          <w:sz w:val="22"/>
          <w:szCs w:val="22"/>
        </w:rPr>
        <w:t>Výroba a zpracování ostatního skla, vč. technického</w:t>
      </w:r>
    </w:p>
    <w:p w14:paraId="63C77B54" w14:textId="1750B3CC" w:rsidR="00D3529A" w:rsidRPr="00987809" w:rsidRDefault="00D3529A" w:rsidP="00AF5C86">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23.31</w:t>
      </w:r>
      <w:r w:rsidR="00AF5C86">
        <w:rPr>
          <w:rFonts w:asciiTheme="minorHAnsi" w:hAnsiTheme="minorHAnsi"/>
          <w:sz w:val="22"/>
          <w:szCs w:val="22"/>
        </w:rPr>
        <w:tab/>
      </w:r>
      <w:r w:rsidRPr="00987809">
        <w:rPr>
          <w:rFonts w:asciiTheme="minorHAnsi" w:hAnsiTheme="minorHAnsi"/>
          <w:sz w:val="22"/>
          <w:szCs w:val="22"/>
        </w:rPr>
        <w:t>Výroba keramických obkládaček a dlaždic</w:t>
      </w:r>
    </w:p>
    <w:p w14:paraId="76D342DE" w14:textId="4A18D19F" w:rsidR="00D3529A" w:rsidRPr="00987809" w:rsidRDefault="00D3529A" w:rsidP="009E248D">
      <w:pPr>
        <w:pStyle w:val="Prosttext"/>
        <w:spacing w:before="40" w:after="40" w:line="360" w:lineRule="auto"/>
        <w:ind w:left="2127" w:hanging="711"/>
        <w:rPr>
          <w:rFonts w:asciiTheme="minorHAnsi" w:hAnsiTheme="minorHAnsi"/>
          <w:sz w:val="22"/>
          <w:szCs w:val="22"/>
        </w:rPr>
      </w:pPr>
      <w:r w:rsidRPr="00987809">
        <w:rPr>
          <w:rFonts w:asciiTheme="minorHAnsi" w:hAnsiTheme="minorHAnsi"/>
          <w:sz w:val="22"/>
          <w:szCs w:val="22"/>
        </w:rPr>
        <w:t xml:space="preserve">23.41 </w:t>
      </w:r>
      <w:r w:rsidR="00AF5C86">
        <w:rPr>
          <w:rFonts w:asciiTheme="minorHAnsi" w:hAnsiTheme="minorHAnsi"/>
          <w:sz w:val="22"/>
          <w:szCs w:val="22"/>
        </w:rPr>
        <w:tab/>
      </w:r>
      <w:r w:rsidRPr="00987809">
        <w:rPr>
          <w:rFonts w:asciiTheme="minorHAnsi" w:hAnsiTheme="minorHAnsi"/>
          <w:sz w:val="22"/>
          <w:szCs w:val="22"/>
        </w:rPr>
        <w:t>Výroba keramických a porcelánových výrobků převážně pro domácnost a</w:t>
      </w:r>
      <w:r w:rsidR="00FB54F4">
        <w:rPr>
          <w:rFonts w:asciiTheme="minorHAnsi" w:hAnsiTheme="minorHAnsi"/>
          <w:sz w:val="22"/>
          <w:szCs w:val="22"/>
        </w:rPr>
        <w:t> </w:t>
      </w:r>
      <w:r w:rsidRPr="00987809">
        <w:rPr>
          <w:rFonts w:asciiTheme="minorHAnsi" w:hAnsiTheme="minorHAnsi"/>
          <w:sz w:val="22"/>
          <w:szCs w:val="22"/>
        </w:rPr>
        <w:t>ozdobných předmětů</w:t>
      </w:r>
    </w:p>
    <w:p w14:paraId="21B93A6F" w14:textId="2C946A9E" w:rsidR="00D3529A" w:rsidRPr="00987809" w:rsidRDefault="00D3529A" w:rsidP="00AF5C86">
      <w:pPr>
        <w:pStyle w:val="Prosttext"/>
        <w:spacing w:before="40" w:after="40" w:line="360" w:lineRule="auto"/>
        <w:ind w:left="2127" w:hanging="993"/>
        <w:rPr>
          <w:rFonts w:asciiTheme="minorHAnsi" w:hAnsiTheme="minorHAnsi"/>
          <w:sz w:val="22"/>
          <w:szCs w:val="22"/>
        </w:rPr>
      </w:pPr>
      <w:r w:rsidRPr="00987809">
        <w:rPr>
          <w:rFonts w:asciiTheme="minorHAnsi" w:hAnsiTheme="minorHAnsi"/>
          <w:sz w:val="22"/>
          <w:szCs w:val="22"/>
        </w:rPr>
        <w:t xml:space="preserve">23.7 </w:t>
      </w:r>
      <w:r w:rsidR="00AF5C86">
        <w:rPr>
          <w:rFonts w:asciiTheme="minorHAnsi" w:hAnsiTheme="minorHAnsi"/>
          <w:sz w:val="22"/>
          <w:szCs w:val="22"/>
        </w:rPr>
        <w:tab/>
      </w:r>
      <w:r w:rsidRPr="00987809">
        <w:rPr>
          <w:rFonts w:asciiTheme="minorHAnsi" w:hAnsiTheme="minorHAnsi"/>
          <w:sz w:val="22"/>
          <w:szCs w:val="22"/>
        </w:rPr>
        <w:t>Řezání, tvarování a konečná úprava kamenů</w:t>
      </w:r>
    </w:p>
    <w:p w14:paraId="5A036A7F" w14:textId="4EB79CB1" w:rsidR="00D3529A" w:rsidRPr="00987809" w:rsidRDefault="00D3529A" w:rsidP="00AF5C86">
      <w:pPr>
        <w:pStyle w:val="Prosttext"/>
        <w:spacing w:before="40" w:after="40" w:line="360" w:lineRule="auto"/>
        <w:ind w:left="720" w:firstLine="696"/>
        <w:rPr>
          <w:rFonts w:asciiTheme="minorHAnsi" w:hAnsiTheme="minorHAnsi"/>
          <w:sz w:val="22"/>
          <w:szCs w:val="22"/>
        </w:rPr>
      </w:pPr>
      <w:r w:rsidRPr="00987809">
        <w:rPr>
          <w:rFonts w:asciiTheme="minorHAnsi" w:hAnsiTheme="minorHAnsi"/>
          <w:sz w:val="22"/>
          <w:szCs w:val="22"/>
        </w:rPr>
        <w:t>31.01</w:t>
      </w:r>
      <w:r w:rsidR="00963074">
        <w:rPr>
          <w:rFonts w:asciiTheme="minorHAnsi" w:hAnsiTheme="minorHAnsi"/>
          <w:sz w:val="22"/>
          <w:szCs w:val="22"/>
        </w:rPr>
        <w:tab/>
      </w:r>
      <w:r w:rsidRPr="00987809">
        <w:rPr>
          <w:rFonts w:asciiTheme="minorHAnsi" w:hAnsiTheme="minorHAnsi"/>
          <w:sz w:val="22"/>
          <w:szCs w:val="22"/>
        </w:rPr>
        <w:t>Výroba kancelářského nábytku a zařízení obchodů</w:t>
      </w:r>
    </w:p>
    <w:p w14:paraId="5019707D" w14:textId="7503240A" w:rsidR="00D3529A" w:rsidRPr="00987809" w:rsidRDefault="00D3529A" w:rsidP="00963074">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 xml:space="preserve">31.02 </w:t>
      </w:r>
      <w:r w:rsidR="00963074">
        <w:rPr>
          <w:rFonts w:asciiTheme="minorHAnsi" w:hAnsiTheme="minorHAnsi"/>
          <w:sz w:val="22"/>
          <w:szCs w:val="22"/>
        </w:rPr>
        <w:tab/>
      </w:r>
      <w:r w:rsidRPr="00987809">
        <w:rPr>
          <w:rFonts w:asciiTheme="minorHAnsi" w:hAnsiTheme="minorHAnsi"/>
          <w:sz w:val="22"/>
          <w:szCs w:val="22"/>
        </w:rPr>
        <w:t>Výroba kuchyňského nábytku</w:t>
      </w:r>
    </w:p>
    <w:p w14:paraId="7AFD49E4" w14:textId="148A897F" w:rsidR="00D3529A" w:rsidRPr="00987809" w:rsidRDefault="00D3529A" w:rsidP="00963074">
      <w:pPr>
        <w:pStyle w:val="Prosttext"/>
        <w:spacing w:before="40" w:after="40" w:line="360" w:lineRule="auto"/>
        <w:ind w:left="720" w:firstLine="696"/>
        <w:rPr>
          <w:rFonts w:asciiTheme="minorHAnsi" w:hAnsiTheme="minorHAnsi"/>
          <w:sz w:val="22"/>
          <w:szCs w:val="22"/>
        </w:rPr>
      </w:pPr>
      <w:r w:rsidRPr="00987809">
        <w:rPr>
          <w:rFonts w:asciiTheme="minorHAnsi" w:hAnsiTheme="minorHAnsi"/>
          <w:sz w:val="22"/>
          <w:szCs w:val="22"/>
        </w:rPr>
        <w:t xml:space="preserve">31.09 </w:t>
      </w:r>
      <w:r w:rsidR="00963074">
        <w:rPr>
          <w:rFonts w:asciiTheme="minorHAnsi" w:hAnsiTheme="minorHAnsi"/>
          <w:sz w:val="22"/>
          <w:szCs w:val="22"/>
        </w:rPr>
        <w:tab/>
      </w:r>
      <w:r w:rsidRPr="00987809">
        <w:rPr>
          <w:rFonts w:asciiTheme="minorHAnsi" w:hAnsiTheme="minorHAnsi"/>
          <w:sz w:val="22"/>
          <w:szCs w:val="22"/>
        </w:rPr>
        <w:t>Výroba ostatního nábytku</w:t>
      </w:r>
    </w:p>
    <w:p w14:paraId="6208B1E7" w14:textId="21C99C57" w:rsidR="00D3529A" w:rsidRPr="00987809" w:rsidRDefault="00D3529A" w:rsidP="00963074">
      <w:pPr>
        <w:pStyle w:val="Prosttext"/>
        <w:spacing w:before="40" w:after="40" w:line="360" w:lineRule="auto"/>
        <w:ind w:left="360" w:firstLine="774"/>
        <w:rPr>
          <w:rFonts w:asciiTheme="minorHAnsi" w:hAnsiTheme="minorHAnsi"/>
          <w:sz w:val="22"/>
          <w:szCs w:val="22"/>
        </w:rPr>
      </w:pPr>
      <w:r w:rsidRPr="00987809">
        <w:rPr>
          <w:rFonts w:asciiTheme="minorHAnsi" w:hAnsiTheme="minorHAnsi"/>
          <w:sz w:val="22"/>
          <w:szCs w:val="22"/>
        </w:rPr>
        <w:t xml:space="preserve">32.1 </w:t>
      </w:r>
      <w:r w:rsidR="00963074">
        <w:rPr>
          <w:rFonts w:asciiTheme="minorHAnsi" w:hAnsiTheme="minorHAnsi"/>
          <w:sz w:val="22"/>
          <w:szCs w:val="22"/>
        </w:rPr>
        <w:tab/>
      </w:r>
      <w:r w:rsidRPr="00987809">
        <w:rPr>
          <w:rFonts w:asciiTheme="minorHAnsi" w:hAnsiTheme="minorHAnsi"/>
          <w:sz w:val="22"/>
          <w:szCs w:val="22"/>
        </w:rPr>
        <w:t>Výroba klenotů, bižuterie a příbuzných výrobků (zařadit celou 32.1)</w:t>
      </w:r>
    </w:p>
    <w:p w14:paraId="029DD159" w14:textId="40C965DF" w:rsidR="00D3529A" w:rsidRPr="00987809" w:rsidRDefault="00D3529A" w:rsidP="00963074">
      <w:pPr>
        <w:pStyle w:val="Prosttext"/>
        <w:spacing w:before="40" w:after="40" w:line="360" w:lineRule="auto"/>
        <w:ind w:left="786" w:firstLine="630"/>
        <w:rPr>
          <w:rFonts w:asciiTheme="minorHAnsi" w:hAnsiTheme="minorHAnsi"/>
          <w:sz w:val="22"/>
          <w:szCs w:val="22"/>
        </w:rPr>
      </w:pPr>
      <w:r w:rsidRPr="00987809">
        <w:rPr>
          <w:rFonts w:asciiTheme="minorHAnsi" w:hAnsiTheme="minorHAnsi"/>
          <w:sz w:val="22"/>
          <w:szCs w:val="22"/>
        </w:rPr>
        <w:t>32.11</w:t>
      </w:r>
      <w:r w:rsidR="00963074">
        <w:rPr>
          <w:rFonts w:asciiTheme="minorHAnsi" w:hAnsiTheme="minorHAnsi"/>
          <w:sz w:val="22"/>
          <w:szCs w:val="22"/>
        </w:rPr>
        <w:tab/>
      </w:r>
      <w:r w:rsidRPr="00987809">
        <w:rPr>
          <w:rFonts w:asciiTheme="minorHAnsi" w:hAnsiTheme="minorHAnsi"/>
          <w:sz w:val="22"/>
          <w:szCs w:val="22"/>
        </w:rPr>
        <w:t>Ražení mincí</w:t>
      </w:r>
    </w:p>
    <w:p w14:paraId="7B75026B" w14:textId="0955E55F" w:rsidR="00D3529A" w:rsidRPr="00987809" w:rsidRDefault="00D3529A" w:rsidP="00963074">
      <w:pPr>
        <w:pStyle w:val="Prosttext"/>
        <w:spacing w:before="40" w:after="40" w:line="360" w:lineRule="auto"/>
        <w:ind w:left="1416"/>
        <w:rPr>
          <w:rFonts w:asciiTheme="minorHAnsi" w:hAnsiTheme="minorHAnsi"/>
          <w:sz w:val="22"/>
          <w:szCs w:val="22"/>
        </w:rPr>
      </w:pPr>
      <w:r w:rsidRPr="00987809">
        <w:rPr>
          <w:rFonts w:asciiTheme="minorHAnsi" w:hAnsiTheme="minorHAnsi"/>
          <w:sz w:val="22"/>
          <w:szCs w:val="22"/>
        </w:rPr>
        <w:t xml:space="preserve">32.12 </w:t>
      </w:r>
      <w:r w:rsidR="00963074">
        <w:rPr>
          <w:rFonts w:asciiTheme="minorHAnsi" w:hAnsiTheme="minorHAnsi"/>
          <w:sz w:val="22"/>
          <w:szCs w:val="22"/>
        </w:rPr>
        <w:tab/>
      </w:r>
      <w:r w:rsidRPr="00987809">
        <w:rPr>
          <w:rFonts w:asciiTheme="minorHAnsi" w:hAnsiTheme="minorHAnsi"/>
          <w:sz w:val="22"/>
          <w:szCs w:val="22"/>
        </w:rPr>
        <w:t>Výroba klenotů a příbuzných výrobků</w:t>
      </w:r>
    </w:p>
    <w:p w14:paraId="52EAC0D4" w14:textId="0BF78718" w:rsidR="00D3529A" w:rsidRPr="00987809" w:rsidRDefault="00D3529A" w:rsidP="00963074">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32.13</w:t>
      </w:r>
      <w:r w:rsidR="00963074">
        <w:rPr>
          <w:rFonts w:asciiTheme="minorHAnsi" w:hAnsiTheme="minorHAnsi"/>
          <w:sz w:val="22"/>
          <w:szCs w:val="22"/>
        </w:rPr>
        <w:tab/>
      </w:r>
      <w:r w:rsidRPr="00987809">
        <w:rPr>
          <w:rFonts w:asciiTheme="minorHAnsi" w:hAnsiTheme="minorHAnsi"/>
          <w:sz w:val="22"/>
          <w:szCs w:val="22"/>
        </w:rPr>
        <w:t>Výroba bižuterie a příbuzných výrobků</w:t>
      </w:r>
    </w:p>
    <w:p w14:paraId="12F45C76" w14:textId="32066C40" w:rsidR="00D3529A" w:rsidRPr="00987809" w:rsidRDefault="00D3529A" w:rsidP="00963074">
      <w:pPr>
        <w:pStyle w:val="Prosttext"/>
        <w:spacing w:before="40" w:after="40" w:line="360" w:lineRule="auto"/>
        <w:ind w:left="720" w:firstLine="696"/>
        <w:rPr>
          <w:rFonts w:asciiTheme="minorHAnsi" w:hAnsiTheme="minorHAnsi"/>
          <w:sz w:val="22"/>
          <w:szCs w:val="22"/>
        </w:rPr>
      </w:pPr>
      <w:r w:rsidRPr="00987809">
        <w:rPr>
          <w:rFonts w:asciiTheme="minorHAnsi" w:hAnsiTheme="minorHAnsi"/>
          <w:sz w:val="22"/>
          <w:szCs w:val="22"/>
        </w:rPr>
        <w:t xml:space="preserve">32.20 </w:t>
      </w:r>
      <w:r w:rsidR="00963074">
        <w:rPr>
          <w:rFonts w:asciiTheme="minorHAnsi" w:hAnsiTheme="minorHAnsi"/>
          <w:sz w:val="22"/>
          <w:szCs w:val="22"/>
        </w:rPr>
        <w:tab/>
      </w:r>
      <w:r w:rsidRPr="00987809">
        <w:rPr>
          <w:rFonts w:asciiTheme="minorHAnsi" w:hAnsiTheme="minorHAnsi"/>
          <w:sz w:val="22"/>
          <w:szCs w:val="22"/>
        </w:rPr>
        <w:t>Výroba hudebních nástrojů</w:t>
      </w:r>
    </w:p>
    <w:p w14:paraId="438BCD5E" w14:textId="3B73A67F" w:rsidR="00D3529A" w:rsidRPr="00987809" w:rsidRDefault="00D3529A" w:rsidP="00963074">
      <w:pPr>
        <w:pStyle w:val="Prosttext"/>
        <w:spacing w:before="40" w:after="40" w:line="360" w:lineRule="auto"/>
        <w:ind w:left="1068" w:firstLine="348"/>
        <w:rPr>
          <w:rFonts w:asciiTheme="minorHAnsi" w:hAnsiTheme="minorHAnsi"/>
          <w:sz w:val="22"/>
          <w:szCs w:val="22"/>
        </w:rPr>
      </w:pPr>
      <w:r w:rsidRPr="00987809">
        <w:rPr>
          <w:rFonts w:asciiTheme="minorHAnsi" w:hAnsiTheme="minorHAnsi"/>
          <w:sz w:val="22"/>
          <w:szCs w:val="22"/>
        </w:rPr>
        <w:t xml:space="preserve">32.40 </w:t>
      </w:r>
      <w:r w:rsidR="00963074">
        <w:rPr>
          <w:rFonts w:asciiTheme="minorHAnsi" w:hAnsiTheme="minorHAnsi"/>
          <w:sz w:val="22"/>
          <w:szCs w:val="22"/>
        </w:rPr>
        <w:tab/>
      </w:r>
      <w:r w:rsidRPr="00987809">
        <w:rPr>
          <w:rFonts w:asciiTheme="minorHAnsi" w:hAnsiTheme="minorHAnsi"/>
          <w:sz w:val="22"/>
          <w:szCs w:val="22"/>
        </w:rPr>
        <w:t>Výroba her a hraček</w:t>
      </w:r>
    </w:p>
    <w:p w14:paraId="65527952" w14:textId="5EC72868" w:rsidR="00D3529A" w:rsidRDefault="00D3529A" w:rsidP="00963074">
      <w:pPr>
        <w:pStyle w:val="Bezmezer1"/>
        <w:spacing w:before="40" w:after="40" w:line="360" w:lineRule="auto"/>
        <w:ind w:left="720" w:firstLine="696"/>
        <w:jc w:val="both"/>
        <w:rPr>
          <w:rFonts w:asciiTheme="minorHAnsi" w:eastAsiaTheme="minorHAnsi" w:hAnsiTheme="minorHAnsi" w:cs="Consolas"/>
        </w:rPr>
      </w:pPr>
      <w:r w:rsidRPr="00987809">
        <w:rPr>
          <w:rFonts w:asciiTheme="minorHAnsi" w:eastAsiaTheme="minorHAnsi" w:hAnsiTheme="minorHAnsi" w:cs="Consolas"/>
        </w:rPr>
        <w:t xml:space="preserve">32.99 </w:t>
      </w:r>
      <w:r w:rsidR="00963074">
        <w:rPr>
          <w:rFonts w:asciiTheme="minorHAnsi" w:eastAsiaTheme="minorHAnsi" w:hAnsiTheme="minorHAnsi" w:cs="Consolas"/>
        </w:rPr>
        <w:tab/>
      </w:r>
      <w:r w:rsidRPr="00987809">
        <w:rPr>
          <w:rFonts w:asciiTheme="minorHAnsi" w:eastAsiaTheme="minorHAnsi" w:hAnsiTheme="minorHAnsi" w:cs="Consolas"/>
        </w:rPr>
        <w:t>Ostatní zpracovatelský průmysl j. n</w:t>
      </w:r>
    </w:p>
    <w:p w14:paraId="126497A7" w14:textId="72F0E63F" w:rsidR="006D44F0" w:rsidRDefault="006D44F0">
      <w:pPr>
        <w:spacing w:after="200" w:line="276" w:lineRule="auto"/>
        <w:rPr>
          <w:rFonts w:cs="Consolas"/>
        </w:rPr>
      </w:pPr>
      <w:r>
        <w:rPr>
          <w:rFonts w:cs="Consolas"/>
        </w:rPr>
        <w:br w:type="page"/>
      </w:r>
    </w:p>
    <w:p w14:paraId="381A8E2D" w14:textId="700D9262" w:rsidR="0038543B" w:rsidRDefault="00FA5A15" w:rsidP="009F166D">
      <w:pPr>
        <w:pStyle w:val="Nadpis4"/>
        <w:spacing w:line="360" w:lineRule="auto"/>
        <w:rPr>
          <w:rFonts w:eastAsiaTheme="minorHAnsi"/>
        </w:rPr>
      </w:pPr>
      <w:bookmarkStart w:id="267" w:name="_Toc525716291"/>
      <w:r>
        <w:rPr>
          <w:rFonts w:eastAsiaTheme="minorHAnsi"/>
        </w:rPr>
        <w:t>Nová</w:t>
      </w:r>
      <w:r w:rsidR="0038543B">
        <w:rPr>
          <w:rFonts w:eastAsiaTheme="minorHAnsi"/>
        </w:rPr>
        <w:t xml:space="preserve"> kulturní a kreativní odvětví</w:t>
      </w:r>
      <w:bookmarkEnd w:id="267"/>
    </w:p>
    <w:p w14:paraId="3B1490B6" w14:textId="341DD4A0" w:rsidR="0038543B" w:rsidRDefault="0038543B" w:rsidP="00543C1B">
      <w:pPr>
        <w:pStyle w:val="Odstavecseseznamem"/>
        <w:numPr>
          <w:ilvl w:val="0"/>
          <w:numId w:val="196"/>
        </w:numPr>
        <w:spacing w:line="360" w:lineRule="auto"/>
        <w:rPr>
          <w:u w:val="single"/>
        </w:rPr>
      </w:pPr>
      <w:r w:rsidRPr="009F166D">
        <w:rPr>
          <w:u w:val="single"/>
        </w:rPr>
        <w:t>Témata VaVaI identifikovaná prostřednictvím EDP:</w:t>
      </w:r>
    </w:p>
    <w:p w14:paraId="3A195FC4" w14:textId="77777777" w:rsidR="009F166D" w:rsidRPr="009F166D" w:rsidRDefault="009F166D" w:rsidP="00543C1B">
      <w:pPr>
        <w:numPr>
          <w:ilvl w:val="0"/>
          <w:numId w:val="137"/>
        </w:numPr>
        <w:spacing w:before="240" w:after="120" w:line="360" w:lineRule="auto"/>
        <w:ind w:left="737" w:hanging="377"/>
        <w:jc w:val="both"/>
        <w:rPr>
          <w:rFonts w:eastAsia="MS Mincho"/>
          <w:b/>
        </w:rPr>
      </w:pPr>
      <w:r w:rsidRPr="009F166D">
        <w:rPr>
          <w:rFonts w:eastAsia="MS Mincho"/>
          <w:b/>
        </w:rPr>
        <w:t>Výzkum dopadu technologií na společnost a jedince v rámci nových kreativních průmyslů</w:t>
      </w:r>
    </w:p>
    <w:p w14:paraId="7A7BC70E" w14:textId="72D6312C" w:rsidR="009F166D" w:rsidRPr="009F166D" w:rsidRDefault="009F166D" w:rsidP="00543C1B">
      <w:pPr>
        <w:numPr>
          <w:ilvl w:val="1"/>
          <w:numId w:val="137"/>
        </w:numPr>
        <w:spacing w:after="120" w:line="360" w:lineRule="auto"/>
        <w:jc w:val="both"/>
        <w:rPr>
          <w:rFonts w:eastAsia="MS Mincho"/>
        </w:rPr>
      </w:pPr>
      <w:r w:rsidRPr="009F166D">
        <w:rPr>
          <w:rFonts w:eastAsia="MS Mincho"/>
        </w:rPr>
        <w:t>výzkum společenských dopadů technologií, zejména pak v oblasti práva, sociálních médií a</w:t>
      </w:r>
      <w:r>
        <w:rPr>
          <w:rFonts w:eastAsia="MS Mincho"/>
        </w:rPr>
        <w:t> </w:t>
      </w:r>
      <w:r w:rsidRPr="009F166D">
        <w:rPr>
          <w:rFonts w:eastAsia="MS Mincho"/>
        </w:rPr>
        <w:t xml:space="preserve"> podílu občanů na chodu demokracie v ČR</w:t>
      </w:r>
    </w:p>
    <w:p w14:paraId="799050A7" w14:textId="1E2949D7" w:rsidR="009F166D" w:rsidRPr="009F166D" w:rsidRDefault="009F166D" w:rsidP="00543C1B">
      <w:pPr>
        <w:numPr>
          <w:ilvl w:val="1"/>
          <w:numId w:val="137"/>
        </w:numPr>
        <w:spacing w:after="120" w:line="360" w:lineRule="auto"/>
        <w:jc w:val="both"/>
        <w:rPr>
          <w:rFonts w:eastAsiaTheme="minorEastAsia" w:cs="Arial"/>
        </w:rPr>
      </w:pPr>
      <w:r w:rsidRPr="009F166D">
        <w:rPr>
          <w:rFonts w:eastAsia="MS Mincho"/>
        </w:rPr>
        <w:t>nové oblasti a možnosti výzkumu s potenciálním významným dopadem na inovace, které přinášejí nové technologie v oblasti digital humanities, jazykové technologie, počítačová a</w:t>
      </w:r>
      <w:r>
        <w:rPr>
          <w:rFonts w:eastAsia="MS Mincho"/>
        </w:rPr>
        <w:t> </w:t>
      </w:r>
      <w:r w:rsidRPr="009F166D">
        <w:rPr>
          <w:rFonts w:eastAsia="MS Mincho"/>
        </w:rPr>
        <w:t xml:space="preserve"> korpusová lingvistika, technologie pro herní průmysl, digitální technologie</w:t>
      </w:r>
      <w:r w:rsidRPr="009F166D">
        <w:rPr>
          <w:rFonts w:eastAsiaTheme="minorEastAsia" w:cs="Arial"/>
        </w:rPr>
        <w:t xml:space="preserve"> pro podporu kreativní tvorby a nové audiovizuální formáty</w:t>
      </w:r>
    </w:p>
    <w:p w14:paraId="30731E84" w14:textId="77777777" w:rsidR="009F166D" w:rsidRPr="009F166D" w:rsidRDefault="009F166D" w:rsidP="00543C1B">
      <w:pPr>
        <w:numPr>
          <w:ilvl w:val="0"/>
          <w:numId w:val="145"/>
        </w:numPr>
        <w:spacing w:after="120" w:line="360" w:lineRule="auto"/>
        <w:jc w:val="both"/>
        <w:rPr>
          <w:rFonts w:eastAsia="MS Mincho"/>
        </w:rPr>
      </w:pPr>
      <w:r w:rsidRPr="009F166D">
        <w:rPr>
          <w:rFonts w:eastAsia="MS Mincho"/>
        </w:rPr>
        <w:t>text and data mining v humanitních a sociálních vědách</w:t>
      </w:r>
    </w:p>
    <w:p w14:paraId="4B666D91" w14:textId="487A3536" w:rsidR="009F166D" w:rsidRPr="009F166D" w:rsidRDefault="009F166D" w:rsidP="00543C1B">
      <w:pPr>
        <w:numPr>
          <w:ilvl w:val="0"/>
          <w:numId w:val="145"/>
        </w:numPr>
        <w:spacing w:after="120" w:line="360" w:lineRule="auto"/>
        <w:jc w:val="both"/>
        <w:rPr>
          <w:rFonts w:eastAsia="MS Mincho"/>
        </w:rPr>
      </w:pPr>
      <w:r w:rsidRPr="009F166D">
        <w:rPr>
          <w:rFonts w:eastAsia="MS Mincho"/>
        </w:rPr>
        <w:t>příprava nezbytných datových zdrojů pro aplikovaný výzkum ve společenských a</w:t>
      </w:r>
      <w:r>
        <w:rPr>
          <w:rFonts w:eastAsia="MS Mincho"/>
        </w:rPr>
        <w:t> </w:t>
      </w:r>
      <w:r w:rsidRPr="009F166D">
        <w:rPr>
          <w:rFonts w:eastAsia="MS Mincho"/>
        </w:rPr>
        <w:t>humanitních vědách</w:t>
      </w:r>
    </w:p>
    <w:p w14:paraId="338635AF" w14:textId="77777777" w:rsidR="009F166D" w:rsidRPr="009F166D" w:rsidRDefault="009F166D" w:rsidP="00543C1B">
      <w:pPr>
        <w:numPr>
          <w:ilvl w:val="0"/>
          <w:numId w:val="145"/>
        </w:numPr>
        <w:spacing w:after="120" w:line="360" w:lineRule="auto"/>
        <w:jc w:val="both"/>
        <w:rPr>
          <w:rFonts w:eastAsia="MS Mincho"/>
        </w:rPr>
      </w:pPr>
      <w:r w:rsidRPr="009F166D">
        <w:rPr>
          <w:rFonts w:eastAsia="MS Mincho"/>
        </w:rPr>
        <w:t>jazykové technologie, počítačová a korpusová lingvistika</w:t>
      </w:r>
    </w:p>
    <w:p w14:paraId="3EC64487" w14:textId="77777777" w:rsidR="009F166D" w:rsidRPr="009F166D" w:rsidRDefault="009F166D" w:rsidP="00543C1B">
      <w:pPr>
        <w:numPr>
          <w:ilvl w:val="0"/>
          <w:numId w:val="145"/>
        </w:numPr>
        <w:spacing w:after="120" w:line="360" w:lineRule="auto"/>
        <w:jc w:val="both"/>
        <w:rPr>
          <w:rFonts w:eastAsia="MS Mincho"/>
        </w:rPr>
      </w:pPr>
      <w:r w:rsidRPr="009F166D">
        <w:rPr>
          <w:rFonts w:eastAsia="MS Mincho"/>
        </w:rPr>
        <w:t xml:space="preserve">zpřístupnění kulturního dědictví a podpora kulturní identity, podpora aplikací s ekonomickými dopady v průmyslu a službách </w:t>
      </w:r>
    </w:p>
    <w:p w14:paraId="573FD398" w14:textId="77777777" w:rsidR="009F166D" w:rsidRPr="009F166D" w:rsidRDefault="009F166D" w:rsidP="00543C1B">
      <w:pPr>
        <w:numPr>
          <w:ilvl w:val="0"/>
          <w:numId w:val="145"/>
        </w:numPr>
        <w:spacing w:after="120" w:line="360" w:lineRule="auto"/>
        <w:jc w:val="both"/>
        <w:rPr>
          <w:rFonts w:eastAsia="MS Mincho"/>
        </w:rPr>
      </w:pPr>
      <w:r w:rsidRPr="009F166D">
        <w:rPr>
          <w:rFonts w:eastAsia="MS Mincho"/>
        </w:rPr>
        <w:t xml:space="preserve">zpřístupnění metodologií typu person, prototypování a dalších </w:t>
      </w:r>
    </w:p>
    <w:p w14:paraId="46A56548" w14:textId="77777777" w:rsidR="009F166D" w:rsidRPr="009F166D" w:rsidRDefault="009F166D" w:rsidP="00543C1B">
      <w:pPr>
        <w:numPr>
          <w:ilvl w:val="0"/>
          <w:numId w:val="145"/>
        </w:numPr>
        <w:spacing w:after="120" w:line="360" w:lineRule="auto"/>
        <w:jc w:val="both"/>
        <w:rPr>
          <w:rFonts w:eastAsia="MS Mincho"/>
        </w:rPr>
      </w:pPr>
      <w:r w:rsidRPr="009F166D">
        <w:rPr>
          <w:rFonts w:eastAsia="MS Mincho"/>
        </w:rPr>
        <w:t>chování uživatelů služeb (arealová studia, etnologie a antropologie)</w:t>
      </w:r>
    </w:p>
    <w:p w14:paraId="522B46AF" w14:textId="77777777" w:rsidR="009F166D" w:rsidRPr="009F166D" w:rsidRDefault="009F166D" w:rsidP="00543C1B">
      <w:pPr>
        <w:numPr>
          <w:ilvl w:val="0"/>
          <w:numId w:val="145"/>
        </w:numPr>
        <w:spacing w:after="120" w:line="360" w:lineRule="auto"/>
        <w:jc w:val="both"/>
        <w:rPr>
          <w:rFonts w:eastAsia="MS Mincho"/>
        </w:rPr>
      </w:pPr>
      <w:r w:rsidRPr="009F166D">
        <w:rPr>
          <w:rFonts w:eastAsia="MS Mincho"/>
        </w:rPr>
        <w:t>výzkum autorského práva a duševního vlastnictví ve vazbě na nové technologie</w:t>
      </w:r>
    </w:p>
    <w:p w14:paraId="61438502" w14:textId="77777777" w:rsidR="009F166D" w:rsidRPr="009F166D" w:rsidRDefault="009F166D" w:rsidP="00543C1B">
      <w:pPr>
        <w:numPr>
          <w:ilvl w:val="0"/>
          <w:numId w:val="137"/>
        </w:numPr>
        <w:spacing w:before="240" w:after="120" w:line="360" w:lineRule="auto"/>
        <w:ind w:left="737" w:hanging="377"/>
        <w:jc w:val="both"/>
        <w:rPr>
          <w:rFonts w:eastAsia="MS Mincho"/>
          <w:b/>
        </w:rPr>
      </w:pPr>
      <w:r w:rsidRPr="009F166D">
        <w:rPr>
          <w:rFonts w:eastAsia="MS Mincho"/>
          <w:b/>
        </w:rPr>
        <w:t>Mediální tvorba:</w:t>
      </w:r>
    </w:p>
    <w:p w14:paraId="76528AF8" w14:textId="77777777" w:rsidR="009F166D" w:rsidRPr="009F166D" w:rsidRDefault="009F166D" w:rsidP="00543C1B">
      <w:pPr>
        <w:numPr>
          <w:ilvl w:val="1"/>
          <w:numId w:val="137"/>
        </w:numPr>
        <w:spacing w:after="120" w:line="360" w:lineRule="auto"/>
        <w:jc w:val="both"/>
        <w:rPr>
          <w:rFonts w:eastAsia="MS Mincho"/>
        </w:rPr>
      </w:pPr>
      <w:r w:rsidRPr="009F166D">
        <w:rPr>
          <w:rFonts w:eastAsia="MS Mincho"/>
        </w:rPr>
        <w:t xml:space="preserve">nové techniky vytváření mediálního obsahu </w:t>
      </w:r>
    </w:p>
    <w:p w14:paraId="57AA45DA"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inovativní postupy efektivní tvorby mediálního obsahu (efektivní a dostupné prostředky pro animaci, syntézu zvuku, textu, obrazu, apod.)</w:t>
      </w:r>
    </w:p>
    <w:p w14:paraId="3A469C7B"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tvorba nových forem interaktivního mediálního obsahu</w:t>
      </w:r>
    </w:p>
    <w:p w14:paraId="41EDDDD2" w14:textId="77777777" w:rsidR="009F166D" w:rsidRPr="009F166D" w:rsidRDefault="009F166D" w:rsidP="00543C1B">
      <w:pPr>
        <w:numPr>
          <w:ilvl w:val="2"/>
          <w:numId w:val="137"/>
        </w:numPr>
        <w:spacing w:after="120" w:line="360" w:lineRule="auto"/>
        <w:jc w:val="both"/>
      </w:pPr>
      <w:r w:rsidRPr="009F166D">
        <w:rPr>
          <w:rFonts w:eastAsia="MS Mincho"/>
        </w:rPr>
        <w:t>nástroje</w:t>
      </w:r>
      <w:r w:rsidRPr="009F166D">
        <w:t xml:space="preserve"> pro </w:t>
      </w:r>
      <w:r w:rsidRPr="009F166D">
        <w:rPr>
          <w:bCs/>
        </w:rPr>
        <w:t>tvorbu</w:t>
      </w:r>
      <w:r w:rsidRPr="009F166D">
        <w:t xml:space="preserve"> nových forem </w:t>
      </w:r>
      <w:r w:rsidRPr="009F166D">
        <w:rPr>
          <w:bCs/>
        </w:rPr>
        <w:t>nevizuálního obsahu</w:t>
      </w:r>
    </w:p>
    <w:p w14:paraId="5D639189" w14:textId="77777777" w:rsidR="009F166D" w:rsidRPr="009F166D" w:rsidRDefault="009F166D" w:rsidP="00543C1B">
      <w:pPr>
        <w:numPr>
          <w:ilvl w:val="0"/>
          <w:numId w:val="146"/>
        </w:numPr>
        <w:spacing w:after="120" w:line="360" w:lineRule="auto"/>
        <w:ind w:left="1418" w:hanging="284"/>
        <w:jc w:val="both"/>
        <w:rPr>
          <w:rFonts w:eastAsia="MS Mincho"/>
        </w:rPr>
      </w:pPr>
      <w:r w:rsidRPr="009F166D">
        <w:rPr>
          <w:rFonts w:eastAsia="MS Mincho"/>
        </w:rPr>
        <w:t>rozvoj prezentačních technik mediálního obsahu</w:t>
      </w:r>
    </w:p>
    <w:p w14:paraId="4FD32337" w14:textId="77777777" w:rsidR="009F166D" w:rsidRPr="009F166D" w:rsidRDefault="009F166D" w:rsidP="00543C1B">
      <w:pPr>
        <w:numPr>
          <w:ilvl w:val="0"/>
          <w:numId w:val="96"/>
        </w:numPr>
        <w:spacing w:after="120" w:line="360" w:lineRule="auto"/>
        <w:jc w:val="both"/>
        <w:rPr>
          <w:rFonts w:eastAsia="MS Mincho"/>
        </w:rPr>
      </w:pPr>
      <w:r w:rsidRPr="009F166D">
        <w:rPr>
          <w:rFonts w:eastAsia="MS Mincho"/>
        </w:rPr>
        <w:t>nové techniky a technologie vyhledávání a prezentace mediálního obsahu</w:t>
      </w:r>
    </w:p>
    <w:p w14:paraId="71FAC4C7" w14:textId="77777777" w:rsidR="009F166D" w:rsidRPr="009F166D" w:rsidRDefault="009F166D" w:rsidP="00543C1B">
      <w:pPr>
        <w:numPr>
          <w:ilvl w:val="0"/>
          <w:numId w:val="96"/>
        </w:numPr>
        <w:spacing w:after="120" w:line="360" w:lineRule="auto"/>
        <w:jc w:val="both"/>
        <w:rPr>
          <w:rFonts w:eastAsia="MS Mincho"/>
        </w:rPr>
      </w:pPr>
      <w:r w:rsidRPr="009F166D">
        <w:rPr>
          <w:rFonts w:eastAsia="MS Mincho"/>
        </w:rPr>
        <w:t>nové interaktivní vyhledávací a prezentační nástroje a postupy</w:t>
      </w:r>
    </w:p>
    <w:p w14:paraId="3C5BF14B" w14:textId="77777777" w:rsidR="009F166D" w:rsidRPr="009F166D" w:rsidRDefault="009F166D" w:rsidP="00543C1B">
      <w:pPr>
        <w:numPr>
          <w:ilvl w:val="0"/>
          <w:numId w:val="96"/>
        </w:numPr>
        <w:spacing w:after="120" w:line="360" w:lineRule="auto"/>
        <w:jc w:val="both"/>
      </w:pPr>
      <w:r w:rsidRPr="009F166D">
        <w:rPr>
          <w:rFonts w:eastAsia="MS Mincho"/>
        </w:rPr>
        <w:t>inovativní</w:t>
      </w:r>
      <w:r w:rsidRPr="009F166D">
        <w:t xml:space="preserve"> techniky vyhledávání </w:t>
      </w:r>
      <w:r w:rsidRPr="009F166D">
        <w:rPr>
          <w:bCs/>
        </w:rPr>
        <w:t>prezentace nevizuálního obsahu</w:t>
      </w:r>
    </w:p>
    <w:p w14:paraId="2E448C69" w14:textId="77777777" w:rsidR="009F166D" w:rsidRPr="009F166D" w:rsidRDefault="009F166D" w:rsidP="00543C1B">
      <w:pPr>
        <w:numPr>
          <w:ilvl w:val="0"/>
          <w:numId w:val="147"/>
        </w:numPr>
        <w:spacing w:after="120" w:line="360" w:lineRule="auto"/>
        <w:jc w:val="both"/>
        <w:rPr>
          <w:rFonts w:eastAsia="MS Mincho"/>
        </w:rPr>
      </w:pPr>
      <w:r w:rsidRPr="009F166D">
        <w:rPr>
          <w:rFonts w:eastAsia="MS Mincho"/>
        </w:rPr>
        <w:t>inovace v oblasti archivace mediálního obsahu</w:t>
      </w:r>
    </w:p>
    <w:p w14:paraId="16CB5A89" w14:textId="77777777" w:rsidR="009F166D" w:rsidRPr="009F166D" w:rsidRDefault="009F166D" w:rsidP="00543C1B">
      <w:pPr>
        <w:numPr>
          <w:ilvl w:val="1"/>
          <w:numId w:val="148"/>
        </w:numPr>
        <w:spacing w:after="120" w:line="360" w:lineRule="auto"/>
        <w:jc w:val="both"/>
        <w:rPr>
          <w:rFonts w:eastAsia="MS Mincho"/>
        </w:rPr>
      </w:pPr>
      <w:r w:rsidRPr="009F166D">
        <w:rPr>
          <w:rFonts w:eastAsia="MS Mincho"/>
        </w:rPr>
        <w:t xml:space="preserve">nové způsoby identifikace, popisu, indexování, katalogizace a reinterpretace mediálního obsahu a jejich aplikace </w:t>
      </w:r>
    </w:p>
    <w:p w14:paraId="125CEAB3" w14:textId="77777777" w:rsidR="009F166D" w:rsidRPr="009F166D" w:rsidRDefault="009F166D" w:rsidP="00543C1B">
      <w:pPr>
        <w:numPr>
          <w:ilvl w:val="1"/>
          <w:numId w:val="148"/>
        </w:numPr>
        <w:spacing w:after="120" w:line="360" w:lineRule="auto"/>
        <w:jc w:val="both"/>
        <w:rPr>
          <w:rFonts w:eastAsia="MS Mincho"/>
        </w:rPr>
      </w:pPr>
      <w:r w:rsidRPr="009F166D">
        <w:rPr>
          <w:rFonts w:eastAsia="MS Mincho"/>
        </w:rPr>
        <w:t>inovativní postupy v oblasti recyklace (znovupoužití) existujícího mediálního obsahu</w:t>
      </w:r>
    </w:p>
    <w:p w14:paraId="11A49FF5" w14:textId="77777777" w:rsidR="009F166D" w:rsidRPr="009F166D" w:rsidRDefault="009F166D" w:rsidP="00543C1B">
      <w:pPr>
        <w:numPr>
          <w:ilvl w:val="0"/>
          <w:numId w:val="149"/>
        </w:numPr>
        <w:spacing w:after="120" w:line="360" w:lineRule="auto"/>
        <w:jc w:val="both"/>
        <w:rPr>
          <w:rFonts w:eastAsia="MS Mincho"/>
        </w:rPr>
      </w:pPr>
      <w:r w:rsidRPr="009F166D">
        <w:rPr>
          <w:rFonts w:eastAsia="MS Mincho"/>
        </w:rPr>
        <w:t>rozvoj aplikací mediálního obsahu</w:t>
      </w:r>
    </w:p>
    <w:p w14:paraId="7399460E" w14:textId="77777777" w:rsidR="009F166D" w:rsidRPr="009F166D" w:rsidRDefault="009F166D" w:rsidP="00543C1B">
      <w:pPr>
        <w:numPr>
          <w:ilvl w:val="1"/>
          <w:numId w:val="150"/>
        </w:numPr>
        <w:spacing w:after="120" w:line="360" w:lineRule="auto"/>
        <w:jc w:val="both"/>
        <w:rPr>
          <w:rFonts w:eastAsia="MS Mincho"/>
        </w:rPr>
      </w:pPr>
      <w:r w:rsidRPr="009F166D">
        <w:rPr>
          <w:rFonts w:eastAsia="MS Mincho"/>
        </w:rPr>
        <w:t>metody hodnocení nových přístupů v oblasti tvorby, prezentace a archivace z hlediska kategorie kreativního média</w:t>
      </w:r>
    </w:p>
    <w:p w14:paraId="5A216EEF" w14:textId="77777777" w:rsidR="009F166D" w:rsidRPr="009F166D" w:rsidRDefault="009F166D" w:rsidP="00543C1B">
      <w:pPr>
        <w:numPr>
          <w:ilvl w:val="1"/>
          <w:numId w:val="150"/>
        </w:numPr>
        <w:spacing w:after="120" w:line="360" w:lineRule="auto"/>
        <w:jc w:val="both"/>
        <w:rPr>
          <w:rFonts w:eastAsia="MS Mincho"/>
        </w:rPr>
      </w:pPr>
      <w:r w:rsidRPr="009F166D">
        <w:rPr>
          <w:rFonts w:eastAsia="MS Mincho"/>
        </w:rPr>
        <w:t>aplikace nových přístupů v kontextu konkrétního média (TV, divadlo, …)</w:t>
      </w:r>
    </w:p>
    <w:p w14:paraId="4FA9BDBC" w14:textId="77777777" w:rsidR="009F166D" w:rsidRPr="009F166D" w:rsidRDefault="009F166D" w:rsidP="00543C1B">
      <w:pPr>
        <w:numPr>
          <w:ilvl w:val="1"/>
          <w:numId w:val="150"/>
        </w:numPr>
        <w:spacing w:after="120" w:line="360" w:lineRule="auto"/>
        <w:jc w:val="both"/>
      </w:pPr>
      <w:r w:rsidRPr="009F166D">
        <w:rPr>
          <w:rFonts w:eastAsia="MS Mincho"/>
        </w:rPr>
        <w:t>prezentace</w:t>
      </w:r>
      <w:r w:rsidRPr="009F166D">
        <w:t xml:space="preserve"> nových </w:t>
      </w:r>
      <w:r w:rsidRPr="009F166D">
        <w:rPr>
          <w:bCs/>
        </w:rPr>
        <w:t>vědeckých výstupů</w:t>
      </w:r>
      <w:r w:rsidRPr="009F166D">
        <w:t xml:space="preserve"> </w:t>
      </w:r>
    </w:p>
    <w:p w14:paraId="3DE0B940" w14:textId="77777777" w:rsidR="009F166D" w:rsidRPr="009F166D" w:rsidRDefault="009F166D" w:rsidP="00543C1B">
      <w:pPr>
        <w:numPr>
          <w:ilvl w:val="1"/>
          <w:numId w:val="137"/>
        </w:numPr>
        <w:spacing w:after="120" w:line="360" w:lineRule="auto"/>
        <w:jc w:val="both"/>
        <w:rPr>
          <w:rFonts w:eastAsia="MS Mincho"/>
        </w:rPr>
      </w:pPr>
      <w:r w:rsidRPr="009F166D">
        <w:rPr>
          <w:rFonts w:eastAsia="MS Mincho"/>
        </w:rPr>
        <w:t>Scénická umění a architektura – práce s prostorem:</w:t>
      </w:r>
    </w:p>
    <w:p w14:paraId="712FB1ED"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aplikace nových prezentačních technik v prostoru</w:t>
      </w:r>
    </w:p>
    <w:p w14:paraId="4DC9BD98"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využití nových interaktivních technik pro práci s prostorem</w:t>
      </w:r>
    </w:p>
    <w:p w14:paraId="4F7B4AA8"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 xml:space="preserve">využití nových vlastností materiálů vhodných pro zvýšení účelnosti prostoru z mediálního hlediska (vizuální, akustické, povrchově hmatové vlastnosti, apod.)    </w:t>
      </w:r>
    </w:p>
    <w:p w14:paraId="47EBF216"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 xml:space="preserve">aplikace pokročilých technologií v oblasti prostorového navrhování </w:t>
      </w:r>
    </w:p>
    <w:p w14:paraId="41B314C7"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aplikace pokročilých technologií za účelem posílení účelnosti prostoru (nasazení virtuální reality a vizualizačních technologií jako součást architektury, scénografického projektu, apod.)</w:t>
      </w:r>
    </w:p>
    <w:p w14:paraId="0E30E785"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výzkum, vývoj a využití nových komunikačních technologií pro distanční spolupráci ve scénických uměních a architektuře</w:t>
      </w:r>
    </w:p>
    <w:p w14:paraId="052E88E6" w14:textId="77777777" w:rsidR="009F166D" w:rsidRPr="009F166D" w:rsidRDefault="009F166D" w:rsidP="00543C1B">
      <w:pPr>
        <w:numPr>
          <w:ilvl w:val="0"/>
          <w:numId w:val="137"/>
        </w:numPr>
        <w:spacing w:before="240" w:after="120" w:line="360" w:lineRule="auto"/>
        <w:ind w:left="737" w:hanging="377"/>
        <w:jc w:val="both"/>
        <w:rPr>
          <w:rFonts w:eastAsia="MS Mincho"/>
          <w:b/>
        </w:rPr>
      </w:pPr>
      <w:r w:rsidRPr="009F166D">
        <w:rPr>
          <w:rFonts w:eastAsia="MS Mincho"/>
          <w:b/>
        </w:rPr>
        <w:t>Paměťové instituce</w:t>
      </w:r>
    </w:p>
    <w:p w14:paraId="6546A024" w14:textId="77777777" w:rsidR="009F166D" w:rsidRPr="009F166D" w:rsidRDefault="009F166D" w:rsidP="00543C1B">
      <w:pPr>
        <w:numPr>
          <w:ilvl w:val="1"/>
          <w:numId w:val="137"/>
        </w:numPr>
        <w:spacing w:after="120" w:line="360" w:lineRule="auto"/>
        <w:ind w:left="1560"/>
        <w:jc w:val="both"/>
        <w:rPr>
          <w:rFonts w:eastAsia="MS Mincho"/>
        </w:rPr>
      </w:pPr>
      <w:r w:rsidRPr="009F166D">
        <w:rPr>
          <w:rFonts w:eastAsia="MS Mincho"/>
        </w:rPr>
        <w:t>Nové způsoby restaurování a archivace paměťového fondu</w:t>
      </w:r>
    </w:p>
    <w:p w14:paraId="617A74F2"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aplikace pokročilých metod, nových vědeckých poznatků a materiálů v oblasti restaurace médií a artefaktů</w:t>
      </w:r>
    </w:p>
    <w:p w14:paraId="31E54906" w14:textId="77777777" w:rsidR="009F166D" w:rsidRPr="009F166D" w:rsidRDefault="009F166D" w:rsidP="00543C1B">
      <w:pPr>
        <w:numPr>
          <w:ilvl w:val="2"/>
          <w:numId w:val="137"/>
        </w:numPr>
        <w:spacing w:after="120" w:line="360" w:lineRule="auto"/>
        <w:jc w:val="both"/>
        <w:rPr>
          <w:rFonts w:eastAsia="MS Mincho"/>
        </w:rPr>
      </w:pPr>
      <w:r w:rsidRPr="009F166D">
        <w:rPr>
          <w:rFonts w:eastAsia="MS Mincho"/>
        </w:rPr>
        <w:t>restaurace artefaktů a architektonických děl pomocí digitální rekonstrukce</w:t>
      </w:r>
    </w:p>
    <w:p w14:paraId="442F2E3E" w14:textId="77777777" w:rsidR="009F166D" w:rsidRPr="009F166D" w:rsidRDefault="009F166D" w:rsidP="00543C1B">
      <w:pPr>
        <w:numPr>
          <w:ilvl w:val="2"/>
          <w:numId w:val="137"/>
        </w:numPr>
        <w:spacing w:after="120" w:line="360" w:lineRule="auto"/>
        <w:jc w:val="both"/>
      </w:pPr>
      <w:r w:rsidRPr="009F166D">
        <w:rPr>
          <w:rFonts w:eastAsia="MS Mincho"/>
        </w:rPr>
        <w:t>využívání nových technologií v oblasti archivace (nové generace úložišť a archivačních</w:t>
      </w:r>
      <w:r w:rsidRPr="009F166D">
        <w:t xml:space="preserve"> standardů – zvyšování udržitelnosti obsahu v archivech)   </w:t>
      </w:r>
    </w:p>
    <w:p w14:paraId="610DC9CD" w14:textId="77777777" w:rsidR="009F166D" w:rsidRPr="009F166D" w:rsidRDefault="009F166D" w:rsidP="00543C1B">
      <w:pPr>
        <w:numPr>
          <w:ilvl w:val="0"/>
          <w:numId w:val="151"/>
        </w:numPr>
        <w:tabs>
          <w:tab w:val="left" w:pos="1560"/>
        </w:tabs>
        <w:spacing w:after="120" w:line="360" w:lineRule="auto"/>
        <w:ind w:left="1560" w:hanging="426"/>
        <w:jc w:val="both"/>
        <w:rPr>
          <w:rFonts w:eastAsia="MS Mincho"/>
        </w:rPr>
      </w:pPr>
      <w:r w:rsidRPr="009F166D">
        <w:rPr>
          <w:rFonts w:eastAsia="MS Mincho"/>
        </w:rPr>
        <w:t>Archivace a vyhledávání mediálního obsahu</w:t>
      </w:r>
    </w:p>
    <w:p w14:paraId="6903B009" w14:textId="77777777" w:rsidR="009F166D" w:rsidRPr="009F166D" w:rsidRDefault="009F166D" w:rsidP="00543C1B">
      <w:pPr>
        <w:numPr>
          <w:ilvl w:val="2"/>
          <w:numId w:val="151"/>
        </w:numPr>
        <w:spacing w:after="120" w:line="360" w:lineRule="auto"/>
        <w:ind w:left="2127" w:hanging="284"/>
        <w:jc w:val="both"/>
        <w:rPr>
          <w:rFonts w:eastAsia="MS Mincho"/>
        </w:rPr>
      </w:pPr>
      <w:r w:rsidRPr="009F166D">
        <w:rPr>
          <w:rFonts w:eastAsia="MS Mincho"/>
        </w:rPr>
        <w:t>automatické techniky klasifikace, indexace, katalogizace a anotace (metadata) mediálního obsahu</w:t>
      </w:r>
    </w:p>
    <w:p w14:paraId="4D853F0E" w14:textId="77777777" w:rsidR="009F166D" w:rsidRPr="009F166D" w:rsidRDefault="009F166D" w:rsidP="00543C1B">
      <w:pPr>
        <w:numPr>
          <w:ilvl w:val="2"/>
          <w:numId w:val="151"/>
        </w:numPr>
        <w:spacing w:after="120" w:line="360" w:lineRule="auto"/>
        <w:ind w:left="2127" w:hanging="284"/>
        <w:jc w:val="both"/>
        <w:rPr>
          <w:rFonts w:eastAsia="MS Mincho"/>
        </w:rPr>
      </w:pPr>
      <w:r w:rsidRPr="009F166D">
        <w:rPr>
          <w:rFonts w:eastAsia="MS Mincho"/>
        </w:rPr>
        <w:t>nové metody vyhledávání mediálního obsahu, včetně využití automatických metod progresivní extrakce informací z mediálního obsahu a jeho propojení s otevřenými daty</w:t>
      </w:r>
    </w:p>
    <w:p w14:paraId="0BD0EA9C" w14:textId="77777777" w:rsidR="009F166D" w:rsidRPr="009F166D" w:rsidRDefault="009F166D" w:rsidP="00543C1B">
      <w:pPr>
        <w:numPr>
          <w:ilvl w:val="0"/>
          <w:numId w:val="152"/>
        </w:numPr>
        <w:spacing w:after="120" w:line="360" w:lineRule="auto"/>
        <w:ind w:left="1560" w:hanging="426"/>
        <w:jc w:val="both"/>
        <w:rPr>
          <w:rFonts w:eastAsia="MS Mincho"/>
        </w:rPr>
      </w:pPr>
      <w:r w:rsidRPr="009F166D">
        <w:rPr>
          <w:rFonts w:eastAsia="MS Mincho"/>
        </w:rPr>
        <w:t>Inovativní využití paměťového fondu</w:t>
      </w:r>
    </w:p>
    <w:p w14:paraId="68C51313" w14:textId="77777777" w:rsidR="009F166D" w:rsidRPr="009F166D" w:rsidRDefault="009F166D" w:rsidP="00543C1B">
      <w:pPr>
        <w:numPr>
          <w:ilvl w:val="1"/>
          <w:numId w:val="153"/>
        </w:numPr>
        <w:spacing w:after="120" w:line="360" w:lineRule="auto"/>
        <w:ind w:left="2127" w:hanging="284"/>
        <w:jc w:val="both"/>
        <w:rPr>
          <w:rFonts w:eastAsia="MS Mincho"/>
        </w:rPr>
      </w:pPr>
      <w:r w:rsidRPr="009F166D">
        <w:rPr>
          <w:rFonts w:eastAsia="MS Mincho"/>
        </w:rPr>
        <w:t xml:space="preserve">inovativní metody znovupoužití obsahu paměťového fondu </w:t>
      </w:r>
    </w:p>
    <w:p w14:paraId="6B79A6C7" w14:textId="77777777" w:rsidR="009F166D" w:rsidRPr="009F166D" w:rsidRDefault="009F166D" w:rsidP="00543C1B">
      <w:pPr>
        <w:numPr>
          <w:ilvl w:val="1"/>
          <w:numId w:val="153"/>
        </w:numPr>
        <w:spacing w:after="120" w:line="360" w:lineRule="auto"/>
        <w:ind w:left="2127" w:hanging="284"/>
        <w:jc w:val="both"/>
        <w:rPr>
          <w:rFonts w:eastAsia="MS Mincho"/>
        </w:rPr>
      </w:pPr>
      <w:r w:rsidRPr="009F166D">
        <w:rPr>
          <w:rFonts w:eastAsia="MS Mincho"/>
        </w:rPr>
        <w:t>využití nových technologií v práci s paměťovým fondem</w:t>
      </w:r>
    </w:p>
    <w:p w14:paraId="35000932" w14:textId="77777777" w:rsidR="009F166D" w:rsidRPr="009F166D" w:rsidRDefault="009F166D" w:rsidP="00543C1B">
      <w:pPr>
        <w:numPr>
          <w:ilvl w:val="1"/>
          <w:numId w:val="153"/>
        </w:numPr>
        <w:spacing w:after="120" w:line="360" w:lineRule="auto"/>
        <w:ind w:left="2127" w:hanging="284"/>
        <w:jc w:val="both"/>
        <w:rPr>
          <w:rFonts w:eastAsia="MS Mincho"/>
        </w:rPr>
      </w:pPr>
      <w:r w:rsidRPr="009F166D">
        <w:rPr>
          <w:rFonts w:eastAsia="MS Mincho"/>
        </w:rPr>
        <w:t xml:space="preserve">nové technologie pro zpřístupňování paměťového obsahu, včetně zpřístupnění pro inkluzi znevýhodněných skupin a minorit </w:t>
      </w:r>
    </w:p>
    <w:p w14:paraId="5D6D8207" w14:textId="77777777" w:rsidR="009F166D" w:rsidRPr="009F166D" w:rsidRDefault="009F166D" w:rsidP="00543C1B">
      <w:pPr>
        <w:numPr>
          <w:ilvl w:val="1"/>
          <w:numId w:val="153"/>
        </w:numPr>
        <w:spacing w:after="120" w:line="360" w:lineRule="auto"/>
        <w:ind w:left="2127" w:hanging="284"/>
        <w:jc w:val="both"/>
      </w:pPr>
      <w:r w:rsidRPr="009F166D">
        <w:rPr>
          <w:rFonts w:eastAsia="MS Mincho"/>
        </w:rPr>
        <w:t>výzkum, vývoj a využití technologií pro tvorbu a vizualizaci digitalizovaného</w:t>
      </w:r>
      <w:r w:rsidRPr="009F166D">
        <w:rPr>
          <w:rFonts w:eastAsia="DejaVu Sans" w:cs="DejaVu Sans"/>
          <w:lang w:eastAsia="zh-CN" w:bidi="hi-IN"/>
        </w:rPr>
        <w:t xml:space="preserve"> kulturního obsahu, včetně distančního přístupu</w:t>
      </w:r>
    </w:p>
    <w:p w14:paraId="6F089F0B" w14:textId="77777777" w:rsidR="009F166D" w:rsidRPr="009F166D" w:rsidRDefault="009F166D" w:rsidP="009F166D">
      <w:pPr>
        <w:spacing w:line="360" w:lineRule="auto"/>
        <w:rPr>
          <w:u w:val="single"/>
        </w:rPr>
      </w:pPr>
    </w:p>
    <w:p w14:paraId="496B4AB5" w14:textId="7772D3EA" w:rsidR="0038543B" w:rsidRDefault="0038543B" w:rsidP="00543C1B">
      <w:pPr>
        <w:pStyle w:val="Odstavecseseznamem"/>
        <w:numPr>
          <w:ilvl w:val="0"/>
          <w:numId w:val="196"/>
        </w:numPr>
        <w:spacing w:line="360" w:lineRule="auto"/>
        <w:rPr>
          <w:u w:val="single"/>
        </w:rPr>
      </w:pPr>
      <w:r w:rsidRPr="009F166D">
        <w:rPr>
          <w:u w:val="single"/>
        </w:rPr>
        <w:t>Indikativní vztah ke klasifikaci CZ NACE</w:t>
      </w:r>
    </w:p>
    <w:p w14:paraId="20D7DBAA" w14:textId="39D00D32" w:rsidR="009F166D" w:rsidRPr="009F166D" w:rsidRDefault="009F166D" w:rsidP="009F166D">
      <w:pPr>
        <w:pStyle w:val="Bezmezer1"/>
        <w:spacing w:before="40" w:after="40" w:line="360" w:lineRule="auto"/>
        <w:ind w:left="360"/>
        <w:jc w:val="both"/>
        <w:rPr>
          <w:rFonts w:asciiTheme="minorHAnsi" w:hAnsiTheme="minorHAnsi"/>
          <w:b/>
          <w:lang w:eastAsia="cs-CZ"/>
        </w:rPr>
      </w:pPr>
      <w:r w:rsidRPr="009F166D">
        <w:rPr>
          <w:rFonts w:asciiTheme="minorHAnsi" w:hAnsiTheme="minorHAnsi"/>
          <w:b/>
          <w:lang w:eastAsia="cs-CZ"/>
        </w:rPr>
        <w:t>Hlavní relevantní CZ</w:t>
      </w:r>
      <w:r w:rsidR="00246127">
        <w:rPr>
          <w:rFonts w:asciiTheme="minorHAnsi" w:hAnsiTheme="minorHAnsi"/>
          <w:b/>
          <w:lang w:eastAsia="cs-CZ"/>
        </w:rPr>
        <w:t xml:space="preserve"> </w:t>
      </w:r>
      <w:r w:rsidRPr="009F166D">
        <w:rPr>
          <w:rFonts w:asciiTheme="minorHAnsi" w:hAnsiTheme="minorHAnsi"/>
          <w:b/>
          <w:lang w:eastAsia="cs-CZ"/>
        </w:rPr>
        <w:t>NACE</w:t>
      </w:r>
    </w:p>
    <w:p w14:paraId="1412CD05" w14:textId="261E2F24" w:rsidR="009F166D" w:rsidRPr="009F166D" w:rsidRDefault="009F166D" w:rsidP="009F166D">
      <w:pPr>
        <w:pStyle w:val="Bezmezer1"/>
        <w:spacing w:before="40" w:after="40" w:line="360" w:lineRule="auto"/>
        <w:ind w:left="360"/>
        <w:jc w:val="both"/>
        <w:rPr>
          <w:rFonts w:asciiTheme="minorHAnsi" w:hAnsiTheme="minorHAnsi"/>
          <w:lang w:eastAsia="cs-CZ"/>
        </w:rPr>
      </w:pPr>
      <w:r w:rsidRPr="009F166D">
        <w:rPr>
          <w:rFonts w:asciiTheme="minorHAnsi" w:hAnsiTheme="minorHAnsi"/>
          <w:lang w:eastAsia="cs-CZ"/>
        </w:rPr>
        <w:t>Poznámka: CZ NACE se mohou překrývat s CZ NACE NIP digitální ekonomika, neboť NIP jsou definovány věcně a ve vzájemných vazbách, a formální vykazování toto věcné dělení neumožňuje. Klasifikace CZ</w:t>
      </w:r>
      <w:r w:rsidR="00CC43AB">
        <w:rPr>
          <w:rFonts w:asciiTheme="minorHAnsi" w:hAnsiTheme="minorHAnsi"/>
          <w:lang w:eastAsia="cs-CZ"/>
        </w:rPr>
        <w:t> </w:t>
      </w:r>
      <w:r w:rsidRPr="009F166D">
        <w:rPr>
          <w:rFonts w:asciiTheme="minorHAnsi" w:hAnsiTheme="minorHAnsi"/>
          <w:lang w:eastAsia="cs-CZ"/>
        </w:rPr>
        <w:t>NACE má svá omezení a nemusí odpovídat nově se formujícím průmyslům.</w:t>
      </w:r>
    </w:p>
    <w:p w14:paraId="304FFE80"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Kulturní dědictví</w:t>
      </w:r>
    </w:p>
    <w:p w14:paraId="07E34B7F" w14:textId="4083DF1B"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91.01</w:t>
      </w:r>
      <w:r w:rsidR="00A36829">
        <w:rPr>
          <w:rFonts w:cs="Arial-BoldMT"/>
          <w:bCs/>
        </w:rPr>
        <w:tab/>
      </w:r>
      <w:r w:rsidRPr="009F166D">
        <w:rPr>
          <w:rFonts w:cs="Arial-BoldMT"/>
          <w:bCs/>
        </w:rPr>
        <w:t>Činnosti knihoven a archivů</w:t>
      </w:r>
    </w:p>
    <w:p w14:paraId="35D3F631" w14:textId="549C8F2F" w:rsidR="009F166D" w:rsidRPr="009F166D" w:rsidRDefault="009F166D" w:rsidP="00A36829">
      <w:pPr>
        <w:autoSpaceDE w:val="0"/>
        <w:autoSpaceDN w:val="0"/>
        <w:adjustRightInd w:val="0"/>
        <w:spacing w:after="0" w:line="360" w:lineRule="auto"/>
        <w:ind w:left="1428" w:firstLine="696"/>
        <w:jc w:val="both"/>
        <w:rPr>
          <w:rFonts w:cs="Arial-BoldMT"/>
          <w:bCs/>
        </w:rPr>
      </w:pPr>
      <w:r w:rsidRPr="009F166D">
        <w:rPr>
          <w:rFonts w:cs="Arial-BoldMT"/>
          <w:bCs/>
        </w:rPr>
        <w:t>91.02</w:t>
      </w:r>
      <w:r w:rsidR="00A36829">
        <w:rPr>
          <w:rFonts w:cs="Arial-BoldMT"/>
          <w:bCs/>
        </w:rPr>
        <w:tab/>
      </w:r>
      <w:r w:rsidRPr="009F166D">
        <w:rPr>
          <w:rFonts w:cs="Arial-BoldMT"/>
          <w:bCs/>
        </w:rPr>
        <w:t>Činnosti muzeí</w:t>
      </w:r>
    </w:p>
    <w:p w14:paraId="1F989257" w14:textId="449A9CC7" w:rsidR="009F166D" w:rsidRPr="009F166D" w:rsidRDefault="009F166D" w:rsidP="00A36829">
      <w:pPr>
        <w:autoSpaceDE w:val="0"/>
        <w:autoSpaceDN w:val="0"/>
        <w:adjustRightInd w:val="0"/>
        <w:spacing w:after="0" w:line="360" w:lineRule="auto"/>
        <w:ind w:left="1416" w:firstLine="708"/>
        <w:jc w:val="both"/>
        <w:rPr>
          <w:rFonts w:cs="Arial-BoldMT"/>
          <w:bCs/>
        </w:rPr>
      </w:pPr>
      <w:r w:rsidRPr="009F166D">
        <w:rPr>
          <w:rFonts w:cs="Arial-BoldMT"/>
          <w:bCs/>
        </w:rPr>
        <w:t>91.03</w:t>
      </w:r>
      <w:r w:rsidR="00A36829">
        <w:rPr>
          <w:rFonts w:cs="Arial-BoldMT"/>
          <w:bCs/>
        </w:rPr>
        <w:tab/>
      </w:r>
      <w:r w:rsidRPr="009F166D">
        <w:rPr>
          <w:rFonts w:cs="Arial-BoldMT"/>
          <w:bCs/>
        </w:rPr>
        <w:t>Provozování kulturních památek, historických staveb a obdobných turistických zajímavostí</w:t>
      </w:r>
    </w:p>
    <w:p w14:paraId="3B32D398" w14:textId="37ECA808"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47.78</w:t>
      </w:r>
      <w:r w:rsidR="00A36829">
        <w:rPr>
          <w:rFonts w:cs="Arial-BoldMT"/>
          <w:bCs/>
        </w:rPr>
        <w:tab/>
      </w:r>
      <w:r w:rsidRPr="009F166D">
        <w:rPr>
          <w:rFonts w:cs="Arial-BoldMT"/>
          <w:bCs/>
        </w:rPr>
        <w:t>Ostatní maloobchod s novým zbožím ve specializovaných prodejnách (část)</w:t>
      </w:r>
    </w:p>
    <w:p w14:paraId="27EC4CB5" w14:textId="77777777" w:rsidR="009F166D" w:rsidRPr="009F166D" w:rsidRDefault="009F166D" w:rsidP="009F166D">
      <w:pPr>
        <w:autoSpaceDE w:val="0"/>
        <w:autoSpaceDN w:val="0"/>
        <w:adjustRightInd w:val="0"/>
        <w:spacing w:after="0" w:line="360" w:lineRule="auto"/>
        <w:ind w:left="360"/>
        <w:jc w:val="both"/>
        <w:rPr>
          <w:rFonts w:cs="ArialMT"/>
        </w:rPr>
      </w:pPr>
      <w:r w:rsidRPr="009F166D">
        <w:rPr>
          <w:rFonts w:cs="ArialMT"/>
        </w:rPr>
        <w:t xml:space="preserve">Zahrnuje mimo jiné: maloobchod s fotografickými potřebami, se suvenýry, rukodělnými výrobky; činnosti komerčních uměleckých galerií; maloobchod s poštovními známkami a mincemi; maloobchod se službami komerčních uměleckých galerií; rámování obrazů. </w:t>
      </w:r>
    </w:p>
    <w:p w14:paraId="2F47711B" w14:textId="7A6E5CE3"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47.79</w:t>
      </w:r>
      <w:r w:rsidR="00A36829">
        <w:rPr>
          <w:rFonts w:cs="Arial-BoldMT"/>
          <w:bCs/>
        </w:rPr>
        <w:tab/>
      </w:r>
      <w:r w:rsidRPr="009F166D">
        <w:rPr>
          <w:rFonts w:cs="Arial-BoldMT"/>
          <w:bCs/>
        </w:rPr>
        <w:t>Maloobchod s použitým zbožím v prodejnách (část)</w:t>
      </w:r>
    </w:p>
    <w:p w14:paraId="62CAD8DF" w14:textId="77777777" w:rsidR="009F166D" w:rsidRPr="009F166D" w:rsidRDefault="009F166D" w:rsidP="009F166D">
      <w:pPr>
        <w:autoSpaceDE w:val="0"/>
        <w:autoSpaceDN w:val="0"/>
        <w:adjustRightInd w:val="0"/>
        <w:spacing w:after="0" w:line="360" w:lineRule="auto"/>
        <w:ind w:left="360"/>
        <w:jc w:val="both"/>
        <w:rPr>
          <w:rFonts w:cs="ArialMT"/>
        </w:rPr>
      </w:pPr>
      <w:r w:rsidRPr="009F166D">
        <w:rPr>
          <w:rFonts w:cs="ArialMT"/>
        </w:rPr>
        <w:t>Zahrnuje: maloobchod s použitými knihami, maloobchod s ostatním použitým zbožím, maloobchod se starožitnostmi, činnosti aukčních domů (maloobchod)</w:t>
      </w:r>
    </w:p>
    <w:p w14:paraId="1AEEC878" w14:textId="77777777" w:rsidR="009F166D" w:rsidRPr="009F166D" w:rsidRDefault="009F166D" w:rsidP="009F166D">
      <w:pPr>
        <w:autoSpaceDE w:val="0"/>
        <w:autoSpaceDN w:val="0"/>
        <w:adjustRightInd w:val="0"/>
        <w:spacing w:after="0" w:line="360" w:lineRule="auto"/>
        <w:ind w:left="360"/>
        <w:jc w:val="both"/>
        <w:rPr>
          <w:rFonts w:cs="ArialMT"/>
        </w:rPr>
      </w:pPr>
    </w:p>
    <w:p w14:paraId="558D54D2"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Scénická umění</w:t>
      </w:r>
    </w:p>
    <w:p w14:paraId="29FBE318" w14:textId="34D25CF4"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90.01</w:t>
      </w:r>
      <w:r w:rsidR="00A36829">
        <w:rPr>
          <w:rFonts w:cs="Arial-BoldMT"/>
          <w:bCs/>
        </w:rPr>
        <w:tab/>
      </w:r>
      <w:r w:rsidRPr="009F166D">
        <w:rPr>
          <w:rFonts w:cs="Arial-BoldMT"/>
          <w:bCs/>
        </w:rPr>
        <w:t>Scénická umění</w:t>
      </w:r>
    </w:p>
    <w:p w14:paraId="3F43CB4A" w14:textId="77777777" w:rsidR="009F166D" w:rsidRPr="009F166D" w:rsidRDefault="009F166D" w:rsidP="009F166D">
      <w:pPr>
        <w:autoSpaceDE w:val="0"/>
        <w:autoSpaceDN w:val="0"/>
        <w:adjustRightInd w:val="0"/>
        <w:spacing w:after="0" w:line="360" w:lineRule="auto"/>
        <w:ind w:left="360"/>
        <w:jc w:val="both"/>
        <w:rPr>
          <w:rFonts w:cs="ArialMT"/>
        </w:rPr>
      </w:pPr>
      <w:r w:rsidRPr="009F166D">
        <w:rPr>
          <w:rFonts w:cs="ArialMT"/>
        </w:rPr>
        <w:t>Produkce divadelních představení, koncertů, oper, tanečních a jiných jevištních vystoupení: činnosti činoherních skupin, cirkusů, orchestrů nebo hudebních skupin; činnosti jednotlivých umělců jako herců, tanečníků, hudebníků, recitátorů nebo hlasatelů; činnosti kaskadérů.</w:t>
      </w:r>
    </w:p>
    <w:p w14:paraId="26DA98DF" w14:textId="3D693868"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90.02</w:t>
      </w:r>
      <w:r w:rsidR="00A36829">
        <w:rPr>
          <w:rFonts w:cs="Arial-BoldMT"/>
          <w:bCs/>
        </w:rPr>
        <w:tab/>
      </w:r>
      <w:r w:rsidRPr="009F166D">
        <w:rPr>
          <w:rFonts w:cs="Arial-BoldMT"/>
          <w:bCs/>
        </w:rPr>
        <w:t>Podpůrné činnosti pro scénická umění</w:t>
      </w:r>
    </w:p>
    <w:p w14:paraId="2B276553" w14:textId="77777777" w:rsidR="009F166D" w:rsidRPr="009F166D" w:rsidRDefault="009F166D" w:rsidP="009F166D">
      <w:pPr>
        <w:autoSpaceDE w:val="0"/>
        <w:autoSpaceDN w:val="0"/>
        <w:adjustRightInd w:val="0"/>
        <w:spacing w:after="0" w:line="360" w:lineRule="auto"/>
        <w:ind w:left="360"/>
        <w:jc w:val="both"/>
        <w:rPr>
          <w:rFonts w:cs="ArialMT"/>
        </w:rPr>
      </w:pPr>
      <w:r w:rsidRPr="009F166D">
        <w:rPr>
          <w:rFonts w:cs="ArialMT"/>
        </w:rPr>
        <w:t>Činnosti režisérů, producentů, jevištních výtvarníků, jevištních dělníků, osvětlovačů atd.; činnosti producentů nebo pořadatelů uměleckých vystoupení.</w:t>
      </w:r>
    </w:p>
    <w:p w14:paraId="2166F17A" w14:textId="5B2CED54"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90.04</w:t>
      </w:r>
      <w:r w:rsidR="00A36829">
        <w:rPr>
          <w:rFonts w:cs="Arial-BoldMT"/>
          <w:bCs/>
        </w:rPr>
        <w:tab/>
      </w:r>
      <w:r w:rsidRPr="009F166D">
        <w:rPr>
          <w:rFonts w:cs="Arial-BoldMT"/>
          <w:bCs/>
        </w:rPr>
        <w:t>Provozování kulturních zařízení</w:t>
      </w:r>
    </w:p>
    <w:p w14:paraId="054AA460" w14:textId="77777777" w:rsidR="009F166D" w:rsidRPr="009F166D" w:rsidRDefault="009F166D" w:rsidP="009F166D">
      <w:pPr>
        <w:autoSpaceDE w:val="0"/>
        <w:autoSpaceDN w:val="0"/>
        <w:adjustRightInd w:val="0"/>
        <w:spacing w:after="0" w:line="360" w:lineRule="auto"/>
        <w:ind w:left="360"/>
        <w:jc w:val="both"/>
        <w:rPr>
          <w:rFonts w:cs="ArialMT"/>
        </w:rPr>
      </w:pPr>
      <w:r w:rsidRPr="009F166D">
        <w:rPr>
          <w:rFonts w:cs="ArialMT"/>
        </w:rPr>
        <w:t>Provoz koncertních sálů, divadel a jiných prostor pro vystupování umělců.</w:t>
      </w:r>
    </w:p>
    <w:p w14:paraId="1B909C31" w14:textId="77777777" w:rsidR="009F166D" w:rsidRPr="009F166D" w:rsidRDefault="009F166D" w:rsidP="009F166D">
      <w:pPr>
        <w:autoSpaceDE w:val="0"/>
        <w:autoSpaceDN w:val="0"/>
        <w:adjustRightInd w:val="0"/>
        <w:spacing w:after="0" w:line="360" w:lineRule="auto"/>
        <w:ind w:left="360"/>
        <w:jc w:val="both"/>
        <w:rPr>
          <w:rFonts w:cs="Arial-BoldMT"/>
          <w:bCs/>
        </w:rPr>
      </w:pPr>
    </w:p>
    <w:p w14:paraId="15C4C8D0"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Výtvarné umění</w:t>
      </w:r>
    </w:p>
    <w:p w14:paraId="39589234" w14:textId="5092DE92"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74.20</w:t>
      </w:r>
      <w:r w:rsidR="00A36829">
        <w:rPr>
          <w:rFonts w:cs="Arial-BoldMT"/>
          <w:bCs/>
        </w:rPr>
        <w:tab/>
      </w:r>
      <w:r w:rsidRPr="009F166D">
        <w:rPr>
          <w:rFonts w:cs="Arial-BoldMT"/>
          <w:bCs/>
        </w:rPr>
        <w:t>Fotografické činnosti</w:t>
      </w:r>
    </w:p>
    <w:p w14:paraId="15EDA90A" w14:textId="77777777" w:rsidR="009F166D" w:rsidRPr="009F166D" w:rsidRDefault="009F166D" w:rsidP="009F166D">
      <w:pPr>
        <w:autoSpaceDE w:val="0"/>
        <w:autoSpaceDN w:val="0"/>
        <w:adjustRightInd w:val="0"/>
        <w:spacing w:after="0" w:line="360" w:lineRule="auto"/>
        <w:ind w:left="360"/>
        <w:jc w:val="both"/>
        <w:rPr>
          <w:rFonts w:cs="Arial-BoldMT"/>
          <w:bCs/>
        </w:rPr>
      </w:pPr>
      <w:r w:rsidRPr="009F166D">
        <w:rPr>
          <w:rFonts w:cs="ArialMT"/>
        </w:rPr>
        <w:t xml:space="preserve">Profesionální a komerční fotografická produkce, videonahrávky akcí; zpracování filmu; vyvolání filmu ad. </w:t>
      </w:r>
    </w:p>
    <w:p w14:paraId="597A976F" w14:textId="7416CCF5"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90.03</w:t>
      </w:r>
      <w:r w:rsidR="00A36829">
        <w:rPr>
          <w:rFonts w:cs="Arial-BoldMT"/>
          <w:bCs/>
        </w:rPr>
        <w:tab/>
      </w:r>
      <w:r w:rsidRPr="009F166D">
        <w:rPr>
          <w:rFonts w:cs="Arial-BoldMT"/>
          <w:bCs/>
        </w:rPr>
        <w:t>Umělecká tvorba</w:t>
      </w:r>
    </w:p>
    <w:p w14:paraId="4F105D02" w14:textId="77777777" w:rsidR="009F166D" w:rsidRPr="009F166D" w:rsidRDefault="009F166D" w:rsidP="009F166D">
      <w:pPr>
        <w:autoSpaceDE w:val="0"/>
        <w:autoSpaceDN w:val="0"/>
        <w:adjustRightInd w:val="0"/>
        <w:spacing w:after="0" w:line="360" w:lineRule="auto"/>
        <w:ind w:left="360"/>
        <w:jc w:val="both"/>
        <w:rPr>
          <w:rFonts w:cs="ArialMT"/>
        </w:rPr>
      </w:pPr>
      <w:r w:rsidRPr="009F166D">
        <w:rPr>
          <w:rFonts w:cs="ArialMT"/>
        </w:rPr>
        <w:t>činnosti jednotlivých umělců jako sochařů, malířů, kreslířů, rytců, grafiků atd.; činnosti jednotlivých spisovatelů; činnosti nezávislých novinářů; restaurování uměleckých děl</w:t>
      </w:r>
    </w:p>
    <w:p w14:paraId="41CCEDD8" w14:textId="77777777" w:rsidR="009F166D" w:rsidRPr="009F166D" w:rsidRDefault="009F166D" w:rsidP="009F166D">
      <w:pPr>
        <w:autoSpaceDE w:val="0"/>
        <w:autoSpaceDN w:val="0"/>
        <w:adjustRightInd w:val="0"/>
        <w:spacing w:after="0" w:line="360" w:lineRule="auto"/>
        <w:ind w:left="360"/>
        <w:jc w:val="both"/>
        <w:rPr>
          <w:rFonts w:cs="Arial-BoldMT"/>
          <w:bCs/>
        </w:rPr>
      </w:pPr>
    </w:p>
    <w:p w14:paraId="6DCD4252"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Film a video</w:t>
      </w:r>
    </w:p>
    <w:p w14:paraId="76762F3C" w14:textId="081BD4AF"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59.11</w:t>
      </w:r>
      <w:r w:rsidR="00A36829">
        <w:rPr>
          <w:rFonts w:cs="Arial-BoldMT"/>
          <w:bCs/>
        </w:rPr>
        <w:tab/>
      </w:r>
      <w:r w:rsidRPr="009F166D">
        <w:rPr>
          <w:rFonts w:cs="Arial-BoldMT"/>
          <w:bCs/>
        </w:rPr>
        <w:t>Produkce filmů, videozáznamů a televizních programů</w:t>
      </w:r>
    </w:p>
    <w:p w14:paraId="2EFEFCEB" w14:textId="528DCA9D" w:rsidR="009F166D" w:rsidRPr="009F166D" w:rsidRDefault="009F166D" w:rsidP="00A36829">
      <w:pPr>
        <w:autoSpaceDE w:val="0"/>
        <w:autoSpaceDN w:val="0"/>
        <w:adjustRightInd w:val="0"/>
        <w:spacing w:after="0" w:line="360" w:lineRule="auto"/>
        <w:ind w:left="1428" w:firstLine="696"/>
        <w:jc w:val="both"/>
        <w:rPr>
          <w:rFonts w:cs="Arial-BoldMT"/>
          <w:bCs/>
        </w:rPr>
      </w:pPr>
      <w:r w:rsidRPr="009F166D">
        <w:rPr>
          <w:rFonts w:cs="Arial-BoldMT"/>
          <w:bCs/>
        </w:rPr>
        <w:t>59.12</w:t>
      </w:r>
      <w:r w:rsidR="00A36829">
        <w:rPr>
          <w:rFonts w:cs="Arial-BoldMT"/>
          <w:bCs/>
        </w:rPr>
        <w:tab/>
      </w:r>
      <w:r w:rsidRPr="009F166D">
        <w:rPr>
          <w:rFonts w:cs="Arial-BoldMT"/>
          <w:bCs/>
        </w:rPr>
        <w:t>Postprodukce filmů, videozáznamů a televizních programů</w:t>
      </w:r>
    </w:p>
    <w:p w14:paraId="0739A169" w14:textId="00E37092"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59.13</w:t>
      </w:r>
      <w:r w:rsidR="00A36829">
        <w:rPr>
          <w:rFonts w:cs="Arial-BoldMT"/>
          <w:bCs/>
        </w:rPr>
        <w:tab/>
      </w:r>
      <w:r w:rsidRPr="009F166D">
        <w:rPr>
          <w:rFonts w:cs="Arial-BoldMT"/>
          <w:bCs/>
        </w:rPr>
        <w:t>Distribuce filmů, videozáznamů a televizních programů</w:t>
      </w:r>
    </w:p>
    <w:p w14:paraId="48F1EB0C" w14:textId="30623707" w:rsidR="009F166D" w:rsidRPr="009F166D" w:rsidRDefault="009F166D" w:rsidP="00A36829">
      <w:pPr>
        <w:autoSpaceDE w:val="0"/>
        <w:autoSpaceDN w:val="0"/>
        <w:adjustRightInd w:val="0"/>
        <w:spacing w:after="0" w:line="360" w:lineRule="auto"/>
        <w:ind w:left="1428" w:firstLine="696"/>
        <w:jc w:val="both"/>
        <w:rPr>
          <w:rFonts w:cs="Arial-BoldMT"/>
          <w:bCs/>
        </w:rPr>
      </w:pPr>
      <w:r w:rsidRPr="009F166D">
        <w:rPr>
          <w:rFonts w:cs="Arial-BoldMT"/>
          <w:bCs/>
        </w:rPr>
        <w:t xml:space="preserve">59.14 </w:t>
      </w:r>
      <w:r w:rsidR="00A36829">
        <w:rPr>
          <w:rFonts w:cs="Arial-BoldMT"/>
          <w:bCs/>
        </w:rPr>
        <w:tab/>
      </w:r>
      <w:r w:rsidRPr="009F166D">
        <w:rPr>
          <w:rFonts w:cs="Arial-BoldMT"/>
          <w:bCs/>
        </w:rPr>
        <w:t>Promítání filmů</w:t>
      </w:r>
    </w:p>
    <w:p w14:paraId="03D30427" w14:textId="088B63B3" w:rsidR="009F166D" w:rsidRPr="009F166D" w:rsidRDefault="009F166D" w:rsidP="00A36829">
      <w:pPr>
        <w:autoSpaceDE w:val="0"/>
        <w:autoSpaceDN w:val="0"/>
        <w:adjustRightInd w:val="0"/>
        <w:spacing w:after="0" w:line="360" w:lineRule="auto"/>
        <w:ind w:left="1776" w:firstLine="348"/>
        <w:jc w:val="both"/>
        <w:rPr>
          <w:rFonts w:cs="Arial-BoldMT"/>
          <w:bCs/>
        </w:rPr>
      </w:pPr>
      <w:r w:rsidRPr="009F166D">
        <w:rPr>
          <w:rFonts w:cs="Arial-BoldMT"/>
          <w:bCs/>
        </w:rPr>
        <w:t>77.22</w:t>
      </w:r>
      <w:r w:rsidR="00A36829">
        <w:rPr>
          <w:rFonts w:cs="Arial-BoldMT"/>
          <w:bCs/>
        </w:rPr>
        <w:tab/>
      </w:r>
      <w:r w:rsidRPr="009F166D">
        <w:rPr>
          <w:rFonts w:cs="Arial-BoldMT"/>
          <w:bCs/>
        </w:rPr>
        <w:t>Pronájem videokazet a disků</w:t>
      </w:r>
    </w:p>
    <w:p w14:paraId="51530902" w14:textId="52C1DA32" w:rsidR="009F166D" w:rsidRPr="009F166D" w:rsidRDefault="009F166D" w:rsidP="00A36829">
      <w:pPr>
        <w:autoSpaceDE w:val="0"/>
        <w:autoSpaceDN w:val="0"/>
        <w:adjustRightInd w:val="0"/>
        <w:spacing w:after="0" w:line="360" w:lineRule="auto"/>
        <w:ind w:left="1428" w:firstLine="696"/>
        <w:jc w:val="both"/>
        <w:rPr>
          <w:rFonts w:cs="Arial-BoldMT"/>
          <w:bCs/>
        </w:rPr>
      </w:pPr>
      <w:r w:rsidRPr="009F166D">
        <w:rPr>
          <w:rFonts w:cs="Arial-BoldMT"/>
          <w:bCs/>
        </w:rPr>
        <w:t>47.63</w:t>
      </w:r>
      <w:r w:rsidR="00A36829">
        <w:rPr>
          <w:rFonts w:cs="Arial-BoldMT"/>
          <w:bCs/>
        </w:rPr>
        <w:tab/>
      </w:r>
      <w:r w:rsidRPr="009F166D">
        <w:rPr>
          <w:rFonts w:cs="Arial-BoldMT"/>
          <w:bCs/>
        </w:rPr>
        <w:t>Maloobchod s audio a videozáznamy (část)</w:t>
      </w:r>
    </w:p>
    <w:p w14:paraId="798D7E72" w14:textId="77777777" w:rsidR="009F166D" w:rsidRPr="009F166D" w:rsidRDefault="009F166D" w:rsidP="009F166D">
      <w:pPr>
        <w:autoSpaceDE w:val="0"/>
        <w:autoSpaceDN w:val="0"/>
        <w:adjustRightInd w:val="0"/>
        <w:spacing w:after="0" w:line="360" w:lineRule="auto"/>
        <w:ind w:left="360"/>
        <w:jc w:val="both"/>
        <w:rPr>
          <w:rFonts w:cs="Arial-BoldMT"/>
          <w:b/>
          <w:bCs/>
        </w:rPr>
      </w:pPr>
    </w:p>
    <w:p w14:paraId="4438CAC2"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Hudba</w:t>
      </w:r>
    </w:p>
    <w:p w14:paraId="51C74B51" w14:textId="169F5D39"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 xml:space="preserve">59.20 </w:t>
      </w:r>
      <w:r w:rsidR="00C06360">
        <w:rPr>
          <w:rFonts w:cs="Arial-BoldMT"/>
          <w:bCs/>
        </w:rPr>
        <w:tab/>
      </w:r>
      <w:r w:rsidRPr="009F166D">
        <w:rPr>
          <w:rFonts w:cs="Arial-BoldMT"/>
          <w:bCs/>
        </w:rPr>
        <w:t>Pořizování zvukových nahrávek a hudební vydavatelské činnosti</w:t>
      </w:r>
    </w:p>
    <w:p w14:paraId="65A15045" w14:textId="7AC80C80" w:rsidR="009F166D" w:rsidRPr="009F166D" w:rsidRDefault="009F166D" w:rsidP="00C06360">
      <w:pPr>
        <w:autoSpaceDE w:val="0"/>
        <w:autoSpaceDN w:val="0"/>
        <w:adjustRightInd w:val="0"/>
        <w:spacing w:after="0" w:line="360" w:lineRule="auto"/>
        <w:ind w:left="1428" w:firstLine="696"/>
        <w:jc w:val="both"/>
        <w:rPr>
          <w:rFonts w:cs="Arial-BoldMT"/>
          <w:bCs/>
        </w:rPr>
      </w:pPr>
      <w:r w:rsidRPr="009F166D">
        <w:rPr>
          <w:rFonts w:cs="Arial-BoldMT"/>
          <w:bCs/>
        </w:rPr>
        <w:t xml:space="preserve">47.63 </w:t>
      </w:r>
      <w:r w:rsidR="00C06360">
        <w:rPr>
          <w:rFonts w:cs="Arial-BoldMT"/>
          <w:bCs/>
        </w:rPr>
        <w:tab/>
      </w:r>
      <w:r w:rsidRPr="009F166D">
        <w:rPr>
          <w:rFonts w:cs="Arial-BoldMT"/>
          <w:bCs/>
        </w:rPr>
        <w:t>Maloobchod s audio a videozáznamy (část)</w:t>
      </w:r>
    </w:p>
    <w:p w14:paraId="78914BD8" w14:textId="77777777" w:rsidR="009F166D" w:rsidRPr="009F166D" w:rsidRDefault="009F166D" w:rsidP="009F166D">
      <w:pPr>
        <w:autoSpaceDE w:val="0"/>
        <w:autoSpaceDN w:val="0"/>
        <w:adjustRightInd w:val="0"/>
        <w:spacing w:after="0" w:line="360" w:lineRule="auto"/>
        <w:ind w:left="360"/>
        <w:jc w:val="both"/>
        <w:rPr>
          <w:rFonts w:cs="Arial-BoldMT"/>
          <w:b/>
          <w:bCs/>
        </w:rPr>
      </w:pPr>
    </w:p>
    <w:p w14:paraId="79178311"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Rozhlas a televize, tiskové agentury</w:t>
      </w:r>
    </w:p>
    <w:p w14:paraId="160C2F12" w14:textId="67947E90" w:rsidR="009F166D" w:rsidRPr="009F166D" w:rsidRDefault="009F166D" w:rsidP="00C06360">
      <w:pPr>
        <w:autoSpaceDE w:val="0"/>
        <w:autoSpaceDN w:val="0"/>
        <w:adjustRightInd w:val="0"/>
        <w:spacing w:after="0" w:line="360" w:lineRule="auto"/>
        <w:ind w:left="2124"/>
        <w:jc w:val="both"/>
        <w:rPr>
          <w:rFonts w:cs="Arial-BoldMT"/>
          <w:bCs/>
        </w:rPr>
      </w:pPr>
      <w:r w:rsidRPr="009F166D">
        <w:rPr>
          <w:rFonts w:cs="Arial-BoldMT"/>
          <w:bCs/>
        </w:rPr>
        <w:t xml:space="preserve">60.10 </w:t>
      </w:r>
      <w:r w:rsidR="00C06360">
        <w:rPr>
          <w:rFonts w:cs="Arial-BoldMT"/>
          <w:bCs/>
        </w:rPr>
        <w:tab/>
      </w:r>
      <w:r w:rsidRPr="009F166D">
        <w:rPr>
          <w:rFonts w:cs="Arial-BoldMT"/>
          <w:bCs/>
        </w:rPr>
        <w:t xml:space="preserve">Rozhlasové vysílání </w:t>
      </w:r>
    </w:p>
    <w:p w14:paraId="6C767DCF" w14:textId="46C84217" w:rsidR="009F166D" w:rsidRPr="009F166D" w:rsidRDefault="009F166D" w:rsidP="00C06360">
      <w:pPr>
        <w:autoSpaceDE w:val="0"/>
        <w:autoSpaceDN w:val="0"/>
        <w:adjustRightInd w:val="0"/>
        <w:spacing w:after="0" w:line="360" w:lineRule="auto"/>
        <w:ind w:left="2124"/>
        <w:jc w:val="both"/>
        <w:rPr>
          <w:rFonts w:cs="Arial-BoldMT"/>
          <w:bCs/>
        </w:rPr>
      </w:pPr>
      <w:r w:rsidRPr="009F166D">
        <w:rPr>
          <w:rFonts w:cs="Arial-BoldMT"/>
          <w:bCs/>
        </w:rPr>
        <w:t xml:space="preserve">60.20 </w:t>
      </w:r>
      <w:r w:rsidR="00C06360">
        <w:rPr>
          <w:rFonts w:cs="Arial-BoldMT"/>
          <w:bCs/>
        </w:rPr>
        <w:tab/>
      </w:r>
      <w:r w:rsidRPr="009F166D">
        <w:rPr>
          <w:rFonts w:cs="Arial-BoldMT"/>
          <w:bCs/>
        </w:rPr>
        <w:t>Tvorba televizních programů a televizní vysílání</w:t>
      </w:r>
    </w:p>
    <w:p w14:paraId="18C557DA" w14:textId="02C83A2A"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63.91</w:t>
      </w:r>
      <w:r w:rsidR="00C06360">
        <w:rPr>
          <w:rFonts w:cs="Arial-BoldMT"/>
          <w:bCs/>
        </w:rPr>
        <w:tab/>
      </w:r>
      <w:r w:rsidRPr="009F166D">
        <w:rPr>
          <w:rFonts w:cs="Arial-BoldMT"/>
          <w:bCs/>
        </w:rPr>
        <w:t>Činnosti zpravodajských tiskových kanceláří a agentur</w:t>
      </w:r>
    </w:p>
    <w:p w14:paraId="65C7FE2A" w14:textId="77777777" w:rsidR="009F166D" w:rsidRPr="009F166D" w:rsidRDefault="009F166D" w:rsidP="009F166D">
      <w:pPr>
        <w:autoSpaceDE w:val="0"/>
        <w:autoSpaceDN w:val="0"/>
        <w:adjustRightInd w:val="0"/>
        <w:spacing w:after="0" w:line="360" w:lineRule="auto"/>
        <w:ind w:left="360"/>
        <w:jc w:val="both"/>
        <w:rPr>
          <w:rFonts w:cs="Arial-BoldMT"/>
          <w:bCs/>
        </w:rPr>
      </w:pPr>
    </w:p>
    <w:p w14:paraId="446E8566"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Knihy a tisk</w:t>
      </w:r>
    </w:p>
    <w:p w14:paraId="5F00625C" w14:textId="07FF0E2D"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58.11</w:t>
      </w:r>
      <w:r w:rsidR="00C06360">
        <w:rPr>
          <w:rFonts w:cs="Arial-BoldMT"/>
          <w:bCs/>
        </w:rPr>
        <w:tab/>
      </w:r>
      <w:r w:rsidRPr="009F166D">
        <w:rPr>
          <w:rFonts w:cs="Arial-BoldMT"/>
          <w:bCs/>
        </w:rPr>
        <w:t>Vydávání knih</w:t>
      </w:r>
    </w:p>
    <w:p w14:paraId="2CCA4821" w14:textId="5ECF94B6" w:rsidR="009F166D" w:rsidRPr="009F166D" w:rsidRDefault="009F166D" w:rsidP="00C06360">
      <w:pPr>
        <w:autoSpaceDE w:val="0"/>
        <w:autoSpaceDN w:val="0"/>
        <w:adjustRightInd w:val="0"/>
        <w:spacing w:after="0" w:line="360" w:lineRule="auto"/>
        <w:ind w:left="1428" w:firstLine="696"/>
        <w:jc w:val="both"/>
        <w:rPr>
          <w:rFonts w:cs="Arial-BoldMT"/>
          <w:bCs/>
        </w:rPr>
      </w:pPr>
      <w:r w:rsidRPr="009F166D">
        <w:rPr>
          <w:rFonts w:cs="Arial-BoldMT"/>
          <w:bCs/>
        </w:rPr>
        <w:t xml:space="preserve">58.13 </w:t>
      </w:r>
      <w:r w:rsidR="00C06360">
        <w:rPr>
          <w:rFonts w:cs="Arial-BoldMT"/>
          <w:bCs/>
        </w:rPr>
        <w:tab/>
      </w:r>
      <w:r w:rsidRPr="009F166D">
        <w:rPr>
          <w:rFonts w:cs="Arial-BoldMT"/>
          <w:bCs/>
        </w:rPr>
        <w:t>Vydávání novin</w:t>
      </w:r>
    </w:p>
    <w:p w14:paraId="673DD242" w14:textId="5C88E514"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 xml:space="preserve">58.14 </w:t>
      </w:r>
      <w:r w:rsidR="00C06360">
        <w:rPr>
          <w:rFonts w:cs="Arial-BoldMT"/>
          <w:bCs/>
        </w:rPr>
        <w:tab/>
      </w:r>
      <w:r w:rsidRPr="009F166D">
        <w:rPr>
          <w:rFonts w:cs="Arial-BoldMT"/>
          <w:bCs/>
        </w:rPr>
        <w:t>Vydávání časopisů a ostatních periodických publikací</w:t>
      </w:r>
    </w:p>
    <w:p w14:paraId="49B817A0" w14:textId="0AC91DBD" w:rsidR="009F166D" w:rsidRPr="009F166D" w:rsidRDefault="009F166D" w:rsidP="00C06360">
      <w:pPr>
        <w:autoSpaceDE w:val="0"/>
        <w:autoSpaceDN w:val="0"/>
        <w:adjustRightInd w:val="0"/>
        <w:spacing w:after="0" w:line="360" w:lineRule="auto"/>
        <w:ind w:left="1428" w:firstLine="696"/>
        <w:jc w:val="both"/>
        <w:rPr>
          <w:rFonts w:cs="Arial-BoldMT"/>
          <w:bCs/>
        </w:rPr>
      </w:pPr>
      <w:r w:rsidRPr="009F166D">
        <w:rPr>
          <w:rFonts w:cs="Arial-BoldMT"/>
          <w:bCs/>
        </w:rPr>
        <w:t xml:space="preserve">47.61 </w:t>
      </w:r>
      <w:r w:rsidR="00C06360">
        <w:rPr>
          <w:rFonts w:cs="Arial-BoldMT"/>
          <w:bCs/>
        </w:rPr>
        <w:tab/>
      </w:r>
      <w:r w:rsidRPr="009F166D">
        <w:rPr>
          <w:rFonts w:cs="Arial-BoldMT"/>
          <w:bCs/>
        </w:rPr>
        <w:t>Maloobchod s knihami</w:t>
      </w:r>
    </w:p>
    <w:p w14:paraId="366F3350" w14:textId="60869D98"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 xml:space="preserve">47.62 </w:t>
      </w:r>
      <w:r w:rsidR="00C06360">
        <w:rPr>
          <w:rFonts w:cs="Arial-BoldMT"/>
          <w:bCs/>
        </w:rPr>
        <w:tab/>
      </w:r>
      <w:r w:rsidRPr="009F166D">
        <w:rPr>
          <w:rFonts w:cs="Arial-BoldMT"/>
          <w:bCs/>
        </w:rPr>
        <w:t>Maloobchod s novinami, časopisy a papírnickým zbožím</w:t>
      </w:r>
    </w:p>
    <w:p w14:paraId="631043E6" w14:textId="2758CA6E" w:rsidR="009F166D" w:rsidRPr="009F166D" w:rsidRDefault="009F166D" w:rsidP="00C06360">
      <w:pPr>
        <w:autoSpaceDE w:val="0"/>
        <w:autoSpaceDN w:val="0"/>
        <w:adjustRightInd w:val="0"/>
        <w:spacing w:after="0" w:line="360" w:lineRule="auto"/>
        <w:ind w:left="2136"/>
        <w:jc w:val="both"/>
        <w:rPr>
          <w:rFonts w:cs="Arial-BoldMT"/>
          <w:bCs/>
        </w:rPr>
      </w:pPr>
      <w:r w:rsidRPr="009F166D">
        <w:rPr>
          <w:rFonts w:cs="Arial-BoldMT"/>
          <w:bCs/>
        </w:rPr>
        <w:t xml:space="preserve">74.30 </w:t>
      </w:r>
      <w:r w:rsidR="00C06360">
        <w:rPr>
          <w:rFonts w:cs="Arial-BoldMT"/>
          <w:bCs/>
        </w:rPr>
        <w:tab/>
      </w:r>
      <w:r w:rsidRPr="009F166D">
        <w:rPr>
          <w:rFonts w:cs="Arial-BoldMT"/>
          <w:bCs/>
        </w:rPr>
        <w:t>Překladatelské a tlumočnické činnosti</w:t>
      </w:r>
    </w:p>
    <w:p w14:paraId="0209C578" w14:textId="145A9B41"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 xml:space="preserve">18.11 </w:t>
      </w:r>
      <w:r w:rsidR="00C06360">
        <w:rPr>
          <w:rFonts w:cs="Arial-BoldMT"/>
          <w:bCs/>
        </w:rPr>
        <w:tab/>
      </w:r>
      <w:r w:rsidRPr="009F166D">
        <w:rPr>
          <w:rFonts w:cs="Arial-BoldMT"/>
          <w:bCs/>
        </w:rPr>
        <w:t>Tisk novin</w:t>
      </w:r>
    </w:p>
    <w:p w14:paraId="4BE94A2F" w14:textId="7302D66A" w:rsidR="009F166D" w:rsidRPr="009F166D" w:rsidRDefault="009F166D" w:rsidP="00C06360">
      <w:pPr>
        <w:autoSpaceDE w:val="0"/>
        <w:autoSpaceDN w:val="0"/>
        <w:adjustRightInd w:val="0"/>
        <w:spacing w:after="0" w:line="360" w:lineRule="auto"/>
        <w:ind w:left="1428" w:firstLine="696"/>
        <w:jc w:val="both"/>
        <w:rPr>
          <w:rFonts w:cs="Arial-BoldMT"/>
          <w:bCs/>
        </w:rPr>
      </w:pPr>
      <w:r w:rsidRPr="009F166D">
        <w:rPr>
          <w:rFonts w:cs="Arial-BoldMT"/>
          <w:bCs/>
        </w:rPr>
        <w:t xml:space="preserve">18.12 </w:t>
      </w:r>
      <w:r w:rsidR="00C06360">
        <w:rPr>
          <w:rFonts w:cs="Arial-BoldMT"/>
          <w:bCs/>
        </w:rPr>
        <w:tab/>
      </w:r>
      <w:r w:rsidRPr="009F166D">
        <w:rPr>
          <w:rFonts w:cs="Arial-BoldMT"/>
          <w:bCs/>
        </w:rPr>
        <w:t>Tisk ostatní</w:t>
      </w:r>
    </w:p>
    <w:p w14:paraId="4FCFD2C1" w14:textId="4EE89D7D"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 xml:space="preserve">18.13 </w:t>
      </w:r>
      <w:r w:rsidR="00C06360">
        <w:rPr>
          <w:rFonts w:cs="Arial-BoldMT"/>
          <w:bCs/>
        </w:rPr>
        <w:tab/>
      </w:r>
      <w:r w:rsidRPr="009F166D">
        <w:rPr>
          <w:rFonts w:cs="Arial-BoldMT"/>
          <w:bCs/>
        </w:rPr>
        <w:t>Příprava tisku a digitálních dat</w:t>
      </w:r>
    </w:p>
    <w:p w14:paraId="72D5133F" w14:textId="4CEE9D59" w:rsidR="009F166D" w:rsidRPr="009F166D" w:rsidRDefault="009F166D" w:rsidP="00C06360">
      <w:pPr>
        <w:autoSpaceDE w:val="0"/>
        <w:autoSpaceDN w:val="0"/>
        <w:adjustRightInd w:val="0"/>
        <w:spacing w:after="0" w:line="360" w:lineRule="auto"/>
        <w:ind w:left="1428" w:firstLine="696"/>
        <w:jc w:val="both"/>
        <w:rPr>
          <w:rFonts w:cs="Arial-BoldMT"/>
          <w:bCs/>
        </w:rPr>
      </w:pPr>
      <w:r w:rsidRPr="009F166D">
        <w:rPr>
          <w:rFonts w:cs="Arial-BoldMT"/>
          <w:bCs/>
        </w:rPr>
        <w:t xml:space="preserve">18.14 </w:t>
      </w:r>
      <w:r w:rsidR="00C06360">
        <w:rPr>
          <w:rFonts w:cs="Arial-BoldMT"/>
          <w:bCs/>
        </w:rPr>
        <w:tab/>
      </w:r>
      <w:r w:rsidRPr="009F166D">
        <w:rPr>
          <w:rFonts w:cs="Arial-BoldMT"/>
          <w:bCs/>
        </w:rPr>
        <w:t>Vázání a související činnosti</w:t>
      </w:r>
    </w:p>
    <w:p w14:paraId="73504F9F" w14:textId="79175078"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 xml:space="preserve">18.20 </w:t>
      </w:r>
      <w:r w:rsidR="00C06360">
        <w:rPr>
          <w:rFonts w:cs="Arial-BoldMT"/>
          <w:bCs/>
        </w:rPr>
        <w:tab/>
      </w:r>
      <w:r w:rsidRPr="009F166D">
        <w:rPr>
          <w:rFonts w:cs="Arial-BoldMT"/>
          <w:bCs/>
        </w:rPr>
        <w:t>Rozmnožování nahraných nosičů</w:t>
      </w:r>
    </w:p>
    <w:p w14:paraId="6B0B6ACA" w14:textId="77777777" w:rsidR="009F166D" w:rsidRPr="009F166D" w:rsidRDefault="009F166D" w:rsidP="009F166D">
      <w:pPr>
        <w:autoSpaceDE w:val="0"/>
        <w:autoSpaceDN w:val="0"/>
        <w:adjustRightInd w:val="0"/>
        <w:spacing w:after="0" w:line="360" w:lineRule="auto"/>
        <w:ind w:left="360"/>
        <w:jc w:val="both"/>
        <w:rPr>
          <w:rFonts w:cs="Arial-BoldMT"/>
          <w:bCs/>
        </w:rPr>
      </w:pPr>
    </w:p>
    <w:p w14:paraId="300CB41B"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Zábavní software</w:t>
      </w:r>
    </w:p>
    <w:p w14:paraId="726638DC" w14:textId="09480865"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 xml:space="preserve">58.21 </w:t>
      </w:r>
      <w:r w:rsidR="00C06360">
        <w:rPr>
          <w:rFonts w:cs="Arial-BoldMT"/>
          <w:bCs/>
        </w:rPr>
        <w:tab/>
      </w:r>
      <w:r w:rsidRPr="009F166D">
        <w:rPr>
          <w:rFonts w:cs="Arial-BoldMT"/>
          <w:bCs/>
        </w:rPr>
        <w:t>Vydávání počítačových her</w:t>
      </w:r>
    </w:p>
    <w:p w14:paraId="56A053F2" w14:textId="77777777" w:rsidR="009F166D" w:rsidRPr="009F166D" w:rsidRDefault="009F166D" w:rsidP="009F166D">
      <w:pPr>
        <w:autoSpaceDE w:val="0"/>
        <w:autoSpaceDN w:val="0"/>
        <w:adjustRightInd w:val="0"/>
        <w:spacing w:after="0" w:line="360" w:lineRule="auto"/>
        <w:ind w:left="360"/>
        <w:jc w:val="both"/>
        <w:rPr>
          <w:rFonts w:cs="Arial-BoldMT"/>
          <w:bCs/>
        </w:rPr>
      </w:pPr>
    </w:p>
    <w:p w14:paraId="5FC146D9"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Vzdělávací a výzkumné aktivity - část</w:t>
      </w:r>
    </w:p>
    <w:p w14:paraId="14C7EE2B" w14:textId="2B76BD45"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 xml:space="preserve">85.52 </w:t>
      </w:r>
      <w:r w:rsidR="00C06360">
        <w:rPr>
          <w:rFonts w:cs="Arial-BoldMT"/>
          <w:bCs/>
        </w:rPr>
        <w:tab/>
      </w:r>
      <w:r w:rsidRPr="009F166D">
        <w:rPr>
          <w:rFonts w:cs="Arial-BoldMT"/>
          <w:bCs/>
        </w:rPr>
        <w:t>Umělecké vzdělávání</w:t>
      </w:r>
    </w:p>
    <w:p w14:paraId="55089A59" w14:textId="77777777" w:rsidR="009F166D" w:rsidRPr="009F166D" w:rsidRDefault="009F166D" w:rsidP="009F166D">
      <w:pPr>
        <w:autoSpaceDE w:val="0"/>
        <w:autoSpaceDN w:val="0"/>
        <w:adjustRightInd w:val="0"/>
        <w:spacing w:after="0" w:line="360" w:lineRule="auto"/>
        <w:ind w:left="360"/>
        <w:jc w:val="both"/>
        <w:rPr>
          <w:rFonts w:cs="ArialMT"/>
        </w:rPr>
      </w:pPr>
      <w:r w:rsidRPr="009F166D">
        <w:rPr>
          <w:rFonts w:cs="ArialMT"/>
        </w:rPr>
        <w:t>Poskytování výuky v oblasti výtvarného, dramatického, hudebního a tanečního umění („školy“, „studia“, „kurzy“ atd.), určené k uspokojení zájmů bez profesionálního zakončení (maturita či absolutorium vysoké školy); dramatické školy, herecké, umělecké a uměleckoprůmyslové školy (kromě vysokých); fotografické školy (kromě komerčních).</w:t>
      </w:r>
    </w:p>
    <w:p w14:paraId="4616210C" w14:textId="77777777" w:rsidR="009F166D" w:rsidRPr="009F166D" w:rsidRDefault="009F166D" w:rsidP="009F166D">
      <w:pPr>
        <w:autoSpaceDE w:val="0"/>
        <w:autoSpaceDN w:val="0"/>
        <w:adjustRightInd w:val="0"/>
        <w:spacing w:after="0" w:line="360" w:lineRule="auto"/>
        <w:ind w:left="360"/>
        <w:jc w:val="both"/>
        <w:rPr>
          <w:rFonts w:cs="Arial-BoldMT"/>
          <w:b/>
          <w:bCs/>
        </w:rPr>
      </w:pPr>
    </w:p>
    <w:p w14:paraId="59FEA598"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Přírodní dědictví</w:t>
      </w:r>
    </w:p>
    <w:p w14:paraId="1923A910" w14:textId="0547CAD9"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91.04</w:t>
      </w:r>
      <w:r w:rsidR="00C06360">
        <w:rPr>
          <w:rFonts w:cs="Arial-BoldMT"/>
          <w:bCs/>
        </w:rPr>
        <w:tab/>
      </w:r>
      <w:r w:rsidRPr="009F166D">
        <w:rPr>
          <w:rFonts w:cs="Arial-BoldMT"/>
          <w:bCs/>
        </w:rPr>
        <w:t xml:space="preserve"> Činnosti botanických a zoologických zahrad, přírodních rezervací a národních parků</w:t>
      </w:r>
    </w:p>
    <w:p w14:paraId="0819936C" w14:textId="46A4D7BE" w:rsidR="009F166D" w:rsidRPr="009F166D" w:rsidRDefault="009F166D" w:rsidP="00C06360">
      <w:pPr>
        <w:autoSpaceDE w:val="0"/>
        <w:autoSpaceDN w:val="0"/>
        <w:adjustRightInd w:val="0"/>
        <w:spacing w:after="0" w:line="360" w:lineRule="auto"/>
        <w:ind w:left="2136" w:firstLine="696"/>
        <w:jc w:val="both"/>
        <w:rPr>
          <w:rFonts w:cs="Arial-BoldMT"/>
          <w:bCs/>
        </w:rPr>
      </w:pPr>
      <w:r w:rsidRPr="009F166D">
        <w:rPr>
          <w:rFonts w:cs="Arial-BoldMT"/>
          <w:bCs/>
        </w:rPr>
        <w:t>91.04.1</w:t>
      </w:r>
      <w:r w:rsidR="00C06360">
        <w:rPr>
          <w:rFonts w:cs="Arial-BoldMT"/>
          <w:bCs/>
        </w:rPr>
        <w:t xml:space="preserve">       </w:t>
      </w:r>
      <w:r w:rsidRPr="009F166D">
        <w:rPr>
          <w:rFonts w:cs="Arial-BoldMT"/>
          <w:bCs/>
        </w:rPr>
        <w:t>Činnosti botanických a zoologických zahrad</w:t>
      </w:r>
    </w:p>
    <w:p w14:paraId="58394A15" w14:textId="2D7F20F5" w:rsidR="009F166D" w:rsidRPr="009F166D" w:rsidRDefault="009F166D" w:rsidP="00C06360">
      <w:pPr>
        <w:autoSpaceDE w:val="0"/>
        <w:autoSpaceDN w:val="0"/>
        <w:adjustRightInd w:val="0"/>
        <w:spacing w:after="0" w:line="360" w:lineRule="auto"/>
        <w:ind w:left="2484" w:firstLine="348"/>
        <w:jc w:val="both"/>
        <w:rPr>
          <w:rFonts w:cs="Arial-BoldMT"/>
          <w:bCs/>
        </w:rPr>
      </w:pPr>
      <w:r w:rsidRPr="009F166D">
        <w:rPr>
          <w:rFonts w:cs="Arial-BoldMT"/>
          <w:bCs/>
        </w:rPr>
        <w:t xml:space="preserve">91.04.2 </w:t>
      </w:r>
      <w:r w:rsidR="00C06360">
        <w:rPr>
          <w:rFonts w:cs="Arial-BoldMT"/>
          <w:bCs/>
        </w:rPr>
        <w:t xml:space="preserve">      </w:t>
      </w:r>
      <w:r w:rsidRPr="009F166D">
        <w:rPr>
          <w:rFonts w:cs="Arial-BoldMT"/>
          <w:bCs/>
        </w:rPr>
        <w:t>Činnosti přírodních rezervací a národních parků</w:t>
      </w:r>
    </w:p>
    <w:p w14:paraId="28DBFC25" w14:textId="77777777" w:rsidR="009F166D" w:rsidRPr="009F166D" w:rsidRDefault="009F166D" w:rsidP="009F166D">
      <w:pPr>
        <w:spacing w:after="0" w:line="360" w:lineRule="auto"/>
        <w:ind w:left="360"/>
        <w:jc w:val="both"/>
        <w:rPr>
          <w:rFonts w:cs="ArialMT"/>
          <w:b/>
        </w:rPr>
      </w:pPr>
    </w:p>
    <w:p w14:paraId="1A64DC3A" w14:textId="77777777" w:rsidR="009F166D" w:rsidRPr="009F166D" w:rsidRDefault="009F166D" w:rsidP="009F166D">
      <w:pPr>
        <w:spacing w:line="360" w:lineRule="auto"/>
        <w:ind w:left="360"/>
        <w:jc w:val="both"/>
        <w:rPr>
          <w:b/>
        </w:rPr>
      </w:pPr>
      <w:r w:rsidRPr="009F166D">
        <w:rPr>
          <w:rFonts w:cs="Arial-BoldMT"/>
          <w:b/>
          <w:bCs/>
        </w:rPr>
        <w:t>Architektura</w:t>
      </w:r>
    </w:p>
    <w:p w14:paraId="2A616D2C" w14:textId="01202190" w:rsidR="009F166D" w:rsidRPr="009F166D" w:rsidRDefault="009F166D" w:rsidP="00C06360">
      <w:pPr>
        <w:spacing w:line="360" w:lineRule="auto"/>
        <w:ind w:left="1776" w:firstLine="348"/>
        <w:jc w:val="both"/>
        <w:rPr>
          <w:b/>
        </w:rPr>
      </w:pPr>
      <w:r w:rsidRPr="009F166D">
        <w:rPr>
          <w:rFonts w:cs="Arial-BoldMT"/>
          <w:bCs/>
        </w:rPr>
        <w:t xml:space="preserve">71.11 </w:t>
      </w:r>
      <w:r w:rsidR="00C06360">
        <w:rPr>
          <w:rFonts w:cs="Arial-BoldMT"/>
          <w:bCs/>
        </w:rPr>
        <w:tab/>
      </w:r>
      <w:r w:rsidRPr="009F166D">
        <w:rPr>
          <w:rFonts w:cs="Arial-BoldMT"/>
          <w:bCs/>
        </w:rPr>
        <w:t>Architektonické činnost</w:t>
      </w:r>
    </w:p>
    <w:p w14:paraId="76A5EB20"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Reklama</w:t>
      </w:r>
    </w:p>
    <w:p w14:paraId="563A2907" w14:textId="4535FCC6" w:rsidR="009F166D" w:rsidRPr="009F166D" w:rsidRDefault="009F166D" w:rsidP="00C06360">
      <w:pPr>
        <w:autoSpaceDE w:val="0"/>
        <w:autoSpaceDN w:val="0"/>
        <w:adjustRightInd w:val="0"/>
        <w:spacing w:after="0" w:line="360" w:lineRule="auto"/>
        <w:ind w:left="1776" w:firstLine="348"/>
        <w:jc w:val="both"/>
        <w:rPr>
          <w:rFonts w:cs="Arial-BoldMT"/>
          <w:bCs/>
        </w:rPr>
      </w:pPr>
      <w:r w:rsidRPr="009F166D">
        <w:rPr>
          <w:rFonts w:cs="Arial-BoldMT"/>
          <w:bCs/>
        </w:rPr>
        <w:t>73.11</w:t>
      </w:r>
      <w:r w:rsidR="00C06360">
        <w:rPr>
          <w:rFonts w:cs="Arial-BoldMT"/>
          <w:bCs/>
        </w:rPr>
        <w:tab/>
      </w:r>
      <w:r w:rsidRPr="009F166D">
        <w:rPr>
          <w:rFonts w:cs="Arial-BoldMT"/>
          <w:bCs/>
        </w:rPr>
        <w:t>Činnosti reklamních agentur</w:t>
      </w:r>
    </w:p>
    <w:p w14:paraId="1044DBDF" w14:textId="432F11EB" w:rsidR="009F166D" w:rsidRPr="009F166D" w:rsidRDefault="009F166D" w:rsidP="00C06360">
      <w:pPr>
        <w:autoSpaceDE w:val="0"/>
        <w:autoSpaceDN w:val="0"/>
        <w:adjustRightInd w:val="0"/>
        <w:spacing w:after="0" w:line="360" w:lineRule="auto"/>
        <w:ind w:left="1428" w:firstLine="696"/>
        <w:jc w:val="both"/>
        <w:rPr>
          <w:rFonts w:cs="Arial-BoldMT"/>
          <w:bCs/>
        </w:rPr>
      </w:pPr>
      <w:r w:rsidRPr="009F166D">
        <w:rPr>
          <w:rFonts w:cs="Arial-BoldMT"/>
          <w:bCs/>
        </w:rPr>
        <w:t xml:space="preserve">73.12 </w:t>
      </w:r>
      <w:r w:rsidR="00C06360">
        <w:rPr>
          <w:rFonts w:cs="Arial-BoldMT"/>
          <w:bCs/>
        </w:rPr>
        <w:tab/>
      </w:r>
      <w:r w:rsidRPr="009F166D">
        <w:rPr>
          <w:rFonts w:cs="Arial-BoldMT"/>
          <w:bCs/>
        </w:rPr>
        <w:t>Zastupování médií při prodeji reklamního času a prostoru</w:t>
      </w:r>
    </w:p>
    <w:p w14:paraId="3CB3A3D2" w14:textId="7FCF43FA" w:rsidR="009F166D" w:rsidRPr="009F166D" w:rsidRDefault="009F166D" w:rsidP="00C06360">
      <w:pPr>
        <w:autoSpaceDE w:val="0"/>
        <w:autoSpaceDN w:val="0"/>
        <w:adjustRightInd w:val="0"/>
        <w:spacing w:after="0" w:line="360" w:lineRule="auto"/>
        <w:ind w:left="2124"/>
        <w:jc w:val="both"/>
        <w:rPr>
          <w:rFonts w:cs="Arial-BoldMT"/>
          <w:bCs/>
        </w:rPr>
      </w:pPr>
      <w:r w:rsidRPr="009F166D">
        <w:rPr>
          <w:rFonts w:cs="Arial-BoldMT"/>
          <w:bCs/>
        </w:rPr>
        <w:t xml:space="preserve">73.20 </w:t>
      </w:r>
      <w:r w:rsidR="00C06360">
        <w:rPr>
          <w:rFonts w:cs="Arial-BoldMT"/>
          <w:bCs/>
        </w:rPr>
        <w:tab/>
      </w:r>
      <w:r w:rsidRPr="009F166D">
        <w:rPr>
          <w:rFonts w:cs="Arial-BoldMT"/>
          <w:bCs/>
        </w:rPr>
        <w:t>Průzkum trhu a veřejného mínění</w:t>
      </w:r>
    </w:p>
    <w:p w14:paraId="52A096C4" w14:textId="77777777" w:rsidR="009F166D" w:rsidRPr="009F166D" w:rsidRDefault="009F166D" w:rsidP="009F166D">
      <w:pPr>
        <w:autoSpaceDE w:val="0"/>
        <w:autoSpaceDN w:val="0"/>
        <w:adjustRightInd w:val="0"/>
        <w:spacing w:after="0" w:line="360" w:lineRule="auto"/>
        <w:ind w:left="360"/>
        <w:jc w:val="both"/>
        <w:rPr>
          <w:rFonts w:cs="Arial-BoldMT"/>
          <w:b/>
          <w:bCs/>
        </w:rPr>
      </w:pPr>
    </w:p>
    <w:p w14:paraId="75C4B11F"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Design</w:t>
      </w:r>
    </w:p>
    <w:p w14:paraId="15CBDCE3" w14:textId="0A4CA224" w:rsidR="009F166D" w:rsidRPr="009F166D" w:rsidRDefault="009F166D" w:rsidP="00C06360">
      <w:pPr>
        <w:autoSpaceDE w:val="0"/>
        <w:autoSpaceDN w:val="0"/>
        <w:adjustRightInd w:val="0"/>
        <w:spacing w:after="0" w:line="360" w:lineRule="auto"/>
        <w:ind w:left="2124"/>
        <w:jc w:val="both"/>
        <w:rPr>
          <w:rFonts w:cs="Arial-BoldMT"/>
          <w:bCs/>
        </w:rPr>
      </w:pPr>
      <w:r w:rsidRPr="009F166D">
        <w:rPr>
          <w:rFonts w:cs="Arial-BoldMT"/>
          <w:bCs/>
        </w:rPr>
        <w:t xml:space="preserve">74.10 </w:t>
      </w:r>
      <w:r w:rsidR="00C06360">
        <w:rPr>
          <w:rFonts w:cs="Arial-BoldMT"/>
          <w:bCs/>
        </w:rPr>
        <w:tab/>
      </w:r>
      <w:r w:rsidRPr="009F166D">
        <w:rPr>
          <w:rFonts w:cs="Arial-BoldMT"/>
          <w:bCs/>
        </w:rPr>
        <w:t>Specializované návrhářské činnosti</w:t>
      </w:r>
    </w:p>
    <w:p w14:paraId="48E5B639" w14:textId="77777777" w:rsidR="009F166D" w:rsidRPr="009F166D" w:rsidRDefault="009F166D" w:rsidP="009F166D">
      <w:pPr>
        <w:spacing w:after="0" w:line="360" w:lineRule="auto"/>
        <w:ind w:left="360"/>
        <w:jc w:val="both"/>
        <w:rPr>
          <w:b/>
        </w:rPr>
      </w:pPr>
    </w:p>
    <w:p w14:paraId="2F8C86AB" w14:textId="77777777" w:rsidR="009F166D" w:rsidRPr="009F166D" w:rsidRDefault="009F166D" w:rsidP="009F166D">
      <w:pPr>
        <w:autoSpaceDE w:val="0"/>
        <w:autoSpaceDN w:val="0"/>
        <w:adjustRightInd w:val="0"/>
        <w:spacing w:after="0" w:line="360" w:lineRule="auto"/>
        <w:ind w:left="360"/>
        <w:jc w:val="both"/>
        <w:rPr>
          <w:rFonts w:cs="Arial-BoldMT"/>
          <w:b/>
          <w:bCs/>
        </w:rPr>
      </w:pPr>
      <w:r w:rsidRPr="009F166D">
        <w:rPr>
          <w:rFonts w:cs="Arial-BoldMT"/>
          <w:b/>
          <w:bCs/>
        </w:rPr>
        <w:t>INFORMAČNÍ A KOMUNIKAČNÍ ČINNOSTI</w:t>
      </w:r>
    </w:p>
    <w:p w14:paraId="3D171F6B" w14:textId="77777777" w:rsidR="009F166D" w:rsidRPr="009F166D" w:rsidRDefault="009F166D" w:rsidP="009F166D">
      <w:pPr>
        <w:pStyle w:val="Prosttext"/>
        <w:spacing w:line="360" w:lineRule="auto"/>
        <w:ind w:left="360"/>
        <w:jc w:val="both"/>
        <w:rPr>
          <w:rFonts w:asciiTheme="minorHAnsi" w:hAnsiTheme="minorHAnsi"/>
          <w:b/>
          <w:sz w:val="22"/>
          <w:szCs w:val="22"/>
        </w:rPr>
      </w:pPr>
      <w:r w:rsidRPr="009F166D">
        <w:rPr>
          <w:rFonts w:asciiTheme="minorHAnsi" w:hAnsiTheme="minorHAnsi"/>
          <w:b/>
          <w:sz w:val="22"/>
          <w:szCs w:val="22"/>
        </w:rPr>
        <w:t>Sekce J – Informační a komunikační činnosti</w:t>
      </w:r>
    </w:p>
    <w:p w14:paraId="3B1D28C8" w14:textId="38F50416" w:rsidR="009F166D" w:rsidRPr="009F166D" w:rsidRDefault="009F166D" w:rsidP="00C06360">
      <w:pPr>
        <w:pStyle w:val="Prosttext"/>
        <w:spacing w:line="360" w:lineRule="auto"/>
        <w:ind w:left="1776" w:firstLine="348"/>
        <w:jc w:val="both"/>
        <w:rPr>
          <w:rFonts w:asciiTheme="minorHAnsi" w:hAnsiTheme="minorHAnsi"/>
          <w:sz w:val="22"/>
          <w:szCs w:val="22"/>
        </w:rPr>
      </w:pPr>
      <w:r w:rsidRPr="009F166D">
        <w:rPr>
          <w:rFonts w:asciiTheme="minorHAnsi" w:hAnsiTheme="minorHAnsi"/>
          <w:sz w:val="22"/>
          <w:szCs w:val="22"/>
        </w:rPr>
        <w:t xml:space="preserve">58.12 </w:t>
      </w:r>
      <w:r w:rsidR="00C06360">
        <w:rPr>
          <w:rFonts w:asciiTheme="minorHAnsi" w:hAnsiTheme="minorHAnsi"/>
          <w:sz w:val="22"/>
          <w:szCs w:val="22"/>
        </w:rPr>
        <w:tab/>
      </w:r>
      <w:r w:rsidRPr="009F166D">
        <w:rPr>
          <w:rFonts w:asciiTheme="minorHAnsi" w:hAnsiTheme="minorHAnsi"/>
          <w:sz w:val="22"/>
          <w:szCs w:val="22"/>
        </w:rPr>
        <w:t>Vydávání adresářů a jiných seznamů</w:t>
      </w:r>
    </w:p>
    <w:p w14:paraId="68B2637C" w14:textId="2AAAA4FF" w:rsidR="009F166D" w:rsidRPr="009F166D" w:rsidRDefault="009F166D" w:rsidP="00C06360">
      <w:pPr>
        <w:pStyle w:val="Prosttext"/>
        <w:spacing w:line="360" w:lineRule="auto"/>
        <w:ind w:left="1428" w:firstLine="696"/>
        <w:jc w:val="both"/>
        <w:rPr>
          <w:rFonts w:asciiTheme="minorHAnsi" w:hAnsiTheme="minorHAnsi"/>
          <w:sz w:val="22"/>
          <w:szCs w:val="22"/>
        </w:rPr>
      </w:pPr>
      <w:r w:rsidRPr="009F166D">
        <w:rPr>
          <w:rFonts w:asciiTheme="minorHAnsi" w:hAnsiTheme="minorHAnsi"/>
          <w:sz w:val="22"/>
          <w:szCs w:val="22"/>
        </w:rPr>
        <w:t xml:space="preserve">58.19 </w:t>
      </w:r>
      <w:r w:rsidR="00C06360">
        <w:rPr>
          <w:rFonts w:asciiTheme="minorHAnsi" w:hAnsiTheme="minorHAnsi"/>
          <w:sz w:val="22"/>
          <w:szCs w:val="22"/>
        </w:rPr>
        <w:tab/>
      </w:r>
      <w:r w:rsidRPr="009F166D">
        <w:rPr>
          <w:rFonts w:asciiTheme="minorHAnsi" w:hAnsiTheme="minorHAnsi"/>
          <w:sz w:val="22"/>
          <w:szCs w:val="22"/>
        </w:rPr>
        <w:t>Ostatní vydavatelské činnosti</w:t>
      </w:r>
    </w:p>
    <w:p w14:paraId="1E9F7C4B" w14:textId="77777777" w:rsidR="009F166D" w:rsidRPr="009F166D" w:rsidRDefault="009F166D" w:rsidP="009F166D">
      <w:pPr>
        <w:pStyle w:val="Prosttext"/>
        <w:spacing w:line="360" w:lineRule="auto"/>
        <w:ind w:left="360"/>
        <w:jc w:val="both"/>
        <w:rPr>
          <w:rFonts w:asciiTheme="minorHAnsi" w:hAnsiTheme="minorHAnsi"/>
          <w:sz w:val="22"/>
          <w:szCs w:val="22"/>
        </w:rPr>
      </w:pPr>
    </w:p>
    <w:p w14:paraId="67700077" w14:textId="674037D2" w:rsidR="009F166D" w:rsidRPr="009F166D" w:rsidRDefault="009F166D" w:rsidP="00C06360">
      <w:pPr>
        <w:pStyle w:val="Prosttext"/>
        <w:spacing w:line="360" w:lineRule="auto"/>
        <w:ind w:left="1068" w:firstLine="348"/>
        <w:jc w:val="both"/>
        <w:rPr>
          <w:rFonts w:asciiTheme="minorHAnsi" w:hAnsiTheme="minorHAnsi"/>
          <w:sz w:val="22"/>
          <w:szCs w:val="22"/>
        </w:rPr>
      </w:pPr>
      <w:r w:rsidRPr="009F166D">
        <w:rPr>
          <w:rFonts w:asciiTheme="minorHAnsi" w:hAnsiTheme="minorHAnsi"/>
          <w:sz w:val="22"/>
          <w:szCs w:val="22"/>
        </w:rPr>
        <w:t>58.2</w:t>
      </w:r>
      <w:r w:rsidR="00C06360">
        <w:rPr>
          <w:rFonts w:asciiTheme="minorHAnsi" w:hAnsiTheme="minorHAnsi"/>
          <w:sz w:val="22"/>
          <w:szCs w:val="22"/>
        </w:rPr>
        <w:tab/>
      </w:r>
      <w:r w:rsidRPr="009F166D">
        <w:rPr>
          <w:rFonts w:asciiTheme="minorHAnsi" w:hAnsiTheme="minorHAnsi"/>
          <w:sz w:val="22"/>
          <w:szCs w:val="22"/>
        </w:rPr>
        <w:t>Vydávání software</w:t>
      </w:r>
    </w:p>
    <w:p w14:paraId="4ECED069" w14:textId="25AA5320" w:rsidR="009F166D" w:rsidRPr="009F166D" w:rsidRDefault="009F166D" w:rsidP="00C06360">
      <w:pPr>
        <w:pStyle w:val="Prosttext"/>
        <w:spacing w:line="360" w:lineRule="auto"/>
        <w:ind w:left="1428" w:firstLine="696"/>
        <w:jc w:val="both"/>
        <w:rPr>
          <w:rFonts w:asciiTheme="minorHAnsi" w:hAnsiTheme="minorHAnsi"/>
          <w:sz w:val="22"/>
          <w:szCs w:val="22"/>
        </w:rPr>
      </w:pPr>
      <w:r w:rsidRPr="009F166D">
        <w:rPr>
          <w:rFonts w:asciiTheme="minorHAnsi" w:hAnsiTheme="minorHAnsi"/>
          <w:sz w:val="22"/>
          <w:szCs w:val="22"/>
        </w:rPr>
        <w:t xml:space="preserve">58.29 </w:t>
      </w:r>
      <w:r w:rsidR="00C06360">
        <w:rPr>
          <w:rFonts w:asciiTheme="minorHAnsi" w:hAnsiTheme="minorHAnsi"/>
          <w:sz w:val="22"/>
          <w:szCs w:val="22"/>
        </w:rPr>
        <w:tab/>
      </w:r>
      <w:r w:rsidRPr="009F166D">
        <w:rPr>
          <w:rFonts w:asciiTheme="minorHAnsi" w:hAnsiTheme="minorHAnsi"/>
          <w:sz w:val="22"/>
          <w:szCs w:val="22"/>
        </w:rPr>
        <w:t>Ostatní vydávání softwaru</w:t>
      </w:r>
    </w:p>
    <w:p w14:paraId="6F1E3DA9" w14:textId="77777777" w:rsidR="009F166D" w:rsidRPr="009F166D" w:rsidRDefault="009F166D" w:rsidP="009F166D">
      <w:pPr>
        <w:pStyle w:val="Prosttext"/>
        <w:spacing w:line="360" w:lineRule="auto"/>
        <w:ind w:left="360"/>
        <w:jc w:val="both"/>
        <w:rPr>
          <w:rFonts w:asciiTheme="minorHAnsi" w:hAnsiTheme="minorHAnsi"/>
          <w:sz w:val="22"/>
          <w:szCs w:val="22"/>
        </w:rPr>
      </w:pPr>
    </w:p>
    <w:p w14:paraId="76305D59" w14:textId="1243B251" w:rsidR="009F166D" w:rsidRPr="009F166D" w:rsidRDefault="009F166D" w:rsidP="00C06360">
      <w:pPr>
        <w:pStyle w:val="Prosttext"/>
        <w:spacing w:line="360" w:lineRule="auto"/>
        <w:ind w:left="1068" w:firstLine="348"/>
        <w:jc w:val="both"/>
        <w:rPr>
          <w:rFonts w:asciiTheme="minorHAnsi" w:hAnsiTheme="minorHAnsi"/>
          <w:sz w:val="22"/>
          <w:szCs w:val="22"/>
        </w:rPr>
      </w:pPr>
      <w:r w:rsidRPr="009F166D">
        <w:rPr>
          <w:rFonts w:asciiTheme="minorHAnsi" w:hAnsiTheme="minorHAnsi"/>
          <w:sz w:val="22"/>
          <w:szCs w:val="22"/>
        </w:rPr>
        <w:t xml:space="preserve">62.0 </w:t>
      </w:r>
      <w:r w:rsidR="00C06360">
        <w:rPr>
          <w:rFonts w:asciiTheme="minorHAnsi" w:hAnsiTheme="minorHAnsi"/>
          <w:sz w:val="22"/>
          <w:szCs w:val="22"/>
        </w:rPr>
        <w:tab/>
      </w:r>
      <w:r w:rsidRPr="009F166D">
        <w:rPr>
          <w:rFonts w:asciiTheme="minorHAnsi" w:hAnsiTheme="minorHAnsi"/>
          <w:sz w:val="22"/>
          <w:szCs w:val="22"/>
        </w:rPr>
        <w:t>Činnosti v oblasti informačních technologií (lze zahrnout celou oblast 62.00)</w:t>
      </w:r>
    </w:p>
    <w:p w14:paraId="387A2155" w14:textId="4A1C9009" w:rsidR="009F166D" w:rsidRPr="009F166D" w:rsidRDefault="009F166D" w:rsidP="00C06360">
      <w:pPr>
        <w:pStyle w:val="Prosttext"/>
        <w:spacing w:line="360" w:lineRule="auto"/>
        <w:ind w:left="1428" w:firstLine="696"/>
        <w:jc w:val="both"/>
        <w:rPr>
          <w:rFonts w:asciiTheme="minorHAnsi" w:hAnsiTheme="minorHAnsi"/>
          <w:sz w:val="22"/>
          <w:szCs w:val="22"/>
        </w:rPr>
      </w:pPr>
      <w:r w:rsidRPr="009F166D">
        <w:rPr>
          <w:rFonts w:asciiTheme="minorHAnsi" w:hAnsiTheme="minorHAnsi"/>
          <w:sz w:val="22"/>
          <w:szCs w:val="22"/>
        </w:rPr>
        <w:t xml:space="preserve">62.01 </w:t>
      </w:r>
      <w:r w:rsidR="00C06360">
        <w:rPr>
          <w:rFonts w:asciiTheme="minorHAnsi" w:hAnsiTheme="minorHAnsi"/>
          <w:sz w:val="22"/>
          <w:szCs w:val="22"/>
        </w:rPr>
        <w:tab/>
      </w:r>
      <w:r w:rsidRPr="009F166D">
        <w:rPr>
          <w:rFonts w:asciiTheme="minorHAnsi" w:hAnsiTheme="minorHAnsi"/>
          <w:sz w:val="22"/>
          <w:szCs w:val="22"/>
        </w:rPr>
        <w:t>Programování</w:t>
      </w:r>
    </w:p>
    <w:p w14:paraId="405D996A" w14:textId="4448DB29" w:rsidR="009F166D" w:rsidRPr="009F166D" w:rsidRDefault="009F166D" w:rsidP="00C06360">
      <w:pPr>
        <w:pStyle w:val="Prosttext"/>
        <w:spacing w:line="360" w:lineRule="auto"/>
        <w:ind w:left="1776" w:firstLine="348"/>
        <w:jc w:val="both"/>
        <w:rPr>
          <w:rFonts w:asciiTheme="minorHAnsi" w:hAnsiTheme="minorHAnsi"/>
          <w:sz w:val="22"/>
          <w:szCs w:val="22"/>
        </w:rPr>
      </w:pPr>
      <w:r w:rsidRPr="009F166D">
        <w:rPr>
          <w:rFonts w:asciiTheme="minorHAnsi" w:hAnsiTheme="minorHAnsi"/>
          <w:sz w:val="22"/>
          <w:szCs w:val="22"/>
        </w:rPr>
        <w:t>62.02</w:t>
      </w:r>
      <w:r w:rsidR="00C06360">
        <w:rPr>
          <w:rFonts w:asciiTheme="minorHAnsi" w:hAnsiTheme="minorHAnsi"/>
          <w:sz w:val="22"/>
          <w:szCs w:val="22"/>
        </w:rPr>
        <w:tab/>
      </w:r>
      <w:r w:rsidRPr="009F166D">
        <w:rPr>
          <w:rFonts w:asciiTheme="minorHAnsi" w:hAnsiTheme="minorHAnsi"/>
          <w:sz w:val="22"/>
          <w:szCs w:val="22"/>
        </w:rPr>
        <w:t>Poradenství v oblasti informačních technologií</w:t>
      </w:r>
    </w:p>
    <w:p w14:paraId="61D341AF" w14:textId="3A0C8112" w:rsidR="009F166D" w:rsidRPr="009F166D" w:rsidRDefault="009F166D" w:rsidP="00C06360">
      <w:pPr>
        <w:pStyle w:val="Prosttext"/>
        <w:spacing w:line="360" w:lineRule="auto"/>
        <w:ind w:left="1428" w:firstLine="696"/>
        <w:jc w:val="both"/>
        <w:rPr>
          <w:rFonts w:asciiTheme="minorHAnsi" w:hAnsiTheme="minorHAnsi"/>
          <w:sz w:val="22"/>
          <w:szCs w:val="22"/>
        </w:rPr>
      </w:pPr>
      <w:r w:rsidRPr="009F166D">
        <w:rPr>
          <w:rFonts w:asciiTheme="minorHAnsi" w:hAnsiTheme="minorHAnsi"/>
          <w:sz w:val="22"/>
          <w:szCs w:val="22"/>
        </w:rPr>
        <w:t xml:space="preserve">62.03 </w:t>
      </w:r>
      <w:r w:rsidR="00C06360">
        <w:rPr>
          <w:rFonts w:asciiTheme="minorHAnsi" w:hAnsiTheme="minorHAnsi"/>
          <w:sz w:val="22"/>
          <w:szCs w:val="22"/>
        </w:rPr>
        <w:tab/>
      </w:r>
      <w:r w:rsidRPr="009F166D">
        <w:rPr>
          <w:rFonts w:asciiTheme="minorHAnsi" w:hAnsiTheme="minorHAnsi"/>
          <w:sz w:val="22"/>
          <w:szCs w:val="22"/>
        </w:rPr>
        <w:t>Správa počítačového vybavení</w:t>
      </w:r>
    </w:p>
    <w:p w14:paraId="008BD00A" w14:textId="0CC06CD4" w:rsidR="009F166D" w:rsidRPr="009F166D" w:rsidRDefault="009F166D" w:rsidP="00C06360">
      <w:pPr>
        <w:pStyle w:val="Prosttext"/>
        <w:spacing w:line="360" w:lineRule="auto"/>
        <w:ind w:left="1776" w:firstLine="348"/>
        <w:jc w:val="both"/>
        <w:rPr>
          <w:rFonts w:asciiTheme="minorHAnsi" w:hAnsiTheme="minorHAnsi"/>
          <w:sz w:val="22"/>
          <w:szCs w:val="22"/>
        </w:rPr>
      </w:pPr>
      <w:r w:rsidRPr="009F166D">
        <w:rPr>
          <w:rFonts w:asciiTheme="minorHAnsi" w:hAnsiTheme="minorHAnsi"/>
          <w:sz w:val="22"/>
          <w:szCs w:val="22"/>
        </w:rPr>
        <w:t xml:space="preserve">62.09 </w:t>
      </w:r>
      <w:r w:rsidR="00C06360">
        <w:rPr>
          <w:rFonts w:asciiTheme="minorHAnsi" w:hAnsiTheme="minorHAnsi"/>
          <w:sz w:val="22"/>
          <w:szCs w:val="22"/>
        </w:rPr>
        <w:tab/>
      </w:r>
      <w:r w:rsidRPr="009F166D">
        <w:rPr>
          <w:rFonts w:asciiTheme="minorHAnsi" w:hAnsiTheme="minorHAnsi"/>
          <w:sz w:val="22"/>
          <w:szCs w:val="22"/>
        </w:rPr>
        <w:t>Ostatní činnosti v oblasti informačních technologií</w:t>
      </w:r>
    </w:p>
    <w:p w14:paraId="0EB8AD9C" w14:textId="77777777" w:rsidR="009F166D" w:rsidRPr="009F166D" w:rsidRDefault="009F166D" w:rsidP="009F166D">
      <w:pPr>
        <w:pStyle w:val="Prosttext"/>
        <w:spacing w:line="360" w:lineRule="auto"/>
        <w:ind w:left="360"/>
        <w:jc w:val="both"/>
        <w:rPr>
          <w:rFonts w:asciiTheme="minorHAnsi" w:hAnsiTheme="minorHAnsi"/>
          <w:sz w:val="22"/>
          <w:szCs w:val="22"/>
        </w:rPr>
      </w:pPr>
    </w:p>
    <w:p w14:paraId="5DE8DFF6" w14:textId="77777777" w:rsidR="009F166D" w:rsidRPr="009F166D" w:rsidRDefault="009F166D" w:rsidP="00C06360">
      <w:pPr>
        <w:pStyle w:val="Prosttext"/>
        <w:spacing w:line="360" w:lineRule="auto"/>
        <w:ind w:left="360" w:firstLine="348"/>
        <w:jc w:val="both"/>
        <w:rPr>
          <w:rFonts w:asciiTheme="minorHAnsi" w:hAnsiTheme="minorHAnsi"/>
          <w:sz w:val="22"/>
          <w:szCs w:val="22"/>
        </w:rPr>
      </w:pPr>
      <w:r w:rsidRPr="009F166D">
        <w:rPr>
          <w:rFonts w:asciiTheme="minorHAnsi" w:hAnsiTheme="minorHAnsi"/>
          <w:sz w:val="22"/>
          <w:szCs w:val="22"/>
        </w:rPr>
        <w:t xml:space="preserve">63 Informační činnosti </w:t>
      </w:r>
    </w:p>
    <w:p w14:paraId="49E4BEBD" w14:textId="4D1BB9F6" w:rsidR="009F166D" w:rsidRPr="009F166D" w:rsidRDefault="009F166D" w:rsidP="00C06360">
      <w:pPr>
        <w:pStyle w:val="Prosttext"/>
        <w:spacing w:line="360" w:lineRule="auto"/>
        <w:ind w:left="1776" w:firstLine="348"/>
        <w:jc w:val="both"/>
        <w:rPr>
          <w:rFonts w:asciiTheme="minorHAnsi" w:hAnsiTheme="minorHAnsi"/>
          <w:sz w:val="22"/>
          <w:szCs w:val="22"/>
        </w:rPr>
      </w:pPr>
      <w:r w:rsidRPr="009F166D">
        <w:rPr>
          <w:rFonts w:asciiTheme="minorHAnsi" w:hAnsiTheme="minorHAnsi"/>
          <w:sz w:val="22"/>
          <w:szCs w:val="22"/>
        </w:rPr>
        <w:t xml:space="preserve">63.11 </w:t>
      </w:r>
      <w:r w:rsidR="00C06360">
        <w:rPr>
          <w:rFonts w:asciiTheme="minorHAnsi" w:hAnsiTheme="minorHAnsi"/>
          <w:sz w:val="22"/>
          <w:szCs w:val="22"/>
        </w:rPr>
        <w:tab/>
      </w:r>
      <w:r w:rsidRPr="009F166D">
        <w:rPr>
          <w:rFonts w:asciiTheme="minorHAnsi" w:hAnsiTheme="minorHAnsi"/>
          <w:sz w:val="22"/>
          <w:szCs w:val="22"/>
        </w:rPr>
        <w:t>Činnosti související se zpracováním dat a hostingem</w:t>
      </w:r>
    </w:p>
    <w:p w14:paraId="67763D10" w14:textId="3BB9EE01" w:rsidR="009F166D" w:rsidRPr="009F166D" w:rsidRDefault="009F166D" w:rsidP="00C06360">
      <w:pPr>
        <w:pStyle w:val="Prosttext"/>
        <w:spacing w:line="360" w:lineRule="auto"/>
        <w:ind w:left="1428" w:firstLine="696"/>
        <w:jc w:val="both"/>
        <w:rPr>
          <w:rFonts w:asciiTheme="minorHAnsi" w:hAnsiTheme="minorHAnsi"/>
          <w:sz w:val="22"/>
          <w:szCs w:val="22"/>
        </w:rPr>
      </w:pPr>
      <w:r w:rsidRPr="009F166D">
        <w:rPr>
          <w:rFonts w:asciiTheme="minorHAnsi" w:hAnsiTheme="minorHAnsi"/>
          <w:sz w:val="22"/>
          <w:szCs w:val="22"/>
        </w:rPr>
        <w:t xml:space="preserve">63.12 </w:t>
      </w:r>
      <w:r w:rsidR="00C06360">
        <w:rPr>
          <w:rFonts w:asciiTheme="minorHAnsi" w:hAnsiTheme="minorHAnsi"/>
          <w:sz w:val="22"/>
          <w:szCs w:val="22"/>
        </w:rPr>
        <w:tab/>
      </w:r>
      <w:r w:rsidRPr="009F166D">
        <w:rPr>
          <w:rFonts w:asciiTheme="minorHAnsi" w:hAnsiTheme="minorHAnsi"/>
          <w:sz w:val="22"/>
          <w:szCs w:val="22"/>
        </w:rPr>
        <w:t>Činnosti související s webovými portály</w:t>
      </w:r>
    </w:p>
    <w:p w14:paraId="3E1177F0" w14:textId="220EB7DB" w:rsidR="009F166D" w:rsidRPr="009F166D" w:rsidRDefault="009F166D" w:rsidP="00C06360">
      <w:pPr>
        <w:pStyle w:val="Prosttext"/>
        <w:spacing w:line="360" w:lineRule="auto"/>
        <w:ind w:left="1068" w:firstLine="348"/>
        <w:jc w:val="both"/>
        <w:rPr>
          <w:rFonts w:asciiTheme="minorHAnsi" w:hAnsiTheme="minorHAnsi"/>
          <w:sz w:val="22"/>
          <w:szCs w:val="22"/>
        </w:rPr>
      </w:pPr>
      <w:r w:rsidRPr="009F166D">
        <w:rPr>
          <w:rFonts w:asciiTheme="minorHAnsi" w:hAnsiTheme="minorHAnsi"/>
          <w:sz w:val="22"/>
          <w:szCs w:val="22"/>
        </w:rPr>
        <w:t xml:space="preserve">63.9 </w:t>
      </w:r>
      <w:r w:rsidR="005A7C8D">
        <w:rPr>
          <w:rFonts w:asciiTheme="minorHAnsi" w:hAnsiTheme="minorHAnsi"/>
          <w:sz w:val="22"/>
          <w:szCs w:val="22"/>
        </w:rPr>
        <w:tab/>
      </w:r>
      <w:r w:rsidRPr="009F166D">
        <w:rPr>
          <w:rFonts w:asciiTheme="minorHAnsi" w:hAnsiTheme="minorHAnsi"/>
          <w:sz w:val="22"/>
          <w:szCs w:val="22"/>
        </w:rPr>
        <w:t>Ostatní informační činnosti</w:t>
      </w:r>
    </w:p>
    <w:p w14:paraId="3F3305F5" w14:textId="66EC7BD2" w:rsidR="009F166D" w:rsidRPr="009F166D" w:rsidRDefault="009F166D" w:rsidP="00C06360">
      <w:pPr>
        <w:pStyle w:val="Prosttext"/>
        <w:spacing w:line="360" w:lineRule="auto"/>
        <w:ind w:left="1428" w:firstLine="696"/>
        <w:jc w:val="both"/>
        <w:rPr>
          <w:rFonts w:asciiTheme="minorHAnsi" w:hAnsiTheme="minorHAnsi"/>
          <w:sz w:val="22"/>
          <w:szCs w:val="22"/>
        </w:rPr>
      </w:pPr>
      <w:r w:rsidRPr="009F166D">
        <w:rPr>
          <w:rFonts w:asciiTheme="minorHAnsi" w:hAnsiTheme="minorHAnsi"/>
          <w:sz w:val="22"/>
          <w:szCs w:val="22"/>
        </w:rPr>
        <w:t xml:space="preserve">63.99 </w:t>
      </w:r>
      <w:r w:rsidR="00C06360">
        <w:rPr>
          <w:rFonts w:asciiTheme="minorHAnsi" w:hAnsiTheme="minorHAnsi"/>
          <w:sz w:val="22"/>
          <w:szCs w:val="22"/>
        </w:rPr>
        <w:tab/>
      </w:r>
      <w:r w:rsidRPr="009F166D">
        <w:rPr>
          <w:rFonts w:asciiTheme="minorHAnsi" w:hAnsiTheme="minorHAnsi"/>
          <w:sz w:val="22"/>
          <w:szCs w:val="22"/>
        </w:rPr>
        <w:t>Ostatní informační činnosti j. n</w:t>
      </w:r>
    </w:p>
    <w:p w14:paraId="237864B1" w14:textId="77777777" w:rsidR="009F166D" w:rsidRPr="009F166D" w:rsidRDefault="009F166D" w:rsidP="009F166D">
      <w:pPr>
        <w:pStyle w:val="Bezmezer1"/>
        <w:spacing w:before="40" w:after="40" w:line="360" w:lineRule="auto"/>
        <w:ind w:left="360"/>
        <w:jc w:val="both"/>
        <w:rPr>
          <w:rFonts w:asciiTheme="minorHAnsi" w:hAnsiTheme="minorHAnsi"/>
          <w:lang w:eastAsia="cs-CZ"/>
        </w:rPr>
      </w:pPr>
    </w:p>
    <w:p w14:paraId="5CBBA83A" w14:textId="2F6A74C7" w:rsidR="009F166D" w:rsidRPr="009F166D" w:rsidRDefault="005A7C8D" w:rsidP="009F166D">
      <w:pPr>
        <w:pStyle w:val="Bezmezer1"/>
        <w:spacing w:before="40" w:after="40" w:line="360" w:lineRule="auto"/>
        <w:ind w:left="360"/>
        <w:jc w:val="both"/>
        <w:rPr>
          <w:rFonts w:asciiTheme="minorHAnsi" w:hAnsiTheme="minorHAnsi"/>
          <w:b/>
          <w:lang w:eastAsia="cs-CZ"/>
        </w:rPr>
      </w:pPr>
      <w:r>
        <w:rPr>
          <w:rFonts w:asciiTheme="minorHAnsi" w:hAnsiTheme="minorHAnsi"/>
          <w:b/>
          <w:lang w:eastAsia="cs-CZ"/>
        </w:rPr>
        <w:t>Návazné CZ</w:t>
      </w:r>
      <w:r w:rsidR="009F166D" w:rsidRPr="009F166D">
        <w:rPr>
          <w:rFonts w:asciiTheme="minorHAnsi" w:hAnsiTheme="minorHAnsi"/>
          <w:b/>
          <w:lang w:eastAsia="cs-CZ"/>
        </w:rPr>
        <w:t xml:space="preserve"> NACE, funkční vazby</w:t>
      </w:r>
    </w:p>
    <w:p w14:paraId="26318F51" w14:textId="77777777" w:rsidR="009F166D" w:rsidRPr="009F166D" w:rsidRDefault="009F166D" w:rsidP="005A7C8D">
      <w:pPr>
        <w:pStyle w:val="Bezmezer1"/>
        <w:spacing w:before="40" w:after="40" w:line="360" w:lineRule="auto"/>
        <w:ind w:left="1068" w:firstLine="348"/>
        <w:jc w:val="both"/>
        <w:rPr>
          <w:rFonts w:asciiTheme="minorHAnsi" w:hAnsiTheme="minorHAnsi"/>
          <w:lang w:eastAsia="cs-CZ"/>
        </w:rPr>
      </w:pPr>
      <w:r w:rsidRPr="009F166D">
        <w:rPr>
          <w:rFonts w:asciiTheme="minorHAnsi" w:hAnsiTheme="minorHAnsi"/>
          <w:lang w:eastAsia="cs-CZ"/>
        </w:rPr>
        <w:t>72.2</w:t>
      </w:r>
      <w:r w:rsidRPr="009F166D">
        <w:rPr>
          <w:rFonts w:asciiTheme="minorHAnsi" w:hAnsiTheme="minorHAnsi"/>
          <w:lang w:eastAsia="cs-CZ"/>
        </w:rPr>
        <w:tab/>
        <w:t>Výzkum a vývoj v oblasti společenských a humanitních věd</w:t>
      </w:r>
    </w:p>
    <w:p w14:paraId="13582F50" w14:textId="7419B56A" w:rsidR="009F02E7" w:rsidRDefault="009F02E7">
      <w:pPr>
        <w:spacing w:after="200" w:line="276" w:lineRule="auto"/>
        <w:rPr>
          <w:u w:val="single"/>
        </w:rPr>
      </w:pPr>
      <w:r>
        <w:rPr>
          <w:u w:val="single"/>
        </w:rPr>
        <w:br w:type="page"/>
      </w:r>
    </w:p>
    <w:p w14:paraId="1E907003" w14:textId="68DAECBC" w:rsidR="006E6688" w:rsidRDefault="00131EA5" w:rsidP="002A2819">
      <w:pPr>
        <w:pStyle w:val="Nadpis3"/>
        <w:jc w:val="both"/>
      </w:pPr>
      <w:bookmarkStart w:id="268" w:name="_Toc525716292"/>
      <w:r>
        <w:t>Udržitelné zemědělství a environmentální aplikační odvětví</w:t>
      </w:r>
      <w:r w:rsidR="008245D8">
        <w:t xml:space="preserve"> - </w:t>
      </w:r>
      <w:r w:rsidR="008245D8" w:rsidRPr="00EF4A38">
        <w:t xml:space="preserve">výstupy z </w:t>
      </w:r>
      <w:r w:rsidR="008245D8">
        <w:t>NIP</w:t>
      </w:r>
      <w:r w:rsidR="008245D8" w:rsidRPr="00EF4A38">
        <w:t xml:space="preserve"> V</w:t>
      </w:r>
      <w:r w:rsidR="008245D8">
        <w:t>I.</w:t>
      </w:r>
      <w:bookmarkEnd w:id="268"/>
    </w:p>
    <w:p w14:paraId="05321ED1" w14:textId="759D621E" w:rsidR="008245D8" w:rsidRDefault="008245D8" w:rsidP="0048072F">
      <w:pPr>
        <w:pStyle w:val="Nadpis4"/>
        <w:spacing w:line="360" w:lineRule="auto"/>
      </w:pPr>
      <w:bookmarkStart w:id="269" w:name="_Toc525716293"/>
      <w:r>
        <w:t>Udržitelné hospodaření s přírodními zdroji</w:t>
      </w:r>
      <w:bookmarkEnd w:id="269"/>
    </w:p>
    <w:p w14:paraId="3B4BAA74" w14:textId="21C91E06" w:rsidR="00B5765E" w:rsidRDefault="00B5765E" w:rsidP="00543C1B">
      <w:pPr>
        <w:pStyle w:val="Odstavecseseznamem"/>
        <w:numPr>
          <w:ilvl w:val="0"/>
          <w:numId w:val="197"/>
        </w:numPr>
        <w:spacing w:line="360" w:lineRule="auto"/>
        <w:rPr>
          <w:u w:val="single"/>
        </w:rPr>
      </w:pPr>
      <w:r w:rsidRPr="0048072F">
        <w:rPr>
          <w:u w:val="single"/>
        </w:rPr>
        <w:t>Témata VaVaI identifikovaná prostřednictvím EDP</w:t>
      </w:r>
      <w:r w:rsidR="00F83FB6" w:rsidRPr="0048072F">
        <w:rPr>
          <w:u w:val="single"/>
        </w:rPr>
        <w:t>:</w:t>
      </w:r>
    </w:p>
    <w:p w14:paraId="4AC1ABB0" w14:textId="77777777" w:rsidR="00120A77" w:rsidRPr="00120A77" w:rsidRDefault="00120A77" w:rsidP="00397585">
      <w:pPr>
        <w:pStyle w:val="Obsah3"/>
      </w:pPr>
      <w:r w:rsidRPr="00120A77">
        <w:t>Biodiverzita a její funkce v agro-ekosystému pro udržitelné využívaní přírodních zdrojů,</w:t>
      </w:r>
    </w:p>
    <w:p w14:paraId="02E45E40" w14:textId="77777777" w:rsidR="00120A77" w:rsidRPr="00120A77" w:rsidRDefault="00120A77" w:rsidP="00397585">
      <w:pPr>
        <w:pStyle w:val="Obsah3"/>
      </w:pPr>
      <w:r w:rsidRPr="00120A77">
        <w:t>Systémy hospodaření na půdě (konvenční, ekologické, integrované systémy zemědělské produkce), ochrana půdního fondu a jeho funkcí v krajině:</w:t>
      </w:r>
    </w:p>
    <w:p w14:paraId="0E007287" w14:textId="77777777" w:rsidR="00120A77" w:rsidRPr="00120A77" w:rsidRDefault="00120A77" w:rsidP="00543C1B">
      <w:pPr>
        <w:pStyle w:val="Odstavecseseznamem"/>
        <w:numPr>
          <w:ilvl w:val="0"/>
          <w:numId w:val="202"/>
        </w:numPr>
        <w:spacing w:after="0" w:line="360" w:lineRule="auto"/>
        <w:ind w:hanging="357"/>
        <w:jc w:val="both"/>
      </w:pPr>
      <w:r w:rsidRPr="00120A77">
        <w:rPr>
          <w:rFonts w:cs="Arial"/>
          <w:lang w:eastAsia="cs-CZ"/>
        </w:rPr>
        <w:t>hodnocení vlivu erozních procesů a protierozní ochrana půdy;</w:t>
      </w:r>
    </w:p>
    <w:p w14:paraId="42365E24" w14:textId="77777777" w:rsidR="00120A77" w:rsidRPr="00120A77" w:rsidRDefault="00120A77" w:rsidP="00543C1B">
      <w:pPr>
        <w:pStyle w:val="Odstavecseseznamem"/>
        <w:numPr>
          <w:ilvl w:val="0"/>
          <w:numId w:val="202"/>
        </w:numPr>
        <w:spacing w:after="0" w:line="360" w:lineRule="auto"/>
        <w:ind w:hanging="357"/>
        <w:jc w:val="both"/>
      </w:pPr>
      <w:r w:rsidRPr="00120A77">
        <w:rPr>
          <w:rFonts w:cs="Arial"/>
          <w:lang w:eastAsia="cs-CZ"/>
        </w:rPr>
        <w:t>udržování a zvyšování organické hmoty v půdě a zvyšování sekvestrace uhlíku;</w:t>
      </w:r>
    </w:p>
    <w:p w14:paraId="3AC6654B" w14:textId="77777777" w:rsidR="00120A77" w:rsidRPr="00120A77" w:rsidRDefault="00120A77" w:rsidP="00543C1B">
      <w:pPr>
        <w:pStyle w:val="Odstavecseseznamem"/>
        <w:numPr>
          <w:ilvl w:val="0"/>
          <w:numId w:val="202"/>
        </w:numPr>
        <w:spacing w:after="0" w:line="360" w:lineRule="auto"/>
        <w:ind w:hanging="357"/>
        <w:jc w:val="both"/>
        <w:rPr>
          <w:rFonts w:cs="Arial"/>
          <w:lang w:eastAsia="cs-CZ"/>
        </w:rPr>
      </w:pPr>
      <w:r w:rsidRPr="00120A77">
        <w:rPr>
          <w:rFonts w:cs="Arial"/>
          <w:lang w:eastAsia="cs-CZ"/>
        </w:rPr>
        <w:t>inovativní postupy, technologie a technika zavlažování půdy,</w:t>
      </w:r>
    </w:p>
    <w:p w14:paraId="6828BC65" w14:textId="77777777" w:rsidR="00120A77" w:rsidRPr="00120A77" w:rsidRDefault="00120A77" w:rsidP="00397585">
      <w:pPr>
        <w:pStyle w:val="Obsah3"/>
        <w:numPr>
          <w:ilvl w:val="0"/>
          <w:numId w:val="199"/>
        </w:numPr>
      </w:pPr>
      <w:r w:rsidRPr="00120A77">
        <w:t xml:space="preserve">Výzkum využití krajiny a půdy a návrhy managementu vedoucí k obnově a zvyšování retenčních vlastností půd, </w:t>
      </w:r>
    </w:p>
    <w:p w14:paraId="7DD059D6" w14:textId="77777777" w:rsidR="00120A77" w:rsidRPr="00120A77" w:rsidRDefault="00120A77" w:rsidP="00397585">
      <w:pPr>
        <w:pStyle w:val="Obsah3"/>
        <w:numPr>
          <w:ilvl w:val="0"/>
          <w:numId w:val="199"/>
        </w:numPr>
      </w:pPr>
      <w:r w:rsidRPr="00120A77">
        <w:t>Racionální využívání vodních zdrojů v systému udržitelného hospodaření v krajině,</w:t>
      </w:r>
    </w:p>
    <w:p w14:paraId="3D135D34" w14:textId="77777777" w:rsidR="00120A77" w:rsidRPr="00120A77" w:rsidRDefault="00120A77" w:rsidP="00543C1B">
      <w:pPr>
        <w:numPr>
          <w:ilvl w:val="0"/>
          <w:numId w:val="156"/>
        </w:numPr>
        <w:spacing w:after="0" w:line="360" w:lineRule="auto"/>
        <w:contextualSpacing/>
        <w:jc w:val="both"/>
        <w:rPr>
          <w:rFonts w:eastAsia="Times New Roman" w:cs="Arial"/>
          <w:lang w:eastAsia="cs-CZ"/>
        </w:rPr>
      </w:pPr>
      <w:r w:rsidRPr="00120A77">
        <w:rPr>
          <w:rFonts w:eastAsia="Times New Roman" w:cs="Arial"/>
          <w:lang w:eastAsia="cs-CZ"/>
        </w:rPr>
        <w:t>Systémy ochrany jakosti vod (povrchových i podzemních) před jejich znečišťováním,</w:t>
      </w:r>
    </w:p>
    <w:p w14:paraId="2AEB747A" w14:textId="77777777" w:rsidR="00120A77" w:rsidRPr="00120A77" w:rsidRDefault="00120A77" w:rsidP="00543C1B">
      <w:pPr>
        <w:numPr>
          <w:ilvl w:val="0"/>
          <w:numId w:val="156"/>
        </w:numPr>
        <w:spacing w:after="0" w:line="360" w:lineRule="auto"/>
        <w:contextualSpacing/>
        <w:jc w:val="both"/>
        <w:rPr>
          <w:rFonts w:eastAsia="Times New Roman" w:cs="Arial"/>
          <w:lang w:eastAsia="cs-CZ"/>
        </w:rPr>
      </w:pPr>
      <w:r w:rsidRPr="00120A77">
        <w:rPr>
          <w:rFonts w:eastAsia="Times New Roman" w:cs="Arial"/>
        </w:rPr>
        <w:t>Systémy hospodaření a využívání přírodních zdrojů v podmínkách měnícího se klimatu,</w:t>
      </w:r>
    </w:p>
    <w:p w14:paraId="25E024F8" w14:textId="77777777" w:rsidR="00120A77" w:rsidRPr="00120A77" w:rsidRDefault="00120A77" w:rsidP="00543C1B">
      <w:pPr>
        <w:numPr>
          <w:ilvl w:val="0"/>
          <w:numId w:val="156"/>
        </w:numPr>
        <w:spacing w:after="0" w:line="360" w:lineRule="auto"/>
        <w:contextualSpacing/>
        <w:jc w:val="both"/>
        <w:rPr>
          <w:rFonts w:eastAsia="Times New Roman" w:cs="Arial"/>
          <w:lang w:eastAsia="cs-CZ"/>
        </w:rPr>
      </w:pPr>
      <w:r w:rsidRPr="00120A77">
        <w:rPr>
          <w:rFonts w:eastAsia="Times New Roman" w:cs="Arial"/>
          <w:lang w:eastAsia="cs-CZ"/>
        </w:rPr>
        <w:t>Systém adaptačních opatření  ke snížení nepříznivých důsledků  změny klimatu,</w:t>
      </w:r>
    </w:p>
    <w:p w14:paraId="22F6FDDC" w14:textId="77777777" w:rsidR="00120A77" w:rsidRPr="00120A77" w:rsidRDefault="00120A77" w:rsidP="00397585">
      <w:pPr>
        <w:pStyle w:val="Obsah3"/>
        <w:numPr>
          <w:ilvl w:val="0"/>
          <w:numId w:val="200"/>
        </w:numPr>
      </w:pPr>
      <w:r w:rsidRPr="00120A77">
        <w:t>Technika a technologie v zemědělství pro efektivní využití přírodních zdrojů</w:t>
      </w:r>
      <w:r w:rsidRPr="00120A77">
        <w:rPr>
          <w:b/>
        </w:rPr>
        <w:t>:</w:t>
      </w:r>
    </w:p>
    <w:p w14:paraId="7875AA80" w14:textId="77777777" w:rsidR="00120A77" w:rsidRPr="00120A77" w:rsidRDefault="00120A77" w:rsidP="00543C1B">
      <w:pPr>
        <w:pStyle w:val="Odstavecseseznamem"/>
        <w:numPr>
          <w:ilvl w:val="0"/>
          <w:numId w:val="202"/>
        </w:numPr>
        <w:spacing w:after="0" w:line="360" w:lineRule="auto"/>
        <w:jc w:val="both"/>
        <w:rPr>
          <w:rFonts w:cs="Arial"/>
          <w:lang w:eastAsia="cs-CZ"/>
        </w:rPr>
      </w:pPr>
      <w:r w:rsidRPr="00120A77">
        <w:rPr>
          <w:rFonts w:cs="Arial"/>
          <w:lang w:eastAsia="cs-CZ"/>
        </w:rPr>
        <w:t>inovativní postupy a technologie využití biomasy pro energetické využití (výroba pohonných hmot, tepelné aj. energie) a jako surovin pro zpracovatelský průmysl;</w:t>
      </w:r>
    </w:p>
    <w:p w14:paraId="551AD893" w14:textId="77777777" w:rsidR="00120A77" w:rsidRPr="00120A77" w:rsidRDefault="00120A77" w:rsidP="00543C1B">
      <w:pPr>
        <w:pStyle w:val="Odstavecseseznamem"/>
        <w:numPr>
          <w:ilvl w:val="0"/>
          <w:numId w:val="202"/>
        </w:numPr>
        <w:spacing w:after="0" w:line="360" w:lineRule="auto"/>
        <w:jc w:val="both"/>
        <w:rPr>
          <w:rFonts w:cs="Arial"/>
          <w:lang w:eastAsia="cs-CZ"/>
        </w:rPr>
      </w:pPr>
      <w:r w:rsidRPr="00120A77">
        <w:rPr>
          <w:rFonts w:cs="Arial"/>
          <w:lang w:eastAsia="cs-CZ"/>
        </w:rPr>
        <w:t>pěstební technologie rostlin pro nepotravinářské využití,</w:t>
      </w:r>
    </w:p>
    <w:p w14:paraId="01F364C9" w14:textId="77777777" w:rsidR="00120A77" w:rsidRPr="00120A77" w:rsidRDefault="00120A77" w:rsidP="00543C1B">
      <w:pPr>
        <w:pStyle w:val="Odstavecseseznamem"/>
        <w:numPr>
          <w:ilvl w:val="0"/>
          <w:numId w:val="200"/>
        </w:numPr>
        <w:spacing w:after="0" w:line="360" w:lineRule="auto"/>
        <w:jc w:val="both"/>
        <w:rPr>
          <w:rFonts w:eastAsia="Times New Roman" w:cs="Arial"/>
          <w:lang w:eastAsia="cs-CZ"/>
        </w:rPr>
      </w:pPr>
      <w:r w:rsidRPr="00120A77">
        <w:rPr>
          <w:rFonts w:eastAsia="Times New Roman" w:cs="Arial"/>
          <w:lang w:eastAsia="cs-CZ"/>
        </w:rPr>
        <w:t>Zemědělství 4.0 (smart farming), potravinářství a lesnictví, zahrnující udržitelné hospodaření s přírodními zdroji formou precizních postupů,</w:t>
      </w:r>
    </w:p>
    <w:p w14:paraId="716E1D47" w14:textId="77777777" w:rsidR="00120A77" w:rsidRPr="00120A77" w:rsidRDefault="00120A77" w:rsidP="00543C1B">
      <w:pPr>
        <w:numPr>
          <w:ilvl w:val="0"/>
          <w:numId w:val="200"/>
        </w:numPr>
        <w:spacing w:after="0" w:line="360" w:lineRule="auto"/>
        <w:contextualSpacing/>
        <w:jc w:val="both"/>
        <w:rPr>
          <w:rFonts w:eastAsia="Times New Roman" w:cs="Arial"/>
          <w:lang w:eastAsia="cs-CZ"/>
        </w:rPr>
      </w:pPr>
      <w:r w:rsidRPr="00120A77">
        <w:rPr>
          <w:rFonts w:eastAsia="Times New Roman" w:cs="Arial"/>
          <w:lang w:eastAsia="cs-CZ"/>
        </w:rPr>
        <w:t>Precizní zemědělství:</w:t>
      </w:r>
    </w:p>
    <w:p w14:paraId="1CEF137C" w14:textId="77777777" w:rsidR="00E45FEB" w:rsidRDefault="00120A77" w:rsidP="00543C1B">
      <w:pPr>
        <w:pStyle w:val="Odstavecseseznamem"/>
        <w:numPr>
          <w:ilvl w:val="0"/>
          <w:numId w:val="203"/>
        </w:numPr>
        <w:spacing w:after="0" w:line="360" w:lineRule="auto"/>
        <w:jc w:val="both"/>
        <w:rPr>
          <w:rFonts w:eastAsia="Times New Roman" w:cs="Arial"/>
          <w:lang w:eastAsia="cs-CZ"/>
        </w:rPr>
      </w:pPr>
      <w:r w:rsidRPr="00E45FEB">
        <w:rPr>
          <w:rFonts w:eastAsia="Times New Roman" w:cs="Arial"/>
          <w:lang w:eastAsia="cs-CZ"/>
        </w:rPr>
        <w:t>výzkum a vývoj bezpilotních systémů řízení mobilní zemědělské techniky,</w:t>
      </w:r>
    </w:p>
    <w:p w14:paraId="3EA82675" w14:textId="77777777" w:rsidR="00E45FEB" w:rsidRDefault="00120A77" w:rsidP="00543C1B">
      <w:pPr>
        <w:pStyle w:val="Odstavecseseznamem"/>
        <w:numPr>
          <w:ilvl w:val="0"/>
          <w:numId w:val="203"/>
        </w:numPr>
        <w:spacing w:after="0" w:line="360" w:lineRule="auto"/>
        <w:jc w:val="both"/>
        <w:rPr>
          <w:rFonts w:eastAsia="Times New Roman" w:cs="Arial"/>
          <w:lang w:eastAsia="cs-CZ"/>
        </w:rPr>
      </w:pPr>
      <w:r w:rsidRPr="00E45FEB">
        <w:rPr>
          <w:rFonts w:eastAsia="Times New Roman" w:cs="Arial"/>
          <w:lang w:eastAsia="cs-CZ"/>
        </w:rPr>
        <w:t>dálkový průzkum a monitoring půdy a rostlin,</w:t>
      </w:r>
    </w:p>
    <w:p w14:paraId="37DC2370" w14:textId="53D83A28" w:rsidR="00120A77" w:rsidRPr="00E45FEB" w:rsidRDefault="00120A77" w:rsidP="00543C1B">
      <w:pPr>
        <w:pStyle w:val="Odstavecseseznamem"/>
        <w:numPr>
          <w:ilvl w:val="0"/>
          <w:numId w:val="203"/>
        </w:numPr>
        <w:spacing w:after="0" w:line="360" w:lineRule="auto"/>
        <w:jc w:val="both"/>
        <w:rPr>
          <w:rFonts w:eastAsia="Times New Roman" w:cs="Arial"/>
          <w:lang w:eastAsia="cs-CZ"/>
        </w:rPr>
      </w:pPr>
      <w:r w:rsidRPr="00E45FEB">
        <w:rPr>
          <w:rFonts w:eastAsia="Times New Roman" w:cs="Arial"/>
          <w:lang w:eastAsia="cs-CZ"/>
        </w:rPr>
        <w:t>rozvoj informačních technologií a expertních systémů efektivního využití strojů v zemědělské výrobě.</w:t>
      </w:r>
    </w:p>
    <w:p w14:paraId="1348576E" w14:textId="77777777" w:rsidR="00120A77" w:rsidRPr="00120A77" w:rsidRDefault="00120A77" w:rsidP="00543C1B">
      <w:pPr>
        <w:numPr>
          <w:ilvl w:val="0"/>
          <w:numId w:val="156"/>
        </w:numPr>
        <w:spacing w:after="0" w:line="360" w:lineRule="auto"/>
        <w:ind w:left="714" w:hanging="357"/>
        <w:contextualSpacing/>
        <w:jc w:val="both"/>
        <w:rPr>
          <w:rFonts w:eastAsia="Times New Roman" w:cs="Arial"/>
          <w:lang w:eastAsia="cs-CZ"/>
        </w:rPr>
      </w:pPr>
      <w:r w:rsidRPr="00120A77">
        <w:rPr>
          <w:rFonts w:eastAsia="Times New Roman" w:cs="Arial"/>
          <w:lang w:eastAsia="cs-CZ"/>
        </w:rPr>
        <w:t>Výzkum a vývoj bezpilotních systémů řízení mobilní zemědělské techniky,</w:t>
      </w:r>
    </w:p>
    <w:p w14:paraId="594EE556" w14:textId="77777777" w:rsidR="00120A77" w:rsidRPr="00120A77" w:rsidRDefault="00120A77" w:rsidP="00543C1B">
      <w:pPr>
        <w:numPr>
          <w:ilvl w:val="0"/>
          <w:numId w:val="156"/>
        </w:numPr>
        <w:spacing w:after="0" w:line="360" w:lineRule="auto"/>
        <w:ind w:left="714" w:hanging="357"/>
        <w:contextualSpacing/>
        <w:jc w:val="both"/>
        <w:rPr>
          <w:rFonts w:eastAsia="Times New Roman" w:cs="Arial"/>
          <w:lang w:eastAsia="cs-CZ"/>
        </w:rPr>
      </w:pPr>
      <w:r w:rsidRPr="00120A77">
        <w:rPr>
          <w:rFonts w:eastAsia="Times New Roman" w:cs="Arial"/>
          <w:lang w:eastAsia="cs-CZ"/>
        </w:rPr>
        <w:t>Dálkový průzkum a monitoring půdy a rostlin,</w:t>
      </w:r>
    </w:p>
    <w:p w14:paraId="42C0EDEE" w14:textId="77777777" w:rsidR="00120A77" w:rsidRPr="00120A77" w:rsidRDefault="00120A77" w:rsidP="00397585">
      <w:pPr>
        <w:pStyle w:val="Obsah3"/>
        <w:numPr>
          <w:ilvl w:val="0"/>
          <w:numId w:val="201"/>
        </w:numPr>
        <w:rPr>
          <w:strike/>
        </w:rPr>
      </w:pPr>
      <w:r w:rsidRPr="00120A77">
        <w:t>Rozvoj biometriky a bioekonomie s využitím přírodních zdrojů,</w:t>
      </w:r>
    </w:p>
    <w:p w14:paraId="7E74AD8E" w14:textId="77777777" w:rsidR="00120A77" w:rsidRPr="00120A77" w:rsidRDefault="00120A77" w:rsidP="00543C1B">
      <w:pPr>
        <w:pStyle w:val="Odstavecseseznamem"/>
        <w:numPr>
          <w:ilvl w:val="0"/>
          <w:numId w:val="198"/>
        </w:numPr>
        <w:spacing w:after="200" w:line="360" w:lineRule="auto"/>
        <w:ind w:left="714" w:hanging="357"/>
        <w:jc w:val="both"/>
        <w:rPr>
          <w:lang w:eastAsia="cs-CZ"/>
        </w:rPr>
      </w:pPr>
      <w:r w:rsidRPr="00120A77">
        <w:rPr>
          <w:rFonts w:cs="Arial"/>
        </w:rPr>
        <w:t>Využití moderních biotechnologií v ochraně životního prostředí.</w:t>
      </w:r>
    </w:p>
    <w:p w14:paraId="5D332894" w14:textId="77777777" w:rsidR="00120A77" w:rsidRPr="00120A77" w:rsidRDefault="00120A77" w:rsidP="00120A77">
      <w:pPr>
        <w:jc w:val="both"/>
        <w:rPr>
          <w:rFonts w:cs="Arial"/>
          <w:b/>
        </w:rPr>
      </w:pPr>
      <w:r w:rsidRPr="00120A77">
        <w:rPr>
          <w:rFonts w:cs="Arial"/>
        </w:rPr>
        <w:t>Pozn.: podrobné informace k jednotlivým tématům jsou uvedeny v Koncepci výzkumu, vývoje a inovací Ministerstva zemědělství na léta 2016 – 2022, která je zveřejněna</w:t>
      </w:r>
      <w:r w:rsidRPr="00120A77">
        <w:rPr>
          <w:rFonts w:cs="Arial"/>
          <w:b/>
        </w:rPr>
        <w:t xml:space="preserve"> </w:t>
      </w:r>
      <w:r w:rsidRPr="00120A77">
        <w:rPr>
          <w:rFonts w:cs="Arial"/>
        </w:rPr>
        <w:t xml:space="preserve">na internetových stránkách MZe: </w:t>
      </w:r>
      <w:hyperlink r:id="rId47" w:history="1">
        <w:r w:rsidRPr="00120A77">
          <w:rPr>
            <w:rStyle w:val="Hypertextovodkaz"/>
            <w:rFonts w:cs="Arial"/>
            <w:color w:val="auto"/>
          </w:rPr>
          <w:t>http://portal.mze.cz/public/web/mze/poradenstvi-a-vyzkum/vyzkum-a-vyvoj/koncepce-a-strategie/koncepce-vyzkumu-vyvoje-a-inovaci.html</w:t>
        </w:r>
      </w:hyperlink>
    </w:p>
    <w:p w14:paraId="593A0470" w14:textId="47C87883" w:rsidR="00F83FB6" w:rsidRPr="0048072F" w:rsidRDefault="00F83FB6" w:rsidP="00543C1B">
      <w:pPr>
        <w:pStyle w:val="Odstavecseseznamem"/>
        <w:numPr>
          <w:ilvl w:val="0"/>
          <w:numId w:val="197"/>
        </w:numPr>
        <w:spacing w:line="360" w:lineRule="auto"/>
        <w:rPr>
          <w:u w:val="single"/>
        </w:rPr>
      </w:pPr>
      <w:r w:rsidRPr="0048072F">
        <w:rPr>
          <w:u w:val="single"/>
        </w:rPr>
        <w:t>Indikativní vztah ke klasifikaci CZ NACE</w:t>
      </w:r>
    </w:p>
    <w:p w14:paraId="19639E1C" w14:textId="24E7A265" w:rsidR="0048072F" w:rsidRPr="0048072F" w:rsidRDefault="0048072F" w:rsidP="0048072F">
      <w:pPr>
        <w:pStyle w:val="Bezmezer1"/>
        <w:spacing w:before="40" w:after="40" w:line="360" w:lineRule="auto"/>
        <w:ind w:left="360"/>
        <w:rPr>
          <w:rFonts w:asciiTheme="minorHAnsi" w:hAnsiTheme="minorHAnsi" w:cs="Arial"/>
          <w:b/>
          <w:lang w:eastAsia="cs-CZ"/>
        </w:rPr>
      </w:pPr>
      <w:r w:rsidRPr="0048072F">
        <w:rPr>
          <w:rFonts w:asciiTheme="minorHAnsi" w:hAnsiTheme="minorHAnsi" w:cs="Arial"/>
          <w:b/>
          <w:lang w:eastAsia="cs-CZ"/>
        </w:rPr>
        <w:t>Hlavní relevantní CZ</w:t>
      </w:r>
      <w:r w:rsidR="00246127">
        <w:rPr>
          <w:rFonts w:asciiTheme="minorHAnsi" w:hAnsiTheme="minorHAnsi" w:cs="Arial"/>
          <w:b/>
          <w:lang w:eastAsia="cs-CZ"/>
        </w:rPr>
        <w:t xml:space="preserve"> </w:t>
      </w:r>
      <w:r w:rsidRPr="0048072F">
        <w:rPr>
          <w:rFonts w:asciiTheme="minorHAnsi" w:hAnsiTheme="minorHAnsi" w:cs="Arial"/>
          <w:b/>
          <w:lang w:eastAsia="cs-CZ"/>
        </w:rPr>
        <w:t>NACE</w:t>
      </w:r>
    </w:p>
    <w:p w14:paraId="1DB54B34" w14:textId="48E7D55B" w:rsidR="0048072F" w:rsidRPr="0048072F" w:rsidRDefault="0048072F" w:rsidP="0048072F">
      <w:pPr>
        <w:pStyle w:val="Bezmezer1"/>
        <w:spacing w:before="40" w:after="40" w:line="360" w:lineRule="auto"/>
        <w:ind w:left="1068" w:firstLine="348"/>
        <w:rPr>
          <w:rFonts w:asciiTheme="minorHAnsi" w:hAnsiTheme="minorHAnsi" w:cs="Arial"/>
          <w:lang w:eastAsia="cs-CZ"/>
        </w:rPr>
      </w:pPr>
      <w:r w:rsidRPr="0048072F">
        <w:rPr>
          <w:rFonts w:asciiTheme="minorHAnsi" w:hAnsiTheme="minorHAnsi" w:cs="Arial"/>
          <w:lang w:eastAsia="cs-CZ"/>
        </w:rPr>
        <w:t xml:space="preserve">01.6 </w:t>
      </w:r>
      <w:r>
        <w:rPr>
          <w:rFonts w:asciiTheme="minorHAnsi" w:hAnsiTheme="minorHAnsi" w:cs="Arial"/>
          <w:lang w:eastAsia="cs-CZ"/>
        </w:rPr>
        <w:tab/>
      </w:r>
      <w:r w:rsidRPr="0048072F">
        <w:rPr>
          <w:rFonts w:asciiTheme="minorHAnsi" w:hAnsiTheme="minorHAnsi" w:cs="Arial"/>
          <w:lang w:eastAsia="cs-CZ"/>
        </w:rPr>
        <w:t>Podpůrné činnosti pro zemědělství a posklizňové činnosti</w:t>
      </w:r>
    </w:p>
    <w:p w14:paraId="4F12C8C1" w14:textId="00F0D49C" w:rsidR="0048072F" w:rsidRPr="0048072F" w:rsidRDefault="0048072F" w:rsidP="00B86E5C">
      <w:pPr>
        <w:pStyle w:val="Bezmezer1"/>
        <w:spacing w:before="40" w:after="40" w:line="360" w:lineRule="auto"/>
        <w:ind w:left="2124" w:hanging="708"/>
        <w:rPr>
          <w:rFonts w:asciiTheme="minorHAnsi" w:hAnsiTheme="minorHAnsi" w:cs="Arial"/>
          <w:lang w:eastAsia="cs-CZ"/>
        </w:rPr>
      </w:pPr>
      <w:r w:rsidRPr="0048072F">
        <w:rPr>
          <w:rFonts w:asciiTheme="minorHAnsi" w:hAnsiTheme="minorHAnsi" w:cs="Arial"/>
          <w:lang w:eastAsia="cs-CZ"/>
        </w:rPr>
        <w:t xml:space="preserve">02.1 </w:t>
      </w:r>
      <w:r>
        <w:rPr>
          <w:rFonts w:asciiTheme="minorHAnsi" w:hAnsiTheme="minorHAnsi" w:cs="Arial"/>
          <w:lang w:eastAsia="cs-CZ"/>
        </w:rPr>
        <w:tab/>
      </w:r>
      <w:r w:rsidRPr="0048072F">
        <w:rPr>
          <w:rFonts w:asciiTheme="minorHAnsi" w:hAnsiTheme="minorHAnsi" w:cs="Arial"/>
          <w:lang w:eastAsia="cs-CZ"/>
        </w:rPr>
        <w:t>Lesní hospodářství a jiné činnosti v oblasti lesnictví28.3 Výroba zemědělských a lesnických strojů</w:t>
      </w:r>
    </w:p>
    <w:p w14:paraId="1EAC7D2A" w14:textId="32192244" w:rsidR="0048072F" w:rsidRPr="0048072F" w:rsidRDefault="0048072F" w:rsidP="0048072F">
      <w:pPr>
        <w:pStyle w:val="Bezmezer1"/>
        <w:spacing w:before="40" w:after="40" w:line="360" w:lineRule="auto"/>
        <w:ind w:left="1068" w:firstLine="348"/>
        <w:rPr>
          <w:rFonts w:asciiTheme="minorHAnsi" w:hAnsiTheme="minorHAnsi" w:cs="Arial"/>
          <w:lang w:eastAsia="cs-CZ"/>
        </w:rPr>
      </w:pPr>
      <w:r w:rsidRPr="0048072F">
        <w:rPr>
          <w:rFonts w:asciiTheme="minorHAnsi" w:hAnsiTheme="minorHAnsi" w:cs="Arial"/>
          <w:lang w:eastAsia="cs-CZ"/>
        </w:rPr>
        <w:t xml:space="preserve">36.0 </w:t>
      </w:r>
      <w:r>
        <w:rPr>
          <w:rFonts w:asciiTheme="minorHAnsi" w:hAnsiTheme="minorHAnsi" w:cs="Arial"/>
          <w:lang w:eastAsia="cs-CZ"/>
        </w:rPr>
        <w:tab/>
      </w:r>
      <w:r w:rsidRPr="0048072F">
        <w:rPr>
          <w:rFonts w:asciiTheme="minorHAnsi" w:hAnsiTheme="minorHAnsi" w:cs="Arial"/>
          <w:lang w:eastAsia="cs-CZ"/>
        </w:rPr>
        <w:t xml:space="preserve">Shromažďování, úprava a rozvod vody </w:t>
      </w:r>
    </w:p>
    <w:p w14:paraId="5A4A810F" w14:textId="09444A06" w:rsidR="0048072F" w:rsidRPr="0048072F" w:rsidRDefault="0048072F" w:rsidP="0048072F">
      <w:pPr>
        <w:pStyle w:val="Bezmezer1"/>
        <w:spacing w:before="40" w:after="40" w:line="360" w:lineRule="auto"/>
        <w:ind w:left="1428" w:firstLine="696"/>
        <w:rPr>
          <w:rFonts w:asciiTheme="minorHAnsi" w:hAnsiTheme="minorHAnsi" w:cs="Arial"/>
          <w:lang w:eastAsia="cs-CZ"/>
        </w:rPr>
      </w:pPr>
      <w:r w:rsidRPr="0048072F">
        <w:rPr>
          <w:rFonts w:asciiTheme="minorHAnsi" w:hAnsiTheme="minorHAnsi" w:cs="Arial"/>
          <w:lang w:eastAsia="cs-CZ"/>
        </w:rPr>
        <w:t xml:space="preserve">37.00 </w:t>
      </w:r>
      <w:r>
        <w:rPr>
          <w:rFonts w:asciiTheme="minorHAnsi" w:hAnsiTheme="minorHAnsi" w:cs="Arial"/>
          <w:lang w:eastAsia="cs-CZ"/>
        </w:rPr>
        <w:tab/>
      </w:r>
      <w:r w:rsidRPr="0048072F">
        <w:rPr>
          <w:rFonts w:asciiTheme="minorHAnsi" w:hAnsiTheme="minorHAnsi" w:cs="Arial"/>
          <w:lang w:eastAsia="cs-CZ"/>
        </w:rPr>
        <w:t>Činnosti související s odpadními vodami</w:t>
      </w:r>
    </w:p>
    <w:p w14:paraId="7745FD41" w14:textId="1BD87374" w:rsidR="0048072F" w:rsidRPr="0048072F" w:rsidRDefault="0048072F" w:rsidP="0048072F">
      <w:pPr>
        <w:pStyle w:val="Bezmezer1"/>
        <w:spacing w:before="40" w:after="40" w:line="360" w:lineRule="auto"/>
        <w:ind w:left="1776" w:firstLine="348"/>
        <w:rPr>
          <w:rFonts w:asciiTheme="minorHAnsi" w:hAnsiTheme="minorHAnsi" w:cs="Arial"/>
          <w:lang w:eastAsia="cs-CZ"/>
        </w:rPr>
      </w:pPr>
      <w:r w:rsidRPr="0048072F">
        <w:rPr>
          <w:rFonts w:asciiTheme="minorHAnsi" w:hAnsiTheme="minorHAnsi" w:cs="Arial"/>
          <w:lang w:eastAsia="cs-CZ"/>
        </w:rPr>
        <w:t xml:space="preserve">72.11 </w:t>
      </w:r>
      <w:r>
        <w:rPr>
          <w:rFonts w:asciiTheme="minorHAnsi" w:hAnsiTheme="minorHAnsi" w:cs="Arial"/>
          <w:lang w:eastAsia="cs-CZ"/>
        </w:rPr>
        <w:tab/>
      </w:r>
      <w:r w:rsidRPr="0048072F">
        <w:rPr>
          <w:rFonts w:asciiTheme="minorHAnsi" w:hAnsiTheme="minorHAnsi" w:cs="Arial"/>
          <w:lang w:eastAsia="cs-CZ"/>
        </w:rPr>
        <w:t>Výzkum a vývoj v oblasti biotechnologie</w:t>
      </w:r>
    </w:p>
    <w:p w14:paraId="53119A87" w14:textId="59D1EBDD" w:rsidR="0048072F" w:rsidRPr="0048072F" w:rsidRDefault="0048072F" w:rsidP="0048072F">
      <w:pPr>
        <w:pStyle w:val="Bezmezer1"/>
        <w:spacing w:before="40" w:after="40" w:line="360" w:lineRule="auto"/>
        <w:ind w:left="1428" w:firstLine="696"/>
        <w:rPr>
          <w:rFonts w:asciiTheme="minorHAnsi" w:hAnsiTheme="minorHAnsi" w:cs="Arial"/>
          <w:lang w:eastAsia="cs-CZ"/>
        </w:rPr>
      </w:pPr>
      <w:r w:rsidRPr="0048072F">
        <w:rPr>
          <w:rFonts w:asciiTheme="minorHAnsi" w:hAnsiTheme="minorHAnsi" w:cs="Arial"/>
          <w:lang w:eastAsia="cs-CZ"/>
        </w:rPr>
        <w:t xml:space="preserve">72.19 </w:t>
      </w:r>
      <w:r>
        <w:rPr>
          <w:rFonts w:asciiTheme="minorHAnsi" w:hAnsiTheme="minorHAnsi" w:cs="Arial"/>
          <w:lang w:eastAsia="cs-CZ"/>
        </w:rPr>
        <w:tab/>
      </w:r>
      <w:r w:rsidRPr="0048072F">
        <w:rPr>
          <w:rFonts w:asciiTheme="minorHAnsi" w:hAnsiTheme="minorHAnsi" w:cs="Arial"/>
          <w:lang w:eastAsia="cs-CZ"/>
        </w:rPr>
        <w:t>Ostatní výzkum a vývoj v oblasti přírodních a technických věd</w:t>
      </w:r>
    </w:p>
    <w:p w14:paraId="656206E1" w14:textId="77777777" w:rsidR="0048072F" w:rsidRPr="0048072F" w:rsidRDefault="0048072F" w:rsidP="0048072F">
      <w:pPr>
        <w:pStyle w:val="Bezmezer1"/>
        <w:spacing w:before="40" w:after="40" w:line="360" w:lineRule="auto"/>
        <w:ind w:left="360"/>
        <w:rPr>
          <w:rFonts w:asciiTheme="minorHAnsi" w:hAnsiTheme="minorHAnsi" w:cs="Arial"/>
          <w:sz w:val="12"/>
          <w:szCs w:val="12"/>
          <w:lang w:eastAsia="cs-CZ"/>
        </w:rPr>
      </w:pPr>
    </w:p>
    <w:p w14:paraId="7CAEDDC5" w14:textId="61701A50" w:rsidR="0048072F" w:rsidRPr="0048072F" w:rsidRDefault="0048072F" w:rsidP="0048072F">
      <w:pPr>
        <w:pStyle w:val="Bezmezer1"/>
        <w:spacing w:before="40" w:after="40" w:line="360" w:lineRule="auto"/>
        <w:ind w:left="360"/>
        <w:rPr>
          <w:rFonts w:asciiTheme="minorHAnsi" w:hAnsiTheme="minorHAnsi" w:cs="Arial"/>
          <w:b/>
          <w:lang w:eastAsia="cs-CZ"/>
        </w:rPr>
      </w:pPr>
      <w:r w:rsidRPr="0048072F">
        <w:rPr>
          <w:rFonts w:asciiTheme="minorHAnsi" w:hAnsiTheme="minorHAnsi" w:cs="Arial"/>
          <w:b/>
          <w:lang w:eastAsia="cs-CZ"/>
        </w:rPr>
        <w:t>Návazné CZ NACE, funkční vazby</w:t>
      </w:r>
    </w:p>
    <w:p w14:paraId="5B7ECE51" w14:textId="655260C0" w:rsidR="0048072F" w:rsidRPr="0048072F" w:rsidRDefault="0048072F" w:rsidP="0048072F">
      <w:pPr>
        <w:pStyle w:val="Bezmezer1"/>
        <w:spacing w:before="40" w:after="40" w:line="360" w:lineRule="auto"/>
        <w:ind w:left="1776" w:firstLine="348"/>
        <w:rPr>
          <w:rFonts w:asciiTheme="minorHAnsi" w:hAnsiTheme="minorHAnsi" w:cs="Arial"/>
          <w:lang w:eastAsia="cs-CZ"/>
        </w:rPr>
      </w:pPr>
      <w:r w:rsidRPr="0048072F">
        <w:rPr>
          <w:rFonts w:asciiTheme="minorHAnsi" w:hAnsiTheme="minorHAnsi" w:cs="Arial"/>
          <w:lang w:eastAsia="cs-CZ"/>
        </w:rPr>
        <w:t xml:space="preserve">28.93 </w:t>
      </w:r>
      <w:r>
        <w:rPr>
          <w:rFonts w:asciiTheme="minorHAnsi" w:hAnsiTheme="minorHAnsi" w:cs="Arial"/>
          <w:lang w:eastAsia="cs-CZ"/>
        </w:rPr>
        <w:tab/>
      </w:r>
      <w:r w:rsidRPr="0048072F">
        <w:rPr>
          <w:rFonts w:asciiTheme="minorHAnsi" w:hAnsiTheme="minorHAnsi" w:cs="Arial"/>
          <w:lang w:eastAsia="cs-CZ"/>
        </w:rPr>
        <w:t>Výroba strojů na výrobu potravin, nápojů a zpracování tabáku</w:t>
      </w:r>
    </w:p>
    <w:p w14:paraId="2ABDEE17" w14:textId="245697A5" w:rsidR="0048072F" w:rsidRPr="0048072F" w:rsidRDefault="0048072F" w:rsidP="0048072F">
      <w:pPr>
        <w:pStyle w:val="Bezmezer1"/>
        <w:spacing w:before="40" w:after="40" w:line="360" w:lineRule="auto"/>
        <w:ind w:left="1428" w:firstLine="696"/>
        <w:rPr>
          <w:rFonts w:asciiTheme="minorHAnsi" w:hAnsiTheme="minorHAnsi" w:cs="Arial"/>
          <w:lang w:eastAsia="cs-CZ"/>
        </w:rPr>
      </w:pPr>
      <w:r w:rsidRPr="0048072F">
        <w:rPr>
          <w:rFonts w:asciiTheme="minorHAnsi" w:hAnsiTheme="minorHAnsi" w:cs="Arial"/>
          <w:lang w:eastAsia="cs-CZ"/>
        </w:rPr>
        <w:t xml:space="preserve">35.21 </w:t>
      </w:r>
      <w:r>
        <w:rPr>
          <w:rFonts w:asciiTheme="minorHAnsi" w:hAnsiTheme="minorHAnsi" w:cs="Arial"/>
          <w:lang w:eastAsia="cs-CZ"/>
        </w:rPr>
        <w:tab/>
      </w:r>
      <w:r w:rsidRPr="0048072F">
        <w:rPr>
          <w:rFonts w:asciiTheme="minorHAnsi" w:hAnsiTheme="minorHAnsi" w:cs="Arial"/>
          <w:lang w:eastAsia="cs-CZ"/>
        </w:rPr>
        <w:t>Výroba plynu</w:t>
      </w:r>
    </w:p>
    <w:p w14:paraId="5363BB13" w14:textId="29044C04" w:rsidR="0048072F" w:rsidRPr="0048072F" w:rsidRDefault="0048072F" w:rsidP="0048072F">
      <w:pPr>
        <w:pStyle w:val="Bezmezer1"/>
        <w:spacing w:before="40" w:after="40" w:line="360" w:lineRule="auto"/>
        <w:ind w:left="1776" w:firstLine="348"/>
        <w:rPr>
          <w:rFonts w:asciiTheme="minorHAnsi" w:hAnsiTheme="minorHAnsi" w:cs="Arial"/>
          <w:lang w:eastAsia="cs-CZ"/>
        </w:rPr>
      </w:pPr>
      <w:r w:rsidRPr="0048072F">
        <w:rPr>
          <w:rFonts w:asciiTheme="minorHAnsi" w:hAnsiTheme="minorHAnsi" w:cs="Arial"/>
          <w:lang w:eastAsia="cs-CZ"/>
        </w:rPr>
        <w:t xml:space="preserve">35.30 </w:t>
      </w:r>
      <w:r>
        <w:rPr>
          <w:rFonts w:asciiTheme="minorHAnsi" w:hAnsiTheme="minorHAnsi" w:cs="Arial"/>
          <w:lang w:eastAsia="cs-CZ"/>
        </w:rPr>
        <w:tab/>
      </w:r>
      <w:r w:rsidRPr="0048072F">
        <w:rPr>
          <w:rFonts w:asciiTheme="minorHAnsi" w:hAnsiTheme="minorHAnsi" w:cs="Arial"/>
          <w:lang w:eastAsia="cs-CZ"/>
        </w:rPr>
        <w:t>Výroba a rozvod tepla a klimatizovaného vzduchu, výroba ledu</w:t>
      </w:r>
    </w:p>
    <w:p w14:paraId="340CB61F" w14:textId="24E4FC56" w:rsidR="0048072F" w:rsidRPr="0048072F" w:rsidRDefault="0048072F" w:rsidP="0048072F">
      <w:pPr>
        <w:pStyle w:val="Bezmezer1"/>
        <w:spacing w:before="40" w:after="40" w:line="360" w:lineRule="auto"/>
        <w:ind w:left="1428" w:firstLine="696"/>
        <w:rPr>
          <w:rFonts w:asciiTheme="minorHAnsi" w:hAnsiTheme="minorHAnsi" w:cs="Arial"/>
          <w:lang w:eastAsia="cs-CZ"/>
        </w:rPr>
      </w:pPr>
      <w:r w:rsidRPr="0048072F">
        <w:rPr>
          <w:rFonts w:asciiTheme="minorHAnsi" w:hAnsiTheme="minorHAnsi" w:cs="Arial"/>
          <w:lang w:eastAsia="cs-CZ"/>
        </w:rPr>
        <w:t xml:space="preserve">38.11 </w:t>
      </w:r>
      <w:r>
        <w:rPr>
          <w:rFonts w:asciiTheme="minorHAnsi" w:hAnsiTheme="minorHAnsi" w:cs="Arial"/>
          <w:lang w:eastAsia="cs-CZ"/>
        </w:rPr>
        <w:tab/>
      </w:r>
      <w:r w:rsidRPr="0048072F">
        <w:rPr>
          <w:rFonts w:asciiTheme="minorHAnsi" w:hAnsiTheme="minorHAnsi" w:cs="Arial"/>
          <w:lang w:eastAsia="cs-CZ"/>
        </w:rPr>
        <w:t>Shromažďování a sběr odpadů, kromě nebezpečných</w:t>
      </w:r>
    </w:p>
    <w:p w14:paraId="66B3A484" w14:textId="7FB142A2" w:rsidR="0048072F" w:rsidRPr="0048072F" w:rsidRDefault="0048072F" w:rsidP="0048072F">
      <w:pPr>
        <w:pStyle w:val="Bezmezer1"/>
        <w:spacing w:before="40" w:after="40" w:line="360" w:lineRule="auto"/>
        <w:ind w:left="1776" w:firstLine="348"/>
        <w:rPr>
          <w:rFonts w:asciiTheme="minorHAnsi" w:hAnsiTheme="minorHAnsi" w:cs="Arial"/>
          <w:lang w:eastAsia="cs-CZ"/>
        </w:rPr>
      </w:pPr>
      <w:r w:rsidRPr="0048072F">
        <w:rPr>
          <w:rFonts w:asciiTheme="minorHAnsi" w:hAnsiTheme="minorHAnsi" w:cs="Arial"/>
          <w:lang w:eastAsia="cs-CZ"/>
        </w:rPr>
        <w:t xml:space="preserve">38.21 </w:t>
      </w:r>
      <w:r>
        <w:rPr>
          <w:rFonts w:asciiTheme="minorHAnsi" w:hAnsiTheme="minorHAnsi" w:cs="Arial"/>
          <w:lang w:eastAsia="cs-CZ"/>
        </w:rPr>
        <w:tab/>
      </w:r>
      <w:r w:rsidRPr="0048072F">
        <w:rPr>
          <w:rFonts w:asciiTheme="minorHAnsi" w:hAnsiTheme="minorHAnsi" w:cs="Arial"/>
          <w:lang w:eastAsia="cs-CZ"/>
        </w:rPr>
        <w:t>Odstraňování odpadů, kromě nebezpečných</w:t>
      </w:r>
    </w:p>
    <w:p w14:paraId="14BB5351" w14:textId="4E56476C" w:rsidR="0048072F" w:rsidRPr="0048072F" w:rsidRDefault="0048072F" w:rsidP="0048072F">
      <w:pPr>
        <w:pStyle w:val="Bezmezer1"/>
        <w:spacing w:before="40" w:after="40" w:line="360" w:lineRule="auto"/>
        <w:ind w:left="1068" w:firstLine="348"/>
        <w:rPr>
          <w:rFonts w:asciiTheme="minorHAnsi" w:hAnsiTheme="minorHAnsi" w:cs="Arial"/>
          <w:lang w:eastAsia="cs-CZ"/>
        </w:rPr>
      </w:pPr>
      <w:r w:rsidRPr="0048072F">
        <w:rPr>
          <w:rFonts w:asciiTheme="minorHAnsi" w:hAnsiTheme="minorHAnsi" w:cs="Arial"/>
          <w:lang w:eastAsia="cs-CZ"/>
        </w:rPr>
        <w:t xml:space="preserve">38.3 </w:t>
      </w:r>
      <w:r>
        <w:rPr>
          <w:rFonts w:asciiTheme="minorHAnsi" w:hAnsiTheme="minorHAnsi" w:cs="Arial"/>
          <w:lang w:eastAsia="cs-CZ"/>
        </w:rPr>
        <w:tab/>
      </w:r>
      <w:r w:rsidRPr="0048072F">
        <w:rPr>
          <w:rFonts w:asciiTheme="minorHAnsi" w:hAnsiTheme="minorHAnsi" w:cs="Arial"/>
          <w:lang w:eastAsia="cs-CZ"/>
        </w:rPr>
        <w:t>Úprava odpadů k dalšímu využití</w:t>
      </w:r>
    </w:p>
    <w:p w14:paraId="51BDC62C" w14:textId="5EFEDCC3" w:rsidR="0048072F" w:rsidRDefault="0048072F" w:rsidP="0048072F">
      <w:pPr>
        <w:spacing w:line="360" w:lineRule="auto"/>
        <w:ind w:left="720" w:firstLine="696"/>
        <w:rPr>
          <w:rFonts w:cs="Arial"/>
          <w:lang w:eastAsia="cs-CZ"/>
        </w:rPr>
      </w:pPr>
      <w:r w:rsidRPr="0048072F">
        <w:rPr>
          <w:rFonts w:cs="Arial"/>
          <w:lang w:eastAsia="cs-CZ"/>
        </w:rPr>
        <w:t xml:space="preserve">52.1 </w:t>
      </w:r>
      <w:r>
        <w:rPr>
          <w:rFonts w:cs="Arial"/>
          <w:lang w:eastAsia="cs-CZ"/>
        </w:rPr>
        <w:tab/>
      </w:r>
      <w:r w:rsidRPr="0048072F">
        <w:rPr>
          <w:rFonts w:cs="Arial"/>
          <w:lang w:eastAsia="cs-CZ"/>
        </w:rPr>
        <w:t>Skladování</w:t>
      </w:r>
    </w:p>
    <w:p w14:paraId="00287318" w14:textId="01E6494B" w:rsidR="009F02E7" w:rsidRDefault="009F02E7">
      <w:pPr>
        <w:spacing w:after="200" w:line="276" w:lineRule="auto"/>
        <w:rPr>
          <w:rFonts w:cs="Arial"/>
          <w:lang w:eastAsia="cs-CZ"/>
        </w:rPr>
      </w:pPr>
      <w:r>
        <w:rPr>
          <w:rFonts w:cs="Arial"/>
          <w:lang w:eastAsia="cs-CZ"/>
        </w:rPr>
        <w:br w:type="page"/>
      </w:r>
    </w:p>
    <w:p w14:paraId="2AD3FEF7" w14:textId="3C3936FC" w:rsidR="00BF6A94" w:rsidRDefault="00BF6A94" w:rsidP="005C5745">
      <w:pPr>
        <w:pStyle w:val="Nadpis4"/>
        <w:spacing w:line="360" w:lineRule="auto"/>
      </w:pPr>
      <w:bookmarkStart w:id="270" w:name="_Toc525716294"/>
      <w:r>
        <w:t>Udržitelné zemědělství a lesnictví</w:t>
      </w:r>
      <w:bookmarkEnd w:id="270"/>
    </w:p>
    <w:p w14:paraId="0CD11E9D" w14:textId="7D21BE76" w:rsidR="005C5745" w:rsidRPr="00FB0D59" w:rsidRDefault="005C5745" w:rsidP="00543C1B">
      <w:pPr>
        <w:pStyle w:val="Odstavecseseznamem"/>
        <w:numPr>
          <w:ilvl w:val="0"/>
          <w:numId w:val="204"/>
        </w:numPr>
        <w:spacing w:line="360" w:lineRule="auto"/>
        <w:rPr>
          <w:u w:val="single"/>
        </w:rPr>
      </w:pPr>
      <w:r w:rsidRPr="00FB0D59">
        <w:rPr>
          <w:u w:val="single"/>
        </w:rPr>
        <w:t>Témata VaVaI identifikovaná prostřednictvím EDP:</w:t>
      </w:r>
    </w:p>
    <w:p w14:paraId="7FA7382E"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Genetická diverzita, šlechtění rostlin a tvorba odrůd</w:t>
      </w:r>
    </w:p>
    <w:p w14:paraId="4D232A2E"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Rostlinolékařství, ochrana rostlin včetně ochrany skladovaných produktů</w:t>
      </w:r>
    </w:p>
    <w:p w14:paraId="59160F16"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cs="Arial"/>
        </w:rPr>
        <w:t xml:space="preserve">Dostatečná, kvalitní a bezpečná rostlinná produkce </w:t>
      </w:r>
    </w:p>
    <w:p w14:paraId="3E4D99CE"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 xml:space="preserve">Nepotravinářská produkce </w:t>
      </w:r>
    </w:p>
    <w:p w14:paraId="4212535F" w14:textId="77777777" w:rsidR="00FB0D59" w:rsidRPr="00FB0D59" w:rsidRDefault="00FB0D59" w:rsidP="00543C1B">
      <w:pPr>
        <w:numPr>
          <w:ilvl w:val="0"/>
          <w:numId w:val="205"/>
        </w:numPr>
        <w:spacing w:after="0" w:line="360" w:lineRule="auto"/>
        <w:contextualSpacing/>
        <w:jc w:val="both"/>
        <w:rPr>
          <w:rFonts w:eastAsia="Times New Roman" w:cs="Arial"/>
          <w:webHidden/>
        </w:rPr>
      </w:pPr>
      <w:r w:rsidRPr="00FB0D59">
        <w:rPr>
          <w:rFonts w:eastAsia="Times New Roman" w:cs="Arial"/>
        </w:rPr>
        <w:t>Udržitelná produkce zdravotně nezávadných a kvalitních potravin a krmiv rostlinného původu</w:t>
      </w:r>
      <w:r w:rsidRPr="00FB0D59">
        <w:rPr>
          <w:rFonts w:eastAsia="Times New Roman" w:cs="Arial"/>
          <w:webHidden/>
        </w:rPr>
        <w:tab/>
      </w:r>
    </w:p>
    <w:p w14:paraId="54152DB1"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Adaptace rostlinné produkce na dopady změny klimatu a relevantní opatření ke zmírňování změny klimatu</w:t>
      </w:r>
    </w:p>
    <w:p w14:paraId="4B86B265"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Genetika a genomika, šlechtění výkonných typů hospodářských zvířat</w:t>
      </w:r>
    </w:p>
    <w:p w14:paraId="0976B765"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Reprodukce a reprodukční biotechnologie</w:t>
      </w:r>
    </w:p>
    <w:p w14:paraId="2A6643FB"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Technologie pro živočišnou výrobu, welfare a chovné systémy</w:t>
      </w:r>
    </w:p>
    <w:p w14:paraId="304AC70E"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 xml:space="preserve">Vývoj a zavádění nízkoemisních technologií </w:t>
      </w:r>
    </w:p>
    <w:p w14:paraId="3FC339E1"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Omezení celkové produkce emisí</w:t>
      </w:r>
    </w:p>
    <w:p w14:paraId="3F9045C1"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Optimalizace výživy a krmení zvířat</w:t>
      </w:r>
    </w:p>
    <w:p w14:paraId="1CD0CEDD"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Krmné zdroje, alternativní komponenty</w:t>
      </w:r>
    </w:p>
    <w:p w14:paraId="119CAE48"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 xml:space="preserve">Zdraví, odolnost vůči onemocnění, imunita, vysoká adaptabilita, imunoterapie, farmakologie, chemie a toxikologie </w:t>
      </w:r>
    </w:p>
    <w:p w14:paraId="42D6CA43"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Produkční a preventivní medicína</w:t>
      </w:r>
    </w:p>
    <w:p w14:paraId="451A3878"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Aktivní tvorba zdraví a produkce</w:t>
      </w:r>
    </w:p>
    <w:p w14:paraId="19F51C0D"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Kontrola antimikrobní rezistence, biosekurita</w:t>
      </w:r>
    </w:p>
    <w:p w14:paraId="6B41EAFF"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Lesní ekosystémy a adaptační opatření v souvislosti se změnou klimatu</w:t>
      </w:r>
      <w:r w:rsidRPr="00FB0D59">
        <w:rPr>
          <w:rFonts w:eastAsia="Times New Roman" w:cs="Arial"/>
          <w:webHidden/>
        </w:rPr>
        <w:tab/>
      </w:r>
    </w:p>
    <w:p w14:paraId="5AE13564"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Ekosystémové služby v lesním hospodářství</w:t>
      </w:r>
    </w:p>
    <w:p w14:paraId="0CCA27CE"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Zdravotní stav lesa</w:t>
      </w:r>
      <w:r w:rsidRPr="00FB0D59">
        <w:rPr>
          <w:rFonts w:eastAsia="Times New Roman" w:cs="Arial"/>
          <w:webHidden/>
        </w:rPr>
        <w:tab/>
      </w:r>
    </w:p>
    <w:p w14:paraId="4265C195" w14:textId="77777777" w:rsidR="00FB0D59" w:rsidRPr="00FB0D59" w:rsidRDefault="00FB0D59" w:rsidP="00543C1B">
      <w:pPr>
        <w:numPr>
          <w:ilvl w:val="0"/>
          <w:numId w:val="205"/>
        </w:numPr>
        <w:spacing w:after="0" w:line="360" w:lineRule="auto"/>
        <w:contextualSpacing/>
        <w:jc w:val="both"/>
        <w:rPr>
          <w:rFonts w:eastAsia="Times New Roman" w:cs="Arial"/>
          <w:webHidden/>
        </w:rPr>
      </w:pPr>
      <w:r w:rsidRPr="00FB0D59">
        <w:rPr>
          <w:rFonts w:eastAsia="Times New Roman" w:cs="Arial"/>
        </w:rPr>
        <w:t>Monitoring a inventarizace lesních ekosystémů</w:t>
      </w:r>
      <w:r w:rsidRPr="00FB0D59">
        <w:rPr>
          <w:rFonts w:eastAsia="Times New Roman" w:cs="Arial"/>
          <w:webHidden/>
        </w:rPr>
        <w:tab/>
      </w:r>
    </w:p>
    <w:p w14:paraId="54C0505D"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eastAsia="Times New Roman" w:cs="Arial"/>
        </w:rPr>
        <w:t>Zvěř a myslivost</w:t>
      </w:r>
    </w:p>
    <w:p w14:paraId="70D7D474" w14:textId="77777777" w:rsidR="00FB0D59" w:rsidRPr="00FB0D59" w:rsidRDefault="00FB0D59" w:rsidP="00543C1B">
      <w:pPr>
        <w:numPr>
          <w:ilvl w:val="0"/>
          <w:numId w:val="205"/>
        </w:numPr>
        <w:spacing w:after="0" w:line="360" w:lineRule="auto"/>
        <w:contextualSpacing/>
        <w:jc w:val="both"/>
        <w:rPr>
          <w:rFonts w:eastAsia="Times New Roman" w:cs="Arial"/>
        </w:rPr>
      </w:pPr>
      <w:r w:rsidRPr="00FB0D59">
        <w:rPr>
          <w:rFonts w:cs="Arial"/>
        </w:rPr>
        <w:t>Využití moderních biotechnologických metod v zemědělství a lesnictví (rostlinná i živočišná výroba) a lesnictví.</w:t>
      </w:r>
    </w:p>
    <w:p w14:paraId="22FE49B9" w14:textId="77777777" w:rsidR="00FB0D59" w:rsidRPr="00A35340" w:rsidRDefault="00FB0D59" w:rsidP="00FB0D59">
      <w:pPr>
        <w:spacing w:after="0" w:line="360" w:lineRule="auto"/>
        <w:ind w:left="720"/>
        <w:contextualSpacing/>
        <w:jc w:val="both"/>
        <w:rPr>
          <w:rFonts w:ascii="Arial" w:hAnsi="Arial" w:cs="Arial"/>
        </w:rPr>
      </w:pPr>
    </w:p>
    <w:p w14:paraId="105F011F" w14:textId="77777777" w:rsidR="00FB0D59" w:rsidRPr="00FB0D59" w:rsidRDefault="00FB0D59" w:rsidP="00FB0D59">
      <w:pPr>
        <w:spacing w:line="360" w:lineRule="auto"/>
        <w:jc w:val="both"/>
        <w:rPr>
          <w:rFonts w:cs="Arial"/>
          <w:b/>
        </w:rPr>
      </w:pPr>
      <w:r w:rsidRPr="00FB0D59">
        <w:rPr>
          <w:rFonts w:cs="Arial"/>
        </w:rPr>
        <w:t>Pozn.: podrobné informace k jednotlivým tématům jsou uvedeny v Koncepci výzkumu, vývoje a inovací Ministerstva zemědělství na léta 2016 – 2022, která je zveřejněna</w:t>
      </w:r>
      <w:r w:rsidRPr="00FB0D59">
        <w:rPr>
          <w:rFonts w:cs="Arial"/>
          <w:b/>
        </w:rPr>
        <w:t xml:space="preserve"> </w:t>
      </w:r>
      <w:r w:rsidRPr="00FB0D59">
        <w:rPr>
          <w:rFonts w:cs="Arial"/>
        </w:rPr>
        <w:t xml:space="preserve">na internetových stránkách MZe: </w:t>
      </w:r>
      <w:hyperlink r:id="rId48" w:history="1">
        <w:r w:rsidRPr="00FB0D59">
          <w:rPr>
            <w:rStyle w:val="Hypertextovodkaz"/>
            <w:rFonts w:cs="Arial"/>
            <w:color w:val="auto"/>
          </w:rPr>
          <w:t>http://portal.mze.cz/public/web/mze/poradenstvi-a-vyzkum/vyzkum-a-vyvoj/koncepce-a-strategie/koncepce-vyzkumu-vyvoje-a-inovaci.html</w:t>
        </w:r>
      </w:hyperlink>
    </w:p>
    <w:p w14:paraId="7A427A71" w14:textId="1294BD17" w:rsidR="005C5745" w:rsidRPr="00896BB7" w:rsidRDefault="005C5745" w:rsidP="00543C1B">
      <w:pPr>
        <w:pStyle w:val="Odstavecseseznamem"/>
        <w:numPr>
          <w:ilvl w:val="0"/>
          <w:numId w:val="204"/>
        </w:numPr>
        <w:spacing w:line="360" w:lineRule="auto"/>
        <w:rPr>
          <w:u w:val="single"/>
        </w:rPr>
      </w:pPr>
      <w:r w:rsidRPr="00896BB7">
        <w:rPr>
          <w:u w:val="single"/>
        </w:rPr>
        <w:t>Indikativní vztah ke klasifikaci CZ NACE</w:t>
      </w:r>
    </w:p>
    <w:p w14:paraId="37F770BC" w14:textId="008A645A" w:rsidR="00FB0D59" w:rsidRPr="00FB0D59" w:rsidRDefault="00FB0D59" w:rsidP="00FB0D59">
      <w:pPr>
        <w:pStyle w:val="Bezmezer1"/>
        <w:spacing w:before="40" w:after="40" w:line="360" w:lineRule="auto"/>
        <w:ind w:left="360"/>
        <w:rPr>
          <w:rFonts w:asciiTheme="minorHAnsi" w:hAnsiTheme="minorHAnsi" w:cs="Arial"/>
          <w:b/>
        </w:rPr>
      </w:pPr>
      <w:r>
        <w:rPr>
          <w:rFonts w:asciiTheme="minorHAnsi" w:hAnsiTheme="minorHAnsi" w:cs="Arial"/>
          <w:b/>
        </w:rPr>
        <w:t xml:space="preserve">Hlavní relevantní CZ </w:t>
      </w:r>
      <w:r w:rsidRPr="00FB0D59">
        <w:rPr>
          <w:rFonts w:asciiTheme="minorHAnsi" w:hAnsiTheme="minorHAnsi" w:cs="Arial"/>
          <w:b/>
        </w:rPr>
        <w:t>NACE</w:t>
      </w:r>
    </w:p>
    <w:p w14:paraId="2AACC0B4" w14:textId="08B1BE54" w:rsidR="00FB0D59" w:rsidRPr="00AB69CF" w:rsidRDefault="00FB0D59" w:rsidP="00256AAF">
      <w:pPr>
        <w:pStyle w:val="Bezmezer1"/>
        <w:spacing w:before="40" w:after="40" w:line="360" w:lineRule="auto"/>
        <w:ind w:left="1068" w:firstLine="348"/>
        <w:rPr>
          <w:rFonts w:asciiTheme="minorHAnsi" w:hAnsiTheme="minorHAnsi" w:cs="Arial"/>
        </w:rPr>
      </w:pPr>
      <w:r w:rsidRPr="00AB69CF">
        <w:rPr>
          <w:rFonts w:asciiTheme="minorHAnsi" w:hAnsiTheme="minorHAnsi" w:cs="Arial"/>
        </w:rPr>
        <w:t xml:space="preserve">01.1 </w:t>
      </w:r>
      <w:r w:rsidR="00256AAF" w:rsidRPr="00AB69CF">
        <w:rPr>
          <w:rFonts w:asciiTheme="minorHAnsi" w:hAnsiTheme="minorHAnsi" w:cs="Arial"/>
        </w:rPr>
        <w:tab/>
      </w:r>
      <w:r w:rsidRPr="00AB69CF">
        <w:rPr>
          <w:rFonts w:asciiTheme="minorHAnsi" w:hAnsiTheme="minorHAnsi" w:cs="Arial"/>
        </w:rPr>
        <w:t>Pěstování plodin jiných než trvalých</w:t>
      </w:r>
    </w:p>
    <w:p w14:paraId="40697C27" w14:textId="25DF3F6F" w:rsidR="00FB0D59" w:rsidRPr="00AB69CF" w:rsidRDefault="00FB0D59" w:rsidP="00256AAF">
      <w:pPr>
        <w:pStyle w:val="Bezmezer1"/>
        <w:spacing w:before="40" w:after="40" w:line="360" w:lineRule="auto"/>
        <w:ind w:left="720" w:firstLine="696"/>
        <w:rPr>
          <w:rFonts w:asciiTheme="minorHAnsi" w:hAnsiTheme="minorHAnsi" w:cs="Arial"/>
        </w:rPr>
      </w:pPr>
      <w:r w:rsidRPr="00AB69CF">
        <w:rPr>
          <w:rFonts w:asciiTheme="minorHAnsi" w:hAnsiTheme="minorHAnsi" w:cs="Arial"/>
        </w:rPr>
        <w:t xml:space="preserve">01.2 </w:t>
      </w:r>
      <w:r w:rsidR="00256AAF" w:rsidRPr="00AB69CF">
        <w:rPr>
          <w:rFonts w:asciiTheme="minorHAnsi" w:hAnsiTheme="minorHAnsi" w:cs="Arial"/>
        </w:rPr>
        <w:tab/>
      </w:r>
      <w:r w:rsidRPr="00AB69CF">
        <w:rPr>
          <w:rFonts w:asciiTheme="minorHAnsi" w:hAnsiTheme="minorHAnsi" w:cs="Arial"/>
        </w:rPr>
        <w:t>Pěstování trvalých plodin</w:t>
      </w:r>
    </w:p>
    <w:p w14:paraId="29CCB7F1" w14:textId="00915188" w:rsidR="00FB0D59" w:rsidRPr="00AB69CF" w:rsidRDefault="00FB0D59" w:rsidP="00256AAF">
      <w:pPr>
        <w:pStyle w:val="Bezmezer1"/>
        <w:spacing w:before="40" w:after="40" w:line="360" w:lineRule="auto"/>
        <w:ind w:left="1068" w:firstLine="348"/>
        <w:rPr>
          <w:rFonts w:asciiTheme="minorHAnsi" w:hAnsiTheme="minorHAnsi" w:cs="Arial"/>
        </w:rPr>
      </w:pPr>
      <w:r w:rsidRPr="00AB69CF">
        <w:rPr>
          <w:rFonts w:asciiTheme="minorHAnsi" w:hAnsiTheme="minorHAnsi" w:cs="Arial"/>
        </w:rPr>
        <w:t xml:space="preserve">01.3 </w:t>
      </w:r>
      <w:r w:rsidR="00256AAF" w:rsidRPr="00AB69CF">
        <w:rPr>
          <w:rFonts w:asciiTheme="minorHAnsi" w:hAnsiTheme="minorHAnsi" w:cs="Arial"/>
        </w:rPr>
        <w:tab/>
      </w:r>
      <w:r w:rsidRPr="00AB69CF">
        <w:rPr>
          <w:rFonts w:asciiTheme="minorHAnsi" w:hAnsiTheme="minorHAnsi" w:cs="Arial"/>
        </w:rPr>
        <w:t>Množení rostlin</w:t>
      </w:r>
    </w:p>
    <w:p w14:paraId="2DB94EE0" w14:textId="61F17777" w:rsidR="00FB0D59" w:rsidRPr="00AB69CF" w:rsidRDefault="00FB0D59" w:rsidP="00256AAF">
      <w:pPr>
        <w:pStyle w:val="Bezmezer1"/>
        <w:spacing w:before="40" w:after="40" w:line="360" w:lineRule="auto"/>
        <w:ind w:left="720" w:firstLine="696"/>
        <w:rPr>
          <w:rFonts w:asciiTheme="minorHAnsi" w:hAnsiTheme="minorHAnsi" w:cs="Arial"/>
        </w:rPr>
      </w:pPr>
      <w:r w:rsidRPr="00AB69CF">
        <w:rPr>
          <w:rFonts w:asciiTheme="minorHAnsi" w:hAnsiTheme="minorHAnsi" w:cs="Arial"/>
        </w:rPr>
        <w:t xml:space="preserve">01.4 </w:t>
      </w:r>
      <w:r w:rsidR="00256AAF" w:rsidRPr="00AB69CF">
        <w:rPr>
          <w:rFonts w:asciiTheme="minorHAnsi" w:hAnsiTheme="minorHAnsi" w:cs="Arial"/>
        </w:rPr>
        <w:tab/>
      </w:r>
      <w:r w:rsidRPr="00AB69CF">
        <w:rPr>
          <w:rFonts w:asciiTheme="minorHAnsi" w:hAnsiTheme="minorHAnsi" w:cs="Arial"/>
        </w:rPr>
        <w:t>Živočišná výroba, veterinární medicína (aktivní tvorba zdraví zvířat)</w:t>
      </w:r>
    </w:p>
    <w:p w14:paraId="3913B54D" w14:textId="0780FEC1" w:rsidR="00FB0D59" w:rsidRPr="00AB69CF" w:rsidRDefault="00FB0D59" w:rsidP="00256AAF">
      <w:pPr>
        <w:pStyle w:val="Bezmezer1"/>
        <w:spacing w:before="40" w:after="40" w:line="360" w:lineRule="auto"/>
        <w:ind w:left="1068" w:firstLine="348"/>
        <w:rPr>
          <w:rFonts w:asciiTheme="minorHAnsi" w:hAnsiTheme="minorHAnsi" w:cs="Arial"/>
        </w:rPr>
      </w:pPr>
      <w:r w:rsidRPr="00AB69CF">
        <w:rPr>
          <w:rFonts w:asciiTheme="minorHAnsi" w:hAnsiTheme="minorHAnsi" w:cs="Arial"/>
        </w:rPr>
        <w:t xml:space="preserve">01.7 </w:t>
      </w:r>
      <w:r w:rsidR="00256AAF" w:rsidRPr="00AB69CF">
        <w:rPr>
          <w:rFonts w:asciiTheme="minorHAnsi" w:hAnsiTheme="minorHAnsi" w:cs="Arial"/>
        </w:rPr>
        <w:tab/>
      </w:r>
      <w:r w:rsidRPr="00AB69CF">
        <w:rPr>
          <w:rFonts w:asciiTheme="minorHAnsi" w:hAnsiTheme="minorHAnsi" w:cs="Arial"/>
        </w:rPr>
        <w:t>Lov a odchyt divokých zvířat a související činnosti</w:t>
      </w:r>
    </w:p>
    <w:p w14:paraId="441F2137" w14:textId="7AB9EDFA" w:rsidR="00FB0D59" w:rsidRPr="00AB69CF" w:rsidRDefault="00FB0D59" w:rsidP="00256AAF">
      <w:pPr>
        <w:pStyle w:val="Bezmezer1"/>
        <w:spacing w:before="40" w:after="40" w:line="360" w:lineRule="auto"/>
        <w:ind w:left="720" w:firstLine="696"/>
        <w:rPr>
          <w:rFonts w:asciiTheme="minorHAnsi" w:hAnsiTheme="minorHAnsi" w:cs="Arial"/>
        </w:rPr>
      </w:pPr>
      <w:r w:rsidRPr="00AB69CF">
        <w:rPr>
          <w:rFonts w:asciiTheme="minorHAnsi" w:hAnsiTheme="minorHAnsi" w:cs="Arial"/>
        </w:rPr>
        <w:t xml:space="preserve">02.1 </w:t>
      </w:r>
      <w:r w:rsidR="00256AAF" w:rsidRPr="00AB69CF">
        <w:rPr>
          <w:rFonts w:asciiTheme="minorHAnsi" w:hAnsiTheme="minorHAnsi" w:cs="Arial"/>
        </w:rPr>
        <w:tab/>
      </w:r>
      <w:r w:rsidRPr="00AB69CF">
        <w:rPr>
          <w:rFonts w:asciiTheme="minorHAnsi" w:hAnsiTheme="minorHAnsi" w:cs="Arial"/>
        </w:rPr>
        <w:t>Lesní hospodářství a jiné činnosti v oblasti lesnictví</w:t>
      </w:r>
    </w:p>
    <w:p w14:paraId="794A1770" w14:textId="49EB950B" w:rsidR="00FB0D59" w:rsidRPr="00AB69CF" w:rsidRDefault="00FB0D59" w:rsidP="00256AAF">
      <w:pPr>
        <w:pStyle w:val="Bezmezer1"/>
        <w:spacing w:before="40" w:after="40" w:line="360" w:lineRule="auto"/>
        <w:ind w:left="1068" w:firstLine="348"/>
        <w:rPr>
          <w:rFonts w:asciiTheme="minorHAnsi" w:hAnsiTheme="minorHAnsi" w:cs="Arial"/>
        </w:rPr>
      </w:pPr>
      <w:r w:rsidRPr="00AB69CF">
        <w:rPr>
          <w:rFonts w:asciiTheme="minorHAnsi" w:hAnsiTheme="minorHAnsi" w:cs="Arial"/>
        </w:rPr>
        <w:t xml:space="preserve">02.2 </w:t>
      </w:r>
      <w:r w:rsidR="00256AAF" w:rsidRPr="00AB69CF">
        <w:rPr>
          <w:rFonts w:asciiTheme="minorHAnsi" w:hAnsiTheme="minorHAnsi" w:cs="Arial"/>
        </w:rPr>
        <w:tab/>
      </w:r>
      <w:r w:rsidRPr="00AB69CF">
        <w:rPr>
          <w:rFonts w:asciiTheme="minorHAnsi" w:hAnsiTheme="minorHAnsi" w:cs="Arial"/>
        </w:rPr>
        <w:t>Těžba dřeva</w:t>
      </w:r>
    </w:p>
    <w:p w14:paraId="2A722970" w14:textId="6DC19F56" w:rsidR="00FB0D59" w:rsidRPr="00AB69CF" w:rsidRDefault="00FB0D59" w:rsidP="00256AAF">
      <w:pPr>
        <w:pStyle w:val="Bezmezer1"/>
        <w:spacing w:before="40" w:after="40" w:line="360" w:lineRule="auto"/>
        <w:ind w:left="720" w:firstLine="696"/>
        <w:rPr>
          <w:rFonts w:asciiTheme="minorHAnsi" w:hAnsiTheme="minorHAnsi" w:cs="Arial"/>
        </w:rPr>
      </w:pPr>
      <w:r w:rsidRPr="00AB69CF">
        <w:rPr>
          <w:rFonts w:asciiTheme="minorHAnsi" w:hAnsiTheme="minorHAnsi" w:cs="Arial"/>
        </w:rPr>
        <w:t xml:space="preserve">02.3 </w:t>
      </w:r>
      <w:r w:rsidR="00256AAF" w:rsidRPr="00AB69CF">
        <w:rPr>
          <w:rFonts w:asciiTheme="minorHAnsi" w:hAnsiTheme="minorHAnsi" w:cs="Arial"/>
        </w:rPr>
        <w:tab/>
      </w:r>
      <w:r w:rsidRPr="00AB69CF">
        <w:rPr>
          <w:rFonts w:asciiTheme="minorHAnsi" w:hAnsiTheme="minorHAnsi" w:cs="Arial"/>
        </w:rPr>
        <w:t>Sběr a získávání volně rostoucích plodů a materiálů, kromě dřeva</w:t>
      </w:r>
    </w:p>
    <w:p w14:paraId="096B8AAC" w14:textId="31CA6966" w:rsidR="00FB0D59" w:rsidRPr="00AB69CF" w:rsidRDefault="00FB0D59" w:rsidP="000D10DA">
      <w:pPr>
        <w:pStyle w:val="Bezmezer1"/>
        <w:spacing w:before="40" w:after="40" w:line="360" w:lineRule="auto"/>
        <w:ind w:left="1068" w:firstLine="348"/>
        <w:rPr>
          <w:rFonts w:asciiTheme="minorHAnsi" w:hAnsiTheme="minorHAnsi" w:cs="Arial"/>
        </w:rPr>
      </w:pPr>
      <w:r w:rsidRPr="00AB69CF">
        <w:rPr>
          <w:rFonts w:asciiTheme="minorHAnsi" w:hAnsiTheme="minorHAnsi" w:cs="Arial"/>
        </w:rPr>
        <w:t xml:space="preserve">02.4 </w:t>
      </w:r>
      <w:r w:rsidR="000D10DA" w:rsidRPr="00AB69CF">
        <w:rPr>
          <w:rFonts w:asciiTheme="minorHAnsi" w:hAnsiTheme="minorHAnsi" w:cs="Arial"/>
        </w:rPr>
        <w:tab/>
      </w:r>
      <w:r w:rsidRPr="00AB69CF">
        <w:rPr>
          <w:rFonts w:asciiTheme="minorHAnsi" w:hAnsiTheme="minorHAnsi" w:cs="Arial"/>
        </w:rPr>
        <w:t>Podpůrné činnosti pro lesnictví</w:t>
      </w:r>
    </w:p>
    <w:p w14:paraId="7DB3A7F2" w14:textId="3D3A48CB" w:rsidR="00FB0D59" w:rsidRPr="00AB69CF" w:rsidRDefault="00FB0D59" w:rsidP="000D10DA">
      <w:pPr>
        <w:pStyle w:val="Bezmezer1"/>
        <w:spacing w:before="40" w:after="40" w:line="360" w:lineRule="auto"/>
        <w:ind w:left="720" w:firstLine="696"/>
        <w:rPr>
          <w:rFonts w:asciiTheme="minorHAnsi" w:hAnsiTheme="minorHAnsi" w:cs="Arial"/>
        </w:rPr>
      </w:pPr>
      <w:r w:rsidRPr="00AB69CF">
        <w:rPr>
          <w:rFonts w:asciiTheme="minorHAnsi" w:hAnsiTheme="minorHAnsi" w:cs="Arial"/>
        </w:rPr>
        <w:t xml:space="preserve">03.1 </w:t>
      </w:r>
      <w:r w:rsidR="000D10DA" w:rsidRPr="00AB69CF">
        <w:rPr>
          <w:rFonts w:asciiTheme="minorHAnsi" w:hAnsiTheme="minorHAnsi" w:cs="Arial"/>
        </w:rPr>
        <w:tab/>
      </w:r>
      <w:r w:rsidRPr="00AB69CF">
        <w:rPr>
          <w:rFonts w:asciiTheme="minorHAnsi" w:hAnsiTheme="minorHAnsi" w:cs="Arial"/>
        </w:rPr>
        <w:t>Rybolov</w:t>
      </w:r>
    </w:p>
    <w:p w14:paraId="703EE958" w14:textId="00076C51" w:rsidR="00FB0D59" w:rsidRPr="00AB69CF" w:rsidRDefault="00FB0D59" w:rsidP="000D10DA">
      <w:pPr>
        <w:pStyle w:val="Bezmezer1"/>
        <w:spacing w:before="40" w:after="40" w:line="360" w:lineRule="auto"/>
        <w:ind w:left="1068" w:firstLine="348"/>
        <w:rPr>
          <w:rFonts w:asciiTheme="minorHAnsi" w:hAnsiTheme="minorHAnsi" w:cs="Arial"/>
        </w:rPr>
      </w:pPr>
      <w:r w:rsidRPr="00AB69CF">
        <w:rPr>
          <w:rFonts w:asciiTheme="minorHAnsi" w:hAnsiTheme="minorHAnsi" w:cs="Arial"/>
        </w:rPr>
        <w:t xml:space="preserve">03.2 </w:t>
      </w:r>
      <w:r w:rsidR="000D10DA" w:rsidRPr="00AB69CF">
        <w:rPr>
          <w:rFonts w:asciiTheme="minorHAnsi" w:hAnsiTheme="minorHAnsi" w:cs="Arial"/>
        </w:rPr>
        <w:tab/>
      </w:r>
      <w:r w:rsidRPr="00AB69CF">
        <w:rPr>
          <w:rFonts w:asciiTheme="minorHAnsi" w:hAnsiTheme="minorHAnsi" w:cs="Arial"/>
        </w:rPr>
        <w:t>Akvakultura</w:t>
      </w:r>
    </w:p>
    <w:p w14:paraId="400157AA" w14:textId="37D3075D" w:rsidR="00FB0D59" w:rsidRPr="00AB69CF" w:rsidRDefault="00FB0D59" w:rsidP="000D10DA">
      <w:pPr>
        <w:pStyle w:val="Bezmezer1"/>
        <w:spacing w:before="40" w:after="40" w:line="360" w:lineRule="auto"/>
        <w:ind w:left="1428" w:firstLine="696"/>
        <w:rPr>
          <w:rFonts w:asciiTheme="minorHAnsi" w:hAnsiTheme="minorHAnsi" w:cs="Arial"/>
        </w:rPr>
      </w:pPr>
      <w:r w:rsidRPr="00AB69CF">
        <w:rPr>
          <w:rFonts w:asciiTheme="minorHAnsi" w:hAnsiTheme="minorHAnsi" w:cs="Arial"/>
        </w:rPr>
        <w:t xml:space="preserve">20.15 </w:t>
      </w:r>
      <w:r w:rsidR="000D10DA" w:rsidRPr="00AB69CF">
        <w:rPr>
          <w:rFonts w:asciiTheme="minorHAnsi" w:hAnsiTheme="minorHAnsi" w:cs="Arial"/>
        </w:rPr>
        <w:tab/>
      </w:r>
      <w:r w:rsidRPr="00AB69CF">
        <w:rPr>
          <w:rFonts w:asciiTheme="minorHAnsi" w:hAnsiTheme="minorHAnsi" w:cs="Arial"/>
        </w:rPr>
        <w:t>Výroba hnojiv a dusíkatých sloučenin</w:t>
      </w:r>
    </w:p>
    <w:p w14:paraId="0E8CEB3A" w14:textId="35CE4D82" w:rsidR="00FB0D59" w:rsidRPr="00AB69CF" w:rsidRDefault="00FB0D59" w:rsidP="000D10DA">
      <w:pPr>
        <w:pStyle w:val="Bezmezer1"/>
        <w:spacing w:before="40" w:after="40" w:line="360" w:lineRule="auto"/>
        <w:ind w:left="1080" w:firstLine="348"/>
        <w:rPr>
          <w:rFonts w:asciiTheme="minorHAnsi" w:hAnsiTheme="minorHAnsi" w:cs="Arial"/>
        </w:rPr>
      </w:pPr>
      <w:r w:rsidRPr="00AB69CF">
        <w:rPr>
          <w:rFonts w:asciiTheme="minorHAnsi" w:hAnsiTheme="minorHAnsi" w:cs="Arial"/>
        </w:rPr>
        <w:t xml:space="preserve">20.2 </w:t>
      </w:r>
      <w:r w:rsidR="000D10DA" w:rsidRPr="00AB69CF">
        <w:rPr>
          <w:rFonts w:asciiTheme="minorHAnsi" w:hAnsiTheme="minorHAnsi" w:cs="Arial"/>
        </w:rPr>
        <w:tab/>
      </w:r>
      <w:r w:rsidRPr="00AB69CF">
        <w:rPr>
          <w:rFonts w:asciiTheme="minorHAnsi" w:hAnsiTheme="minorHAnsi" w:cs="Arial"/>
        </w:rPr>
        <w:t>Výroba pesticidů a jiných agrochemických přípravků</w:t>
      </w:r>
    </w:p>
    <w:p w14:paraId="4F28DB13" w14:textId="468049B8" w:rsidR="00FB0D59" w:rsidRPr="00AB69CF" w:rsidRDefault="00FB0D59" w:rsidP="000D10DA">
      <w:pPr>
        <w:pStyle w:val="Bezmezer1"/>
        <w:spacing w:before="40" w:after="40" w:line="360" w:lineRule="auto"/>
        <w:ind w:left="1440" w:firstLine="684"/>
        <w:rPr>
          <w:rFonts w:asciiTheme="minorHAnsi" w:hAnsiTheme="minorHAnsi" w:cs="Arial"/>
        </w:rPr>
      </w:pPr>
      <w:r w:rsidRPr="00AB69CF">
        <w:rPr>
          <w:rFonts w:asciiTheme="minorHAnsi" w:hAnsiTheme="minorHAnsi" w:cs="Arial"/>
        </w:rPr>
        <w:t xml:space="preserve">72.11 </w:t>
      </w:r>
      <w:r w:rsidR="000D10DA" w:rsidRPr="00AB69CF">
        <w:rPr>
          <w:rFonts w:asciiTheme="minorHAnsi" w:hAnsiTheme="minorHAnsi" w:cs="Arial"/>
        </w:rPr>
        <w:tab/>
      </w:r>
      <w:r w:rsidRPr="00AB69CF">
        <w:rPr>
          <w:rFonts w:asciiTheme="minorHAnsi" w:hAnsiTheme="minorHAnsi" w:cs="Arial"/>
        </w:rPr>
        <w:t>Výzkum a vývoj v oblasti biotechnologie</w:t>
      </w:r>
    </w:p>
    <w:p w14:paraId="6D693AEC" w14:textId="4298FB59" w:rsidR="00FB0D59" w:rsidRPr="00AB69CF" w:rsidRDefault="00FB0D59" w:rsidP="000D10DA">
      <w:pPr>
        <w:pStyle w:val="Bezmezer1"/>
        <w:spacing w:before="40" w:after="40" w:line="360" w:lineRule="auto"/>
        <w:ind w:left="1776" w:firstLine="348"/>
        <w:rPr>
          <w:rFonts w:asciiTheme="minorHAnsi" w:hAnsiTheme="minorHAnsi" w:cs="Arial"/>
        </w:rPr>
      </w:pPr>
      <w:r w:rsidRPr="00AB69CF">
        <w:rPr>
          <w:rFonts w:asciiTheme="minorHAnsi" w:hAnsiTheme="minorHAnsi" w:cs="Arial"/>
        </w:rPr>
        <w:t xml:space="preserve">72.19 </w:t>
      </w:r>
      <w:r w:rsidR="000D10DA" w:rsidRPr="00AB69CF">
        <w:rPr>
          <w:rFonts w:asciiTheme="minorHAnsi" w:hAnsiTheme="minorHAnsi" w:cs="Arial"/>
        </w:rPr>
        <w:tab/>
      </w:r>
      <w:r w:rsidRPr="00AB69CF">
        <w:rPr>
          <w:rFonts w:asciiTheme="minorHAnsi" w:hAnsiTheme="minorHAnsi" w:cs="Arial"/>
        </w:rPr>
        <w:t>Ostatní výzkum a vývoj v oblasti přírodních a technických věd</w:t>
      </w:r>
    </w:p>
    <w:p w14:paraId="79065376" w14:textId="77777777" w:rsidR="00FB0D59" w:rsidRPr="00FB0D59" w:rsidRDefault="00FB0D59" w:rsidP="00FB0D59">
      <w:pPr>
        <w:autoSpaceDE w:val="0"/>
        <w:autoSpaceDN w:val="0"/>
        <w:adjustRightInd w:val="0"/>
        <w:spacing w:after="0" w:line="360" w:lineRule="auto"/>
        <w:ind w:left="360"/>
        <w:rPr>
          <w:rFonts w:cs="Arial"/>
        </w:rPr>
      </w:pPr>
    </w:p>
    <w:p w14:paraId="02BCCD15" w14:textId="597914F5" w:rsidR="00FB0D59" w:rsidRPr="00FB0D59" w:rsidRDefault="00FB0D59" w:rsidP="00FB0D59">
      <w:pPr>
        <w:pStyle w:val="Bezmezer1"/>
        <w:spacing w:before="40" w:after="40" w:line="360" w:lineRule="auto"/>
        <w:ind w:left="360"/>
        <w:rPr>
          <w:rFonts w:asciiTheme="minorHAnsi" w:hAnsiTheme="minorHAnsi" w:cs="Arial"/>
          <w:b/>
        </w:rPr>
      </w:pPr>
      <w:r>
        <w:rPr>
          <w:rFonts w:asciiTheme="minorHAnsi" w:hAnsiTheme="minorHAnsi" w:cs="Arial"/>
          <w:b/>
        </w:rPr>
        <w:t xml:space="preserve">Návazné CZ </w:t>
      </w:r>
      <w:r w:rsidRPr="00FB0D59">
        <w:rPr>
          <w:rFonts w:asciiTheme="minorHAnsi" w:hAnsiTheme="minorHAnsi" w:cs="Arial"/>
          <w:b/>
        </w:rPr>
        <w:t>NACE, funkční vazby</w:t>
      </w:r>
    </w:p>
    <w:p w14:paraId="201451CF" w14:textId="01EF6791" w:rsidR="00FB0D59" w:rsidRPr="00AB69CF" w:rsidRDefault="00FB0D59" w:rsidP="000D10DA">
      <w:pPr>
        <w:pStyle w:val="Bezmezer1"/>
        <w:spacing w:before="40" w:after="40" w:line="360" w:lineRule="auto"/>
        <w:ind w:left="1416"/>
        <w:rPr>
          <w:rFonts w:asciiTheme="minorHAnsi" w:hAnsiTheme="minorHAnsi" w:cs="Arial"/>
        </w:rPr>
      </w:pPr>
      <w:r w:rsidRPr="00AB69CF">
        <w:rPr>
          <w:rFonts w:asciiTheme="minorHAnsi" w:hAnsiTheme="minorHAnsi" w:cs="Arial"/>
        </w:rPr>
        <w:t xml:space="preserve">01.6 </w:t>
      </w:r>
      <w:r w:rsidR="000D10DA" w:rsidRPr="00AB69CF">
        <w:rPr>
          <w:rFonts w:asciiTheme="minorHAnsi" w:hAnsiTheme="minorHAnsi" w:cs="Arial"/>
        </w:rPr>
        <w:tab/>
      </w:r>
      <w:r w:rsidRPr="00AB69CF">
        <w:rPr>
          <w:rFonts w:asciiTheme="minorHAnsi" w:hAnsiTheme="minorHAnsi" w:cs="Arial"/>
        </w:rPr>
        <w:t>Podpůrné činnosti pro zemědělství a posklizňové činnosti</w:t>
      </w:r>
    </w:p>
    <w:p w14:paraId="46932800" w14:textId="5864DE2C" w:rsidR="00FB0D59" w:rsidRPr="00AB69CF" w:rsidRDefault="00FB0D59" w:rsidP="000D10DA">
      <w:pPr>
        <w:pStyle w:val="Bezmezer1"/>
        <w:spacing w:before="40" w:after="40" w:line="360" w:lineRule="auto"/>
        <w:ind w:left="2124"/>
        <w:rPr>
          <w:rFonts w:asciiTheme="minorHAnsi" w:hAnsiTheme="minorHAnsi" w:cs="Arial"/>
        </w:rPr>
      </w:pPr>
      <w:r w:rsidRPr="00AB69CF">
        <w:rPr>
          <w:rFonts w:asciiTheme="minorHAnsi" w:hAnsiTheme="minorHAnsi" w:cs="Arial"/>
        </w:rPr>
        <w:t xml:space="preserve">08.91 </w:t>
      </w:r>
      <w:r w:rsidR="000D10DA" w:rsidRPr="00AB69CF">
        <w:rPr>
          <w:rFonts w:asciiTheme="minorHAnsi" w:hAnsiTheme="minorHAnsi" w:cs="Arial"/>
        </w:rPr>
        <w:tab/>
      </w:r>
      <w:r w:rsidRPr="00AB69CF">
        <w:rPr>
          <w:rFonts w:asciiTheme="minorHAnsi" w:hAnsiTheme="minorHAnsi" w:cs="Arial"/>
        </w:rPr>
        <w:t>Těžba chemických minerálů a minerálů pro výrobu hnojiv</w:t>
      </w:r>
    </w:p>
    <w:p w14:paraId="16726284" w14:textId="30AC162E" w:rsidR="00FB0D59" w:rsidRPr="00AB69CF" w:rsidRDefault="00FB0D59" w:rsidP="000D10DA">
      <w:pPr>
        <w:pStyle w:val="Bezmezer1"/>
        <w:spacing w:before="40" w:after="40" w:line="360" w:lineRule="auto"/>
        <w:ind w:left="2124"/>
        <w:rPr>
          <w:rFonts w:asciiTheme="minorHAnsi" w:hAnsiTheme="minorHAnsi" w:cs="Arial"/>
        </w:rPr>
      </w:pPr>
      <w:r w:rsidRPr="00AB69CF">
        <w:rPr>
          <w:rFonts w:asciiTheme="minorHAnsi" w:hAnsiTheme="minorHAnsi" w:cs="Arial"/>
        </w:rPr>
        <w:t xml:space="preserve">08.92 </w:t>
      </w:r>
      <w:r w:rsidR="000D10DA" w:rsidRPr="00AB69CF">
        <w:rPr>
          <w:rFonts w:asciiTheme="minorHAnsi" w:hAnsiTheme="minorHAnsi" w:cs="Arial"/>
        </w:rPr>
        <w:tab/>
      </w:r>
      <w:r w:rsidRPr="00AB69CF">
        <w:rPr>
          <w:rFonts w:asciiTheme="minorHAnsi" w:hAnsiTheme="minorHAnsi" w:cs="Arial"/>
        </w:rPr>
        <w:t>Těžba rašeliny</w:t>
      </w:r>
    </w:p>
    <w:p w14:paraId="3D3A259D" w14:textId="54DBA52C" w:rsidR="00FB0D59" w:rsidRPr="00AB69CF" w:rsidRDefault="00FB0D59" w:rsidP="000D10DA">
      <w:pPr>
        <w:pStyle w:val="Bezmezer1"/>
        <w:spacing w:before="40" w:after="40" w:line="360" w:lineRule="auto"/>
        <w:ind w:left="1776" w:firstLine="348"/>
        <w:rPr>
          <w:rFonts w:asciiTheme="minorHAnsi" w:hAnsiTheme="minorHAnsi" w:cs="Arial"/>
        </w:rPr>
      </w:pPr>
      <w:r w:rsidRPr="00AB69CF">
        <w:rPr>
          <w:rFonts w:asciiTheme="minorHAnsi" w:hAnsiTheme="minorHAnsi" w:cs="Arial"/>
        </w:rPr>
        <w:t xml:space="preserve">13.00 </w:t>
      </w:r>
      <w:r w:rsidR="000D10DA" w:rsidRPr="00AB69CF">
        <w:rPr>
          <w:rFonts w:asciiTheme="minorHAnsi" w:hAnsiTheme="minorHAnsi" w:cs="Arial"/>
        </w:rPr>
        <w:tab/>
      </w:r>
      <w:r w:rsidRPr="00AB69CF">
        <w:rPr>
          <w:rFonts w:asciiTheme="minorHAnsi" w:hAnsiTheme="minorHAnsi" w:cs="Arial"/>
        </w:rPr>
        <w:t>Výroba textilií</w:t>
      </w:r>
    </w:p>
    <w:p w14:paraId="7AC1D2B2" w14:textId="095C673F" w:rsidR="00FB0D59" w:rsidRPr="00AB69CF" w:rsidRDefault="00FB0D59" w:rsidP="00D56DB5">
      <w:pPr>
        <w:pStyle w:val="Bezmezer1"/>
        <w:spacing w:before="40" w:after="40" w:line="360" w:lineRule="auto"/>
        <w:ind w:left="2829" w:hanging="705"/>
        <w:rPr>
          <w:rFonts w:asciiTheme="minorHAnsi" w:hAnsiTheme="minorHAnsi" w:cs="Arial"/>
        </w:rPr>
      </w:pPr>
      <w:r w:rsidRPr="00AB69CF">
        <w:rPr>
          <w:rFonts w:asciiTheme="minorHAnsi" w:hAnsiTheme="minorHAnsi" w:cs="Arial"/>
        </w:rPr>
        <w:t xml:space="preserve">16.00 </w:t>
      </w:r>
      <w:r w:rsidR="000D10DA" w:rsidRPr="00AB69CF">
        <w:rPr>
          <w:rFonts w:asciiTheme="minorHAnsi" w:hAnsiTheme="minorHAnsi" w:cs="Arial"/>
        </w:rPr>
        <w:tab/>
      </w:r>
      <w:r w:rsidRPr="00AB69CF">
        <w:rPr>
          <w:rFonts w:asciiTheme="minorHAnsi" w:hAnsiTheme="minorHAnsi" w:cs="Arial"/>
        </w:rPr>
        <w:t>Zpracování dřeva, výroba dřevěných, korkových, proutěných a slaměných výrobků, kromě nábytku</w:t>
      </w:r>
    </w:p>
    <w:p w14:paraId="78BCEE9F" w14:textId="38F1A2B2" w:rsidR="00FB0D59" w:rsidRPr="00AB69CF" w:rsidRDefault="00FB0D59" w:rsidP="000D10DA">
      <w:pPr>
        <w:pStyle w:val="Bezmezer1"/>
        <w:spacing w:before="40" w:after="40" w:line="360" w:lineRule="auto"/>
        <w:ind w:left="1068" w:firstLine="348"/>
        <w:rPr>
          <w:rFonts w:asciiTheme="minorHAnsi" w:hAnsiTheme="minorHAnsi" w:cs="Arial"/>
        </w:rPr>
      </w:pPr>
      <w:r w:rsidRPr="00AB69CF">
        <w:rPr>
          <w:rFonts w:asciiTheme="minorHAnsi" w:hAnsiTheme="minorHAnsi" w:cs="Arial"/>
        </w:rPr>
        <w:t xml:space="preserve">20.6 </w:t>
      </w:r>
      <w:r w:rsidR="000D10DA" w:rsidRPr="00AB69CF">
        <w:rPr>
          <w:rFonts w:asciiTheme="minorHAnsi" w:hAnsiTheme="minorHAnsi" w:cs="Arial"/>
        </w:rPr>
        <w:tab/>
      </w:r>
      <w:r w:rsidRPr="00AB69CF">
        <w:rPr>
          <w:rFonts w:asciiTheme="minorHAnsi" w:hAnsiTheme="minorHAnsi" w:cs="Arial"/>
        </w:rPr>
        <w:t>Výroba chemických vláken</w:t>
      </w:r>
    </w:p>
    <w:p w14:paraId="031B42A0" w14:textId="4CAF7DAF" w:rsidR="00FB0D59" w:rsidRPr="00AB69CF" w:rsidRDefault="00FB0D59" w:rsidP="00D56DB5">
      <w:pPr>
        <w:pStyle w:val="Bezmezer1"/>
        <w:spacing w:before="40" w:after="40" w:line="360" w:lineRule="auto"/>
        <w:ind w:left="2124" w:hanging="708"/>
        <w:rPr>
          <w:rFonts w:asciiTheme="minorHAnsi" w:hAnsiTheme="minorHAnsi" w:cs="Arial"/>
        </w:rPr>
      </w:pPr>
      <w:r w:rsidRPr="00AB69CF">
        <w:rPr>
          <w:rFonts w:asciiTheme="minorHAnsi" w:hAnsiTheme="minorHAnsi" w:cs="Arial"/>
        </w:rPr>
        <w:t>20.1</w:t>
      </w:r>
      <w:r w:rsidR="000D10DA" w:rsidRPr="00AB69CF">
        <w:rPr>
          <w:rFonts w:asciiTheme="minorHAnsi" w:hAnsiTheme="minorHAnsi" w:cs="Arial"/>
        </w:rPr>
        <w:tab/>
      </w:r>
      <w:r w:rsidRPr="00AB69CF">
        <w:rPr>
          <w:rFonts w:asciiTheme="minorHAnsi" w:hAnsiTheme="minorHAnsi" w:cs="Arial"/>
        </w:rPr>
        <w:t>Výroba základních chemických látek, hnojiv a dusíkatých sloučenin, plastů a syntetického kaučuku v primárních formách (kromě 20.15 Výroba hnojiv a dusíkatých sloučenin)</w:t>
      </w:r>
    </w:p>
    <w:p w14:paraId="47D7A727" w14:textId="037584BC" w:rsidR="00FB0D59" w:rsidRPr="00AB69CF" w:rsidRDefault="00FB0D59" w:rsidP="000D10DA">
      <w:pPr>
        <w:pStyle w:val="Bezmezer1"/>
        <w:spacing w:before="40" w:after="40" w:line="360" w:lineRule="auto"/>
        <w:ind w:left="1068" w:firstLine="348"/>
        <w:rPr>
          <w:rFonts w:asciiTheme="minorHAnsi" w:hAnsiTheme="minorHAnsi" w:cs="Arial"/>
        </w:rPr>
      </w:pPr>
      <w:r w:rsidRPr="00AB69CF">
        <w:rPr>
          <w:rFonts w:asciiTheme="minorHAnsi" w:hAnsiTheme="minorHAnsi" w:cs="Arial"/>
        </w:rPr>
        <w:t xml:space="preserve">21.1 </w:t>
      </w:r>
      <w:r w:rsidR="000D10DA" w:rsidRPr="00AB69CF">
        <w:rPr>
          <w:rFonts w:asciiTheme="minorHAnsi" w:hAnsiTheme="minorHAnsi" w:cs="Arial"/>
        </w:rPr>
        <w:tab/>
      </w:r>
      <w:r w:rsidRPr="00AB69CF">
        <w:rPr>
          <w:rFonts w:asciiTheme="minorHAnsi" w:hAnsiTheme="minorHAnsi" w:cs="Arial"/>
        </w:rPr>
        <w:t>Výroba základních farmaceutických výrobků</w:t>
      </w:r>
      <w:r w:rsidRPr="00AB69CF">
        <w:rPr>
          <w:rFonts w:asciiTheme="minorHAnsi" w:hAnsiTheme="minorHAnsi" w:cs="Arial"/>
        </w:rPr>
        <w:tab/>
      </w:r>
    </w:p>
    <w:p w14:paraId="37345165" w14:textId="4E71D1D3" w:rsidR="00FB0D59" w:rsidRPr="00AB69CF" w:rsidRDefault="00FB0D59" w:rsidP="000D10DA">
      <w:pPr>
        <w:pStyle w:val="Bezmezer1"/>
        <w:spacing w:before="40" w:after="40" w:line="360" w:lineRule="auto"/>
        <w:ind w:left="720" w:firstLine="696"/>
        <w:rPr>
          <w:rFonts w:asciiTheme="minorHAnsi" w:hAnsiTheme="minorHAnsi" w:cs="Arial"/>
        </w:rPr>
      </w:pPr>
      <w:r w:rsidRPr="00AB69CF">
        <w:rPr>
          <w:rFonts w:asciiTheme="minorHAnsi" w:hAnsiTheme="minorHAnsi" w:cs="Arial"/>
        </w:rPr>
        <w:t xml:space="preserve">21.2 </w:t>
      </w:r>
      <w:r w:rsidR="000D10DA" w:rsidRPr="00AB69CF">
        <w:rPr>
          <w:rFonts w:asciiTheme="minorHAnsi" w:hAnsiTheme="minorHAnsi" w:cs="Arial"/>
        </w:rPr>
        <w:tab/>
      </w:r>
      <w:r w:rsidRPr="00AB69CF">
        <w:rPr>
          <w:rFonts w:asciiTheme="minorHAnsi" w:hAnsiTheme="minorHAnsi" w:cs="Arial"/>
        </w:rPr>
        <w:t>Výroba farmaceutických přípravků</w:t>
      </w:r>
    </w:p>
    <w:p w14:paraId="6D237272" w14:textId="7F8B67F6" w:rsidR="00FB0D59" w:rsidRPr="00AB69CF" w:rsidRDefault="00FB0D59" w:rsidP="000D10DA">
      <w:pPr>
        <w:pStyle w:val="Bezmezer1"/>
        <w:spacing w:before="40" w:after="40" w:line="360" w:lineRule="auto"/>
        <w:ind w:left="1068" w:firstLine="348"/>
        <w:rPr>
          <w:rFonts w:asciiTheme="minorHAnsi" w:hAnsiTheme="minorHAnsi" w:cs="Arial"/>
        </w:rPr>
      </w:pPr>
      <w:r w:rsidRPr="00AB69CF">
        <w:rPr>
          <w:rFonts w:asciiTheme="minorHAnsi" w:hAnsiTheme="minorHAnsi" w:cs="Arial"/>
        </w:rPr>
        <w:t xml:space="preserve">52.1 </w:t>
      </w:r>
      <w:r w:rsidR="000D10DA" w:rsidRPr="00AB69CF">
        <w:rPr>
          <w:rFonts w:asciiTheme="minorHAnsi" w:hAnsiTheme="minorHAnsi" w:cs="Arial"/>
        </w:rPr>
        <w:tab/>
      </w:r>
      <w:r w:rsidRPr="00AB69CF">
        <w:rPr>
          <w:rFonts w:asciiTheme="minorHAnsi" w:hAnsiTheme="minorHAnsi" w:cs="Arial"/>
        </w:rPr>
        <w:t>Skladování</w:t>
      </w:r>
    </w:p>
    <w:p w14:paraId="03EA68B1" w14:textId="2220402E" w:rsidR="00FB0D59" w:rsidRPr="00AB69CF" w:rsidRDefault="00FB0D59" w:rsidP="000D10DA">
      <w:pPr>
        <w:pStyle w:val="Bezmezer1"/>
        <w:spacing w:before="40" w:after="40" w:line="360" w:lineRule="auto"/>
        <w:ind w:left="720" w:firstLine="696"/>
        <w:rPr>
          <w:rFonts w:asciiTheme="minorHAnsi" w:hAnsiTheme="minorHAnsi" w:cs="Arial"/>
        </w:rPr>
      </w:pPr>
      <w:r w:rsidRPr="00AB69CF">
        <w:rPr>
          <w:rFonts w:asciiTheme="minorHAnsi" w:hAnsiTheme="minorHAnsi" w:cs="Arial"/>
        </w:rPr>
        <w:t xml:space="preserve">75.0 </w:t>
      </w:r>
      <w:r w:rsidR="000D10DA" w:rsidRPr="00AB69CF">
        <w:rPr>
          <w:rFonts w:asciiTheme="minorHAnsi" w:hAnsiTheme="minorHAnsi" w:cs="Arial"/>
        </w:rPr>
        <w:tab/>
      </w:r>
      <w:r w:rsidRPr="00AB69CF">
        <w:rPr>
          <w:rFonts w:asciiTheme="minorHAnsi" w:hAnsiTheme="minorHAnsi" w:cs="Arial"/>
        </w:rPr>
        <w:t>Veterinární činnosti</w:t>
      </w:r>
    </w:p>
    <w:p w14:paraId="519D5DE5" w14:textId="7A4E7EF2" w:rsidR="009F02E7" w:rsidRDefault="009F02E7">
      <w:pPr>
        <w:spacing w:after="200" w:line="276" w:lineRule="auto"/>
      </w:pPr>
      <w:r>
        <w:br w:type="page"/>
      </w:r>
    </w:p>
    <w:p w14:paraId="236137AF" w14:textId="59758334" w:rsidR="00896BB7" w:rsidRDefault="00896BB7" w:rsidP="00D669E4">
      <w:pPr>
        <w:pStyle w:val="Nadpis4"/>
        <w:spacing w:line="360" w:lineRule="auto"/>
      </w:pPr>
      <w:bookmarkStart w:id="271" w:name="_Toc525716295"/>
      <w:r>
        <w:t>Udržitelná produkce potravin</w:t>
      </w:r>
      <w:bookmarkEnd w:id="271"/>
    </w:p>
    <w:p w14:paraId="70D1A0DB" w14:textId="0D07A172" w:rsidR="00896BB7" w:rsidRDefault="00D669E4" w:rsidP="00543C1B">
      <w:pPr>
        <w:pStyle w:val="Odstavecseseznamem"/>
        <w:numPr>
          <w:ilvl w:val="0"/>
          <w:numId w:val="206"/>
        </w:numPr>
        <w:spacing w:line="360" w:lineRule="auto"/>
        <w:rPr>
          <w:u w:val="single"/>
        </w:rPr>
      </w:pPr>
      <w:r w:rsidRPr="00D669E4">
        <w:rPr>
          <w:u w:val="single"/>
        </w:rPr>
        <w:t>Témata VaVaI identifikovaná prostřednictvím EDP:</w:t>
      </w:r>
    </w:p>
    <w:p w14:paraId="0B36F662" w14:textId="77777777" w:rsidR="00340522" w:rsidRPr="00340522" w:rsidRDefault="00340522" w:rsidP="00397585">
      <w:pPr>
        <w:pStyle w:val="Obsah3"/>
        <w:numPr>
          <w:ilvl w:val="0"/>
          <w:numId w:val="229"/>
        </w:numPr>
      </w:pPr>
      <w:r w:rsidRPr="00340522">
        <w:t xml:space="preserve">Složení potravinových složek a potravin (jak bioaktivních tak i ostatních technologicky významných) a jejich vliv na lidské zdraví </w:t>
      </w:r>
    </w:p>
    <w:p w14:paraId="5696CFFD" w14:textId="77777777" w:rsidR="00340522" w:rsidRPr="00340522" w:rsidRDefault="00340522" w:rsidP="00543C1B">
      <w:pPr>
        <w:pStyle w:val="Odstavecseseznamem"/>
        <w:numPr>
          <w:ilvl w:val="0"/>
          <w:numId w:val="229"/>
        </w:numPr>
        <w:spacing w:after="0" w:line="360" w:lineRule="auto"/>
        <w:jc w:val="both"/>
        <w:rPr>
          <w:rFonts w:eastAsia="Times New Roman" w:cs="Arial"/>
          <w:lang w:eastAsia="cs-CZ"/>
        </w:rPr>
      </w:pPr>
      <w:r w:rsidRPr="00340522">
        <w:rPr>
          <w:rFonts w:eastAsia="Times New Roman" w:cs="Arial"/>
          <w:lang w:eastAsia="cs-CZ"/>
        </w:rPr>
        <w:t xml:space="preserve">Technologie pro výrobu a přípravu potravin </w:t>
      </w:r>
    </w:p>
    <w:p w14:paraId="72B5F433" w14:textId="6CBD746F" w:rsidR="00340522" w:rsidRPr="00340522" w:rsidRDefault="009C41F4" w:rsidP="00543C1B">
      <w:pPr>
        <w:pStyle w:val="Odstavecseseznamem"/>
        <w:numPr>
          <w:ilvl w:val="0"/>
          <w:numId w:val="229"/>
        </w:numPr>
        <w:spacing w:after="0" w:line="360" w:lineRule="auto"/>
        <w:jc w:val="both"/>
        <w:rPr>
          <w:rFonts w:eastAsia="Times New Roman" w:cs="Arial"/>
          <w:lang w:eastAsia="cs-CZ"/>
        </w:rPr>
      </w:pPr>
      <w:r>
        <w:rPr>
          <w:rFonts w:eastAsia="Times New Roman" w:cs="Arial"/>
          <w:lang w:eastAsia="cs-CZ"/>
        </w:rPr>
        <w:t>Inovace v oblasti složení</w:t>
      </w:r>
      <w:r w:rsidR="00340522" w:rsidRPr="00340522">
        <w:rPr>
          <w:rFonts w:eastAsia="Times New Roman" w:cs="Arial"/>
          <w:lang w:eastAsia="cs-CZ"/>
        </w:rPr>
        <w:t xml:space="preserve"> potravin a výrobních postupů a speciální potraviny pro definované skupiny obyvatel</w:t>
      </w:r>
    </w:p>
    <w:p w14:paraId="496639D2" w14:textId="77777777" w:rsidR="00340522" w:rsidRPr="00340522" w:rsidRDefault="00340522" w:rsidP="00543C1B">
      <w:pPr>
        <w:pStyle w:val="Odstavecseseznamem"/>
        <w:numPr>
          <w:ilvl w:val="0"/>
          <w:numId w:val="229"/>
        </w:numPr>
        <w:spacing w:after="0" w:line="360" w:lineRule="auto"/>
        <w:jc w:val="both"/>
        <w:rPr>
          <w:rFonts w:eastAsia="Times New Roman" w:cs="Arial"/>
          <w:lang w:eastAsia="cs-CZ"/>
        </w:rPr>
      </w:pPr>
      <w:r w:rsidRPr="00340522">
        <w:rPr>
          <w:rFonts w:eastAsia="Times New Roman" w:cs="Arial"/>
          <w:lang w:eastAsia="cs-CZ"/>
        </w:rPr>
        <w:t>Rozvoj nanotechnologií a výrobků na jejich bázi</w:t>
      </w:r>
    </w:p>
    <w:p w14:paraId="71C4F957" w14:textId="77777777" w:rsidR="00340522" w:rsidRPr="00340522" w:rsidRDefault="00340522" w:rsidP="00543C1B">
      <w:pPr>
        <w:pStyle w:val="Odstavecseseznamem"/>
        <w:numPr>
          <w:ilvl w:val="0"/>
          <w:numId w:val="229"/>
        </w:numPr>
        <w:spacing w:after="0" w:line="360" w:lineRule="auto"/>
        <w:jc w:val="both"/>
        <w:rPr>
          <w:rFonts w:eastAsia="Times New Roman" w:cs="Arial"/>
          <w:lang w:eastAsia="cs-CZ"/>
        </w:rPr>
      </w:pPr>
      <w:r w:rsidRPr="00340522">
        <w:rPr>
          <w:rFonts w:eastAsia="Times New Roman" w:cs="Arial"/>
          <w:lang w:eastAsia="cs-CZ"/>
        </w:rPr>
        <w:t xml:space="preserve">Moderních metody hygieny a sanitace v potravinovém řetězci </w:t>
      </w:r>
    </w:p>
    <w:p w14:paraId="2C9E6675" w14:textId="77777777" w:rsidR="00340522" w:rsidRPr="00340522" w:rsidRDefault="00340522" w:rsidP="00543C1B">
      <w:pPr>
        <w:pStyle w:val="Odstavecseseznamem"/>
        <w:numPr>
          <w:ilvl w:val="0"/>
          <w:numId w:val="229"/>
        </w:numPr>
        <w:spacing w:after="0" w:line="360" w:lineRule="auto"/>
        <w:jc w:val="both"/>
        <w:rPr>
          <w:rFonts w:eastAsia="Times New Roman" w:cs="Arial"/>
          <w:lang w:eastAsia="cs-CZ"/>
        </w:rPr>
      </w:pPr>
      <w:r w:rsidRPr="00340522">
        <w:rPr>
          <w:rFonts w:eastAsia="Times New Roman" w:cs="Arial"/>
          <w:lang w:eastAsia="cs-CZ"/>
        </w:rPr>
        <w:t>Nové metody analýzy složení potravinových složek, potravin a jejich vlastností</w:t>
      </w:r>
    </w:p>
    <w:p w14:paraId="32D944BD" w14:textId="77777777" w:rsidR="00CF55A0" w:rsidRPr="00CF55A0" w:rsidRDefault="00CF55A0" w:rsidP="00CF55A0">
      <w:pPr>
        <w:spacing w:line="360" w:lineRule="auto"/>
        <w:jc w:val="both"/>
        <w:rPr>
          <w:rFonts w:cs="Arial"/>
        </w:rPr>
      </w:pPr>
    </w:p>
    <w:p w14:paraId="542ECE24" w14:textId="77777777" w:rsidR="00CF55A0" w:rsidRPr="00CF55A0" w:rsidRDefault="00CF55A0" w:rsidP="00CF55A0">
      <w:pPr>
        <w:spacing w:line="360" w:lineRule="auto"/>
        <w:jc w:val="both"/>
        <w:rPr>
          <w:rFonts w:cs="Arial"/>
          <w:b/>
        </w:rPr>
      </w:pPr>
      <w:r w:rsidRPr="00CF55A0">
        <w:rPr>
          <w:rFonts w:cs="Arial"/>
        </w:rPr>
        <w:t>Pozn.: podrobné informace k jednotlivým tématům jsou uvedeny v Koncepci výzkumu, vývoje a inovací Ministerstva zemědělství na léta 2016 – 2022, která je zveřejněna</w:t>
      </w:r>
      <w:r w:rsidRPr="00CF55A0">
        <w:rPr>
          <w:rFonts w:cs="Arial"/>
          <w:b/>
        </w:rPr>
        <w:t xml:space="preserve"> </w:t>
      </w:r>
      <w:r w:rsidRPr="00CF55A0">
        <w:rPr>
          <w:rFonts w:cs="Arial"/>
        </w:rPr>
        <w:t xml:space="preserve">na internetových stránkách MZe: </w:t>
      </w:r>
      <w:hyperlink r:id="rId49" w:history="1">
        <w:r w:rsidRPr="00CF55A0">
          <w:rPr>
            <w:rStyle w:val="Hypertextovodkaz"/>
            <w:rFonts w:cs="Arial"/>
            <w:color w:val="auto"/>
          </w:rPr>
          <w:t>http://portal.mze.cz/public/web/mze/poradenstvi-a-vyzkum/vyzkum-a-vyvoj/koncepce-a-strategie/koncepce-vyzkumu-vyvoje-a-inovaci.html</w:t>
        </w:r>
      </w:hyperlink>
    </w:p>
    <w:p w14:paraId="325CBF4E" w14:textId="77777777" w:rsidR="00CF55A0" w:rsidRPr="00CF55A0" w:rsidRDefault="00CF55A0" w:rsidP="00CF55A0">
      <w:pPr>
        <w:spacing w:line="360" w:lineRule="auto"/>
        <w:rPr>
          <w:u w:val="single"/>
        </w:rPr>
      </w:pPr>
    </w:p>
    <w:p w14:paraId="4236995B" w14:textId="26734DC0" w:rsidR="00D669E4" w:rsidRDefault="00D669E4" w:rsidP="00543C1B">
      <w:pPr>
        <w:pStyle w:val="Odstavecseseznamem"/>
        <w:numPr>
          <w:ilvl w:val="0"/>
          <w:numId w:val="206"/>
        </w:numPr>
        <w:spacing w:line="360" w:lineRule="auto"/>
        <w:rPr>
          <w:u w:val="single"/>
        </w:rPr>
      </w:pPr>
      <w:r w:rsidRPr="00D669E4">
        <w:rPr>
          <w:u w:val="single"/>
        </w:rPr>
        <w:t>Indikativní vztah ke klasifikaci CZ NACE</w:t>
      </w:r>
    </w:p>
    <w:p w14:paraId="49B1991C" w14:textId="7C68D664" w:rsidR="00CB51EA" w:rsidRPr="00CB51EA" w:rsidRDefault="00CB51EA" w:rsidP="00CB51EA">
      <w:pPr>
        <w:pStyle w:val="Bezmezer1"/>
        <w:spacing w:before="40" w:after="40" w:line="360" w:lineRule="auto"/>
        <w:ind w:left="360"/>
        <w:jc w:val="both"/>
        <w:rPr>
          <w:rFonts w:asciiTheme="minorHAnsi" w:hAnsiTheme="minorHAnsi" w:cs="Arial"/>
          <w:b/>
          <w:lang w:eastAsia="cs-CZ"/>
        </w:rPr>
      </w:pPr>
      <w:r>
        <w:rPr>
          <w:rFonts w:asciiTheme="minorHAnsi" w:hAnsiTheme="minorHAnsi" w:cs="Arial"/>
          <w:b/>
          <w:lang w:eastAsia="cs-CZ"/>
        </w:rPr>
        <w:t xml:space="preserve">Hlavní relevantní CZ </w:t>
      </w:r>
      <w:r w:rsidRPr="00CB51EA">
        <w:rPr>
          <w:rFonts w:asciiTheme="minorHAnsi" w:hAnsiTheme="minorHAnsi" w:cs="Arial"/>
          <w:b/>
          <w:lang w:eastAsia="cs-CZ"/>
        </w:rPr>
        <w:t>NACE</w:t>
      </w:r>
    </w:p>
    <w:p w14:paraId="3D4B9061" w14:textId="3E01946E" w:rsidR="00CB51EA" w:rsidRPr="00AB69CF" w:rsidRDefault="00CB51EA" w:rsidP="00CB51EA">
      <w:pPr>
        <w:spacing w:after="0" w:line="360" w:lineRule="auto"/>
        <w:ind w:left="1068" w:firstLine="348"/>
        <w:jc w:val="both"/>
        <w:rPr>
          <w:rFonts w:cs="Arial"/>
        </w:rPr>
      </w:pPr>
      <w:r w:rsidRPr="00AB69CF">
        <w:rPr>
          <w:rFonts w:cs="Arial"/>
        </w:rPr>
        <w:t xml:space="preserve">10.1 </w:t>
      </w:r>
      <w:r w:rsidRPr="00AB69CF">
        <w:rPr>
          <w:rFonts w:cs="Arial"/>
        </w:rPr>
        <w:tab/>
        <w:t>Zpracování a konzervování masa a výroba masných výrobků</w:t>
      </w:r>
    </w:p>
    <w:p w14:paraId="16EE9E7A" w14:textId="5DA80558" w:rsidR="00CB51EA" w:rsidRPr="00AB69CF" w:rsidRDefault="00CB51EA" w:rsidP="00CB51EA">
      <w:pPr>
        <w:spacing w:after="0" w:line="360" w:lineRule="auto"/>
        <w:ind w:left="720" w:firstLine="696"/>
        <w:jc w:val="both"/>
        <w:rPr>
          <w:rFonts w:cs="Arial"/>
        </w:rPr>
      </w:pPr>
      <w:r w:rsidRPr="00AB69CF">
        <w:rPr>
          <w:rFonts w:cs="Arial"/>
        </w:rPr>
        <w:t xml:space="preserve">10.2 </w:t>
      </w:r>
      <w:r w:rsidRPr="00AB69CF">
        <w:rPr>
          <w:rFonts w:cs="Arial"/>
        </w:rPr>
        <w:tab/>
        <w:t>Zpracování a konzervování ryb, korýšů a měkkýšů</w:t>
      </w:r>
    </w:p>
    <w:p w14:paraId="5B425B80" w14:textId="5A335D3F" w:rsidR="00CB51EA" w:rsidRPr="00AB69CF" w:rsidRDefault="00CB51EA" w:rsidP="00CB51EA">
      <w:pPr>
        <w:spacing w:after="0" w:line="360" w:lineRule="auto"/>
        <w:ind w:left="1416"/>
        <w:jc w:val="both"/>
        <w:rPr>
          <w:rFonts w:cs="Arial"/>
        </w:rPr>
      </w:pPr>
      <w:r w:rsidRPr="00AB69CF">
        <w:rPr>
          <w:rFonts w:cs="Arial"/>
        </w:rPr>
        <w:t xml:space="preserve">10.3 </w:t>
      </w:r>
      <w:r w:rsidRPr="00AB69CF">
        <w:rPr>
          <w:rFonts w:cs="Arial"/>
        </w:rPr>
        <w:tab/>
        <w:t>Zpracování a konzervování ovoce a zeleniny</w:t>
      </w:r>
    </w:p>
    <w:p w14:paraId="1BBD2BA6" w14:textId="7F8D2E52" w:rsidR="00CB51EA" w:rsidRPr="00AB69CF" w:rsidRDefault="00CB51EA" w:rsidP="00CB51EA">
      <w:pPr>
        <w:spacing w:after="0" w:line="360" w:lineRule="auto"/>
        <w:ind w:left="1068" w:firstLine="348"/>
        <w:jc w:val="both"/>
        <w:rPr>
          <w:rFonts w:cs="Arial"/>
        </w:rPr>
      </w:pPr>
      <w:r w:rsidRPr="00AB69CF">
        <w:rPr>
          <w:rFonts w:cs="Arial"/>
        </w:rPr>
        <w:t xml:space="preserve">10.4 </w:t>
      </w:r>
      <w:r w:rsidRPr="00AB69CF">
        <w:rPr>
          <w:rFonts w:cs="Arial"/>
        </w:rPr>
        <w:tab/>
        <w:t>Výroba rostlinných a živočišných olejů a tuků</w:t>
      </w:r>
    </w:p>
    <w:p w14:paraId="4340333B" w14:textId="66370A54" w:rsidR="00CB51EA" w:rsidRPr="00AB69CF" w:rsidRDefault="00CB51EA" w:rsidP="00CB51EA">
      <w:pPr>
        <w:spacing w:after="0" w:line="360" w:lineRule="auto"/>
        <w:ind w:left="720" w:firstLine="696"/>
        <w:jc w:val="both"/>
        <w:rPr>
          <w:rFonts w:cs="Arial"/>
        </w:rPr>
      </w:pPr>
      <w:r w:rsidRPr="00AB69CF">
        <w:rPr>
          <w:rFonts w:cs="Arial"/>
        </w:rPr>
        <w:t xml:space="preserve">10.5 </w:t>
      </w:r>
      <w:r w:rsidRPr="00AB69CF">
        <w:rPr>
          <w:rFonts w:cs="Arial"/>
        </w:rPr>
        <w:tab/>
        <w:t>Výroba mléčných výrobků</w:t>
      </w:r>
    </w:p>
    <w:p w14:paraId="10FA338E" w14:textId="6894332C" w:rsidR="00CB51EA" w:rsidRPr="00AB69CF" w:rsidRDefault="00CB51EA" w:rsidP="00CB51EA">
      <w:pPr>
        <w:spacing w:after="0" w:line="360" w:lineRule="auto"/>
        <w:ind w:left="1068" w:firstLine="348"/>
        <w:jc w:val="both"/>
        <w:rPr>
          <w:rFonts w:cs="Arial"/>
        </w:rPr>
      </w:pPr>
      <w:r w:rsidRPr="00AB69CF">
        <w:rPr>
          <w:rFonts w:cs="Arial"/>
        </w:rPr>
        <w:t xml:space="preserve">10.6 </w:t>
      </w:r>
      <w:r w:rsidRPr="00AB69CF">
        <w:rPr>
          <w:rFonts w:cs="Arial"/>
        </w:rPr>
        <w:tab/>
        <w:t>Výroba mlýnských a škrobárenských výrobků</w:t>
      </w:r>
    </w:p>
    <w:p w14:paraId="69988F3F" w14:textId="187C0617" w:rsidR="00CB51EA" w:rsidRPr="00AB69CF" w:rsidRDefault="00CB51EA" w:rsidP="00CB51EA">
      <w:pPr>
        <w:spacing w:after="0" w:line="360" w:lineRule="auto"/>
        <w:ind w:left="720" w:firstLine="696"/>
        <w:jc w:val="both"/>
        <w:rPr>
          <w:rFonts w:cs="Arial"/>
        </w:rPr>
      </w:pPr>
      <w:r w:rsidRPr="00AB69CF">
        <w:rPr>
          <w:rFonts w:cs="Arial"/>
        </w:rPr>
        <w:t xml:space="preserve">10.7 </w:t>
      </w:r>
      <w:r w:rsidRPr="00AB69CF">
        <w:rPr>
          <w:rFonts w:cs="Arial"/>
        </w:rPr>
        <w:tab/>
        <w:t>Výroba pekařských, cukrářských a jiných moučných výrobků</w:t>
      </w:r>
    </w:p>
    <w:p w14:paraId="1CBC5ABA" w14:textId="6902516E" w:rsidR="00CB51EA" w:rsidRPr="00AB69CF" w:rsidRDefault="00CB51EA" w:rsidP="00CB51EA">
      <w:pPr>
        <w:spacing w:after="0" w:line="360" w:lineRule="auto"/>
        <w:ind w:left="1068" w:firstLine="348"/>
        <w:jc w:val="both"/>
        <w:rPr>
          <w:rFonts w:cs="Arial"/>
        </w:rPr>
      </w:pPr>
      <w:r w:rsidRPr="00AB69CF">
        <w:rPr>
          <w:rFonts w:cs="Arial"/>
        </w:rPr>
        <w:t xml:space="preserve">10.8 </w:t>
      </w:r>
      <w:r w:rsidRPr="00AB69CF">
        <w:rPr>
          <w:rFonts w:cs="Arial"/>
        </w:rPr>
        <w:tab/>
        <w:t>Výroba ostatních potravinářských výrobků</w:t>
      </w:r>
    </w:p>
    <w:p w14:paraId="00F14832" w14:textId="18FAE831" w:rsidR="00CB51EA" w:rsidRPr="00AB69CF" w:rsidRDefault="00CB51EA" w:rsidP="00CB51EA">
      <w:pPr>
        <w:spacing w:after="0" w:line="360" w:lineRule="auto"/>
        <w:ind w:left="720" w:firstLine="696"/>
        <w:jc w:val="both"/>
        <w:rPr>
          <w:rFonts w:cs="Arial"/>
        </w:rPr>
      </w:pPr>
      <w:r w:rsidRPr="00AB69CF">
        <w:rPr>
          <w:rFonts w:cs="Arial"/>
        </w:rPr>
        <w:t xml:space="preserve">10.9 </w:t>
      </w:r>
      <w:r w:rsidRPr="00AB69CF">
        <w:rPr>
          <w:rFonts w:cs="Arial"/>
        </w:rPr>
        <w:tab/>
        <w:t>Výroba průmyslových krmiv</w:t>
      </w:r>
    </w:p>
    <w:p w14:paraId="436B699A" w14:textId="6CAA639C" w:rsidR="00CB51EA" w:rsidRPr="00AB69CF" w:rsidRDefault="00CB51EA" w:rsidP="00CB51EA">
      <w:pPr>
        <w:spacing w:after="0" w:line="360" w:lineRule="auto"/>
        <w:ind w:left="1068" w:firstLine="348"/>
        <w:jc w:val="both"/>
        <w:rPr>
          <w:rFonts w:cs="Arial"/>
        </w:rPr>
      </w:pPr>
      <w:r w:rsidRPr="00AB69CF">
        <w:rPr>
          <w:rFonts w:cs="Arial"/>
        </w:rPr>
        <w:t xml:space="preserve">11.0 </w:t>
      </w:r>
      <w:r w:rsidRPr="00AB69CF">
        <w:rPr>
          <w:rFonts w:cs="Arial"/>
        </w:rPr>
        <w:tab/>
        <w:t>Výroba nápojů</w:t>
      </w:r>
    </w:p>
    <w:p w14:paraId="0ABEFEB5" w14:textId="5FBC4045" w:rsidR="00CB51EA" w:rsidRPr="00AB69CF" w:rsidRDefault="00CB51EA" w:rsidP="00CB51EA">
      <w:pPr>
        <w:pStyle w:val="Bezmezer1"/>
        <w:spacing w:before="40" w:after="40" w:line="360" w:lineRule="auto"/>
        <w:ind w:left="1428" w:firstLine="696"/>
        <w:jc w:val="both"/>
        <w:rPr>
          <w:rFonts w:asciiTheme="minorHAnsi" w:hAnsiTheme="minorHAnsi" w:cs="Arial"/>
          <w:lang w:eastAsia="cs-CZ"/>
        </w:rPr>
      </w:pPr>
      <w:r w:rsidRPr="00AB69CF">
        <w:rPr>
          <w:rFonts w:asciiTheme="minorHAnsi" w:hAnsiTheme="minorHAnsi" w:cs="Arial"/>
          <w:lang w:eastAsia="cs-CZ"/>
        </w:rPr>
        <w:t xml:space="preserve">28.93 </w:t>
      </w:r>
      <w:r w:rsidRPr="00AB69CF">
        <w:rPr>
          <w:rFonts w:asciiTheme="minorHAnsi" w:hAnsiTheme="minorHAnsi" w:cs="Arial"/>
          <w:lang w:eastAsia="cs-CZ"/>
        </w:rPr>
        <w:tab/>
        <w:t>Výroba strojů na výrobu potravin, nápojů a zpracování tabáku</w:t>
      </w:r>
    </w:p>
    <w:p w14:paraId="5C3E28D0" w14:textId="53FA86C9" w:rsidR="00CB51EA" w:rsidRPr="00AB69CF" w:rsidRDefault="00CB51EA" w:rsidP="00CB51EA">
      <w:pPr>
        <w:pStyle w:val="Bezmezer1"/>
        <w:spacing w:line="360" w:lineRule="auto"/>
        <w:ind w:left="1068" w:firstLine="348"/>
        <w:jc w:val="both"/>
        <w:rPr>
          <w:rFonts w:asciiTheme="minorHAnsi" w:hAnsiTheme="minorHAnsi" w:cs="Arial"/>
          <w:lang w:eastAsia="cs-CZ"/>
        </w:rPr>
      </w:pPr>
      <w:r w:rsidRPr="00AB69CF">
        <w:rPr>
          <w:rFonts w:asciiTheme="minorHAnsi" w:hAnsiTheme="minorHAnsi" w:cs="Arial"/>
          <w:lang w:eastAsia="cs-CZ"/>
        </w:rPr>
        <w:t xml:space="preserve">52.1 </w:t>
      </w:r>
      <w:r w:rsidRPr="00AB69CF">
        <w:rPr>
          <w:rFonts w:asciiTheme="minorHAnsi" w:hAnsiTheme="minorHAnsi" w:cs="Arial"/>
          <w:lang w:eastAsia="cs-CZ"/>
        </w:rPr>
        <w:tab/>
        <w:t>Skladování</w:t>
      </w:r>
    </w:p>
    <w:p w14:paraId="57B0A334" w14:textId="4D11A031" w:rsidR="00CB51EA" w:rsidRPr="00AB69CF" w:rsidRDefault="00CB51EA" w:rsidP="00CB51EA">
      <w:pPr>
        <w:pStyle w:val="Bezmezer1"/>
        <w:spacing w:line="360" w:lineRule="auto"/>
        <w:ind w:left="1428" w:firstLine="696"/>
        <w:jc w:val="both"/>
        <w:rPr>
          <w:rFonts w:asciiTheme="minorHAnsi" w:hAnsiTheme="minorHAnsi" w:cs="Arial"/>
          <w:lang w:eastAsia="cs-CZ"/>
        </w:rPr>
      </w:pPr>
      <w:r w:rsidRPr="00AB69CF">
        <w:rPr>
          <w:rFonts w:asciiTheme="minorHAnsi" w:hAnsiTheme="minorHAnsi" w:cs="Arial"/>
          <w:lang w:eastAsia="cs-CZ"/>
        </w:rPr>
        <w:t xml:space="preserve">72.11 </w:t>
      </w:r>
      <w:r w:rsidRPr="00AB69CF">
        <w:rPr>
          <w:rFonts w:asciiTheme="minorHAnsi" w:hAnsiTheme="minorHAnsi" w:cs="Arial"/>
          <w:lang w:eastAsia="cs-CZ"/>
        </w:rPr>
        <w:tab/>
        <w:t>Výzkum a vývoj v oblasti biotechnologie</w:t>
      </w:r>
    </w:p>
    <w:p w14:paraId="2E71F475" w14:textId="383B431B" w:rsidR="00CB51EA" w:rsidRPr="00AB69CF" w:rsidRDefault="00CB51EA" w:rsidP="00CB51EA">
      <w:pPr>
        <w:pStyle w:val="Bezmezer1"/>
        <w:spacing w:line="360" w:lineRule="auto"/>
        <w:ind w:left="1776" w:firstLine="348"/>
        <w:jc w:val="both"/>
        <w:rPr>
          <w:rFonts w:asciiTheme="minorHAnsi" w:hAnsiTheme="minorHAnsi" w:cs="Arial"/>
          <w:lang w:eastAsia="cs-CZ"/>
        </w:rPr>
      </w:pPr>
      <w:r w:rsidRPr="00AB69CF">
        <w:rPr>
          <w:rFonts w:asciiTheme="minorHAnsi" w:hAnsiTheme="minorHAnsi" w:cs="Arial"/>
          <w:lang w:eastAsia="cs-CZ"/>
        </w:rPr>
        <w:t xml:space="preserve">72.19 </w:t>
      </w:r>
      <w:r w:rsidRPr="00AB69CF">
        <w:rPr>
          <w:rFonts w:asciiTheme="minorHAnsi" w:hAnsiTheme="minorHAnsi" w:cs="Arial"/>
          <w:lang w:eastAsia="cs-CZ"/>
        </w:rPr>
        <w:tab/>
        <w:t>Ostatní výzkum a vývoj v oblasti přírodních a technických věd</w:t>
      </w:r>
    </w:p>
    <w:p w14:paraId="64BBFBED" w14:textId="77777777" w:rsidR="00CB51EA" w:rsidRPr="00AB69CF" w:rsidRDefault="00CB51EA" w:rsidP="00CB51EA">
      <w:pPr>
        <w:pStyle w:val="Bezmezer1"/>
        <w:spacing w:before="40" w:after="40" w:line="360" w:lineRule="auto"/>
        <w:ind w:left="360"/>
        <w:jc w:val="both"/>
        <w:rPr>
          <w:rFonts w:asciiTheme="minorHAnsi" w:hAnsiTheme="minorHAnsi" w:cs="Arial"/>
          <w:sz w:val="12"/>
          <w:szCs w:val="12"/>
          <w:lang w:eastAsia="cs-CZ"/>
        </w:rPr>
      </w:pPr>
    </w:p>
    <w:p w14:paraId="1ABCA19F" w14:textId="70099D99" w:rsidR="00CB51EA" w:rsidRPr="00CB51EA" w:rsidRDefault="00CB51EA" w:rsidP="00CB51EA">
      <w:pPr>
        <w:pStyle w:val="Bezmezer1"/>
        <w:spacing w:before="40" w:after="40" w:line="360" w:lineRule="auto"/>
        <w:ind w:left="360"/>
        <w:jc w:val="both"/>
        <w:rPr>
          <w:rFonts w:asciiTheme="minorHAnsi" w:hAnsiTheme="minorHAnsi" w:cs="Arial"/>
          <w:b/>
          <w:lang w:eastAsia="cs-CZ"/>
        </w:rPr>
      </w:pPr>
      <w:r>
        <w:rPr>
          <w:rFonts w:asciiTheme="minorHAnsi" w:hAnsiTheme="minorHAnsi" w:cs="Arial"/>
          <w:b/>
          <w:lang w:eastAsia="cs-CZ"/>
        </w:rPr>
        <w:t xml:space="preserve">Návazné CZ </w:t>
      </w:r>
      <w:r w:rsidRPr="00CB51EA">
        <w:rPr>
          <w:rFonts w:asciiTheme="minorHAnsi" w:hAnsiTheme="minorHAnsi" w:cs="Arial"/>
          <w:b/>
          <w:lang w:eastAsia="cs-CZ"/>
        </w:rPr>
        <w:t>NACE, funkční vazby</w:t>
      </w:r>
    </w:p>
    <w:p w14:paraId="5191012A" w14:textId="548A2B57" w:rsidR="00CB51EA" w:rsidRPr="00AB69CF" w:rsidRDefault="00CB51EA" w:rsidP="00CB51EA">
      <w:pPr>
        <w:pStyle w:val="Bezmezer1"/>
        <w:spacing w:line="360" w:lineRule="auto"/>
        <w:ind w:left="1068" w:firstLine="348"/>
        <w:jc w:val="both"/>
        <w:rPr>
          <w:rFonts w:asciiTheme="minorHAnsi" w:hAnsiTheme="minorHAnsi" w:cs="Arial"/>
          <w:lang w:eastAsia="cs-CZ"/>
        </w:rPr>
      </w:pPr>
      <w:r w:rsidRPr="00AB69CF">
        <w:rPr>
          <w:rFonts w:asciiTheme="minorHAnsi" w:hAnsiTheme="minorHAnsi" w:cs="Arial"/>
          <w:lang w:eastAsia="cs-CZ"/>
        </w:rPr>
        <w:t xml:space="preserve">01.1 </w:t>
      </w:r>
      <w:r w:rsidRPr="00AB69CF">
        <w:rPr>
          <w:rFonts w:asciiTheme="minorHAnsi" w:hAnsiTheme="minorHAnsi" w:cs="Arial"/>
          <w:lang w:eastAsia="cs-CZ"/>
        </w:rPr>
        <w:tab/>
        <w:t>Pěstování plodin jiných než trvalých</w:t>
      </w:r>
    </w:p>
    <w:p w14:paraId="42E68F22" w14:textId="53AD7BDA" w:rsidR="00CB51EA" w:rsidRPr="00AB69CF" w:rsidRDefault="00CB51EA" w:rsidP="00CB51EA">
      <w:pPr>
        <w:pStyle w:val="Bezmezer1"/>
        <w:spacing w:line="360" w:lineRule="auto"/>
        <w:ind w:left="720" w:firstLine="696"/>
        <w:jc w:val="both"/>
        <w:rPr>
          <w:rFonts w:asciiTheme="minorHAnsi" w:hAnsiTheme="minorHAnsi" w:cs="Arial"/>
          <w:lang w:eastAsia="cs-CZ"/>
        </w:rPr>
      </w:pPr>
      <w:r w:rsidRPr="00AB69CF">
        <w:rPr>
          <w:rFonts w:asciiTheme="minorHAnsi" w:hAnsiTheme="minorHAnsi" w:cs="Arial"/>
          <w:lang w:eastAsia="cs-CZ"/>
        </w:rPr>
        <w:t xml:space="preserve">01.2 </w:t>
      </w:r>
      <w:r w:rsidRPr="00AB69CF">
        <w:rPr>
          <w:rFonts w:asciiTheme="minorHAnsi" w:hAnsiTheme="minorHAnsi" w:cs="Arial"/>
          <w:lang w:eastAsia="cs-CZ"/>
        </w:rPr>
        <w:tab/>
        <w:t>Pěstování trvalých plodin</w:t>
      </w:r>
    </w:p>
    <w:p w14:paraId="220DF441" w14:textId="41752C78" w:rsidR="00CB51EA" w:rsidRPr="00AB69CF" w:rsidRDefault="00CB51EA" w:rsidP="00CB51EA">
      <w:pPr>
        <w:pStyle w:val="Bezmezer1"/>
        <w:spacing w:line="360" w:lineRule="auto"/>
        <w:ind w:left="1068" w:firstLine="348"/>
        <w:jc w:val="both"/>
        <w:rPr>
          <w:rFonts w:asciiTheme="minorHAnsi" w:hAnsiTheme="minorHAnsi" w:cs="Arial"/>
          <w:lang w:eastAsia="cs-CZ"/>
        </w:rPr>
      </w:pPr>
      <w:r w:rsidRPr="00AB69CF">
        <w:rPr>
          <w:rFonts w:asciiTheme="minorHAnsi" w:hAnsiTheme="minorHAnsi" w:cs="Arial"/>
          <w:lang w:eastAsia="cs-CZ"/>
        </w:rPr>
        <w:t xml:space="preserve">01.3 </w:t>
      </w:r>
      <w:r w:rsidRPr="00AB69CF">
        <w:rPr>
          <w:rFonts w:asciiTheme="minorHAnsi" w:hAnsiTheme="minorHAnsi" w:cs="Arial"/>
          <w:lang w:eastAsia="cs-CZ"/>
        </w:rPr>
        <w:tab/>
        <w:t>Množení rostlin</w:t>
      </w:r>
    </w:p>
    <w:p w14:paraId="0C60207B" w14:textId="4737BC01" w:rsidR="00CB51EA" w:rsidRPr="00AB69CF" w:rsidRDefault="00CB51EA" w:rsidP="00CB51EA">
      <w:pPr>
        <w:pStyle w:val="Bezmezer1"/>
        <w:spacing w:line="360" w:lineRule="auto"/>
        <w:ind w:left="720" w:firstLine="696"/>
        <w:jc w:val="both"/>
        <w:rPr>
          <w:rFonts w:asciiTheme="minorHAnsi" w:hAnsiTheme="minorHAnsi" w:cs="Arial"/>
          <w:lang w:eastAsia="cs-CZ"/>
        </w:rPr>
      </w:pPr>
      <w:r w:rsidRPr="00AB69CF">
        <w:rPr>
          <w:rFonts w:asciiTheme="minorHAnsi" w:hAnsiTheme="minorHAnsi" w:cs="Arial"/>
          <w:lang w:eastAsia="cs-CZ"/>
        </w:rPr>
        <w:t xml:space="preserve">01.4 </w:t>
      </w:r>
      <w:r w:rsidRPr="00AB69CF">
        <w:rPr>
          <w:rFonts w:asciiTheme="minorHAnsi" w:hAnsiTheme="minorHAnsi" w:cs="Arial"/>
          <w:lang w:eastAsia="cs-CZ"/>
        </w:rPr>
        <w:tab/>
        <w:t>Živočišná výroba</w:t>
      </w:r>
    </w:p>
    <w:p w14:paraId="5ECAD15E" w14:textId="403445FC" w:rsidR="00CB51EA" w:rsidRPr="00AB69CF" w:rsidRDefault="00CB51EA" w:rsidP="00CB51EA">
      <w:pPr>
        <w:pStyle w:val="Bezmezer1"/>
        <w:spacing w:line="360" w:lineRule="auto"/>
        <w:ind w:left="1068" w:firstLine="348"/>
        <w:jc w:val="both"/>
        <w:rPr>
          <w:rFonts w:asciiTheme="minorHAnsi" w:hAnsiTheme="minorHAnsi" w:cs="Arial"/>
          <w:lang w:eastAsia="cs-CZ"/>
        </w:rPr>
      </w:pPr>
      <w:r w:rsidRPr="00AB69CF">
        <w:rPr>
          <w:rFonts w:asciiTheme="minorHAnsi" w:hAnsiTheme="minorHAnsi" w:cs="Arial"/>
          <w:lang w:eastAsia="cs-CZ"/>
        </w:rPr>
        <w:t xml:space="preserve">01.7 </w:t>
      </w:r>
      <w:r w:rsidRPr="00AB69CF">
        <w:rPr>
          <w:rFonts w:asciiTheme="minorHAnsi" w:hAnsiTheme="minorHAnsi" w:cs="Arial"/>
          <w:lang w:eastAsia="cs-CZ"/>
        </w:rPr>
        <w:tab/>
        <w:t>Lov a odchyt divokých zvířat a související činnosti</w:t>
      </w:r>
    </w:p>
    <w:p w14:paraId="25CEF651" w14:textId="306DA34C" w:rsidR="00CB51EA" w:rsidRPr="00AB69CF" w:rsidRDefault="00CB51EA" w:rsidP="00CB51EA">
      <w:pPr>
        <w:pStyle w:val="Bezmezer1"/>
        <w:spacing w:line="360" w:lineRule="auto"/>
        <w:ind w:left="720" w:firstLine="696"/>
        <w:jc w:val="both"/>
        <w:rPr>
          <w:rFonts w:asciiTheme="minorHAnsi" w:hAnsiTheme="minorHAnsi" w:cs="Arial"/>
          <w:lang w:eastAsia="cs-CZ"/>
        </w:rPr>
      </w:pPr>
      <w:r w:rsidRPr="00AB69CF">
        <w:rPr>
          <w:rFonts w:asciiTheme="minorHAnsi" w:hAnsiTheme="minorHAnsi" w:cs="Arial"/>
          <w:lang w:eastAsia="cs-CZ"/>
        </w:rPr>
        <w:t xml:space="preserve">03.1 </w:t>
      </w:r>
      <w:r w:rsidRPr="00AB69CF">
        <w:rPr>
          <w:rFonts w:asciiTheme="minorHAnsi" w:hAnsiTheme="minorHAnsi" w:cs="Arial"/>
          <w:lang w:eastAsia="cs-CZ"/>
        </w:rPr>
        <w:tab/>
        <w:t>Rybolov</w:t>
      </w:r>
    </w:p>
    <w:p w14:paraId="0FCC3BE0" w14:textId="791E70C6" w:rsidR="00CB51EA" w:rsidRPr="00AB69CF" w:rsidRDefault="00CB51EA" w:rsidP="00CB51EA">
      <w:pPr>
        <w:pStyle w:val="Bezmezer1"/>
        <w:spacing w:line="360" w:lineRule="auto"/>
        <w:ind w:left="1068" w:firstLine="348"/>
        <w:jc w:val="both"/>
        <w:rPr>
          <w:rFonts w:asciiTheme="minorHAnsi" w:hAnsiTheme="minorHAnsi" w:cs="Arial"/>
          <w:lang w:eastAsia="cs-CZ"/>
        </w:rPr>
      </w:pPr>
      <w:r w:rsidRPr="00AB69CF">
        <w:rPr>
          <w:rFonts w:asciiTheme="minorHAnsi" w:hAnsiTheme="minorHAnsi" w:cs="Arial"/>
          <w:lang w:eastAsia="cs-CZ"/>
        </w:rPr>
        <w:t xml:space="preserve">03.2 </w:t>
      </w:r>
      <w:r w:rsidRPr="00AB69CF">
        <w:rPr>
          <w:rFonts w:asciiTheme="minorHAnsi" w:hAnsiTheme="minorHAnsi" w:cs="Arial"/>
          <w:lang w:eastAsia="cs-CZ"/>
        </w:rPr>
        <w:tab/>
        <w:t>Akvakultura</w:t>
      </w:r>
    </w:p>
    <w:p w14:paraId="260BFF3E" w14:textId="354BAC04" w:rsidR="004A6346" w:rsidRPr="00AB69CF" w:rsidRDefault="00636F30" w:rsidP="00636F30">
      <w:pPr>
        <w:spacing w:after="200" w:line="276" w:lineRule="auto"/>
        <w:rPr>
          <w:rFonts w:eastAsia="Times New Roman" w:cs="Arial"/>
          <w:lang w:eastAsia="cs-CZ"/>
        </w:rPr>
      </w:pPr>
      <w:r w:rsidRPr="00AB69CF">
        <w:rPr>
          <w:rFonts w:cs="Arial"/>
          <w:lang w:eastAsia="cs-CZ"/>
        </w:rPr>
        <w:br w:type="page"/>
      </w:r>
    </w:p>
    <w:p w14:paraId="147482B8" w14:textId="1D293461" w:rsidR="004A6346" w:rsidRDefault="004A6346" w:rsidP="004A6346">
      <w:pPr>
        <w:pStyle w:val="Nadpis4"/>
        <w:spacing w:line="360" w:lineRule="auto"/>
        <w:rPr>
          <w:lang w:eastAsia="cs-CZ"/>
        </w:rPr>
      </w:pPr>
      <w:bookmarkStart w:id="272" w:name="_Toc525716296"/>
      <w:r>
        <w:rPr>
          <w:lang w:eastAsia="cs-CZ"/>
        </w:rPr>
        <w:t>Zajištění zdravého a kvalitního životního prostředí, biodiverzity a ekologie přírodních zdrojů</w:t>
      </w:r>
      <w:bookmarkEnd w:id="272"/>
    </w:p>
    <w:p w14:paraId="15C5B6F2" w14:textId="28F7B4AF" w:rsidR="004A6346" w:rsidRDefault="004A6346" w:rsidP="00543C1B">
      <w:pPr>
        <w:pStyle w:val="Odstavecseseznamem"/>
        <w:numPr>
          <w:ilvl w:val="0"/>
          <w:numId w:val="207"/>
        </w:numPr>
        <w:spacing w:line="360" w:lineRule="auto"/>
        <w:rPr>
          <w:u w:val="single"/>
          <w:lang w:eastAsia="cs-CZ"/>
        </w:rPr>
      </w:pPr>
      <w:r w:rsidRPr="004A6346">
        <w:rPr>
          <w:u w:val="single"/>
          <w:lang w:eastAsia="cs-CZ"/>
        </w:rPr>
        <w:t>Témata VaVaI identifikovaná prostřednictvím EDP:</w:t>
      </w:r>
    </w:p>
    <w:p w14:paraId="4E1338F4" w14:textId="77777777" w:rsidR="008F4075" w:rsidRPr="008F4075" w:rsidRDefault="008F4075" w:rsidP="00543C1B">
      <w:pPr>
        <w:pStyle w:val="Odstavecseseznamem"/>
        <w:numPr>
          <w:ilvl w:val="0"/>
          <w:numId w:val="208"/>
        </w:numPr>
        <w:autoSpaceDE w:val="0"/>
        <w:autoSpaceDN w:val="0"/>
        <w:adjustRightInd w:val="0"/>
        <w:spacing w:after="0" w:line="360" w:lineRule="auto"/>
        <w:jc w:val="both"/>
        <w:rPr>
          <w:rFonts w:cs="Calibri,Bold"/>
          <w:b/>
          <w:bCs/>
        </w:rPr>
      </w:pPr>
      <w:r w:rsidRPr="008F4075">
        <w:rPr>
          <w:rFonts w:cs="Calibri,Bold"/>
          <w:b/>
          <w:bCs/>
        </w:rPr>
        <w:t xml:space="preserve">Ekologie přírodních zdrojů </w:t>
      </w:r>
    </w:p>
    <w:p w14:paraId="527CC70D" w14:textId="77777777" w:rsidR="008F4075" w:rsidRPr="008F4075" w:rsidRDefault="008F4075" w:rsidP="00543C1B">
      <w:pPr>
        <w:pStyle w:val="Odstavecseseznamem"/>
        <w:numPr>
          <w:ilvl w:val="0"/>
          <w:numId w:val="209"/>
        </w:numPr>
        <w:autoSpaceDE w:val="0"/>
        <w:autoSpaceDN w:val="0"/>
        <w:adjustRightInd w:val="0"/>
        <w:spacing w:after="0" w:line="360" w:lineRule="auto"/>
        <w:jc w:val="both"/>
        <w:rPr>
          <w:rFonts w:cs="Calibri"/>
        </w:rPr>
      </w:pPr>
      <w:r w:rsidRPr="008F4075">
        <w:rPr>
          <w:rFonts w:cs="Calibri"/>
        </w:rPr>
        <w:t>působení antropogenních vlivů a geofaktorů na složky životního prostředí</w:t>
      </w:r>
    </w:p>
    <w:p w14:paraId="17ED1278" w14:textId="77777777" w:rsidR="008F4075" w:rsidRPr="008F4075" w:rsidRDefault="008F4075" w:rsidP="00543C1B">
      <w:pPr>
        <w:pStyle w:val="Odstavecseseznamem"/>
        <w:numPr>
          <w:ilvl w:val="0"/>
          <w:numId w:val="209"/>
        </w:numPr>
        <w:autoSpaceDE w:val="0"/>
        <w:autoSpaceDN w:val="0"/>
        <w:adjustRightInd w:val="0"/>
        <w:spacing w:after="0" w:line="360" w:lineRule="auto"/>
        <w:jc w:val="both"/>
        <w:rPr>
          <w:rFonts w:cs="Calibri"/>
        </w:rPr>
      </w:pPr>
      <w:r w:rsidRPr="008F4075">
        <w:rPr>
          <w:rFonts w:cs="Calibri"/>
        </w:rPr>
        <w:t>ochrana, šetrné a efektivní využívání surovinových zdrojů a podzemních vod a využívání druhotných surovin</w:t>
      </w:r>
    </w:p>
    <w:p w14:paraId="7CEA49C6" w14:textId="77777777" w:rsidR="008F4075" w:rsidRPr="008F4075" w:rsidRDefault="008F4075" w:rsidP="00543C1B">
      <w:pPr>
        <w:pStyle w:val="Odstavecseseznamem"/>
        <w:numPr>
          <w:ilvl w:val="0"/>
          <w:numId w:val="209"/>
        </w:numPr>
        <w:autoSpaceDE w:val="0"/>
        <w:autoSpaceDN w:val="0"/>
        <w:adjustRightInd w:val="0"/>
        <w:spacing w:after="0" w:line="360" w:lineRule="auto"/>
        <w:jc w:val="both"/>
        <w:rPr>
          <w:rFonts w:cs="Calibri"/>
        </w:rPr>
      </w:pPr>
      <w:r w:rsidRPr="008F4075">
        <w:rPr>
          <w:rFonts w:cs="Calibri"/>
        </w:rPr>
        <w:t>ochrana půdy z hlediska zachování biologických, fyzikálních a chemických vlastností půdy v návaznosti na zlepšení kvality půdy a obnovu jejích funkcí</w:t>
      </w:r>
    </w:p>
    <w:p w14:paraId="431D3C5F" w14:textId="77777777" w:rsidR="008F4075" w:rsidRPr="008F4075" w:rsidRDefault="008F4075" w:rsidP="00543C1B">
      <w:pPr>
        <w:pStyle w:val="Odstavecseseznamem"/>
        <w:numPr>
          <w:ilvl w:val="0"/>
          <w:numId w:val="209"/>
        </w:numPr>
        <w:autoSpaceDE w:val="0"/>
        <w:autoSpaceDN w:val="0"/>
        <w:adjustRightInd w:val="0"/>
        <w:spacing w:after="0" w:line="360" w:lineRule="auto"/>
        <w:jc w:val="both"/>
        <w:rPr>
          <w:rFonts w:cs="Calibri"/>
        </w:rPr>
      </w:pPr>
      <w:r w:rsidRPr="008F4075">
        <w:rPr>
          <w:rFonts w:cs="Calibri"/>
        </w:rPr>
        <w:t>oblast podzemních a povrchových vod - optimalizaci vodního režimu krajiny</w:t>
      </w:r>
    </w:p>
    <w:p w14:paraId="53A1E3B3" w14:textId="77777777" w:rsidR="008F4075" w:rsidRPr="008F4075" w:rsidRDefault="008F4075" w:rsidP="00543C1B">
      <w:pPr>
        <w:pStyle w:val="Odstavecseseznamem"/>
        <w:numPr>
          <w:ilvl w:val="0"/>
          <w:numId w:val="209"/>
        </w:numPr>
        <w:autoSpaceDE w:val="0"/>
        <w:autoSpaceDN w:val="0"/>
        <w:adjustRightInd w:val="0"/>
        <w:spacing w:after="0" w:line="360" w:lineRule="auto"/>
        <w:jc w:val="both"/>
        <w:rPr>
          <w:rFonts w:cs="Calibri"/>
        </w:rPr>
      </w:pPr>
      <w:r w:rsidRPr="008F4075">
        <w:rPr>
          <w:rFonts w:cs="Calibri"/>
        </w:rPr>
        <w:t>trvale udržitelné zajištění mimoprodukčních a produkčních funkcí půdy</w:t>
      </w:r>
    </w:p>
    <w:p w14:paraId="04A9260B" w14:textId="77777777" w:rsidR="008F4075" w:rsidRPr="008F4075" w:rsidRDefault="008F4075" w:rsidP="008F4075">
      <w:pPr>
        <w:pStyle w:val="Bezmezer"/>
        <w:spacing w:line="360" w:lineRule="auto"/>
        <w:jc w:val="both"/>
        <w:rPr>
          <w:rFonts w:asciiTheme="minorHAnsi" w:hAnsiTheme="minorHAnsi" w:cs="Calibri"/>
        </w:rPr>
      </w:pPr>
    </w:p>
    <w:p w14:paraId="68252991" w14:textId="77777777" w:rsidR="008F4075" w:rsidRPr="008F4075" w:rsidRDefault="008F4075" w:rsidP="00543C1B">
      <w:pPr>
        <w:pStyle w:val="Odstavecseseznamem"/>
        <w:numPr>
          <w:ilvl w:val="0"/>
          <w:numId w:val="208"/>
        </w:numPr>
        <w:autoSpaceDE w:val="0"/>
        <w:autoSpaceDN w:val="0"/>
        <w:adjustRightInd w:val="0"/>
        <w:spacing w:after="0" w:line="360" w:lineRule="auto"/>
        <w:jc w:val="both"/>
        <w:rPr>
          <w:rFonts w:cs="Calibri"/>
        </w:rPr>
      </w:pPr>
      <w:r w:rsidRPr="008F4075">
        <w:rPr>
          <w:rFonts w:cs="Calibri,Bold"/>
          <w:b/>
          <w:bCs/>
        </w:rPr>
        <w:t>Ochrana přírody</w:t>
      </w:r>
    </w:p>
    <w:p w14:paraId="74B89B01" w14:textId="77777777" w:rsidR="008F4075" w:rsidRPr="008F4075" w:rsidRDefault="008F4075" w:rsidP="00543C1B">
      <w:pPr>
        <w:pStyle w:val="Odstavecseseznamem"/>
        <w:numPr>
          <w:ilvl w:val="0"/>
          <w:numId w:val="210"/>
        </w:numPr>
        <w:autoSpaceDE w:val="0"/>
        <w:autoSpaceDN w:val="0"/>
        <w:adjustRightInd w:val="0"/>
        <w:spacing w:after="0" w:line="360" w:lineRule="auto"/>
        <w:jc w:val="both"/>
        <w:rPr>
          <w:rFonts w:cs="Calibri"/>
        </w:rPr>
      </w:pPr>
      <w:r w:rsidRPr="008F4075">
        <w:rPr>
          <w:rFonts w:cs="Calibri"/>
        </w:rPr>
        <w:t>ochrana biodiverzity na úrovni společenstev, druhů i genetické variability jedinců</w:t>
      </w:r>
    </w:p>
    <w:p w14:paraId="691F74D0" w14:textId="77777777" w:rsidR="008F4075" w:rsidRPr="008F4075" w:rsidRDefault="008F4075" w:rsidP="00543C1B">
      <w:pPr>
        <w:pStyle w:val="Odstavecseseznamem"/>
        <w:numPr>
          <w:ilvl w:val="0"/>
          <w:numId w:val="210"/>
        </w:numPr>
        <w:autoSpaceDE w:val="0"/>
        <w:autoSpaceDN w:val="0"/>
        <w:adjustRightInd w:val="0"/>
        <w:spacing w:after="0" w:line="360" w:lineRule="auto"/>
        <w:jc w:val="both"/>
        <w:rPr>
          <w:rFonts w:cs="Calibri"/>
        </w:rPr>
      </w:pPr>
      <w:r w:rsidRPr="008F4075">
        <w:rPr>
          <w:rFonts w:cs="Calibri"/>
        </w:rPr>
        <w:t>ochrana přírodních stanovišť, volně žijících živočichů a planě rostoucích rostlin</w:t>
      </w:r>
    </w:p>
    <w:p w14:paraId="76D14EB6" w14:textId="77777777" w:rsidR="008F4075" w:rsidRPr="008F4075" w:rsidRDefault="008F4075" w:rsidP="00543C1B">
      <w:pPr>
        <w:pStyle w:val="Odstavecseseznamem"/>
        <w:numPr>
          <w:ilvl w:val="0"/>
          <w:numId w:val="210"/>
        </w:numPr>
        <w:autoSpaceDE w:val="0"/>
        <w:autoSpaceDN w:val="0"/>
        <w:adjustRightInd w:val="0"/>
        <w:spacing w:after="0" w:line="360" w:lineRule="auto"/>
        <w:jc w:val="both"/>
        <w:rPr>
          <w:rFonts w:cs="Calibri"/>
        </w:rPr>
      </w:pPr>
      <w:r w:rsidRPr="008F4075">
        <w:rPr>
          <w:rFonts w:cs="Calibri"/>
        </w:rPr>
        <w:t>ochrana volně žijících ptáků</w:t>
      </w:r>
    </w:p>
    <w:p w14:paraId="56C5A5AF" w14:textId="77777777" w:rsidR="008F4075" w:rsidRPr="008F4075" w:rsidRDefault="008F4075" w:rsidP="00543C1B">
      <w:pPr>
        <w:pStyle w:val="Odstavecseseznamem"/>
        <w:numPr>
          <w:ilvl w:val="0"/>
          <w:numId w:val="210"/>
        </w:numPr>
        <w:autoSpaceDE w:val="0"/>
        <w:autoSpaceDN w:val="0"/>
        <w:adjustRightInd w:val="0"/>
        <w:spacing w:after="0" w:line="360" w:lineRule="auto"/>
        <w:jc w:val="both"/>
        <w:rPr>
          <w:rFonts w:cs="Calibri"/>
        </w:rPr>
      </w:pPr>
      <w:r w:rsidRPr="008F4075">
        <w:rPr>
          <w:rFonts w:cs="Calibri"/>
        </w:rPr>
        <w:t>prevence a regulace zavlékání či vysazování a šíření invazních nepůvodních druhů</w:t>
      </w:r>
    </w:p>
    <w:p w14:paraId="7772174B" w14:textId="77777777" w:rsidR="008F4075" w:rsidRPr="008F4075" w:rsidRDefault="008F4075" w:rsidP="00543C1B">
      <w:pPr>
        <w:pStyle w:val="Odstavecseseznamem"/>
        <w:numPr>
          <w:ilvl w:val="0"/>
          <w:numId w:val="210"/>
        </w:numPr>
        <w:autoSpaceDE w:val="0"/>
        <w:autoSpaceDN w:val="0"/>
        <w:adjustRightInd w:val="0"/>
        <w:spacing w:after="0" w:line="360" w:lineRule="auto"/>
        <w:jc w:val="both"/>
        <w:rPr>
          <w:rFonts w:cs="Calibri"/>
        </w:rPr>
      </w:pPr>
      <w:r w:rsidRPr="008F4075">
        <w:rPr>
          <w:rFonts w:cs="Calibri"/>
        </w:rPr>
        <w:t>používání cizích a místně se nevyskytujících druhů v akvakultuře</w:t>
      </w:r>
    </w:p>
    <w:p w14:paraId="6EF48796" w14:textId="77777777" w:rsidR="008F4075" w:rsidRPr="008F4075" w:rsidRDefault="008F4075" w:rsidP="00543C1B">
      <w:pPr>
        <w:pStyle w:val="Odstavecseseznamem"/>
        <w:numPr>
          <w:ilvl w:val="0"/>
          <w:numId w:val="210"/>
        </w:numPr>
        <w:autoSpaceDE w:val="0"/>
        <w:autoSpaceDN w:val="0"/>
        <w:adjustRightInd w:val="0"/>
        <w:spacing w:after="0" w:line="360" w:lineRule="auto"/>
        <w:jc w:val="both"/>
        <w:rPr>
          <w:rFonts w:cs="Calibri"/>
        </w:rPr>
      </w:pPr>
      <w:r w:rsidRPr="008F4075">
        <w:rPr>
          <w:rFonts w:cs="Calibri"/>
        </w:rPr>
        <w:t xml:space="preserve">používání pesticidů, metody a postupy udržování chráněných ekosystémů a jejich složek, biotopů druhů a populací druhů, v příznivém stavu </w:t>
      </w:r>
    </w:p>
    <w:p w14:paraId="360282B3" w14:textId="77777777" w:rsidR="008F4075" w:rsidRPr="008F4075" w:rsidRDefault="008F4075" w:rsidP="008F4075">
      <w:pPr>
        <w:pStyle w:val="Odstavecseseznamem"/>
        <w:autoSpaceDE w:val="0"/>
        <w:autoSpaceDN w:val="0"/>
        <w:adjustRightInd w:val="0"/>
        <w:spacing w:after="0" w:line="360" w:lineRule="auto"/>
        <w:jc w:val="both"/>
        <w:rPr>
          <w:rFonts w:cs="Calibri"/>
        </w:rPr>
      </w:pPr>
    </w:p>
    <w:p w14:paraId="195CD496" w14:textId="77777777" w:rsidR="008F4075" w:rsidRPr="008F4075" w:rsidRDefault="008F4075" w:rsidP="00543C1B">
      <w:pPr>
        <w:pStyle w:val="Bezmezer"/>
        <w:numPr>
          <w:ilvl w:val="0"/>
          <w:numId w:val="208"/>
        </w:numPr>
        <w:spacing w:line="360" w:lineRule="auto"/>
        <w:jc w:val="both"/>
        <w:rPr>
          <w:rFonts w:asciiTheme="minorHAnsi" w:hAnsiTheme="minorHAnsi" w:cs="Calibri,Bold"/>
          <w:b/>
          <w:bCs/>
        </w:rPr>
      </w:pPr>
      <w:r w:rsidRPr="008F4075">
        <w:rPr>
          <w:rFonts w:asciiTheme="minorHAnsi" w:hAnsiTheme="minorHAnsi" w:cs="Calibri,Bold"/>
          <w:b/>
          <w:bCs/>
        </w:rPr>
        <w:t>Globální změny (a adaptace na změnu klimatu)</w:t>
      </w:r>
    </w:p>
    <w:p w14:paraId="195443E1" w14:textId="77777777" w:rsidR="008F4075" w:rsidRPr="008F4075" w:rsidRDefault="008F4075" w:rsidP="00543C1B">
      <w:pPr>
        <w:pStyle w:val="Odstavecseseznamem"/>
        <w:numPr>
          <w:ilvl w:val="0"/>
          <w:numId w:val="211"/>
        </w:numPr>
        <w:autoSpaceDE w:val="0"/>
        <w:autoSpaceDN w:val="0"/>
        <w:adjustRightInd w:val="0"/>
        <w:spacing w:after="0" w:line="360" w:lineRule="auto"/>
        <w:jc w:val="both"/>
        <w:rPr>
          <w:rFonts w:cs="Calibri"/>
        </w:rPr>
      </w:pPr>
      <w:r w:rsidRPr="008F4075">
        <w:rPr>
          <w:rFonts w:cs="Calibri"/>
        </w:rPr>
        <w:t>metodologie hodnocení míry ekologických rizik</w:t>
      </w:r>
    </w:p>
    <w:p w14:paraId="50BCC9DB" w14:textId="77777777" w:rsidR="008F4075" w:rsidRPr="008F4075" w:rsidRDefault="008F4075" w:rsidP="00543C1B">
      <w:pPr>
        <w:pStyle w:val="Odstavecseseznamem"/>
        <w:numPr>
          <w:ilvl w:val="0"/>
          <w:numId w:val="211"/>
        </w:numPr>
        <w:autoSpaceDE w:val="0"/>
        <w:autoSpaceDN w:val="0"/>
        <w:adjustRightInd w:val="0"/>
        <w:spacing w:after="0" w:line="360" w:lineRule="auto"/>
        <w:jc w:val="both"/>
        <w:rPr>
          <w:rFonts w:cs="Calibri"/>
        </w:rPr>
      </w:pPr>
      <w:r w:rsidRPr="008F4075">
        <w:rPr>
          <w:rFonts w:cs="Calibri"/>
        </w:rPr>
        <w:t xml:space="preserve">výzkum migrace, akumulace a uvolňování prvků a sloučenin v antropogenně zasaženém prostředí a jejich přírodních geochemických cyklů v horninovém a půdním prostředí </w:t>
      </w:r>
    </w:p>
    <w:p w14:paraId="7598BC75" w14:textId="77777777" w:rsidR="008F4075" w:rsidRPr="008F4075" w:rsidRDefault="008F4075" w:rsidP="00543C1B">
      <w:pPr>
        <w:pStyle w:val="Odstavecseseznamem"/>
        <w:numPr>
          <w:ilvl w:val="0"/>
          <w:numId w:val="211"/>
        </w:numPr>
        <w:autoSpaceDE w:val="0"/>
        <w:autoSpaceDN w:val="0"/>
        <w:adjustRightInd w:val="0"/>
        <w:spacing w:after="0" w:line="360" w:lineRule="auto"/>
        <w:jc w:val="both"/>
        <w:rPr>
          <w:rFonts w:cs="Calibri"/>
        </w:rPr>
      </w:pPr>
      <w:r w:rsidRPr="008F4075">
        <w:rPr>
          <w:rFonts w:cs="Calibri"/>
        </w:rPr>
        <w:t>metodický výzkum a identifikace sofistikovaných indikátorů kvality složek životního prostředí</w:t>
      </w:r>
    </w:p>
    <w:p w14:paraId="7F82D5E7" w14:textId="77777777" w:rsidR="008F4075" w:rsidRPr="008F4075" w:rsidRDefault="008F4075" w:rsidP="008F4075">
      <w:pPr>
        <w:pStyle w:val="Bezmezer"/>
        <w:spacing w:line="360" w:lineRule="auto"/>
        <w:jc w:val="both"/>
        <w:rPr>
          <w:rFonts w:asciiTheme="minorHAnsi" w:hAnsiTheme="minorHAnsi" w:cs="Calibri"/>
        </w:rPr>
      </w:pPr>
    </w:p>
    <w:p w14:paraId="5954F36E" w14:textId="77777777" w:rsidR="008F4075" w:rsidRPr="008F4075" w:rsidRDefault="008F4075" w:rsidP="00543C1B">
      <w:pPr>
        <w:pStyle w:val="Odstavecseseznamem"/>
        <w:numPr>
          <w:ilvl w:val="0"/>
          <w:numId w:val="208"/>
        </w:numPr>
        <w:autoSpaceDE w:val="0"/>
        <w:autoSpaceDN w:val="0"/>
        <w:adjustRightInd w:val="0"/>
        <w:spacing w:after="0" w:line="360" w:lineRule="auto"/>
        <w:jc w:val="both"/>
        <w:rPr>
          <w:rFonts w:cs="Calibri,Bold"/>
          <w:b/>
          <w:bCs/>
        </w:rPr>
      </w:pPr>
      <w:r w:rsidRPr="008F4075">
        <w:rPr>
          <w:rFonts w:cs="Calibri,Bold"/>
          <w:b/>
          <w:bCs/>
        </w:rPr>
        <w:t>Udržitelný rozvoj krajiny (a environmentální bezpečnost)</w:t>
      </w:r>
    </w:p>
    <w:p w14:paraId="2B0BAE2F" w14:textId="77777777" w:rsidR="008F4075" w:rsidRPr="008F4075" w:rsidRDefault="008F4075" w:rsidP="00543C1B">
      <w:pPr>
        <w:pStyle w:val="Odstavecseseznamem"/>
        <w:numPr>
          <w:ilvl w:val="0"/>
          <w:numId w:val="212"/>
        </w:numPr>
        <w:autoSpaceDE w:val="0"/>
        <w:autoSpaceDN w:val="0"/>
        <w:adjustRightInd w:val="0"/>
        <w:spacing w:after="0" w:line="360" w:lineRule="auto"/>
        <w:jc w:val="both"/>
        <w:rPr>
          <w:rFonts w:cs="Calibri"/>
        </w:rPr>
      </w:pPr>
      <w:r w:rsidRPr="008F4075">
        <w:rPr>
          <w:rFonts w:cs="Calibri"/>
        </w:rPr>
        <w:t>zachování přirozených vlastností (funkcí) krajiny (ekologická stabilita, vodní režim krajiny, půdotvorné procesy, biodiverzita, migrační prostupnost krajiny)</w:t>
      </w:r>
    </w:p>
    <w:p w14:paraId="7A261823" w14:textId="77777777" w:rsidR="008F4075" w:rsidRPr="008F4075" w:rsidRDefault="008F4075" w:rsidP="00543C1B">
      <w:pPr>
        <w:pStyle w:val="Odstavecseseznamem"/>
        <w:numPr>
          <w:ilvl w:val="0"/>
          <w:numId w:val="212"/>
        </w:numPr>
        <w:autoSpaceDE w:val="0"/>
        <w:autoSpaceDN w:val="0"/>
        <w:adjustRightInd w:val="0"/>
        <w:spacing w:after="0" w:line="360" w:lineRule="auto"/>
        <w:jc w:val="both"/>
        <w:rPr>
          <w:rFonts w:cs="Calibri"/>
        </w:rPr>
      </w:pPr>
      <w:r w:rsidRPr="008F4075">
        <w:rPr>
          <w:rFonts w:cs="Calibri"/>
        </w:rPr>
        <w:t>obnova a udržení ekosystémů poskytujících ekosystémové služby jako neoddělitelná součást způsobů využívání krajiny</w:t>
      </w:r>
    </w:p>
    <w:p w14:paraId="2278F978" w14:textId="77777777" w:rsidR="008F4075" w:rsidRPr="008F4075" w:rsidRDefault="008F4075" w:rsidP="00543C1B">
      <w:pPr>
        <w:pStyle w:val="Odstavecseseznamem"/>
        <w:numPr>
          <w:ilvl w:val="0"/>
          <w:numId w:val="212"/>
        </w:numPr>
        <w:autoSpaceDE w:val="0"/>
        <w:autoSpaceDN w:val="0"/>
        <w:adjustRightInd w:val="0"/>
        <w:spacing w:after="0" w:line="360" w:lineRule="auto"/>
        <w:jc w:val="both"/>
        <w:rPr>
          <w:rFonts w:cs="Calibri"/>
        </w:rPr>
      </w:pPr>
      <w:r w:rsidRPr="008F4075">
        <w:rPr>
          <w:rFonts w:cs="Calibri"/>
        </w:rPr>
        <w:t>predikce působení různých vlivů a jejich kombinací na funkční využití krajiny</w:t>
      </w:r>
    </w:p>
    <w:p w14:paraId="160722B9" w14:textId="77777777" w:rsidR="008F4075" w:rsidRPr="008F4075" w:rsidRDefault="008F4075" w:rsidP="00543C1B">
      <w:pPr>
        <w:pStyle w:val="Odstavecseseznamem"/>
        <w:numPr>
          <w:ilvl w:val="0"/>
          <w:numId w:val="212"/>
        </w:numPr>
        <w:autoSpaceDE w:val="0"/>
        <w:autoSpaceDN w:val="0"/>
        <w:adjustRightInd w:val="0"/>
        <w:spacing w:after="0" w:line="360" w:lineRule="auto"/>
        <w:jc w:val="both"/>
        <w:rPr>
          <w:rFonts w:cs="Calibri"/>
        </w:rPr>
      </w:pPr>
      <w:r w:rsidRPr="008F4075">
        <w:rPr>
          <w:rFonts w:cs="Calibri"/>
        </w:rPr>
        <w:t>systém vyhodnocování stavu složek životního prostředí a krajiny</w:t>
      </w:r>
    </w:p>
    <w:p w14:paraId="2ACBDA8A" w14:textId="77777777" w:rsidR="008F4075" w:rsidRPr="008F4075" w:rsidRDefault="008F4075" w:rsidP="00543C1B">
      <w:pPr>
        <w:pStyle w:val="Odstavecseseznamem"/>
        <w:numPr>
          <w:ilvl w:val="0"/>
          <w:numId w:val="212"/>
        </w:numPr>
        <w:autoSpaceDE w:val="0"/>
        <w:autoSpaceDN w:val="0"/>
        <w:adjustRightInd w:val="0"/>
        <w:spacing w:after="0" w:line="360" w:lineRule="auto"/>
        <w:jc w:val="both"/>
        <w:rPr>
          <w:rFonts w:cs="Calibri"/>
        </w:rPr>
      </w:pPr>
      <w:r w:rsidRPr="008F4075">
        <w:rPr>
          <w:rFonts w:cs="Calibri"/>
        </w:rPr>
        <w:t>predikce vlivu přírodních jevů a procesů, využití přírodního potenciálu a vyhodnocování jejich dopadu na složky životního prostředí, na krajinu a společnost</w:t>
      </w:r>
    </w:p>
    <w:p w14:paraId="698BB6F9" w14:textId="77777777" w:rsidR="008F4075" w:rsidRPr="008F4075" w:rsidRDefault="008F4075" w:rsidP="00543C1B">
      <w:pPr>
        <w:pStyle w:val="Odstavecseseznamem"/>
        <w:numPr>
          <w:ilvl w:val="0"/>
          <w:numId w:val="212"/>
        </w:numPr>
        <w:autoSpaceDE w:val="0"/>
        <w:autoSpaceDN w:val="0"/>
        <w:adjustRightInd w:val="0"/>
        <w:spacing w:after="0" w:line="360" w:lineRule="auto"/>
        <w:jc w:val="both"/>
        <w:rPr>
          <w:rFonts w:cs="Calibri"/>
        </w:rPr>
      </w:pPr>
      <w:r w:rsidRPr="008F4075">
        <w:rPr>
          <w:rFonts w:cs="Calibri"/>
        </w:rPr>
        <w:t>vliv antropogenních jevů a dějů na ekologickou stabilitu krajiny; možnosti zachování a obnovy přirozených vlastností (funkcí) krajiny - ekologická stabilita, vodní režim krajiny, půdotvorné procesy, biodiverzita, migrační prostupnost krajiny)</w:t>
      </w:r>
    </w:p>
    <w:p w14:paraId="2FF75C4E" w14:textId="77777777" w:rsidR="008F4075" w:rsidRDefault="008F4075" w:rsidP="00543C1B">
      <w:pPr>
        <w:pStyle w:val="Odstavecseseznamem"/>
        <w:numPr>
          <w:ilvl w:val="0"/>
          <w:numId w:val="212"/>
        </w:numPr>
        <w:autoSpaceDE w:val="0"/>
        <w:autoSpaceDN w:val="0"/>
        <w:adjustRightInd w:val="0"/>
        <w:spacing w:after="0" w:line="360" w:lineRule="auto"/>
        <w:jc w:val="both"/>
        <w:rPr>
          <w:rFonts w:cs="Calibri"/>
        </w:rPr>
      </w:pPr>
      <w:r w:rsidRPr="008F4075">
        <w:rPr>
          <w:rFonts w:cs="Calibri"/>
        </w:rPr>
        <w:t>metodologie stanovení kvantitativních a kvalitativních parametrů stability ekosystémů a ekologických sítí a podmínek jejich udržitelnosti</w:t>
      </w:r>
    </w:p>
    <w:p w14:paraId="42E0BCE3" w14:textId="77777777" w:rsidR="000B7BAF" w:rsidRPr="008F4075" w:rsidRDefault="000B7BAF" w:rsidP="000B7BAF">
      <w:pPr>
        <w:pStyle w:val="Odstavecseseznamem"/>
        <w:autoSpaceDE w:val="0"/>
        <w:autoSpaceDN w:val="0"/>
        <w:adjustRightInd w:val="0"/>
        <w:spacing w:after="0" w:line="360" w:lineRule="auto"/>
        <w:jc w:val="both"/>
        <w:rPr>
          <w:rFonts w:cs="Calibri"/>
        </w:rPr>
      </w:pPr>
    </w:p>
    <w:p w14:paraId="3F9CDAC0" w14:textId="77777777" w:rsidR="008F4075" w:rsidRPr="00BB3594" w:rsidRDefault="008F4075" w:rsidP="008F4075">
      <w:pPr>
        <w:pStyle w:val="Bezmezer"/>
        <w:spacing w:line="276" w:lineRule="auto"/>
        <w:jc w:val="both"/>
        <w:rPr>
          <w:rFonts w:asciiTheme="minorHAnsi" w:hAnsiTheme="minorHAnsi" w:cs="Calibri"/>
        </w:rPr>
      </w:pPr>
    </w:p>
    <w:p w14:paraId="40CD8F1A" w14:textId="41DB680E" w:rsidR="004A6346" w:rsidRPr="004A6346" w:rsidRDefault="004A6346" w:rsidP="00543C1B">
      <w:pPr>
        <w:pStyle w:val="Odstavecseseznamem"/>
        <w:numPr>
          <w:ilvl w:val="0"/>
          <w:numId w:val="207"/>
        </w:numPr>
        <w:spacing w:line="360" w:lineRule="auto"/>
        <w:rPr>
          <w:u w:val="single"/>
          <w:lang w:eastAsia="cs-CZ"/>
        </w:rPr>
      </w:pPr>
      <w:r w:rsidRPr="004A6346">
        <w:rPr>
          <w:u w:val="single"/>
          <w:lang w:eastAsia="cs-CZ"/>
        </w:rPr>
        <w:t>Indikativní vztah ke klasifikaci CZ NACE</w:t>
      </w:r>
    </w:p>
    <w:p w14:paraId="676C8EFA" w14:textId="77777777" w:rsidR="000B7BAF" w:rsidRPr="000B7BAF" w:rsidRDefault="000B7BAF" w:rsidP="000B7BAF">
      <w:pPr>
        <w:pStyle w:val="Bezmezer"/>
        <w:spacing w:line="360" w:lineRule="auto"/>
        <w:jc w:val="both"/>
        <w:rPr>
          <w:rFonts w:asciiTheme="minorHAnsi" w:hAnsiTheme="minorHAnsi" w:cs="Calibri"/>
          <w:b/>
        </w:rPr>
      </w:pPr>
      <w:r w:rsidRPr="000B7BAF">
        <w:rPr>
          <w:rFonts w:asciiTheme="minorHAnsi" w:hAnsiTheme="minorHAnsi"/>
          <w:b/>
        </w:rPr>
        <w:t>Hlavní relevantní CZ NACE</w:t>
      </w:r>
      <w:r w:rsidRPr="000B7BAF">
        <w:rPr>
          <w:rFonts w:asciiTheme="minorHAnsi" w:hAnsiTheme="minorHAnsi"/>
        </w:rPr>
        <w:t>:</w:t>
      </w:r>
    </w:p>
    <w:p w14:paraId="0E7AF9F5" w14:textId="49DEAEAB" w:rsidR="00CC733A" w:rsidRPr="000B7BAF" w:rsidRDefault="00CC733A" w:rsidP="00B86E5C">
      <w:pPr>
        <w:tabs>
          <w:tab w:val="left" w:pos="1843"/>
        </w:tabs>
        <w:autoSpaceDE w:val="0"/>
        <w:autoSpaceDN w:val="0"/>
        <w:adjustRightInd w:val="0"/>
        <w:spacing w:line="360" w:lineRule="auto"/>
        <w:ind w:left="1416" w:hanging="639"/>
        <w:jc w:val="both"/>
      </w:pPr>
      <w:r w:rsidRPr="00AB69CF">
        <w:rPr>
          <w:rFonts w:cs="Calibri"/>
        </w:rPr>
        <w:t>01</w:t>
      </w:r>
      <w:r>
        <w:rPr>
          <w:rFonts w:eastAsia="Times New Roman" w:cs="Times New Roman"/>
        </w:rPr>
        <w:tab/>
      </w:r>
      <w:r w:rsidRPr="000B7BAF">
        <w:rPr>
          <w:rFonts w:cs="Calibri"/>
        </w:rPr>
        <w:t xml:space="preserve">Rostlinná a živočišná výroba, myslivost a souvis. činnosti s výjimkou </w:t>
      </w:r>
      <w:r w:rsidRPr="000B7BAF">
        <w:rPr>
          <w:rFonts w:cs="Calibri"/>
          <w:b/>
        </w:rPr>
        <w:t>CZ NACE 01.1</w:t>
      </w:r>
      <w:r w:rsidRPr="000B7BAF">
        <w:rPr>
          <w:rFonts w:cs="Calibri"/>
        </w:rPr>
        <w:t xml:space="preserve"> Pěstování plodin jiných než trvalých, </w:t>
      </w:r>
      <w:r w:rsidRPr="000B7BAF">
        <w:rPr>
          <w:rFonts w:cs="Calibri"/>
          <w:b/>
        </w:rPr>
        <w:t xml:space="preserve">CZ NACE 01.2 </w:t>
      </w:r>
      <w:r w:rsidRPr="000B7BAF">
        <w:rPr>
          <w:rFonts w:cs="Calibri"/>
        </w:rPr>
        <w:t xml:space="preserve">Pěstování trvalých plodin, </w:t>
      </w:r>
      <w:r w:rsidRPr="000B7BAF">
        <w:rPr>
          <w:rFonts w:cs="Calibri"/>
          <w:b/>
        </w:rPr>
        <w:t>CZ NACE 01.3</w:t>
      </w:r>
      <w:r w:rsidRPr="000B7BAF">
        <w:rPr>
          <w:rFonts w:cs="Calibri"/>
        </w:rPr>
        <w:t xml:space="preserve"> Množení rostlin, </w:t>
      </w:r>
      <w:r w:rsidRPr="000B7BAF">
        <w:rPr>
          <w:rFonts w:cs="Calibri"/>
          <w:b/>
        </w:rPr>
        <w:t>CZ NACE 01.4</w:t>
      </w:r>
      <w:r w:rsidRPr="000B7BAF">
        <w:rPr>
          <w:rFonts w:cs="Calibri"/>
        </w:rPr>
        <w:t xml:space="preserve"> Živočišná výroba, veterinární medicína (aktivní tvorba zdraví zvířat), </w:t>
      </w:r>
      <w:r w:rsidRPr="000B7BAF">
        <w:rPr>
          <w:rFonts w:cs="Calibri"/>
          <w:b/>
        </w:rPr>
        <w:t>CZ</w:t>
      </w:r>
      <w:r w:rsidR="005B307F">
        <w:rPr>
          <w:rFonts w:cs="Calibri"/>
          <w:b/>
        </w:rPr>
        <w:t> </w:t>
      </w:r>
      <w:r w:rsidRPr="000B7BAF">
        <w:rPr>
          <w:rFonts w:cs="Calibri"/>
          <w:b/>
        </w:rPr>
        <w:t>NACE</w:t>
      </w:r>
      <w:r w:rsidRPr="000B7BAF">
        <w:rPr>
          <w:rFonts w:cs="Calibri"/>
        </w:rPr>
        <w:t xml:space="preserve"> </w:t>
      </w:r>
      <w:r w:rsidRPr="000B7BAF">
        <w:rPr>
          <w:rFonts w:cs="Calibri"/>
          <w:b/>
        </w:rPr>
        <w:t>01.6</w:t>
      </w:r>
      <w:r w:rsidRPr="000B7BAF">
        <w:rPr>
          <w:rFonts w:cs="Calibri"/>
        </w:rPr>
        <w:t xml:space="preserve"> Podpůrné činnosti pro zemědělství a posklizňové činnosti a </w:t>
      </w:r>
      <w:r w:rsidRPr="000B7BAF">
        <w:rPr>
          <w:b/>
        </w:rPr>
        <w:t xml:space="preserve">CZ NACE </w:t>
      </w:r>
      <w:r w:rsidRPr="000B7BAF">
        <w:rPr>
          <w:rFonts w:cs="Calibri"/>
          <w:b/>
        </w:rPr>
        <w:t>01.7</w:t>
      </w:r>
      <w:r w:rsidRPr="000B7BAF">
        <w:rPr>
          <w:rFonts w:cs="Calibri"/>
        </w:rPr>
        <w:t xml:space="preserve"> Lov a odchyt divokých zvířat a související činnosti</w:t>
      </w:r>
    </w:p>
    <w:p w14:paraId="1ED3E52D" w14:textId="6A1C7148" w:rsidR="00CC733A" w:rsidRPr="00AB69CF" w:rsidRDefault="00CC733A" w:rsidP="000B7BAF">
      <w:pPr>
        <w:pStyle w:val="Bezmezer1"/>
        <w:tabs>
          <w:tab w:val="left" w:pos="1843"/>
        </w:tabs>
        <w:spacing w:before="40" w:after="40" w:line="360" w:lineRule="auto"/>
        <w:ind w:left="113"/>
        <w:rPr>
          <w:rFonts w:asciiTheme="minorHAnsi" w:hAnsiTheme="minorHAnsi"/>
        </w:rPr>
      </w:pPr>
      <w:r w:rsidRPr="00AB69CF">
        <w:rPr>
          <w:rFonts w:asciiTheme="minorHAnsi" w:hAnsiTheme="minorHAnsi" w:cs="Calibri"/>
        </w:rPr>
        <w:tab/>
        <w:t>05.1</w:t>
      </w:r>
      <w:r w:rsidRPr="00AB69CF">
        <w:rPr>
          <w:rFonts w:asciiTheme="minorHAnsi" w:hAnsiTheme="minorHAnsi"/>
        </w:rPr>
        <w:tab/>
        <w:t>Těžba a úprava černého uhlí</w:t>
      </w:r>
    </w:p>
    <w:p w14:paraId="420BB987" w14:textId="19689700" w:rsidR="00CC733A" w:rsidRPr="00AB69CF" w:rsidRDefault="00CC733A" w:rsidP="000B7BAF">
      <w:pPr>
        <w:pStyle w:val="Bezmezer1"/>
        <w:tabs>
          <w:tab w:val="left" w:pos="1843"/>
        </w:tabs>
        <w:spacing w:before="40" w:after="40" w:line="360" w:lineRule="auto"/>
        <w:ind w:left="113"/>
        <w:rPr>
          <w:rFonts w:asciiTheme="minorHAnsi" w:hAnsiTheme="minorHAnsi"/>
        </w:rPr>
      </w:pPr>
      <w:r w:rsidRPr="00AB69CF">
        <w:rPr>
          <w:rFonts w:asciiTheme="minorHAnsi" w:hAnsiTheme="minorHAnsi"/>
        </w:rPr>
        <w:tab/>
      </w:r>
      <w:r w:rsidRPr="00AB69CF">
        <w:rPr>
          <w:rFonts w:asciiTheme="minorHAnsi" w:hAnsiTheme="minorHAnsi" w:cs="Calibri"/>
        </w:rPr>
        <w:t>05.2</w:t>
      </w:r>
      <w:r w:rsidRPr="00AB69CF">
        <w:rPr>
          <w:rFonts w:asciiTheme="minorHAnsi" w:hAnsiTheme="minorHAnsi"/>
        </w:rPr>
        <w:tab/>
        <w:t>Těžba a úprava hnědého uhlí</w:t>
      </w:r>
    </w:p>
    <w:p w14:paraId="56D94323" w14:textId="29291EFB" w:rsidR="00CC733A" w:rsidRPr="00AB69CF" w:rsidRDefault="00CC733A" w:rsidP="000B7BAF">
      <w:pPr>
        <w:pStyle w:val="Bezmezer1"/>
        <w:tabs>
          <w:tab w:val="left" w:pos="1843"/>
        </w:tabs>
        <w:spacing w:before="40" w:after="40" w:line="360" w:lineRule="auto"/>
        <w:ind w:left="113"/>
        <w:rPr>
          <w:rFonts w:asciiTheme="minorHAnsi" w:hAnsiTheme="minorHAnsi"/>
        </w:rPr>
      </w:pPr>
      <w:r w:rsidRPr="00AB69CF">
        <w:rPr>
          <w:rFonts w:asciiTheme="minorHAnsi" w:hAnsiTheme="minorHAnsi"/>
        </w:rPr>
        <w:tab/>
      </w:r>
      <w:r w:rsidRPr="00AB69CF">
        <w:rPr>
          <w:rFonts w:asciiTheme="minorHAnsi" w:hAnsiTheme="minorHAnsi" w:cs="Calibri"/>
        </w:rPr>
        <w:t>06.1</w:t>
      </w:r>
      <w:r w:rsidRPr="00AB69CF">
        <w:rPr>
          <w:rFonts w:asciiTheme="minorHAnsi" w:hAnsiTheme="minorHAnsi"/>
        </w:rPr>
        <w:tab/>
        <w:t>Těžba ropy</w:t>
      </w:r>
    </w:p>
    <w:p w14:paraId="67F18069" w14:textId="045110D6" w:rsidR="00CC733A" w:rsidRPr="00AB69CF" w:rsidRDefault="00CC733A" w:rsidP="000B7BAF">
      <w:pPr>
        <w:pStyle w:val="Bezmezer1"/>
        <w:tabs>
          <w:tab w:val="left" w:pos="1843"/>
        </w:tabs>
        <w:spacing w:before="40" w:after="40" w:line="360" w:lineRule="auto"/>
        <w:ind w:left="113"/>
        <w:rPr>
          <w:rFonts w:asciiTheme="minorHAnsi" w:hAnsiTheme="minorHAnsi"/>
        </w:rPr>
      </w:pPr>
      <w:r w:rsidRPr="00AB69CF">
        <w:rPr>
          <w:rFonts w:asciiTheme="minorHAnsi" w:hAnsiTheme="minorHAnsi"/>
        </w:rPr>
        <w:tab/>
      </w:r>
      <w:r w:rsidRPr="00AB69CF">
        <w:rPr>
          <w:rFonts w:asciiTheme="minorHAnsi" w:hAnsiTheme="minorHAnsi" w:cs="Arial"/>
        </w:rPr>
        <w:t>07.1</w:t>
      </w:r>
      <w:r w:rsidRPr="00AB69CF">
        <w:rPr>
          <w:rFonts w:asciiTheme="minorHAnsi" w:hAnsiTheme="minorHAnsi"/>
        </w:rPr>
        <w:tab/>
        <w:t>Těžba a úprava železných rud</w:t>
      </w:r>
    </w:p>
    <w:p w14:paraId="36D82F29" w14:textId="4B23817E" w:rsidR="00CC733A" w:rsidRPr="00AB69CF" w:rsidRDefault="00CC733A" w:rsidP="000B7BAF">
      <w:pPr>
        <w:pStyle w:val="Bezmezer1"/>
        <w:tabs>
          <w:tab w:val="left" w:pos="1843"/>
        </w:tabs>
        <w:spacing w:before="40" w:after="40" w:line="360" w:lineRule="auto"/>
        <w:ind w:left="113"/>
        <w:rPr>
          <w:rFonts w:asciiTheme="minorHAnsi" w:hAnsiTheme="minorHAnsi"/>
        </w:rPr>
      </w:pPr>
      <w:r w:rsidRPr="00AB69CF">
        <w:rPr>
          <w:rFonts w:asciiTheme="minorHAnsi" w:hAnsiTheme="minorHAnsi"/>
        </w:rPr>
        <w:tab/>
      </w:r>
      <w:r w:rsidRPr="00AB69CF">
        <w:rPr>
          <w:rFonts w:asciiTheme="minorHAnsi" w:hAnsiTheme="minorHAnsi" w:cs="Arial"/>
        </w:rPr>
        <w:t>07.2</w:t>
      </w:r>
      <w:r w:rsidRPr="00AB69CF">
        <w:rPr>
          <w:rFonts w:asciiTheme="minorHAnsi" w:hAnsiTheme="minorHAnsi"/>
        </w:rPr>
        <w:tab/>
        <w:t>Těžba a úprava neželezných rud</w:t>
      </w:r>
    </w:p>
    <w:p w14:paraId="1E960AC5" w14:textId="5BC22704" w:rsidR="00CC733A" w:rsidRPr="00AB69CF" w:rsidRDefault="00CC733A" w:rsidP="00CC733A">
      <w:pPr>
        <w:pStyle w:val="Bezmezer1"/>
        <w:tabs>
          <w:tab w:val="left" w:pos="1843"/>
        </w:tabs>
        <w:spacing w:before="40" w:after="40" w:line="360" w:lineRule="auto"/>
        <w:ind w:left="113" w:firstLine="777"/>
        <w:rPr>
          <w:rFonts w:asciiTheme="minorHAnsi" w:hAnsiTheme="minorHAnsi"/>
        </w:rPr>
      </w:pPr>
      <w:r w:rsidRPr="00AB69CF">
        <w:rPr>
          <w:rFonts w:asciiTheme="minorHAnsi" w:hAnsiTheme="minorHAnsi" w:cs="Arial"/>
        </w:rPr>
        <w:t>08</w:t>
      </w:r>
      <w:r w:rsidRPr="00AB69CF">
        <w:rPr>
          <w:rFonts w:asciiTheme="minorHAnsi" w:hAnsiTheme="minorHAnsi"/>
        </w:rPr>
        <w:tab/>
        <w:t>Ostatní těžba a dobývání</w:t>
      </w:r>
    </w:p>
    <w:p w14:paraId="7D27D6FE" w14:textId="18E48031" w:rsidR="00CC733A" w:rsidRPr="00AB69CF" w:rsidRDefault="00CC733A" w:rsidP="00CC733A">
      <w:pPr>
        <w:pStyle w:val="Bezmezer1"/>
        <w:tabs>
          <w:tab w:val="left" w:pos="1843"/>
        </w:tabs>
        <w:spacing w:before="40" w:after="40" w:line="360" w:lineRule="auto"/>
        <w:ind w:left="113" w:firstLine="777"/>
        <w:rPr>
          <w:rFonts w:asciiTheme="minorHAnsi" w:hAnsiTheme="minorHAnsi"/>
        </w:rPr>
      </w:pPr>
      <w:r w:rsidRPr="00AB69CF">
        <w:rPr>
          <w:rFonts w:asciiTheme="minorHAnsi" w:hAnsiTheme="minorHAnsi" w:cs="Arial"/>
        </w:rPr>
        <w:t>09</w:t>
      </w:r>
      <w:r w:rsidRPr="00AB69CF">
        <w:rPr>
          <w:rFonts w:asciiTheme="minorHAnsi" w:hAnsiTheme="minorHAnsi"/>
        </w:rPr>
        <w:tab/>
        <w:t>Podpůrné činnosti při těžbě</w:t>
      </w:r>
    </w:p>
    <w:p w14:paraId="7C6FCDA6" w14:textId="2B3FD991" w:rsidR="00CC733A" w:rsidRPr="00AB69CF" w:rsidRDefault="00CC733A" w:rsidP="000B7BAF">
      <w:pPr>
        <w:pStyle w:val="Bezmezer1"/>
        <w:tabs>
          <w:tab w:val="left" w:pos="1843"/>
        </w:tabs>
        <w:spacing w:before="40" w:after="40" w:line="360" w:lineRule="auto"/>
        <w:ind w:left="113"/>
        <w:rPr>
          <w:rFonts w:asciiTheme="minorHAnsi" w:hAnsiTheme="minorHAnsi"/>
        </w:rPr>
      </w:pPr>
      <w:r w:rsidRPr="00AB69CF">
        <w:rPr>
          <w:rFonts w:asciiTheme="minorHAnsi" w:hAnsiTheme="minorHAnsi"/>
        </w:rPr>
        <w:tab/>
      </w:r>
      <w:r w:rsidRPr="00AB69CF">
        <w:rPr>
          <w:rFonts w:asciiTheme="minorHAnsi" w:hAnsiTheme="minorHAnsi" w:cs="Calibri"/>
        </w:rPr>
        <w:t>38.1</w:t>
      </w:r>
      <w:r w:rsidRPr="00AB69CF">
        <w:rPr>
          <w:rFonts w:asciiTheme="minorHAnsi" w:hAnsiTheme="minorHAnsi"/>
        </w:rPr>
        <w:tab/>
        <w:t>Shromažďování a sběr odpadů</w:t>
      </w:r>
    </w:p>
    <w:p w14:paraId="6831516A" w14:textId="15F3962A" w:rsidR="00CC733A" w:rsidRPr="00AB69CF" w:rsidRDefault="00CC733A" w:rsidP="000B7BAF">
      <w:pPr>
        <w:pStyle w:val="Bezmezer1"/>
        <w:tabs>
          <w:tab w:val="left" w:pos="1843"/>
        </w:tabs>
        <w:spacing w:before="40" w:after="40" w:line="360" w:lineRule="auto"/>
        <w:ind w:left="113"/>
        <w:rPr>
          <w:rFonts w:asciiTheme="minorHAnsi" w:hAnsiTheme="minorHAnsi" w:cs="Calibri"/>
        </w:rPr>
      </w:pPr>
      <w:r w:rsidRPr="00AB69CF">
        <w:rPr>
          <w:rFonts w:asciiTheme="minorHAnsi" w:hAnsiTheme="minorHAnsi"/>
        </w:rPr>
        <w:tab/>
      </w:r>
      <w:r w:rsidRPr="00AB69CF">
        <w:rPr>
          <w:rFonts w:asciiTheme="minorHAnsi" w:hAnsiTheme="minorHAnsi" w:cs="Calibri"/>
        </w:rPr>
        <w:t>38.2</w:t>
      </w:r>
      <w:r w:rsidRPr="00AB69CF">
        <w:rPr>
          <w:rFonts w:asciiTheme="minorHAnsi" w:hAnsiTheme="minorHAnsi"/>
        </w:rPr>
        <w:tab/>
      </w:r>
      <w:r w:rsidRPr="00AB69CF">
        <w:rPr>
          <w:rFonts w:asciiTheme="minorHAnsi" w:hAnsiTheme="minorHAnsi" w:cs="Calibri"/>
        </w:rPr>
        <w:t>Odstraňování odpadů</w:t>
      </w:r>
    </w:p>
    <w:p w14:paraId="470D2FF1" w14:textId="41DB6646" w:rsidR="00CC733A" w:rsidRPr="00AB69CF" w:rsidRDefault="00CC733A" w:rsidP="000B7BAF">
      <w:pPr>
        <w:pStyle w:val="Bezmezer1"/>
        <w:tabs>
          <w:tab w:val="left" w:pos="1843"/>
        </w:tabs>
        <w:spacing w:before="40" w:after="40" w:line="360" w:lineRule="auto"/>
        <w:ind w:left="113"/>
        <w:rPr>
          <w:rFonts w:asciiTheme="minorHAnsi" w:hAnsiTheme="minorHAnsi" w:cs="Calibri"/>
        </w:rPr>
      </w:pPr>
      <w:r w:rsidRPr="00AB69CF">
        <w:rPr>
          <w:rFonts w:asciiTheme="minorHAnsi" w:hAnsiTheme="minorHAnsi"/>
        </w:rPr>
        <w:tab/>
      </w:r>
      <w:r w:rsidRPr="00AB69CF">
        <w:rPr>
          <w:rFonts w:asciiTheme="minorHAnsi" w:hAnsiTheme="minorHAnsi" w:cs="Calibri"/>
        </w:rPr>
        <w:t>38.3</w:t>
      </w:r>
      <w:r w:rsidRPr="00AB69CF">
        <w:rPr>
          <w:rFonts w:asciiTheme="minorHAnsi" w:hAnsiTheme="minorHAnsi"/>
        </w:rPr>
        <w:tab/>
      </w:r>
      <w:r w:rsidRPr="00AB69CF">
        <w:rPr>
          <w:rFonts w:asciiTheme="minorHAnsi" w:hAnsiTheme="minorHAnsi" w:cs="Calibri"/>
        </w:rPr>
        <w:t>Úprava odpadů k dalšímu využití</w:t>
      </w:r>
    </w:p>
    <w:p w14:paraId="4E8DDCC2" w14:textId="7FA7FBE2" w:rsidR="00CC733A" w:rsidRPr="00AB69CF" w:rsidRDefault="00CC733A" w:rsidP="00CC733A">
      <w:pPr>
        <w:tabs>
          <w:tab w:val="left" w:pos="1843"/>
        </w:tabs>
        <w:autoSpaceDE w:val="0"/>
        <w:autoSpaceDN w:val="0"/>
        <w:adjustRightInd w:val="0"/>
        <w:spacing w:line="360" w:lineRule="auto"/>
        <w:ind w:firstLine="777"/>
      </w:pPr>
      <w:r w:rsidRPr="00AB69CF">
        <w:rPr>
          <w:rFonts w:cs="Calibri"/>
        </w:rPr>
        <w:t>39</w:t>
      </w:r>
      <w:r w:rsidRPr="00AB69CF">
        <w:rPr>
          <w:rFonts w:eastAsia="Times New Roman" w:cs="Times New Roman"/>
        </w:rPr>
        <w:tab/>
      </w:r>
      <w:r w:rsidRPr="00AB69CF">
        <w:rPr>
          <w:rFonts w:cs="Calibri"/>
        </w:rPr>
        <w:t>Sanace a jiné činnosti související s odpady</w:t>
      </w:r>
    </w:p>
    <w:p w14:paraId="554C1F21" w14:textId="335AE9DA" w:rsidR="00CC733A" w:rsidRPr="00AB69CF" w:rsidRDefault="00CC733A" w:rsidP="00CC733A">
      <w:pPr>
        <w:tabs>
          <w:tab w:val="left" w:pos="1843"/>
        </w:tabs>
        <w:autoSpaceDE w:val="0"/>
        <w:autoSpaceDN w:val="0"/>
        <w:adjustRightInd w:val="0"/>
        <w:spacing w:line="360" w:lineRule="auto"/>
        <w:ind w:firstLine="777"/>
      </w:pPr>
      <w:r w:rsidRPr="00AB69CF">
        <w:rPr>
          <w:rFonts w:cs="Calibri"/>
        </w:rPr>
        <w:t>49</w:t>
      </w:r>
      <w:r w:rsidRPr="00AB69CF">
        <w:rPr>
          <w:rFonts w:eastAsia="Times New Roman" w:cs="Times New Roman"/>
        </w:rPr>
        <w:tab/>
      </w:r>
      <w:r w:rsidRPr="00AB69CF">
        <w:rPr>
          <w:rFonts w:cs="Calibri"/>
        </w:rPr>
        <w:t>Pozemní a potrubní doprava</w:t>
      </w:r>
    </w:p>
    <w:p w14:paraId="331DA223" w14:textId="77777777" w:rsidR="000B7BAF" w:rsidRPr="000B7BAF" w:rsidRDefault="000B7BAF" w:rsidP="000B7BAF">
      <w:pPr>
        <w:pStyle w:val="Bezmezer"/>
        <w:spacing w:line="360" w:lineRule="auto"/>
        <w:jc w:val="both"/>
        <w:rPr>
          <w:rFonts w:asciiTheme="minorHAnsi" w:hAnsiTheme="minorHAnsi" w:cs="Calibri"/>
          <w:b/>
        </w:rPr>
      </w:pPr>
    </w:p>
    <w:p w14:paraId="12E1EAEA" w14:textId="6A770CA1" w:rsidR="000B7BAF" w:rsidRPr="000B7BAF" w:rsidRDefault="000B7BAF" w:rsidP="000B7BAF">
      <w:pPr>
        <w:pStyle w:val="Bezmezer1"/>
        <w:spacing w:before="40" w:after="40" w:line="360" w:lineRule="auto"/>
        <w:jc w:val="both"/>
        <w:rPr>
          <w:rFonts w:asciiTheme="minorHAnsi" w:hAnsiTheme="minorHAnsi" w:cs="Arial"/>
          <w:b/>
        </w:rPr>
      </w:pPr>
      <w:r w:rsidRPr="000B7BAF">
        <w:rPr>
          <w:rFonts w:asciiTheme="minorHAnsi" w:hAnsiTheme="minorHAnsi" w:cs="Arial"/>
          <w:b/>
        </w:rPr>
        <w:t>Návazné CZ NACE:</w:t>
      </w:r>
    </w:p>
    <w:p w14:paraId="263E01D7" w14:textId="57AD718B" w:rsidR="00CC733A" w:rsidRPr="00AB69CF" w:rsidRDefault="000C5D96" w:rsidP="000B7BAF">
      <w:pPr>
        <w:tabs>
          <w:tab w:val="left" w:pos="1923"/>
        </w:tabs>
        <w:autoSpaceDE w:val="0"/>
        <w:autoSpaceDN w:val="0"/>
        <w:adjustRightInd w:val="0"/>
        <w:spacing w:line="360" w:lineRule="auto"/>
        <w:ind w:left="108"/>
        <w:rPr>
          <w:rFonts w:cs="Calibri"/>
        </w:rPr>
      </w:pPr>
      <w:r>
        <w:rPr>
          <w:rFonts w:cs="Calibri"/>
          <w:b/>
        </w:rPr>
        <w:tab/>
      </w:r>
      <w:r w:rsidR="00CC733A" w:rsidRPr="00AB69CF">
        <w:rPr>
          <w:rFonts w:cs="Calibri"/>
        </w:rPr>
        <w:t>01.1</w:t>
      </w:r>
      <w:r w:rsidR="00CC733A" w:rsidRPr="00AB69CF">
        <w:rPr>
          <w:rFonts w:cs="Calibri"/>
        </w:rPr>
        <w:tab/>
        <w:t>Pěstování plodin jiných než trvalých</w:t>
      </w:r>
    </w:p>
    <w:p w14:paraId="33D95026" w14:textId="29293F64" w:rsidR="00CC733A" w:rsidRPr="00AB69CF" w:rsidRDefault="000C5D96" w:rsidP="000B7BAF">
      <w:pPr>
        <w:tabs>
          <w:tab w:val="left" w:pos="1923"/>
        </w:tabs>
        <w:autoSpaceDE w:val="0"/>
        <w:autoSpaceDN w:val="0"/>
        <w:adjustRightInd w:val="0"/>
        <w:spacing w:line="360" w:lineRule="auto"/>
        <w:ind w:left="108"/>
        <w:rPr>
          <w:rFonts w:cs="Calibri"/>
        </w:rPr>
      </w:pPr>
      <w:r w:rsidRPr="00AB69CF">
        <w:rPr>
          <w:rFonts w:cs="Calibri"/>
        </w:rPr>
        <w:tab/>
      </w:r>
      <w:r w:rsidR="00CC733A" w:rsidRPr="00AB69CF">
        <w:rPr>
          <w:rFonts w:cs="Calibri"/>
        </w:rPr>
        <w:t>01.2</w:t>
      </w:r>
      <w:r w:rsidR="00CC733A" w:rsidRPr="00AB69CF">
        <w:rPr>
          <w:rFonts w:cs="Calibri"/>
        </w:rPr>
        <w:tab/>
        <w:t>Pěstování trvalých plodin</w:t>
      </w:r>
    </w:p>
    <w:p w14:paraId="32E4A0BD" w14:textId="576A0B60" w:rsidR="00CC733A" w:rsidRPr="00AB69CF" w:rsidRDefault="000C5D96" w:rsidP="000B7BAF">
      <w:pPr>
        <w:tabs>
          <w:tab w:val="left" w:pos="1923"/>
        </w:tabs>
        <w:autoSpaceDE w:val="0"/>
        <w:autoSpaceDN w:val="0"/>
        <w:adjustRightInd w:val="0"/>
        <w:spacing w:line="360" w:lineRule="auto"/>
        <w:ind w:left="108"/>
        <w:rPr>
          <w:rFonts w:cs="Calibri"/>
        </w:rPr>
      </w:pPr>
      <w:r w:rsidRPr="00AB69CF">
        <w:rPr>
          <w:rFonts w:cs="Calibri"/>
        </w:rPr>
        <w:tab/>
      </w:r>
      <w:r w:rsidR="00CC733A" w:rsidRPr="00AB69CF">
        <w:rPr>
          <w:rFonts w:cs="Calibri"/>
        </w:rPr>
        <w:t>01.3</w:t>
      </w:r>
      <w:r w:rsidR="00CC733A" w:rsidRPr="00AB69CF">
        <w:rPr>
          <w:rFonts w:cs="Calibri"/>
        </w:rPr>
        <w:tab/>
        <w:t>Množení rostlin</w:t>
      </w:r>
    </w:p>
    <w:p w14:paraId="07F751D3" w14:textId="22C0B159" w:rsidR="00CC733A" w:rsidRPr="00AB69CF" w:rsidRDefault="000C5D96" w:rsidP="000B7BAF">
      <w:pPr>
        <w:tabs>
          <w:tab w:val="left" w:pos="1923"/>
        </w:tabs>
        <w:autoSpaceDE w:val="0"/>
        <w:autoSpaceDN w:val="0"/>
        <w:adjustRightInd w:val="0"/>
        <w:spacing w:line="360" w:lineRule="auto"/>
        <w:ind w:left="108"/>
        <w:rPr>
          <w:rFonts w:cs="Calibri"/>
        </w:rPr>
      </w:pPr>
      <w:r w:rsidRPr="00AB69CF">
        <w:rPr>
          <w:rFonts w:cs="Calibri"/>
        </w:rPr>
        <w:tab/>
      </w:r>
      <w:r w:rsidR="00CC733A" w:rsidRPr="00AB69CF">
        <w:rPr>
          <w:rFonts w:cs="Calibri"/>
        </w:rPr>
        <w:t>01.4</w:t>
      </w:r>
      <w:r w:rsidR="00CC733A" w:rsidRPr="00AB69CF">
        <w:rPr>
          <w:rFonts w:cs="Calibri"/>
        </w:rPr>
        <w:tab/>
        <w:t>Živočišná výroba, veterinární medicína (aktivní tvorba zdraví zvířat)</w:t>
      </w:r>
    </w:p>
    <w:p w14:paraId="360AB2FE" w14:textId="7110B9C4" w:rsidR="00CC733A" w:rsidRPr="00AB69CF" w:rsidRDefault="000C5D96" w:rsidP="000B7BAF">
      <w:pPr>
        <w:tabs>
          <w:tab w:val="left" w:pos="1923"/>
        </w:tabs>
        <w:autoSpaceDE w:val="0"/>
        <w:autoSpaceDN w:val="0"/>
        <w:adjustRightInd w:val="0"/>
        <w:spacing w:line="360" w:lineRule="auto"/>
        <w:ind w:left="108"/>
        <w:rPr>
          <w:rFonts w:cs="Calibri"/>
        </w:rPr>
      </w:pPr>
      <w:r w:rsidRPr="00AB69CF">
        <w:rPr>
          <w:rFonts w:cs="Calibri"/>
        </w:rPr>
        <w:tab/>
      </w:r>
      <w:r w:rsidR="00CC733A" w:rsidRPr="00AB69CF">
        <w:rPr>
          <w:rFonts w:cs="Calibri"/>
        </w:rPr>
        <w:t>01.6</w:t>
      </w:r>
      <w:r w:rsidR="00CC733A" w:rsidRPr="00AB69CF">
        <w:rPr>
          <w:rFonts w:cs="Calibri"/>
        </w:rPr>
        <w:tab/>
        <w:t>Podpůrné činnosti pro zemědělství a posklizňové činnosti</w:t>
      </w:r>
    </w:p>
    <w:p w14:paraId="53817B9C" w14:textId="68B8D274" w:rsidR="00CC733A" w:rsidRPr="00AB69CF" w:rsidRDefault="000C5D96" w:rsidP="000B7BAF">
      <w:pPr>
        <w:tabs>
          <w:tab w:val="left" w:pos="1923"/>
        </w:tabs>
        <w:autoSpaceDE w:val="0"/>
        <w:autoSpaceDN w:val="0"/>
        <w:adjustRightInd w:val="0"/>
        <w:spacing w:line="360" w:lineRule="auto"/>
        <w:ind w:left="108"/>
        <w:rPr>
          <w:rFonts w:cs="Calibri"/>
        </w:rPr>
      </w:pPr>
      <w:r w:rsidRPr="00AB69CF">
        <w:tab/>
      </w:r>
      <w:r w:rsidR="00CC733A" w:rsidRPr="00AB69CF">
        <w:rPr>
          <w:rFonts w:cs="Calibri"/>
        </w:rPr>
        <w:t>01.7</w:t>
      </w:r>
      <w:r w:rsidR="00CC733A" w:rsidRPr="00AB69CF">
        <w:rPr>
          <w:rFonts w:cs="Calibri"/>
        </w:rPr>
        <w:tab/>
        <w:t>Lov a odchyt divokých zvířat a související činnosti</w:t>
      </w:r>
    </w:p>
    <w:p w14:paraId="296FF880" w14:textId="52189AAA" w:rsidR="00CC733A" w:rsidRPr="00AB69CF" w:rsidRDefault="000C5D96" w:rsidP="000B7BAF">
      <w:pPr>
        <w:tabs>
          <w:tab w:val="left" w:pos="1923"/>
        </w:tabs>
        <w:autoSpaceDE w:val="0"/>
        <w:autoSpaceDN w:val="0"/>
        <w:adjustRightInd w:val="0"/>
        <w:spacing w:line="360" w:lineRule="auto"/>
        <w:ind w:left="108"/>
        <w:rPr>
          <w:rFonts w:cs="Calibri"/>
        </w:rPr>
      </w:pPr>
      <w:r w:rsidRPr="00AB69CF">
        <w:tab/>
      </w:r>
      <w:r w:rsidR="00CC733A" w:rsidRPr="00AB69CF">
        <w:rPr>
          <w:rFonts w:cs="Calibri"/>
        </w:rPr>
        <w:t>02.1</w:t>
      </w:r>
      <w:r w:rsidR="00CC733A" w:rsidRPr="00AB69CF">
        <w:rPr>
          <w:rFonts w:cs="Calibri"/>
        </w:rPr>
        <w:tab/>
        <w:t>Lesní hospodářství a jiné činnosti v oblasti lesnictví</w:t>
      </w:r>
    </w:p>
    <w:p w14:paraId="479CFE65" w14:textId="305E8DFC" w:rsidR="00CC733A" w:rsidRPr="00AB69CF" w:rsidRDefault="000C5D96" w:rsidP="000B7BAF">
      <w:pPr>
        <w:tabs>
          <w:tab w:val="left" w:pos="1923"/>
        </w:tabs>
        <w:autoSpaceDE w:val="0"/>
        <w:autoSpaceDN w:val="0"/>
        <w:adjustRightInd w:val="0"/>
        <w:spacing w:line="360" w:lineRule="auto"/>
        <w:ind w:left="108"/>
        <w:rPr>
          <w:rFonts w:cs="Calibri"/>
        </w:rPr>
      </w:pPr>
      <w:r w:rsidRPr="00AB69CF">
        <w:tab/>
      </w:r>
      <w:r w:rsidR="00CC733A" w:rsidRPr="00AB69CF">
        <w:rPr>
          <w:rFonts w:cs="Calibri"/>
        </w:rPr>
        <w:t>02.2</w:t>
      </w:r>
      <w:r w:rsidR="00CC733A" w:rsidRPr="00AB69CF">
        <w:rPr>
          <w:rFonts w:cs="Calibri"/>
        </w:rPr>
        <w:tab/>
        <w:t>Těžba dřeva</w:t>
      </w:r>
    </w:p>
    <w:p w14:paraId="6CD855DC" w14:textId="78622552" w:rsidR="00CC733A" w:rsidRPr="00AB69CF" w:rsidRDefault="000C5D96" w:rsidP="000B7BAF">
      <w:pPr>
        <w:tabs>
          <w:tab w:val="left" w:pos="1923"/>
        </w:tabs>
        <w:autoSpaceDE w:val="0"/>
        <w:autoSpaceDN w:val="0"/>
        <w:adjustRightInd w:val="0"/>
        <w:spacing w:line="360" w:lineRule="auto"/>
        <w:ind w:left="108"/>
        <w:rPr>
          <w:rFonts w:cs="Calibri"/>
        </w:rPr>
      </w:pPr>
      <w:r w:rsidRPr="00AB69CF">
        <w:tab/>
      </w:r>
      <w:r w:rsidR="00CC733A" w:rsidRPr="00AB69CF">
        <w:rPr>
          <w:rFonts w:cs="Calibri"/>
        </w:rPr>
        <w:t>02.3</w:t>
      </w:r>
      <w:r w:rsidR="00CC733A" w:rsidRPr="00AB69CF">
        <w:rPr>
          <w:rFonts w:cs="Calibri"/>
        </w:rPr>
        <w:tab/>
        <w:t>Sběr a získávání volně rostoucích plodů a materiálů, kromě dřeva</w:t>
      </w:r>
    </w:p>
    <w:p w14:paraId="4262CBB6" w14:textId="459C01DB" w:rsidR="00CC733A" w:rsidRPr="00AB69CF" w:rsidRDefault="000C5D96" w:rsidP="000B7BAF">
      <w:pPr>
        <w:tabs>
          <w:tab w:val="left" w:pos="1923"/>
        </w:tabs>
        <w:autoSpaceDE w:val="0"/>
        <w:autoSpaceDN w:val="0"/>
        <w:adjustRightInd w:val="0"/>
        <w:spacing w:line="360" w:lineRule="auto"/>
        <w:ind w:left="108"/>
        <w:rPr>
          <w:rFonts w:cs="Calibri"/>
        </w:rPr>
      </w:pPr>
      <w:r w:rsidRPr="00AB69CF">
        <w:tab/>
      </w:r>
      <w:r w:rsidR="00CC733A" w:rsidRPr="00AB69CF">
        <w:rPr>
          <w:rFonts w:cs="Calibri"/>
        </w:rPr>
        <w:t>02.4</w:t>
      </w:r>
      <w:r w:rsidR="00CC733A" w:rsidRPr="00AB69CF">
        <w:rPr>
          <w:rFonts w:cs="Calibri"/>
        </w:rPr>
        <w:tab/>
        <w:t>Podpůrné činnosti pro lesnictví</w:t>
      </w:r>
    </w:p>
    <w:p w14:paraId="632DE972" w14:textId="77777777" w:rsidR="00CC733A" w:rsidRPr="000B7BAF" w:rsidRDefault="00CC733A" w:rsidP="000B7BAF">
      <w:pPr>
        <w:tabs>
          <w:tab w:val="left" w:pos="1923"/>
        </w:tabs>
        <w:autoSpaceDE w:val="0"/>
        <w:autoSpaceDN w:val="0"/>
        <w:adjustRightInd w:val="0"/>
        <w:spacing w:line="360" w:lineRule="auto"/>
        <w:ind w:left="108"/>
        <w:rPr>
          <w:rFonts w:cs="Calibri"/>
        </w:rPr>
      </w:pPr>
      <w:r w:rsidRPr="000B7BAF">
        <w:rPr>
          <w:b/>
        </w:rPr>
        <w:t>SEKCE B</w:t>
      </w:r>
      <w:r w:rsidRPr="000B7BAF">
        <w:rPr>
          <w:b/>
        </w:rPr>
        <w:tab/>
      </w:r>
      <w:r w:rsidRPr="000B7BAF">
        <w:rPr>
          <w:rFonts w:cs="Calibri"/>
          <w:caps/>
        </w:rPr>
        <w:t>těžba a dobývání</w:t>
      </w:r>
      <w:r w:rsidRPr="000B7BAF">
        <w:rPr>
          <w:b/>
        </w:rPr>
        <w:t xml:space="preserve"> </w:t>
      </w:r>
      <w:r w:rsidRPr="000B7BAF">
        <w:t>(CZ NACE</w:t>
      </w:r>
      <w:r w:rsidRPr="000B7BAF">
        <w:rPr>
          <w:rFonts w:cs="Calibri"/>
        </w:rPr>
        <w:t xml:space="preserve"> 05 – 09)</w:t>
      </w:r>
    </w:p>
    <w:p w14:paraId="73619C91" w14:textId="77777777" w:rsidR="00CC733A" w:rsidRPr="000B7BAF" w:rsidRDefault="00CC733A" w:rsidP="000B7BAF">
      <w:pPr>
        <w:tabs>
          <w:tab w:val="left" w:pos="1923"/>
        </w:tabs>
        <w:autoSpaceDE w:val="0"/>
        <w:autoSpaceDN w:val="0"/>
        <w:adjustRightInd w:val="0"/>
        <w:spacing w:line="360" w:lineRule="auto"/>
        <w:ind w:left="108"/>
        <w:rPr>
          <w:rFonts w:cs="Calibri"/>
          <w:caps/>
        </w:rPr>
      </w:pPr>
      <w:r w:rsidRPr="000B7BAF">
        <w:rPr>
          <w:b/>
        </w:rPr>
        <w:t>SEKCE C</w:t>
      </w:r>
      <w:r w:rsidRPr="000B7BAF">
        <w:rPr>
          <w:b/>
        </w:rPr>
        <w:tab/>
      </w:r>
      <w:r w:rsidRPr="000B7BAF">
        <w:rPr>
          <w:rFonts w:cs="Calibri"/>
          <w:caps/>
        </w:rPr>
        <w:t>Zpracovatelský průmysl</w:t>
      </w:r>
      <w:r w:rsidRPr="000B7BAF">
        <w:rPr>
          <w:b/>
        </w:rPr>
        <w:t xml:space="preserve"> </w:t>
      </w:r>
      <w:r w:rsidRPr="000B7BAF">
        <w:t>(CZ NACE</w:t>
      </w:r>
      <w:r w:rsidRPr="000B7BAF">
        <w:rPr>
          <w:rFonts w:cs="Calibri"/>
        </w:rPr>
        <w:t xml:space="preserve"> 10 – 33)</w:t>
      </w:r>
    </w:p>
    <w:p w14:paraId="02C064EF" w14:textId="590FFA69" w:rsidR="00CC733A" w:rsidRPr="00AB69CF" w:rsidRDefault="000C5D96" w:rsidP="000B7BAF">
      <w:pPr>
        <w:tabs>
          <w:tab w:val="left" w:pos="1923"/>
        </w:tabs>
        <w:autoSpaceDE w:val="0"/>
        <w:autoSpaceDN w:val="0"/>
        <w:adjustRightInd w:val="0"/>
        <w:spacing w:line="360" w:lineRule="auto"/>
        <w:ind w:left="108"/>
        <w:rPr>
          <w:rFonts w:cs="Calibri"/>
          <w:caps/>
        </w:rPr>
      </w:pPr>
      <w:r>
        <w:rPr>
          <w:rFonts w:cs="Calibri"/>
          <w:b/>
        </w:rPr>
        <w:tab/>
      </w:r>
      <w:r w:rsidRPr="00AB69CF">
        <w:rPr>
          <w:rFonts w:cs="Calibri"/>
        </w:rPr>
        <w:tab/>
      </w:r>
      <w:r w:rsidR="00CC733A" w:rsidRPr="00AB69CF">
        <w:rPr>
          <w:rFonts w:cs="Calibri"/>
        </w:rPr>
        <w:t>20.15</w:t>
      </w:r>
      <w:r w:rsidR="00CC733A" w:rsidRPr="00AB69CF">
        <w:tab/>
      </w:r>
      <w:r w:rsidR="00CC733A" w:rsidRPr="00AB69CF">
        <w:rPr>
          <w:rFonts w:cs="Calibri"/>
        </w:rPr>
        <w:t>Výroba hnojiv a dusíkatých sloučenin: eutrofizace vody a půdy</w:t>
      </w:r>
    </w:p>
    <w:p w14:paraId="7E948F3F" w14:textId="1B0A927E" w:rsidR="00CC733A" w:rsidRPr="00AB69CF" w:rsidRDefault="00CC733A" w:rsidP="009839E4">
      <w:pPr>
        <w:autoSpaceDE w:val="0"/>
        <w:autoSpaceDN w:val="0"/>
        <w:adjustRightInd w:val="0"/>
        <w:spacing w:line="360" w:lineRule="auto"/>
        <w:ind w:left="2832" w:hanging="663"/>
        <w:jc w:val="both"/>
        <w:rPr>
          <w:rFonts w:cs="Calibri"/>
        </w:rPr>
      </w:pPr>
      <w:r w:rsidRPr="00AB69CF">
        <w:rPr>
          <w:rFonts w:cs="Calibri"/>
        </w:rPr>
        <w:t>20.20</w:t>
      </w:r>
      <w:r w:rsidR="000C5D96" w:rsidRPr="00AB69CF">
        <w:rPr>
          <w:rFonts w:cs="Calibri"/>
        </w:rPr>
        <w:tab/>
      </w:r>
      <w:r w:rsidRPr="00AB69CF">
        <w:rPr>
          <w:rFonts w:cs="Calibri"/>
        </w:rPr>
        <w:t>Výroba pesticidů a jiných agrochemických přípravků: znečištění půdy a vody, poškozování planých rostlin a volně žijících živočichů</w:t>
      </w:r>
    </w:p>
    <w:p w14:paraId="5BF46AD8" w14:textId="77777777" w:rsidR="000C5D96" w:rsidRPr="00AB69CF" w:rsidRDefault="00CC733A" w:rsidP="000C5D96">
      <w:pPr>
        <w:tabs>
          <w:tab w:val="left" w:pos="1923"/>
        </w:tabs>
        <w:autoSpaceDE w:val="0"/>
        <w:autoSpaceDN w:val="0"/>
        <w:adjustRightInd w:val="0"/>
        <w:spacing w:line="360" w:lineRule="auto"/>
        <w:ind w:left="108" w:firstLine="777"/>
        <w:rPr>
          <w:rFonts w:cs="Calibri"/>
        </w:rPr>
      </w:pPr>
      <w:r w:rsidRPr="00AB69CF">
        <w:rPr>
          <w:rFonts w:cs="Calibri"/>
        </w:rPr>
        <w:t>36</w:t>
      </w:r>
      <w:r w:rsidRPr="00AB69CF">
        <w:rPr>
          <w:rFonts w:cs="Calibri"/>
        </w:rPr>
        <w:tab/>
        <w:t>Shromažďování, úprava a rozvod vody, ovlivňování vodního režimu</w:t>
      </w:r>
    </w:p>
    <w:p w14:paraId="07D5BC73" w14:textId="4AB3CFD0" w:rsidR="00CC733A" w:rsidRPr="00AB69CF" w:rsidRDefault="00CC733A" w:rsidP="000C5D96">
      <w:pPr>
        <w:tabs>
          <w:tab w:val="left" w:pos="1923"/>
        </w:tabs>
        <w:autoSpaceDE w:val="0"/>
        <w:autoSpaceDN w:val="0"/>
        <w:adjustRightInd w:val="0"/>
        <w:spacing w:line="360" w:lineRule="auto"/>
        <w:ind w:left="108" w:firstLine="777"/>
        <w:rPr>
          <w:rFonts w:cs="Calibri"/>
        </w:rPr>
      </w:pPr>
      <w:r w:rsidRPr="00AB69CF">
        <w:rPr>
          <w:rFonts w:cs="Calibri"/>
        </w:rPr>
        <w:t>37</w:t>
      </w:r>
      <w:r w:rsidRPr="00AB69CF">
        <w:rPr>
          <w:rFonts w:cs="Calibri"/>
        </w:rPr>
        <w:tab/>
        <w:t>Činnosti související s odpadními vodami</w:t>
      </w:r>
    </w:p>
    <w:p w14:paraId="2DAB3749" w14:textId="5A5FDE85" w:rsidR="00CC733A" w:rsidRPr="00AB69CF" w:rsidRDefault="000C5D96" w:rsidP="000B7BAF">
      <w:pPr>
        <w:tabs>
          <w:tab w:val="left" w:pos="1923"/>
        </w:tabs>
        <w:autoSpaceDE w:val="0"/>
        <w:autoSpaceDN w:val="0"/>
        <w:adjustRightInd w:val="0"/>
        <w:spacing w:after="0" w:line="360" w:lineRule="auto"/>
        <w:ind w:left="108"/>
        <w:rPr>
          <w:rFonts w:cs="Calibri"/>
        </w:rPr>
      </w:pPr>
      <w:r w:rsidRPr="00AB69CF">
        <w:rPr>
          <w:rFonts w:cs="Calibri"/>
        </w:rPr>
        <w:tab/>
      </w:r>
      <w:r w:rsidR="00CC733A" w:rsidRPr="00AB69CF">
        <w:rPr>
          <w:rFonts w:cs="Calibri"/>
        </w:rPr>
        <w:t>42.1</w:t>
      </w:r>
      <w:r w:rsidR="00CC733A" w:rsidRPr="00AB69CF">
        <w:rPr>
          <w:rFonts w:cs="Calibri"/>
        </w:rPr>
        <w:tab/>
        <w:t>Výstavba silnic a železnic</w:t>
      </w:r>
    </w:p>
    <w:p w14:paraId="1C74A524" w14:textId="34B6A519" w:rsidR="00CC733A" w:rsidRPr="00AB69CF" w:rsidRDefault="000C5D96" w:rsidP="000B7BAF">
      <w:pPr>
        <w:tabs>
          <w:tab w:val="left" w:pos="1923"/>
        </w:tabs>
        <w:autoSpaceDE w:val="0"/>
        <w:autoSpaceDN w:val="0"/>
        <w:adjustRightInd w:val="0"/>
        <w:spacing w:after="0" w:line="360" w:lineRule="auto"/>
        <w:ind w:left="108"/>
        <w:rPr>
          <w:rFonts w:cs="Calibri"/>
        </w:rPr>
      </w:pPr>
      <w:r w:rsidRPr="00AB69CF">
        <w:rPr>
          <w:rFonts w:cs="Calibri"/>
        </w:rPr>
        <w:tab/>
      </w:r>
      <w:r w:rsidR="00CC733A" w:rsidRPr="00AB69CF">
        <w:rPr>
          <w:rFonts w:cs="Calibri"/>
        </w:rPr>
        <w:t>42.9</w:t>
      </w:r>
      <w:r w:rsidR="00CC733A" w:rsidRPr="00AB69CF">
        <w:rPr>
          <w:rFonts w:eastAsia="Times New Roman" w:cs="Calibri"/>
        </w:rPr>
        <w:tab/>
      </w:r>
      <w:r w:rsidR="00CC733A" w:rsidRPr="00AB69CF">
        <w:rPr>
          <w:rFonts w:cs="Calibri"/>
        </w:rPr>
        <w:t>Výstavba ostatních staveb</w:t>
      </w:r>
    </w:p>
    <w:p w14:paraId="41F023B4" w14:textId="3A0ED64A" w:rsidR="00CC733A" w:rsidRPr="00AB69CF" w:rsidRDefault="000C5D96" w:rsidP="000B7BAF">
      <w:pPr>
        <w:tabs>
          <w:tab w:val="left" w:pos="1923"/>
        </w:tabs>
        <w:autoSpaceDE w:val="0"/>
        <w:autoSpaceDN w:val="0"/>
        <w:adjustRightInd w:val="0"/>
        <w:spacing w:line="360" w:lineRule="auto"/>
        <w:ind w:left="108"/>
        <w:rPr>
          <w:rFonts w:cs="Calibri"/>
        </w:rPr>
      </w:pPr>
      <w:r w:rsidRPr="00AB69CF">
        <w:rPr>
          <w:rFonts w:cs="Calibri"/>
        </w:rPr>
        <w:tab/>
      </w:r>
      <w:r w:rsidR="00CC733A" w:rsidRPr="00AB69CF">
        <w:rPr>
          <w:rFonts w:cs="Calibri"/>
        </w:rPr>
        <w:t>52.1</w:t>
      </w:r>
      <w:r w:rsidR="00CC733A" w:rsidRPr="00AB69CF">
        <w:rPr>
          <w:rFonts w:cs="Calibri"/>
        </w:rPr>
        <w:tab/>
        <w:t xml:space="preserve">Skladování </w:t>
      </w:r>
    </w:p>
    <w:p w14:paraId="34969120" w14:textId="658E71B1" w:rsidR="00CC733A" w:rsidRPr="00AB69CF" w:rsidRDefault="000C5D96" w:rsidP="000B7BAF">
      <w:pPr>
        <w:tabs>
          <w:tab w:val="left" w:pos="1923"/>
        </w:tabs>
        <w:autoSpaceDE w:val="0"/>
        <w:autoSpaceDN w:val="0"/>
        <w:adjustRightInd w:val="0"/>
        <w:spacing w:line="360" w:lineRule="auto"/>
        <w:ind w:left="108"/>
        <w:rPr>
          <w:rFonts w:cs="Calibri"/>
        </w:rPr>
      </w:pPr>
      <w:r w:rsidRPr="00AB69CF">
        <w:tab/>
      </w:r>
      <w:r w:rsidRPr="00AB69CF">
        <w:tab/>
      </w:r>
      <w:r w:rsidR="00CC733A" w:rsidRPr="00AB69CF">
        <w:rPr>
          <w:rFonts w:cs="Calibri"/>
        </w:rPr>
        <w:t>72.11</w:t>
      </w:r>
      <w:r w:rsidR="00CC733A" w:rsidRPr="00AB69CF">
        <w:rPr>
          <w:rFonts w:cs="Calibri"/>
        </w:rPr>
        <w:tab/>
        <w:t>Výzkum a vývoj v oblasti biotechnologie</w:t>
      </w:r>
    </w:p>
    <w:p w14:paraId="0F4A3F36" w14:textId="49A172D1" w:rsidR="00CC733A" w:rsidRPr="00AB69CF" w:rsidRDefault="000C5D96" w:rsidP="000B7BAF">
      <w:pPr>
        <w:tabs>
          <w:tab w:val="left" w:pos="1923"/>
        </w:tabs>
        <w:autoSpaceDE w:val="0"/>
        <w:autoSpaceDN w:val="0"/>
        <w:adjustRightInd w:val="0"/>
        <w:spacing w:line="360" w:lineRule="auto"/>
        <w:ind w:left="108"/>
        <w:rPr>
          <w:rFonts w:cs="Calibri"/>
        </w:rPr>
      </w:pPr>
      <w:r w:rsidRPr="00AB69CF">
        <w:tab/>
      </w:r>
      <w:r w:rsidRPr="00AB69CF">
        <w:tab/>
      </w:r>
      <w:r w:rsidR="00CC733A" w:rsidRPr="00AB69CF">
        <w:rPr>
          <w:rFonts w:cs="Calibri"/>
        </w:rPr>
        <w:t>72.19</w:t>
      </w:r>
      <w:r w:rsidR="00CC733A" w:rsidRPr="00AB69CF">
        <w:rPr>
          <w:rFonts w:cs="Calibri"/>
        </w:rPr>
        <w:tab/>
        <w:t>Ostatní výzkum a vývoj v oblasti přírodních a technických věd</w:t>
      </w:r>
    </w:p>
    <w:p w14:paraId="5021E0FD" w14:textId="3F574D1F" w:rsidR="00417F34" w:rsidRDefault="00417F34">
      <w:pPr>
        <w:spacing w:after="200" w:line="276" w:lineRule="auto"/>
        <w:rPr>
          <w:rFonts w:cs="Calibri"/>
          <w:b/>
        </w:rPr>
      </w:pPr>
      <w:r>
        <w:rPr>
          <w:rFonts w:cs="Calibri"/>
          <w:b/>
        </w:rPr>
        <w:br w:type="page"/>
      </w:r>
    </w:p>
    <w:p w14:paraId="70B61270" w14:textId="3A3DF221" w:rsidR="00736C9F" w:rsidRDefault="0037707E" w:rsidP="0037707E">
      <w:pPr>
        <w:pStyle w:val="Nadpis4"/>
        <w:spacing w:line="360" w:lineRule="auto"/>
      </w:pPr>
      <w:bookmarkStart w:id="273" w:name="_Toc525716297"/>
      <w:r>
        <w:t>Udržitelná výstavba, lidská sídla a technická ochran životního prostředí</w:t>
      </w:r>
      <w:bookmarkEnd w:id="273"/>
    </w:p>
    <w:p w14:paraId="293C647B" w14:textId="4FE6395C" w:rsidR="0037707E" w:rsidRDefault="0037707E" w:rsidP="00543C1B">
      <w:pPr>
        <w:pStyle w:val="Odstavecseseznamem"/>
        <w:numPr>
          <w:ilvl w:val="0"/>
          <w:numId w:val="213"/>
        </w:numPr>
        <w:spacing w:line="360" w:lineRule="auto"/>
        <w:rPr>
          <w:u w:val="single"/>
        </w:rPr>
      </w:pPr>
      <w:r w:rsidRPr="0037707E">
        <w:rPr>
          <w:u w:val="single"/>
        </w:rPr>
        <w:t>Témata VaVaI identifikovaná prostřednictvím EDP</w:t>
      </w:r>
      <w:r>
        <w:rPr>
          <w:u w:val="single"/>
        </w:rPr>
        <w:t>:</w:t>
      </w:r>
    </w:p>
    <w:p w14:paraId="77566E4B" w14:textId="77777777" w:rsidR="00745892" w:rsidRPr="00745892" w:rsidRDefault="00745892" w:rsidP="00745892">
      <w:pPr>
        <w:jc w:val="both"/>
        <w:rPr>
          <w:rFonts w:eastAsia="Times New Roman" w:cs="Arial"/>
          <w:b/>
          <w:sz w:val="28"/>
          <w:szCs w:val="28"/>
        </w:rPr>
      </w:pPr>
      <w:r w:rsidRPr="00745892">
        <w:rPr>
          <w:rFonts w:eastAsia="Times New Roman" w:cs="Arial"/>
          <w:b/>
          <w:sz w:val="28"/>
          <w:szCs w:val="28"/>
        </w:rPr>
        <w:t xml:space="preserve">Udržitelná výstavba, lidská sídla </w:t>
      </w:r>
    </w:p>
    <w:p w14:paraId="4E0E5973" w14:textId="77777777" w:rsidR="00526441" w:rsidRPr="00526441" w:rsidRDefault="00526441" w:rsidP="00417F34">
      <w:pPr>
        <w:spacing w:line="360" w:lineRule="auto"/>
        <w:jc w:val="both"/>
        <w:rPr>
          <w:rFonts w:cs="Arial"/>
          <w:b/>
        </w:rPr>
      </w:pPr>
      <w:r w:rsidRPr="00526441">
        <w:rPr>
          <w:rFonts w:eastAsia="Times New Roman" w:cs="Arial"/>
          <w:b/>
        </w:rPr>
        <w:t>Udržitelná výstavba staveb pozemního a inženýrského stavitelství - environmentální bezpečnost</w:t>
      </w:r>
    </w:p>
    <w:p w14:paraId="178A77F5"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rPr>
          <w:rFonts w:eastAsia="Times New Roman" w:cs="Arial"/>
        </w:rPr>
        <w:t>zvýšení kvality a bezpečnosti stavebních děl a jimi vytvářeného prostředí z hledisek technických, estetických, ekonomických, sociálních i ekologických</w:t>
      </w:r>
    </w:p>
    <w:p w14:paraId="3628AA0D"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rPr>
          <w:rFonts w:eastAsia="Times New Roman" w:cs="Arial"/>
        </w:rPr>
        <w:t>zvýšení produktivity a kvality jednotlivých fází procesu výstavby ve všech fázích cyklu stavby s využitím metody informačního modelování staveb (BIM)</w:t>
      </w:r>
    </w:p>
    <w:p w14:paraId="51108977" w14:textId="77777777" w:rsidR="00526441" w:rsidRPr="00526441" w:rsidRDefault="00526441" w:rsidP="00417F34">
      <w:pPr>
        <w:spacing w:after="0" w:line="360" w:lineRule="auto"/>
        <w:jc w:val="both"/>
        <w:rPr>
          <w:rFonts w:eastAsia="Times New Roman" w:cs="Arial"/>
        </w:rPr>
      </w:pPr>
    </w:p>
    <w:p w14:paraId="027684C8" w14:textId="77777777" w:rsidR="00526441" w:rsidRPr="00526441" w:rsidRDefault="00526441" w:rsidP="00417F34">
      <w:pPr>
        <w:spacing w:after="0" w:line="360" w:lineRule="auto"/>
        <w:jc w:val="both"/>
        <w:rPr>
          <w:rFonts w:eastAsia="Times New Roman" w:cs="Arial"/>
        </w:rPr>
      </w:pPr>
      <w:r w:rsidRPr="00526441">
        <w:rPr>
          <w:b/>
        </w:rPr>
        <w:t>Hlavní problémy a úkoly udržitelné výstavby</w:t>
      </w:r>
    </w:p>
    <w:p w14:paraId="17D0AB60" w14:textId="71B4078F"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t>strategie trvale udržitelného urbanistického rozvoje, uplatnění rekonstrukcí a modernizací budov a</w:t>
      </w:r>
      <w:r>
        <w:t> </w:t>
      </w:r>
      <w:r w:rsidRPr="00526441">
        <w:t>revitalizace sídel</w:t>
      </w:r>
    </w:p>
    <w:p w14:paraId="3B4B36A1"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rPr>
          <w:rFonts w:eastAsia="Times New Roman" w:cs="Arial"/>
        </w:rPr>
        <w:t>zefektivnění územní regulace a řízení rozvoje a správy území, vytvoření podmínek pro rozvoj Smart Cities a jejich prostřednictvím vytváření podmínek pro lepších život jejich obyvatel</w:t>
      </w:r>
    </w:p>
    <w:p w14:paraId="4F7B842C"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t>úspora zdrojů surovin, vody a primární energie</w:t>
      </w:r>
    </w:p>
    <w:p w14:paraId="508A62FA"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t>snižování množství stavebních a demoličních odpadů, možnosti jejich recyklace a znovuvyužití, základní charakteristiky a vlastnosti recyklátů a možnosti pro jejich využití ve stavebních konstrukcích</w:t>
      </w:r>
    </w:p>
    <w:p w14:paraId="6803E63D"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t>vnitřní prostředí budov – tepelně vlhkostní, světelné, akustické, odérové, elektrické, toxické, aerosolové, psychické</w:t>
      </w:r>
    </w:p>
    <w:p w14:paraId="78A48EB2"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t>zdravotní nezávadnost stavebních konstrukcí, uvolňování toxických látek do ovzduší (emise CO2, SO2, NOx atd.), vliv konstrukcí na vnitřní prostředí budov a životní prostředí</w:t>
      </w:r>
    </w:p>
    <w:p w14:paraId="5C032904"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t>alternativní materiálové konstrukční řešení staveb na bázi obnovitelných zdrojů surovin, základní charakteristiky a vlastnosti</w:t>
      </w:r>
    </w:p>
    <w:p w14:paraId="00495D17"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t>snižování energetické náročnosti procesu výstavby,</w:t>
      </w:r>
      <w:r w:rsidRPr="00526441">
        <w:rPr>
          <w:rFonts w:eastAsia="Times New Roman" w:cs="Arial"/>
        </w:rPr>
        <w:t xml:space="preserve"> </w:t>
      </w:r>
      <w:r w:rsidRPr="00526441">
        <w:t>energetická náročnost při užívání budov, nízkoenergetické a energeticky pasivní domy, zásady návrhu</w:t>
      </w:r>
    </w:p>
    <w:p w14:paraId="1984FEA5"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t>zdroje energie a jejich vliv na životní prostředí, alternativní zdroje energie</w:t>
      </w:r>
    </w:p>
    <w:p w14:paraId="1E29B7C4" w14:textId="77777777" w:rsidR="00526441" w:rsidRPr="00526441" w:rsidRDefault="00526441" w:rsidP="00543C1B">
      <w:pPr>
        <w:pStyle w:val="Odstavecseseznamem"/>
        <w:numPr>
          <w:ilvl w:val="0"/>
          <w:numId w:val="156"/>
        </w:numPr>
        <w:spacing w:before="40" w:after="0" w:line="360" w:lineRule="auto"/>
        <w:ind w:left="360"/>
        <w:jc w:val="both"/>
      </w:pPr>
      <w:r w:rsidRPr="00526441">
        <w:t>metodika a indikátory hodnocení udržitelnosti budov</w:t>
      </w:r>
    </w:p>
    <w:p w14:paraId="417BA869"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rPr>
          <w:rFonts w:eastAsia="Times New Roman" w:cs="Arial"/>
        </w:rPr>
        <w:t>zvýšení produktivity a kvality v procesu výroby stavebních hmot, výrobků a zařízení, uplatnění jejich individualizované adresné dodávky na konkrétní stavbu a bezztrátová montáž</w:t>
      </w:r>
    </w:p>
    <w:p w14:paraId="3FF897C4" w14:textId="77777777" w:rsidR="00526441" w:rsidRPr="00526441" w:rsidRDefault="00526441" w:rsidP="00543C1B">
      <w:pPr>
        <w:pStyle w:val="Odstavecseseznamem"/>
        <w:numPr>
          <w:ilvl w:val="0"/>
          <w:numId w:val="156"/>
        </w:numPr>
        <w:spacing w:after="0" w:line="360" w:lineRule="auto"/>
        <w:ind w:left="360"/>
        <w:jc w:val="both"/>
        <w:rPr>
          <w:rFonts w:eastAsia="Times New Roman" w:cs="Arial"/>
        </w:rPr>
      </w:pPr>
      <w:r w:rsidRPr="00526441">
        <w:rPr>
          <w:rFonts w:eastAsia="Times New Roman" w:cs="Arial"/>
        </w:rPr>
        <w:t xml:space="preserve">zvýšení konkurenceschopnosti českého stavebnictví v rámci EU </w:t>
      </w:r>
    </w:p>
    <w:p w14:paraId="3EE308F4" w14:textId="77777777" w:rsidR="00526441" w:rsidRDefault="00526441" w:rsidP="00526441">
      <w:pPr>
        <w:spacing w:before="40" w:after="0" w:line="360" w:lineRule="auto"/>
        <w:jc w:val="both"/>
      </w:pPr>
    </w:p>
    <w:p w14:paraId="2CD93EE0" w14:textId="77777777" w:rsidR="00417F34" w:rsidRDefault="00417F34" w:rsidP="00526441">
      <w:pPr>
        <w:spacing w:before="40" w:after="0" w:line="360" w:lineRule="auto"/>
        <w:jc w:val="both"/>
      </w:pPr>
    </w:p>
    <w:p w14:paraId="6AF9D81F" w14:textId="77777777" w:rsidR="00417F34" w:rsidRDefault="00417F34" w:rsidP="00526441">
      <w:pPr>
        <w:spacing w:after="0" w:line="360" w:lineRule="auto"/>
        <w:contextualSpacing/>
        <w:jc w:val="both"/>
        <w:rPr>
          <w:rFonts w:eastAsia="Times New Roman" w:cs="Arial"/>
          <w:b/>
        </w:rPr>
      </w:pPr>
    </w:p>
    <w:p w14:paraId="26DB4ECF" w14:textId="77777777" w:rsidR="00526441" w:rsidRPr="00526441" w:rsidRDefault="00526441" w:rsidP="00526441">
      <w:pPr>
        <w:spacing w:after="0" w:line="360" w:lineRule="auto"/>
        <w:contextualSpacing/>
        <w:jc w:val="both"/>
        <w:rPr>
          <w:rFonts w:eastAsia="Times New Roman" w:cs="Arial"/>
          <w:b/>
        </w:rPr>
      </w:pPr>
      <w:r w:rsidRPr="00526441">
        <w:rPr>
          <w:rFonts w:eastAsia="Times New Roman" w:cs="Arial"/>
          <w:b/>
        </w:rPr>
        <w:t>Udržitelný rozvoj krajiny a lidských sídel</w:t>
      </w:r>
    </w:p>
    <w:p w14:paraId="466B30B1" w14:textId="77777777" w:rsidR="00526441" w:rsidRPr="00526441" w:rsidRDefault="00526441" w:rsidP="00543C1B">
      <w:pPr>
        <w:pStyle w:val="Odstavecseseznamem"/>
        <w:numPr>
          <w:ilvl w:val="0"/>
          <w:numId w:val="214"/>
        </w:numPr>
        <w:spacing w:after="0" w:line="360" w:lineRule="auto"/>
        <w:jc w:val="both"/>
        <w:rPr>
          <w:rFonts w:eastAsia="Times New Roman" w:cs="Arial"/>
        </w:rPr>
      </w:pPr>
      <w:r w:rsidRPr="00526441">
        <w:rPr>
          <w:rFonts w:eastAsia="Times New Roman" w:cs="Arial"/>
        </w:rPr>
        <w:t>moderní metody a systémy budování inteligentních lidských sídel s minimální energetickou a surovinovou náročností a výzkumem způsobů dosažení přiměřené potravinové a surovinové soběstačnosti</w:t>
      </w:r>
    </w:p>
    <w:p w14:paraId="1937D9CF" w14:textId="77777777" w:rsidR="00526441" w:rsidRPr="00526441" w:rsidRDefault="00526441" w:rsidP="00543C1B">
      <w:pPr>
        <w:pStyle w:val="Odstavecseseznamem"/>
        <w:numPr>
          <w:ilvl w:val="0"/>
          <w:numId w:val="214"/>
        </w:numPr>
        <w:spacing w:after="0" w:line="360" w:lineRule="auto"/>
        <w:jc w:val="both"/>
        <w:rPr>
          <w:rFonts w:eastAsia="Times New Roman" w:cs="Arial"/>
        </w:rPr>
      </w:pPr>
      <w:r w:rsidRPr="00526441">
        <w:rPr>
          <w:rFonts w:eastAsia="Times New Roman" w:cs="Arial"/>
        </w:rPr>
        <w:t>vytvoření nástrojů a technologií k identifikaci, sledování, predikci, prevenci, připravenosti a snižování rizika krizových situací (katastrof) antropogenního a přírodního původu a monitorování jejich dopadů</w:t>
      </w:r>
    </w:p>
    <w:p w14:paraId="0EAB9612" w14:textId="77777777" w:rsidR="00526441" w:rsidRPr="00526441" w:rsidRDefault="00526441" w:rsidP="00543C1B">
      <w:pPr>
        <w:pStyle w:val="Odstavecseseznamem"/>
        <w:numPr>
          <w:ilvl w:val="0"/>
          <w:numId w:val="214"/>
        </w:numPr>
        <w:spacing w:after="0" w:line="360" w:lineRule="auto"/>
        <w:jc w:val="both"/>
        <w:rPr>
          <w:rFonts w:eastAsia="Times New Roman" w:cs="Arial"/>
        </w:rPr>
      </w:pPr>
      <w:r w:rsidRPr="00526441">
        <w:rPr>
          <w:rFonts w:eastAsia="Times New Roman" w:cs="Arial"/>
        </w:rPr>
        <w:t>ochrana před negativními účinky extrémních meteorologických jevů (zejména povodně, vydatné srážky, sucho, extrémně vysoké teploty, extrémní vítr) a exogeodynamických jevů (eroze, sedimentace, retence, svahové nestability, acidifikace vod, půdního a horninového prostředí) a návrhů na zmírnění jejich dopadů</w:t>
      </w:r>
    </w:p>
    <w:p w14:paraId="67A8E908" w14:textId="77777777" w:rsidR="00526441" w:rsidRPr="00526441" w:rsidRDefault="00526441" w:rsidP="00543C1B">
      <w:pPr>
        <w:pStyle w:val="Odstavecseseznamem"/>
        <w:numPr>
          <w:ilvl w:val="0"/>
          <w:numId w:val="214"/>
        </w:numPr>
        <w:spacing w:after="0" w:line="360" w:lineRule="auto"/>
        <w:jc w:val="both"/>
        <w:rPr>
          <w:rFonts w:eastAsia="Times New Roman" w:cs="Arial"/>
        </w:rPr>
      </w:pPr>
      <w:r w:rsidRPr="00526441">
        <w:rPr>
          <w:rFonts w:eastAsia="Times New Roman" w:cs="Arial"/>
        </w:rPr>
        <w:t>zjednodušení facility managementu a zlevnění provozu a údržby staveb</w:t>
      </w:r>
    </w:p>
    <w:p w14:paraId="4AE1CD43" w14:textId="77777777" w:rsidR="00526441" w:rsidRDefault="00526441" w:rsidP="00526441">
      <w:pPr>
        <w:pStyle w:val="Default"/>
        <w:spacing w:before="40" w:line="360" w:lineRule="auto"/>
        <w:jc w:val="both"/>
        <w:rPr>
          <w:rFonts w:asciiTheme="minorHAnsi" w:hAnsiTheme="minorHAnsi"/>
          <w:color w:val="auto"/>
          <w:sz w:val="22"/>
          <w:szCs w:val="22"/>
        </w:rPr>
      </w:pPr>
    </w:p>
    <w:p w14:paraId="0DE52077" w14:textId="77777777" w:rsidR="00417F34" w:rsidRPr="00526441" w:rsidRDefault="00417F34" w:rsidP="00526441">
      <w:pPr>
        <w:pStyle w:val="Default"/>
        <w:spacing w:before="40" w:line="360" w:lineRule="auto"/>
        <w:jc w:val="both"/>
        <w:rPr>
          <w:rFonts w:asciiTheme="minorHAnsi" w:hAnsiTheme="minorHAnsi"/>
          <w:color w:val="auto"/>
          <w:sz w:val="22"/>
          <w:szCs w:val="22"/>
        </w:rPr>
      </w:pPr>
    </w:p>
    <w:p w14:paraId="538C6FC3" w14:textId="77777777" w:rsidR="00526441" w:rsidRPr="00745892" w:rsidRDefault="00526441" w:rsidP="00526441">
      <w:pPr>
        <w:spacing w:line="360" w:lineRule="auto"/>
        <w:jc w:val="both"/>
        <w:rPr>
          <w:rFonts w:cs="Arial"/>
          <w:sz w:val="24"/>
          <w:szCs w:val="24"/>
        </w:rPr>
      </w:pPr>
      <w:r w:rsidRPr="00745892">
        <w:rPr>
          <w:rFonts w:cs="Arial"/>
          <w:b/>
          <w:sz w:val="24"/>
          <w:szCs w:val="24"/>
        </w:rPr>
        <w:t>Technická ochrana životního prostředí</w:t>
      </w:r>
    </w:p>
    <w:p w14:paraId="4F5D40E0" w14:textId="77777777" w:rsidR="00526441" w:rsidRPr="00526441" w:rsidRDefault="00526441" w:rsidP="00526441">
      <w:pPr>
        <w:spacing w:after="0" w:line="360" w:lineRule="auto"/>
        <w:contextualSpacing/>
        <w:jc w:val="both"/>
        <w:rPr>
          <w:rFonts w:eastAsia="Times New Roman" w:cs="Arial"/>
          <w:b/>
        </w:rPr>
      </w:pPr>
      <w:r w:rsidRPr="00526441">
        <w:rPr>
          <w:rFonts w:eastAsia="Times New Roman" w:cs="Arial"/>
          <w:b/>
        </w:rPr>
        <w:t>Přírodní zdroje</w:t>
      </w:r>
    </w:p>
    <w:p w14:paraId="478EAFC9" w14:textId="77777777" w:rsidR="00526441" w:rsidRPr="00526441" w:rsidRDefault="00526441" w:rsidP="00543C1B">
      <w:pPr>
        <w:pStyle w:val="Odstavecseseznamem"/>
        <w:numPr>
          <w:ilvl w:val="0"/>
          <w:numId w:val="215"/>
        </w:numPr>
        <w:spacing w:after="0" w:line="360" w:lineRule="auto"/>
        <w:jc w:val="both"/>
        <w:rPr>
          <w:rFonts w:eastAsia="Times New Roman" w:cs="Arial"/>
        </w:rPr>
      </w:pPr>
      <w:r w:rsidRPr="00526441">
        <w:rPr>
          <w:rFonts w:eastAsia="Times New Roman" w:cs="Arial"/>
        </w:rPr>
        <w:t>odborná podpora pro plánování v oblasti podzemních a povrchových vod a pro optimalizaci vodního režimu krajiny</w:t>
      </w:r>
    </w:p>
    <w:p w14:paraId="47FA86C3" w14:textId="77777777" w:rsidR="00526441" w:rsidRPr="00526441" w:rsidRDefault="00526441" w:rsidP="00543C1B">
      <w:pPr>
        <w:pStyle w:val="Odstavecseseznamem"/>
        <w:numPr>
          <w:ilvl w:val="0"/>
          <w:numId w:val="215"/>
        </w:numPr>
        <w:spacing w:after="0" w:line="360" w:lineRule="auto"/>
        <w:jc w:val="both"/>
        <w:rPr>
          <w:rFonts w:eastAsia="Times New Roman" w:cs="Arial"/>
        </w:rPr>
      </w:pPr>
      <w:r w:rsidRPr="00526441">
        <w:rPr>
          <w:rFonts w:eastAsia="Times New Roman" w:cs="Arial"/>
        </w:rPr>
        <w:t>odborná podpora pro plánování v oblasti vod</w:t>
      </w:r>
    </w:p>
    <w:p w14:paraId="7110D163" w14:textId="77777777" w:rsidR="00526441" w:rsidRPr="00526441" w:rsidRDefault="00526441" w:rsidP="00543C1B">
      <w:pPr>
        <w:pStyle w:val="Odstavecseseznamem"/>
        <w:numPr>
          <w:ilvl w:val="0"/>
          <w:numId w:val="215"/>
        </w:numPr>
        <w:spacing w:after="0" w:line="360" w:lineRule="auto"/>
        <w:jc w:val="both"/>
        <w:rPr>
          <w:rFonts w:eastAsia="Times New Roman" w:cs="Arial"/>
        </w:rPr>
      </w:pPr>
      <w:r w:rsidRPr="00526441">
        <w:rPr>
          <w:rFonts w:eastAsia="Times New Roman" w:cs="Arial"/>
        </w:rPr>
        <w:t>snižování emisí znečišťujících látek do ovzduší, půdy a vody a rozvoj nízkoemisních technologií</w:t>
      </w:r>
    </w:p>
    <w:p w14:paraId="2D3DA80B" w14:textId="77777777" w:rsidR="00526441" w:rsidRPr="00526441" w:rsidRDefault="00526441" w:rsidP="00526441">
      <w:pPr>
        <w:spacing w:after="0" w:line="360" w:lineRule="auto"/>
        <w:jc w:val="both"/>
        <w:rPr>
          <w:rFonts w:cs="Calibri"/>
        </w:rPr>
      </w:pPr>
    </w:p>
    <w:p w14:paraId="3164892F" w14:textId="77777777" w:rsidR="00526441" w:rsidRPr="00526441" w:rsidRDefault="00526441" w:rsidP="00526441">
      <w:pPr>
        <w:spacing w:after="0" w:line="360" w:lineRule="auto"/>
        <w:contextualSpacing/>
        <w:jc w:val="both"/>
        <w:rPr>
          <w:rFonts w:eastAsia="Times New Roman" w:cs="Arial"/>
          <w:b/>
        </w:rPr>
      </w:pPr>
      <w:r w:rsidRPr="00526441">
        <w:rPr>
          <w:rFonts w:eastAsia="Times New Roman" w:cs="Arial"/>
          <w:b/>
        </w:rPr>
        <w:t>Globální změny (a adaptace na změnu klimatu)</w:t>
      </w:r>
    </w:p>
    <w:p w14:paraId="78EFAC15" w14:textId="77777777" w:rsidR="00526441" w:rsidRPr="00526441" w:rsidRDefault="00526441" w:rsidP="00543C1B">
      <w:pPr>
        <w:pStyle w:val="Odstavecseseznamem"/>
        <w:numPr>
          <w:ilvl w:val="0"/>
          <w:numId w:val="216"/>
        </w:numPr>
        <w:spacing w:after="0" w:line="360" w:lineRule="auto"/>
        <w:jc w:val="both"/>
        <w:rPr>
          <w:rFonts w:eastAsia="Times New Roman" w:cs="Arial"/>
        </w:rPr>
      </w:pPr>
      <w:r w:rsidRPr="00526441">
        <w:rPr>
          <w:rFonts w:eastAsia="Times New Roman" w:cs="Arial"/>
        </w:rPr>
        <w:t>scénáře a změny klimatu, identifikace a monitorování jejich dopadů</w:t>
      </w:r>
    </w:p>
    <w:p w14:paraId="1DA9A3EE" w14:textId="77777777" w:rsidR="00526441" w:rsidRPr="00526441" w:rsidRDefault="00526441" w:rsidP="00543C1B">
      <w:pPr>
        <w:pStyle w:val="Odstavecseseznamem"/>
        <w:numPr>
          <w:ilvl w:val="0"/>
          <w:numId w:val="216"/>
        </w:numPr>
        <w:spacing w:after="0" w:line="360" w:lineRule="auto"/>
        <w:jc w:val="both"/>
        <w:rPr>
          <w:rFonts w:eastAsia="Times New Roman" w:cs="Arial"/>
        </w:rPr>
      </w:pPr>
      <w:r w:rsidRPr="00526441">
        <w:rPr>
          <w:rFonts w:eastAsia="Times New Roman" w:cs="Arial"/>
        </w:rPr>
        <w:t>plánování, příprava a realizace adaptačních opatření; synergie a antagonismus opatření</w:t>
      </w:r>
    </w:p>
    <w:p w14:paraId="1002B682" w14:textId="77777777" w:rsidR="00526441" w:rsidRPr="00526441" w:rsidRDefault="00526441" w:rsidP="00543C1B">
      <w:pPr>
        <w:pStyle w:val="Odstavecseseznamem"/>
        <w:numPr>
          <w:ilvl w:val="0"/>
          <w:numId w:val="216"/>
        </w:numPr>
        <w:spacing w:after="0" w:line="360" w:lineRule="auto"/>
        <w:jc w:val="both"/>
        <w:rPr>
          <w:rFonts w:eastAsia="Times New Roman" w:cs="Arial"/>
        </w:rPr>
      </w:pPr>
      <w:r w:rsidRPr="00526441">
        <w:rPr>
          <w:rFonts w:eastAsia="Times New Roman" w:cs="Arial"/>
        </w:rPr>
        <w:t>sledování a hodnocení účinnosti adaptací a hodnocení – environmentální hledisko; ekonomická analýza a vyhodnocení přínosu adaptačních opatření zahrnující aspekt zachování rozsahu nebo minimalizace úbytku ekosystémových služeb</w:t>
      </w:r>
    </w:p>
    <w:p w14:paraId="532052EC" w14:textId="77777777" w:rsidR="00526441" w:rsidRPr="00526441" w:rsidRDefault="00526441" w:rsidP="00543C1B">
      <w:pPr>
        <w:pStyle w:val="Odstavecseseznamem"/>
        <w:numPr>
          <w:ilvl w:val="0"/>
          <w:numId w:val="216"/>
        </w:numPr>
        <w:spacing w:after="0" w:line="360" w:lineRule="auto"/>
        <w:jc w:val="both"/>
        <w:rPr>
          <w:rFonts w:eastAsia="Times New Roman" w:cs="Arial"/>
        </w:rPr>
      </w:pPr>
      <w:r w:rsidRPr="00526441">
        <w:rPr>
          <w:rFonts w:eastAsia="Times New Roman" w:cs="Arial"/>
        </w:rPr>
        <w:t>hodnocení vlivu a prognóza přírodních nebezpečí a antropogenních rizik a možnosti jejich prevence ve vazbě na dynamiku klimatu</w:t>
      </w:r>
    </w:p>
    <w:p w14:paraId="1A19FC55" w14:textId="77777777" w:rsidR="00526441" w:rsidRPr="00526441" w:rsidRDefault="00526441" w:rsidP="00543C1B">
      <w:pPr>
        <w:pStyle w:val="Odstavecseseznamem"/>
        <w:numPr>
          <w:ilvl w:val="0"/>
          <w:numId w:val="216"/>
        </w:numPr>
        <w:spacing w:after="0" w:line="360" w:lineRule="auto"/>
        <w:jc w:val="both"/>
        <w:rPr>
          <w:rFonts w:eastAsia="Times New Roman" w:cs="Arial"/>
        </w:rPr>
      </w:pPr>
      <w:r w:rsidRPr="00526441">
        <w:rPr>
          <w:rFonts w:eastAsia="Times New Roman" w:cs="Arial"/>
        </w:rPr>
        <w:t>výzkum biogeochemických interakcí voda-hornina-vzduch a modelování kritických zátěží a scénářů vývoje</w:t>
      </w:r>
    </w:p>
    <w:p w14:paraId="71F1FF20" w14:textId="77777777" w:rsidR="00526441" w:rsidRPr="00526441" w:rsidRDefault="00526441" w:rsidP="00543C1B">
      <w:pPr>
        <w:pStyle w:val="Odstavecseseznamem"/>
        <w:numPr>
          <w:ilvl w:val="0"/>
          <w:numId w:val="216"/>
        </w:numPr>
        <w:spacing w:after="0" w:line="360" w:lineRule="auto"/>
        <w:jc w:val="both"/>
        <w:rPr>
          <w:rFonts w:eastAsia="Times New Roman" w:cs="Arial"/>
        </w:rPr>
      </w:pPr>
      <w:r w:rsidRPr="00526441">
        <w:rPr>
          <w:rFonts w:eastAsia="Times New Roman" w:cs="Arial"/>
        </w:rPr>
        <w:t>ukládání CO2 do horninových struktur pro snižování vlivu klimatických změn</w:t>
      </w:r>
    </w:p>
    <w:p w14:paraId="6BD55BF1" w14:textId="77777777" w:rsidR="00526441" w:rsidRPr="00526441" w:rsidRDefault="00526441" w:rsidP="00543C1B">
      <w:pPr>
        <w:pStyle w:val="Odstavecseseznamem"/>
        <w:numPr>
          <w:ilvl w:val="0"/>
          <w:numId w:val="216"/>
        </w:numPr>
        <w:spacing w:after="0" w:line="360" w:lineRule="auto"/>
        <w:jc w:val="both"/>
        <w:rPr>
          <w:rFonts w:eastAsia="Times New Roman" w:cs="Arial"/>
        </w:rPr>
      </w:pPr>
      <w:r w:rsidRPr="00526441">
        <w:rPr>
          <w:rFonts w:eastAsia="Times New Roman" w:cs="Arial"/>
        </w:rPr>
        <w:t>ekonomické analýzy dopadů změny klimatu – vyčíslení finančních dopadů v případě nečinnosti a nákladů na adaptace (tzv. cost &amp; benefit analýzy)</w:t>
      </w:r>
    </w:p>
    <w:p w14:paraId="5A19B8D3" w14:textId="77777777" w:rsidR="00526441" w:rsidRPr="00526441" w:rsidRDefault="00526441" w:rsidP="00526441">
      <w:pPr>
        <w:spacing w:after="0" w:line="360" w:lineRule="auto"/>
        <w:contextualSpacing/>
        <w:jc w:val="both"/>
        <w:rPr>
          <w:rFonts w:eastAsia="Times New Roman" w:cs="Arial"/>
          <w:b/>
        </w:rPr>
      </w:pPr>
      <w:r w:rsidRPr="00526441">
        <w:rPr>
          <w:rFonts w:eastAsia="Times New Roman" w:cs="Arial"/>
          <w:b/>
        </w:rPr>
        <w:t>Environmentální technologie a ekoinovace (a udržitelnost energetiky a materiálových zdrojů)</w:t>
      </w:r>
    </w:p>
    <w:p w14:paraId="27D45C7B" w14:textId="77777777" w:rsidR="00526441" w:rsidRPr="00526441" w:rsidRDefault="00526441" w:rsidP="00543C1B">
      <w:pPr>
        <w:pStyle w:val="Odstavecseseznamem"/>
        <w:numPr>
          <w:ilvl w:val="0"/>
          <w:numId w:val="217"/>
        </w:numPr>
        <w:spacing w:after="0" w:line="360" w:lineRule="auto"/>
        <w:jc w:val="both"/>
        <w:rPr>
          <w:rFonts w:eastAsia="Times New Roman" w:cs="Arial"/>
        </w:rPr>
      </w:pPr>
      <w:r w:rsidRPr="00526441">
        <w:rPr>
          <w:rFonts w:eastAsia="Times New Roman" w:cs="Arial"/>
        </w:rPr>
        <w:t>snižování energetické náročnosti a snižování emisí do ovzduší</w:t>
      </w:r>
    </w:p>
    <w:p w14:paraId="18ECAEC1" w14:textId="77777777" w:rsidR="00526441" w:rsidRPr="00526441" w:rsidRDefault="00526441" w:rsidP="00543C1B">
      <w:pPr>
        <w:pStyle w:val="Odstavecseseznamem"/>
        <w:numPr>
          <w:ilvl w:val="0"/>
          <w:numId w:val="217"/>
        </w:numPr>
        <w:spacing w:after="0" w:line="360" w:lineRule="auto"/>
        <w:jc w:val="both"/>
        <w:rPr>
          <w:rFonts w:eastAsia="Times New Roman" w:cs="Arial"/>
        </w:rPr>
      </w:pPr>
      <w:r w:rsidRPr="00526441">
        <w:rPr>
          <w:rFonts w:eastAsia="Times New Roman" w:cs="Arial"/>
        </w:rPr>
        <w:t>zhodnocení dopadů meteorologických a antropogenních procesů na emise a imise se zvláštním zřetelem na zjištění toxikologických vlastností prachových částic včetně ultrajemných frakcí a zpřesnění modelování znečištění ovzduší</w:t>
      </w:r>
    </w:p>
    <w:p w14:paraId="4AF8F44F" w14:textId="77777777" w:rsidR="00526441" w:rsidRPr="00526441" w:rsidRDefault="00526441" w:rsidP="00543C1B">
      <w:pPr>
        <w:pStyle w:val="Odstavecseseznamem"/>
        <w:numPr>
          <w:ilvl w:val="0"/>
          <w:numId w:val="217"/>
        </w:numPr>
        <w:spacing w:after="0" w:line="360" w:lineRule="auto"/>
        <w:jc w:val="both"/>
        <w:rPr>
          <w:rFonts w:eastAsia="Times New Roman" w:cs="Arial"/>
        </w:rPr>
      </w:pPr>
      <w:r w:rsidRPr="00526441">
        <w:rPr>
          <w:rFonts w:eastAsia="Times New Roman" w:cs="Arial"/>
        </w:rPr>
        <w:t>návrh nástrojů – metodik pro naplňování opatření strategických dokumentů v oblasti odpadů, ochrany ovzduší, klimatu a vod</w:t>
      </w:r>
    </w:p>
    <w:p w14:paraId="4BC15E81" w14:textId="77777777" w:rsidR="00526441" w:rsidRPr="00526441" w:rsidRDefault="00526441" w:rsidP="00543C1B">
      <w:pPr>
        <w:pStyle w:val="Odstavecseseznamem"/>
        <w:numPr>
          <w:ilvl w:val="0"/>
          <w:numId w:val="217"/>
        </w:numPr>
        <w:spacing w:after="0" w:line="360" w:lineRule="auto"/>
        <w:jc w:val="both"/>
        <w:rPr>
          <w:rFonts w:eastAsia="Times New Roman" w:cs="Arial"/>
        </w:rPr>
      </w:pPr>
      <w:r w:rsidRPr="00526441">
        <w:rPr>
          <w:rFonts w:eastAsia="Times New Roman" w:cs="Arial"/>
        </w:rPr>
        <w:t>vývoj environmentálně šetrných technologií a postupy při těžbě, dopravě a zpracování surovin a náhradě primárních zdrojů druhotnými zdroji ve vazbě na strategické dokumenty v oblasti odpadů a oběhového hospodářství</w:t>
      </w:r>
    </w:p>
    <w:p w14:paraId="5453529A" w14:textId="77777777" w:rsidR="00526441" w:rsidRPr="00526441" w:rsidRDefault="00526441" w:rsidP="00543C1B">
      <w:pPr>
        <w:pStyle w:val="Odstavecseseznamem"/>
        <w:numPr>
          <w:ilvl w:val="0"/>
          <w:numId w:val="217"/>
        </w:numPr>
        <w:spacing w:after="0" w:line="360" w:lineRule="auto"/>
        <w:jc w:val="both"/>
        <w:rPr>
          <w:rFonts w:eastAsia="Times New Roman" w:cs="Arial"/>
        </w:rPr>
      </w:pPr>
      <w:r w:rsidRPr="00526441">
        <w:rPr>
          <w:rFonts w:eastAsia="Times New Roman" w:cs="Arial"/>
        </w:rPr>
        <w:t>výzkum a inovace v oblasti oběhového hospodářství</w:t>
      </w:r>
    </w:p>
    <w:p w14:paraId="1B94D2B0" w14:textId="77777777" w:rsidR="00526441" w:rsidRPr="00526441" w:rsidRDefault="00526441" w:rsidP="00543C1B">
      <w:pPr>
        <w:pStyle w:val="Odstavecseseznamem"/>
        <w:numPr>
          <w:ilvl w:val="0"/>
          <w:numId w:val="217"/>
        </w:numPr>
        <w:spacing w:after="0" w:line="360" w:lineRule="auto"/>
        <w:jc w:val="both"/>
        <w:rPr>
          <w:rFonts w:eastAsia="Times New Roman" w:cs="Arial"/>
        </w:rPr>
      </w:pPr>
      <w:r w:rsidRPr="00526441">
        <w:rPr>
          <w:rFonts w:eastAsia="Times New Roman" w:cs="Arial"/>
        </w:rPr>
        <w:t>vývoj nejlepších dostupných technik a nově vznikajících technik průmyslových činností poskytujících vyšší úroveň ochrany životního prostředí a vyšší úspory nákladů</w:t>
      </w:r>
    </w:p>
    <w:p w14:paraId="37635D44" w14:textId="77777777" w:rsidR="00526441" w:rsidRPr="00526441" w:rsidRDefault="00526441" w:rsidP="00543C1B">
      <w:pPr>
        <w:pStyle w:val="Odstavecseseznamem"/>
        <w:numPr>
          <w:ilvl w:val="0"/>
          <w:numId w:val="217"/>
        </w:numPr>
        <w:spacing w:after="0" w:line="360" w:lineRule="auto"/>
        <w:jc w:val="both"/>
        <w:rPr>
          <w:rFonts w:eastAsia="Times New Roman" w:cs="Arial"/>
        </w:rPr>
      </w:pPr>
      <w:r w:rsidRPr="00526441">
        <w:rPr>
          <w:rFonts w:eastAsia="Times New Roman" w:cs="Arial"/>
        </w:rPr>
        <w:t>výzkum netradičních a nekonvenčních zdrojů energie a jejich potenciálu inovativní metody úspory energie, výzkum a vývoj metod ukládání a skladování energie v zemské kůře</w:t>
      </w:r>
    </w:p>
    <w:p w14:paraId="79FDBD6F" w14:textId="77777777" w:rsidR="00526441" w:rsidRPr="00526441" w:rsidRDefault="00526441" w:rsidP="00543C1B">
      <w:pPr>
        <w:pStyle w:val="Odstavecseseznamem"/>
        <w:numPr>
          <w:ilvl w:val="0"/>
          <w:numId w:val="217"/>
        </w:numPr>
        <w:spacing w:after="0" w:line="360" w:lineRule="auto"/>
        <w:jc w:val="both"/>
        <w:rPr>
          <w:rFonts w:eastAsia="Times New Roman" w:cs="Arial"/>
        </w:rPr>
      </w:pPr>
      <w:r w:rsidRPr="00526441">
        <w:rPr>
          <w:rFonts w:eastAsia="Times New Roman" w:cs="Arial"/>
        </w:rPr>
        <w:t>výzkum a vývoj inteligentních systémů výroby, ukládání a distribuce energie z OZE s ohledem na minimalizaci vlivů na přírodu a krajinu (lokální potenciál a spotřeba)</w:t>
      </w:r>
    </w:p>
    <w:p w14:paraId="16595352" w14:textId="77777777" w:rsidR="00526441" w:rsidRPr="00526441" w:rsidRDefault="00526441" w:rsidP="00526441">
      <w:pPr>
        <w:pStyle w:val="Odstavecseseznamem"/>
        <w:spacing w:after="0" w:line="360" w:lineRule="auto"/>
        <w:ind w:left="1770"/>
        <w:jc w:val="both"/>
        <w:rPr>
          <w:rFonts w:eastAsia="Times New Roman" w:cs="Arial"/>
        </w:rPr>
      </w:pPr>
    </w:p>
    <w:p w14:paraId="7BDE3E56" w14:textId="77777777" w:rsidR="00526441" w:rsidRPr="00526441" w:rsidRDefault="00526441" w:rsidP="00526441">
      <w:pPr>
        <w:spacing w:after="0" w:line="360" w:lineRule="auto"/>
        <w:contextualSpacing/>
        <w:jc w:val="both"/>
        <w:rPr>
          <w:rFonts w:eastAsia="Times New Roman" w:cs="Arial"/>
          <w:b/>
        </w:rPr>
      </w:pPr>
      <w:r w:rsidRPr="00526441">
        <w:rPr>
          <w:rFonts w:eastAsia="Times New Roman" w:cs="Arial"/>
          <w:b/>
        </w:rPr>
        <w:t>Environmentálně příznivá společnost (a sociální a kulturní výzvy a rozvoj a uplatnění lidského potenciálu)</w:t>
      </w:r>
    </w:p>
    <w:p w14:paraId="180A695F"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vytvoření systému vhodné prezentace znalostí o životním prostředí a komunikace o něm</w:t>
      </w:r>
    </w:p>
    <w:p w14:paraId="62792C5D"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výzkum nekonzistence mezi postoji a chováním v oblasti ochrany životního prostředí v různých věkových skupinách (včetně dospělých) - identifikace bariér a vzdělávací, výchovné a osvětové možnosti jejich překonávání</w:t>
      </w:r>
    </w:p>
    <w:p w14:paraId="5DA7D73B"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tvorba a ověřování metod kvantitativního ekonomického hodnocení dopadů politik v oblasti ochrany životního prostředí na podniky a domácnosti</w:t>
      </w:r>
    </w:p>
    <w:p w14:paraId="0AF8DE69"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dobrovolné nástroje v podpoře environmentálních inovací</w:t>
      </w:r>
    </w:p>
    <w:p w14:paraId="08790BCF"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vytváření nekomplikované environmentální legislativy</w:t>
      </w:r>
    </w:p>
    <w:p w14:paraId="26C6B761"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vytvoření systému hodnocení politik podle naplňování principů udržitelného rozvoje</w:t>
      </w:r>
    </w:p>
    <w:p w14:paraId="3075BA0A"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optimalizace využívání ICT nástrojů pro sledování složek ŽP, podporu výkonu správních činností v oblasti ŽP a hodnocení dopadů politik ŽP s cílem snížení nákladů a administrativní zátěže vyvolané legislativní regulací</w:t>
      </w:r>
    </w:p>
    <w:p w14:paraId="2F6ED525"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vývoj nástrojů a metodik pro efektivní uplatňování ekonomických, administrativních, legislativních či dobrovolných nástrojů v oblasti ochrany životního prostředí a minimalizace nákladů na dosažení cílů koncepčních dokumentů v oblasti životního prostředí</w:t>
      </w:r>
    </w:p>
    <w:p w14:paraId="49F3B92B"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vývoj inovativních metod v oblasti vytěžování strukturovaných i nestrukturovaných environmentálních dat s cílem jejich vícenásobného využití, srovnání a závislostních analýz</w:t>
      </w:r>
    </w:p>
    <w:p w14:paraId="26138076"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vývoj inovativních metod a postupů založených na progresivních digitálních technologiích, nových datových zdrojích (pocházejících např. z dálkového pozorování Země) a jejich kombinací s dostupnými daty a s cílem vytvoření standardizovaných mechanismů pro podporu tvorby, hodnocení a reportingu životního prostředí</w:t>
      </w:r>
    </w:p>
    <w:p w14:paraId="5534008A"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vytvoření návrhu aktualizovaných výukových modelů pro celoživotní vzdělávání v oblasti životního prostředí</w:t>
      </w:r>
    </w:p>
    <w:p w14:paraId="47058786"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zvýšení efektivity nástrojů environmentálního vzdělávání, výchovy a osvěty</w:t>
      </w:r>
    </w:p>
    <w:p w14:paraId="3A2CEDE8" w14:textId="77777777" w:rsidR="00526441" w:rsidRPr="00526441" w:rsidRDefault="00526441" w:rsidP="00543C1B">
      <w:pPr>
        <w:pStyle w:val="Odstavecseseznamem"/>
        <w:numPr>
          <w:ilvl w:val="0"/>
          <w:numId w:val="218"/>
        </w:numPr>
        <w:spacing w:after="0" w:line="360" w:lineRule="auto"/>
        <w:jc w:val="both"/>
        <w:rPr>
          <w:rFonts w:eastAsia="Times New Roman" w:cs="Arial"/>
        </w:rPr>
      </w:pPr>
      <w:r w:rsidRPr="00526441">
        <w:rPr>
          <w:rFonts w:eastAsia="Times New Roman" w:cs="Arial"/>
        </w:rPr>
        <w:t>zkoumání potenciálu oběhového hospodářství pro tvorbu nových pracovních míst v podmínkách ČR</w:t>
      </w:r>
    </w:p>
    <w:p w14:paraId="37C9B309" w14:textId="77777777" w:rsidR="0037707E" w:rsidRPr="0037707E" w:rsidRDefault="0037707E" w:rsidP="0037707E">
      <w:pPr>
        <w:spacing w:line="360" w:lineRule="auto"/>
        <w:rPr>
          <w:u w:val="single"/>
        </w:rPr>
      </w:pPr>
    </w:p>
    <w:p w14:paraId="24D943C4" w14:textId="42ED4D0D" w:rsidR="0037707E" w:rsidRDefault="0037707E" w:rsidP="00543C1B">
      <w:pPr>
        <w:pStyle w:val="Odstavecseseznamem"/>
        <w:numPr>
          <w:ilvl w:val="0"/>
          <w:numId w:val="213"/>
        </w:numPr>
        <w:spacing w:line="360" w:lineRule="auto"/>
        <w:rPr>
          <w:u w:val="single"/>
        </w:rPr>
      </w:pPr>
      <w:r w:rsidRPr="0037707E">
        <w:rPr>
          <w:u w:val="single"/>
        </w:rPr>
        <w:t>Indikativní vztah ke klasifikaci CZ NACE</w:t>
      </w:r>
    </w:p>
    <w:p w14:paraId="6EFE63A1" w14:textId="77777777" w:rsidR="00745892" w:rsidRPr="004E113D" w:rsidRDefault="00745892" w:rsidP="00745892">
      <w:pPr>
        <w:pStyle w:val="Bezmezer"/>
        <w:spacing w:line="276" w:lineRule="auto"/>
        <w:rPr>
          <w:rFonts w:asciiTheme="minorHAnsi" w:hAnsiTheme="minorHAnsi" w:cs="Calibri"/>
          <w:b/>
        </w:rPr>
      </w:pPr>
      <w:r w:rsidRPr="004E113D">
        <w:rPr>
          <w:rFonts w:asciiTheme="minorHAnsi" w:hAnsiTheme="minorHAnsi"/>
          <w:b/>
        </w:rPr>
        <w:t>Hlavní relevantní CZ NACE</w:t>
      </w:r>
      <w:r w:rsidRPr="004E113D">
        <w:rPr>
          <w:rFonts w:asciiTheme="minorHAnsi" w:hAnsiTheme="minorHAnsi"/>
        </w:rPr>
        <w:t>:</w:t>
      </w:r>
    </w:p>
    <w:p w14:paraId="304107E2" w14:textId="77777777" w:rsidR="00745892" w:rsidRPr="004E113D" w:rsidRDefault="00745892" w:rsidP="00745892">
      <w:pPr>
        <w:pStyle w:val="Bezmezer"/>
        <w:spacing w:line="276" w:lineRule="auto"/>
        <w:rPr>
          <w:rFonts w:asciiTheme="minorHAnsi" w:hAnsiTheme="minorHAnsi" w:cs="Calibri"/>
          <w:b/>
        </w:rPr>
      </w:pPr>
    </w:p>
    <w:p w14:paraId="5615E70B" w14:textId="2FD2D0E2" w:rsidR="00745892" w:rsidRDefault="00745892" w:rsidP="00745892">
      <w:pPr>
        <w:tabs>
          <w:tab w:val="left" w:pos="1838"/>
        </w:tabs>
        <w:autoSpaceDE w:val="0"/>
        <w:autoSpaceDN w:val="0"/>
        <w:adjustRightInd w:val="0"/>
        <w:spacing w:line="360" w:lineRule="auto"/>
        <w:ind w:left="1416" w:hanging="531"/>
        <w:jc w:val="both"/>
        <w:rPr>
          <w:rFonts w:cs="Calibri"/>
        </w:rPr>
      </w:pPr>
      <w:r w:rsidRPr="00641034">
        <w:rPr>
          <w:rFonts w:cs="Calibri"/>
        </w:rPr>
        <w:t>01</w:t>
      </w:r>
      <w:r w:rsidRPr="00745892">
        <w:rPr>
          <w:rFonts w:eastAsia="Times New Roman" w:cs="Times New Roman"/>
        </w:rPr>
        <w:tab/>
      </w:r>
      <w:r w:rsidRPr="00745892">
        <w:rPr>
          <w:rFonts w:cs="Calibri"/>
        </w:rPr>
        <w:t xml:space="preserve">Rostlinná a živočišná výroba, myslivost a souvis. činnosti s výjimkou </w:t>
      </w:r>
      <w:r w:rsidRPr="00745892">
        <w:rPr>
          <w:rFonts w:cs="Calibri"/>
          <w:b/>
        </w:rPr>
        <w:t>CZ NACE 01.1</w:t>
      </w:r>
      <w:r w:rsidRPr="00745892">
        <w:rPr>
          <w:rFonts w:cs="Calibri"/>
        </w:rPr>
        <w:t xml:space="preserve"> Pěstování plodin jiných než trvalých, </w:t>
      </w:r>
      <w:r w:rsidRPr="00745892">
        <w:rPr>
          <w:rFonts w:cs="Calibri"/>
          <w:b/>
        </w:rPr>
        <w:t xml:space="preserve">CZ NACE 01.2 </w:t>
      </w:r>
      <w:r w:rsidRPr="00745892">
        <w:rPr>
          <w:rFonts w:cs="Calibri"/>
        </w:rPr>
        <w:t xml:space="preserve">Pěstování trvalých plodin, </w:t>
      </w:r>
      <w:r w:rsidRPr="00745892">
        <w:rPr>
          <w:rFonts w:cs="Calibri"/>
          <w:b/>
        </w:rPr>
        <w:t>CZ NACE 01.3</w:t>
      </w:r>
      <w:r w:rsidRPr="00745892">
        <w:rPr>
          <w:rFonts w:cs="Calibri"/>
        </w:rPr>
        <w:t xml:space="preserve"> Množení rostlin, </w:t>
      </w:r>
      <w:r w:rsidRPr="00745892">
        <w:rPr>
          <w:rFonts w:cs="Calibri"/>
          <w:b/>
        </w:rPr>
        <w:t>CZ NACE 01.4</w:t>
      </w:r>
      <w:r w:rsidRPr="00745892">
        <w:rPr>
          <w:rFonts w:cs="Calibri"/>
        </w:rPr>
        <w:t xml:space="preserve"> Živočišná výroba, veterinární medicína (aktivní tvorba zdraví zvířat), </w:t>
      </w:r>
      <w:r w:rsidRPr="00745892">
        <w:rPr>
          <w:rFonts w:cs="Calibri"/>
          <w:b/>
        </w:rPr>
        <w:t>CZ</w:t>
      </w:r>
      <w:r>
        <w:rPr>
          <w:rFonts w:cs="Calibri"/>
          <w:b/>
        </w:rPr>
        <w:t> </w:t>
      </w:r>
      <w:r w:rsidRPr="00745892">
        <w:rPr>
          <w:rFonts w:cs="Calibri"/>
          <w:b/>
        </w:rPr>
        <w:t>NACE</w:t>
      </w:r>
      <w:r w:rsidRPr="00745892">
        <w:rPr>
          <w:rFonts w:cs="Calibri"/>
        </w:rPr>
        <w:t xml:space="preserve"> </w:t>
      </w:r>
      <w:r w:rsidRPr="00745892">
        <w:rPr>
          <w:rFonts w:cs="Calibri"/>
          <w:b/>
        </w:rPr>
        <w:t>01.6</w:t>
      </w:r>
      <w:r w:rsidRPr="00745892">
        <w:rPr>
          <w:rFonts w:cs="Calibri"/>
        </w:rPr>
        <w:t xml:space="preserve"> Podpůrné činnosti pro zemědělství a posklizňové činnosti a </w:t>
      </w:r>
      <w:r w:rsidRPr="00745892">
        <w:rPr>
          <w:b/>
        </w:rPr>
        <w:t xml:space="preserve">CZ NACE </w:t>
      </w:r>
      <w:r w:rsidRPr="00745892">
        <w:rPr>
          <w:rFonts w:cs="Calibri"/>
          <w:b/>
        </w:rPr>
        <w:t>01.7</w:t>
      </w:r>
      <w:r w:rsidRPr="00745892">
        <w:rPr>
          <w:rFonts w:cs="Calibri"/>
        </w:rPr>
        <w:t xml:space="preserve"> Lov a odchyt divokých zvířat a související činnosti</w:t>
      </w:r>
    </w:p>
    <w:p w14:paraId="7AAB34D1" w14:textId="77777777" w:rsidR="00745892" w:rsidRDefault="00745892" w:rsidP="00745892">
      <w:pPr>
        <w:tabs>
          <w:tab w:val="left" w:pos="1838"/>
        </w:tabs>
        <w:autoSpaceDE w:val="0"/>
        <w:autoSpaceDN w:val="0"/>
        <w:adjustRightInd w:val="0"/>
        <w:spacing w:line="360" w:lineRule="auto"/>
        <w:ind w:left="1416" w:hanging="531"/>
        <w:jc w:val="both"/>
      </w:pPr>
      <w:r w:rsidRPr="00641034">
        <w:rPr>
          <w:rFonts w:cs="Calibri"/>
        </w:rPr>
        <w:t>02</w:t>
      </w:r>
      <w:r w:rsidRPr="00745892">
        <w:tab/>
        <w:t xml:space="preserve">Lesnictví a těžba dřeva s výjimkou </w:t>
      </w:r>
      <w:r w:rsidRPr="00745892">
        <w:rPr>
          <w:b/>
        </w:rPr>
        <w:t>CZ NACE 02.1</w:t>
      </w:r>
      <w:r w:rsidRPr="00745892">
        <w:t xml:space="preserve"> Lesní hospodářství a jiné činnosti v oblasti lesnictví, </w:t>
      </w:r>
      <w:r w:rsidRPr="00745892">
        <w:rPr>
          <w:b/>
        </w:rPr>
        <w:t>CZ NACE 02.2</w:t>
      </w:r>
      <w:r w:rsidRPr="00745892">
        <w:t xml:space="preserve"> Těžba dřeva, </w:t>
      </w:r>
      <w:r w:rsidRPr="00745892">
        <w:rPr>
          <w:b/>
        </w:rPr>
        <w:t>CZ NACE 02.3</w:t>
      </w:r>
      <w:r w:rsidRPr="00745892">
        <w:t xml:space="preserve"> Sběr a získávání volně rostoucích plodů a</w:t>
      </w:r>
      <w:r>
        <w:t> </w:t>
      </w:r>
      <w:r w:rsidRPr="00745892">
        <w:t xml:space="preserve">materiálů, kromě dřeva a </w:t>
      </w:r>
      <w:r w:rsidRPr="00745892">
        <w:rPr>
          <w:b/>
        </w:rPr>
        <w:t>CZ NACE 02.4</w:t>
      </w:r>
      <w:r w:rsidRPr="00745892">
        <w:t xml:space="preserve"> Podpůrné činnosti pro lesnictví</w:t>
      </w:r>
    </w:p>
    <w:p w14:paraId="4922A8A5" w14:textId="612C937B" w:rsidR="00745892" w:rsidRPr="00641034" w:rsidRDefault="00745892" w:rsidP="00745892">
      <w:pPr>
        <w:tabs>
          <w:tab w:val="left" w:pos="1838"/>
        </w:tabs>
        <w:autoSpaceDE w:val="0"/>
        <w:autoSpaceDN w:val="0"/>
        <w:adjustRightInd w:val="0"/>
        <w:spacing w:line="360" w:lineRule="auto"/>
        <w:ind w:left="1416" w:hanging="531"/>
        <w:jc w:val="both"/>
      </w:pPr>
      <w:r>
        <w:rPr>
          <w:rFonts w:cs="Calibri"/>
          <w:b/>
        </w:rPr>
        <w:tab/>
      </w:r>
      <w:r w:rsidRPr="00641034">
        <w:rPr>
          <w:rFonts w:cs="Calibri"/>
        </w:rPr>
        <w:t>05.1</w:t>
      </w:r>
      <w:r w:rsidRPr="00641034">
        <w:tab/>
      </w:r>
      <w:r w:rsidRPr="00641034">
        <w:tab/>
        <w:t>Těžba a úprava černého uhlí</w:t>
      </w:r>
    </w:p>
    <w:p w14:paraId="0116E7E5" w14:textId="77777777" w:rsidR="00745892" w:rsidRPr="00641034" w:rsidRDefault="00745892" w:rsidP="00745892">
      <w:pPr>
        <w:tabs>
          <w:tab w:val="left" w:pos="1838"/>
        </w:tabs>
        <w:autoSpaceDE w:val="0"/>
        <w:autoSpaceDN w:val="0"/>
        <w:adjustRightInd w:val="0"/>
        <w:spacing w:line="360" w:lineRule="auto"/>
        <w:ind w:left="1416" w:hanging="531"/>
        <w:jc w:val="both"/>
      </w:pPr>
      <w:r w:rsidRPr="00641034">
        <w:rPr>
          <w:rFonts w:cs="Calibri"/>
        </w:rPr>
        <w:tab/>
        <w:t>05.2</w:t>
      </w:r>
      <w:r w:rsidRPr="00641034">
        <w:tab/>
      </w:r>
      <w:r w:rsidRPr="00641034">
        <w:tab/>
        <w:t>Těžba a úprava hnědého uhlí</w:t>
      </w:r>
    </w:p>
    <w:p w14:paraId="25E7350F" w14:textId="3E5397B0" w:rsidR="00745892" w:rsidRPr="00641034" w:rsidRDefault="00745892" w:rsidP="00745892">
      <w:pPr>
        <w:tabs>
          <w:tab w:val="left" w:pos="1838"/>
        </w:tabs>
        <w:autoSpaceDE w:val="0"/>
        <w:autoSpaceDN w:val="0"/>
        <w:adjustRightInd w:val="0"/>
        <w:spacing w:line="360" w:lineRule="auto"/>
        <w:ind w:left="1416" w:hanging="531"/>
        <w:jc w:val="both"/>
      </w:pPr>
      <w:r w:rsidRPr="00641034">
        <w:rPr>
          <w:rFonts w:cs="Calibri"/>
        </w:rPr>
        <w:tab/>
        <w:t>06.1</w:t>
      </w:r>
      <w:r w:rsidRPr="00641034">
        <w:tab/>
      </w:r>
      <w:r w:rsidRPr="00641034">
        <w:tab/>
        <w:t>Těžba ropy</w:t>
      </w:r>
    </w:p>
    <w:p w14:paraId="7D4B5690" w14:textId="77777777" w:rsidR="00745892" w:rsidRPr="00641034" w:rsidRDefault="00745892" w:rsidP="00745892">
      <w:pPr>
        <w:tabs>
          <w:tab w:val="left" w:pos="1838"/>
        </w:tabs>
        <w:autoSpaceDE w:val="0"/>
        <w:autoSpaceDN w:val="0"/>
        <w:adjustRightInd w:val="0"/>
        <w:spacing w:line="360" w:lineRule="auto"/>
        <w:ind w:left="1416" w:hanging="531"/>
        <w:jc w:val="both"/>
      </w:pPr>
      <w:r w:rsidRPr="00641034">
        <w:rPr>
          <w:rFonts w:cs="Calibri"/>
        </w:rPr>
        <w:tab/>
      </w:r>
      <w:r w:rsidRPr="00641034">
        <w:rPr>
          <w:rFonts w:cs="Arial"/>
        </w:rPr>
        <w:t>07.1</w:t>
      </w:r>
      <w:r w:rsidRPr="00641034">
        <w:rPr>
          <w:rFonts w:cs="Arial"/>
        </w:rPr>
        <w:tab/>
      </w:r>
      <w:r w:rsidRPr="00641034">
        <w:tab/>
        <w:t>Těžba a úprava železných rud</w:t>
      </w:r>
    </w:p>
    <w:p w14:paraId="18F4AA14" w14:textId="77777777" w:rsidR="00745892" w:rsidRPr="00641034" w:rsidRDefault="00745892" w:rsidP="00745892">
      <w:pPr>
        <w:tabs>
          <w:tab w:val="left" w:pos="1838"/>
        </w:tabs>
        <w:autoSpaceDE w:val="0"/>
        <w:autoSpaceDN w:val="0"/>
        <w:adjustRightInd w:val="0"/>
        <w:spacing w:line="360" w:lineRule="auto"/>
        <w:ind w:left="1416" w:hanging="531"/>
        <w:jc w:val="both"/>
      </w:pPr>
      <w:r w:rsidRPr="00641034">
        <w:rPr>
          <w:rFonts w:cs="Arial"/>
        </w:rPr>
        <w:tab/>
        <w:t>07.2</w:t>
      </w:r>
      <w:r w:rsidRPr="00641034">
        <w:tab/>
      </w:r>
      <w:r w:rsidRPr="00641034">
        <w:tab/>
        <w:t>Těžba a úprava neželezných rud</w:t>
      </w:r>
    </w:p>
    <w:p w14:paraId="4404B485" w14:textId="77777777" w:rsidR="00745892" w:rsidRPr="00641034" w:rsidRDefault="00745892" w:rsidP="00745892">
      <w:pPr>
        <w:tabs>
          <w:tab w:val="left" w:pos="1838"/>
        </w:tabs>
        <w:autoSpaceDE w:val="0"/>
        <w:autoSpaceDN w:val="0"/>
        <w:adjustRightInd w:val="0"/>
        <w:spacing w:line="360" w:lineRule="auto"/>
        <w:ind w:left="1416" w:hanging="531"/>
        <w:jc w:val="both"/>
      </w:pPr>
      <w:r w:rsidRPr="00641034">
        <w:rPr>
          <w:rFonts w:cs="Arial"/>
        </w:rPr>
        <w:tab/>
      </w:r>
      <w:r w:rsidRPr="00641034">
        <w:t>23.3</w:t>
      </w:r>
      <w:r w:rsidRPr="00641034">
        <w:rPr>
          <w:rFonts w:eastAsia="Times New Roman" w:cs="Times New Roman"/>
        </w:rPr>
        <w:tab/>
      </w:r>
      <w:r w:rsidRPr="00641034">
        <w:rPr>
          <w:rFonts w:eastAsia="Times New Roman" w:cs="Times New Roman"/>
        </w:rPr>
        <w:tab/>
      </w:r>
      <w:r w:rsidRPr="00641034">
        <w:t xml:space="preserve">Výroba stavebních výrobků z jílovitých materiálů </w:t>
      </w:r>
    </w:p>
    <w:p w14:paraId="0EFD7023" w14:textId="77777777" w:rsidR="00745892" w:rsidRPr="00641034" w:rsidRDefault="00745892" w:rsidP="00745892">
      <w:pPr>
        <w:tabs>
          <w:tab w:val="left" w:pos="1838"/>
        </w:tabs>
        <w:autoSpaceDE w:val="0"/>
        <w:autoSpaceDN w:val="0"/>
        <w:adjustRightInd w:val="0"/>
        <w:spacing w:line="360" w:lineRule="auto"/>
        <w:ind w:left="1416" w:hanging="531"/>
        <w:jc w:val="both"/>
      </w:pPr>
      <w:r w:rsidRPr="00641034">
        <w:tab/>
        <w:t>23.5</w:t>
      </w:r>
      <w:r w:rsidRPr="00641034">
        <w:rPr>
          <w:rFonts w:eastAsia="Times New Roman" w:cs="Times New Roman"/>
        </w:rPr>
        <w:tab/>
      </w:r>
      <w:r w:rsidRPr="00641034">
        <w:rPr>
          <w:rFonts w:eastAsia="Times New Roman" w:cs="Times New Roman"/>
        </w:rPr>
        <w:tab/>
      </w:r>
      <w:r w:rsidRPr="00641034">
        <w:t>Výroba cementu, vápna a sádry</w:t>
      </w:r>
    </w:p>
    <w:p w14:paraId="71C0F2DF" w14:textId="77777777" w:rsidR="00745892" w:rsidRPr="00641034" w:rsidRDefault="00745892" w:rsidP="00745892">
      <w:pPr>
        <w:tabs>
          <w:tab w:val="left" w:pos="1838"/>
        </w:tabs>
        <w:autoSpaceDE w:val="0"/>
        <w:autoSpaceDN w:val="0"/>
        <w:adjustRightInd w:val="0"/>
        <w:spacing w:line="360" w:lineRule="auto"/>
        <w:ind w:left="1416" w:hanging="531"/>
        <w:jc w:val="both"/>
      </w:pPr>
      <w:r w:rsidRPr="00641034">
        <w:tab/>
        <w:t>23.6</w:t>
      </w:r>
      <w:r w:rsidRPr="00641034">
        <w:rPr>
          <w:rFonts w:eastAsia="Times New Roman" w:cs="Times New Roman"/>
        </w:rPr>
        <w:tab/>
      </w:r>
      <w:r w:rsidRPr="00641034">
        <w:rPr>
          <w:rFonts w:eastAsia="Times New Roman" w:cs="Times New Roman"/>
        </w:rPr>
        <w:tab/>
      </w:r>
      <w:r w:rsidRPr="00641034">
        <w:t>Výroba betonových, cementových a sádrových výrobků</w:t>
      </w:r>
    </w:p>
    <w:p w14:paraId="5886B425" w14:textId="77777777" w:rsidR="00745892" w:rsidRPr="00641034" w:rsidRDefault="00745892" w:rsidP="00745892">
      <w:pPr>
        <w:tabs>
          <w:tab w:val="left" w:pos="1838"/>
        </w:tabs>
        <w:autoSpaceDE w:val="0"/>
        <w:autoSpaceDN w:val="0"/>
        <w:adjustRightInd w:val="0"/>
        <w:spacing w:line="360" w:lineRule="auto"/>
        <w:ind w:left="1416" w:hanging="531"/>
        <w:jc w:val="both"/>
      </w:pPr>
      <w:r w:rsidRPr="00641034">
        <w:tab/>
      </w:r>
      <w:r w:rsidRPr="00641034">
        <w:rPr>
          <w:rFonts w:cs="Calibri"/>
        </w:rPr>
        <w:t>38.1</w:t>
      </w:r>
      <w:r w:rsidRPr="00641034">
        <w:tab/>
      </w:r>
      <w:r w:rsidRPr="00641034">
        <w:tab/>
        <w:t>Shromažďování a sběr odpadů</w:t>
      </w:r>
    </w:p>
    <w:p w14:paraId="3328232F" w14:textId="77777777" w:rsidR="00745892" w:rsidRPr="00641034" w:rsidRDefault="00745892" w:rsidP="00745892">
      <w:pPr>
        <w:tabs>
          <w:tab w:val="left" w:pos="1838"/>
        </w:tabs>
        <w:autoSpaceDE w:val="0"/>
        <w:autoSpaceDN w:val="0"/>
        <w:adjustRightInd w:val="0"/>
        <w:spacing w:line="360" w:lineRule="auto"/>
        <w:ind w:left="1416" w:hanging="531"/>
        <w:jc w:val="both"/>
        <w:rPr>
          <w:rFonts w:cs="Calibri"/>
        </w:rPr>
      </w:pPr>
      <w:r w:rsidRPr="00641034">
        <w:rPr>
          <w:rFonts w:cs="Calibri"/>
        </w:rPr>
        <w:tab/>
        <w:t>38.2</w:t>
      </w:r>
      <w:r w:rsidRPr="00641034">
        <w:rPr>
          <w:rFonts w:cs="Calibri"/>
        </w:rPr>
        <w:tab/>
      </w:r>
      <w:r w:rsidRPr="00641034">
        <w:tab/>
      </w:r>
      <w:r w:rsidRPr="00641034">
        <w:rPr>
          <w:rFonts w:cs="Calibri"/>
        </w:rPr>
        <w:t>Odstraňování odpadů</w:t>
      </w:r>
    </w:p>
    <w:p w14:paraId="1EB0678C" w14:textId="77777777" w:rsidR="00745892" w:rsidRPr="00641034" w:rsidRDefault="00745892" w:rsidP="00745892">
      <w:pPr>
        <w:tabs>
          <w:tab w:val="left" w:pos="1838"/>
        </w:tabs>
        <w:autoSpaceDE w:val="0"/>
        <w:autoSpaceDN w:val="0"/>
        <w:adjustRightInd w:val="0"/>
        <w:spacing w:line="360" w:lineRule="auto"/>
        <w:ind w:left="1416" w:hanging="531"/>
        <w:jc w:val="both"/>
      </w:pPr>
      <w:r w:rsidRPr="00641034">
        <w:rPr>
          <w:rFonts w:cs="Calibri"/>
        </w:rPr>
        <w:tab/>
        <w:t>38.3</w:t>
      </w:r>
      <w:r w:rsidRPr="00641034">
        <w:tab/>
      </w:r>
      <w:r w:rsidRPr="00641034">
        <w:tab/>
      </w:r>
      <w:r w:rsidRPr="00641034">
        <w:rPr>
          <w:rFonts w:cs="Calibri"/>
        </w:rPr>
        <w:t>Úprava odpadů k dalšímu využití</w:t>
      </w:r>
    </w:p>
    <w:p w14:paraId="1A0DCEE7" w14:textId="70812240" w:rsidR="00745892" w:rsidRPr="00641034" w:rsidRDefault="00745892" w:rsidP="00745892">
      <w:pPr>
        <w:tabs>
          <w:tab w:val="left" w:pos="1838"/>
        </w:tabs>
        <w:autoSpaceDE w:val="0"/>
        <w:autoSpaceDN w:val="0"/>
        <w:adjustRightInd w:val="0"/>
        <w:spacing w:line="360" w:lineRule="auto"/>
        <w:ind w:left="1416" w:hanging="531"/>
        <w:jc w:val="both"/>
      </w:pPr>
      <w:r w:rsidRPr="00641034">
        <w:rPr>
          <w:rFonts w:cs="Calibri"/>
        </w:rPr>
        <w:t>39</w:t>
      </w:r>
      <w:r w:rsidRPr="00641034">
        <w:rPr>
          <w:rFonts w:eastAsia="Times New Roman" w:cs="Times New Roman"/>
        </w:rPr>
        <w:tab/>
      </w:r>
      <w:r w:rsidRPr="00641034">
        <w:rPr>
          <w:rFonts w:cs="Calibri"/>
        </w:rPr>
        <w:t>Sanace a jiné činnosti související s odpady</w:t>
      </w:r>
    </w:p>
    <w:p w14:paraId="62EE96A3" w14:textId="77777777" w:rsidR="00745892" w:rsidRPr="00641034" w:rsidRDefault="00745892" w:rsidP="00745892">
      <w:pPr>
        <w:pStyle w:val="Bezmezer1"/>
        <w:tabs>
          <w:tab w:val="left" w:pos="1838"/>
        </w:tabs>
        <w:spacing w:before="40" w:after="40" w:line="360" w:lineRule="auto"/>
        <w:ind w:left="108" w:firstLine="777"/>
        <w:rPr>
          <w:rFonts w:asciiTheme="minorHAnsi" w:eastAsiaTheme="minorHAnsi" w:hAnsiTheme="minorHAnsi" w:cs="Calibri"/>
        </w:rPr>
      </w:pPr>
      <w:r w:rsidRPr="00641034">
        <w:rPr>
          <w:rFonts w:cs="Calibri"/>
        </w:rPr>
        <w:t>41 – 43</w:t>
      </w:r>
      <w:r w:rsidRPr="00641034">
        <w:rPr>
          <w:rFonts w:asciiTheme="minorHAnsi" w:hAnsiTheme="minorHAnsi"/>
        </w:rPr>
        <w:tab/>
      </w:r>
      <w:r w:rsidRPr="00641034">
        <w:rPr>
          <w:rFonts w:asciiTheme="minorHAnsi" w:eastAsiaTheme="minorHAnsi" w:hAnsiTheme="minorHAnsi" w:cs="Calibri"/>
        </w:rPr>
        <w:t>Stavebnictví</w:t>
      </w:r>
    </w:p>
    <w:p w14:paraId="5BEB4095" w14:textId="7615D815" w:rsidR="00745892" w:rsidRPr="00641034" w:rsidRDefault="00745892" w:rsidP="00745892">
      <w:pPr>
        <w:pStyle w:val="Bezmezer1"/>
        <w:tabs>
          <w:tab w:val="left" w:pos="1838"/>
        </w:tabs>
        <w:spacing w:before="40" w:after="40" w:line="360" w:lineRule="auto"/>
        <w:ind w:left="108" w:firstLine="777"/>
        <w:rPr>
          <w:rFonts w:asciiTheme="minorHAnsi" w:hAnsiTheme="minorHAnsi"/>
        </w:rPr>
      </w:pPr>
      <w:r w:rsidRPr="00641034">
        <w:rPr>
          <w:rFonts w:cs="Calibri"/>
        </w:rPr>
        <w:t>49</w:t>
      </w:r>
      <w:r w:rsidRPr="00641034">
        <w:tab/>
      </w:r>
      <w:r w:rsidRPr="00641034">
        <w:rPr>
          <w:rFonts w:cs="Calibri"/>
        </w:rPr>
        <w:t>Pozemní a potrubní doprava</w:t>
      </w:r>
    </w:p>
    <w:p w14:paraId="53FD9E49" w14:textId="77777777" w:rsidR="00745892" w:rsidRPr="004E113D" w:rsidRDefault="00745892" w:rsidP="00745892">
      <w:pPr>
        <w:pStyle w:val="Bezmezer"/>
        <w:spacing w:line="276" w:lineRule="auto"/>
        <w:rPr>
          <w:rFonts w:asciiTheme="minorHAnsi" w:hAnsiTheme="minorHAnsi" w:cs="Calibri"/>
          <w:b/>
        </w:rPr>
      </w:pPr>
    </w:p>
    <w:p w14:paraId="43AE39BA" w14:textId="3F0F9AE9" w:rsidR="00745892" w:rsidRPr="004E113D" w:rsidRDefault="00745892" w:rsidP="00745892">
      <w:pPr>
        <w:pStyle w:val="Bezmezer1"/>
        <w:spacing w:before="40" w:after="40" w:line="276" w:lineRule="auto"/>
        <w:rPr>
          <w:rFonts w:asciiTheme="minorHAnsi" w:hAnsiTheme="minorHAnsi" w:cs="Arial"/>
          <w:b/>
        </w:rPr>
      </w:pPr>
      <w:r w:rsidRPr="004E113D">
        <w:rPr>
          <w:rFonts w:asciiTheme="minorHAnsi" w:hAnsiTheme="minorHAnsi" w:cs="Arial"/>
          <w:b/>
        </w:rPr>
        <w:t>Návazné CZ NACE:</w:t>
      </w:r>
    </w:p>
    <w:p w14:paraId="0DE95AEE" w14:textId="77777777" w:rsidR="00745892" w:rsidRPr="004E113D" w:rsidRDefault="00745892" w:rsidP="00745892">
      <w:pPr>
        <w:pStyle w:val="Bezmezer1"/>
        <w:spacing w:before="40" w:after="40" w:line="276" w:lineRule="auto"/>
        <w:rPr>
          <w:rFonts w:asciiTheme="minorHAnsi" w:hAnsiTheme="minorHAnsi" w:cs="Arial"/>
          <w:b/>
        </w:rPr>
      </w:pPr>
    </w:p>
    <w:p w14:paraId="1E08D891" w14:textId="77777777"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01.1</w:t>
      </w:r>
      <w:r w:rsidRPr="00641034">
        <w:rPr>
          <w:rFonts w:cs="Calibri"/>
        </w:rPr>
        <w:tab/>
      </w:r>
      <w:r w:rsidR="00707A39" w:rsidRPr="00641034">
        <w:rPr>
          <w:rFonts w:cs="Calibri"/>
        </w:rPr>
        <w:tab/>
      </w:r>
      <w:r w:rsidRPr="00641034">
        <w:rPr>
          <w:rFonts w:cs="Calibri"/>
        </w:rPr>
        <w:t>Pěstování plodin jiných než trvalých</w:t>
      </w:r>
    </w:p>
    <w:p w14:paraId="1BB66990" w14:textId="16A0E165"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01.2</w:t>
      </w:r>
      <w:r w:rsidRPr="00641034">
        <w:rPr>
          <w:rFonts w:cs="Calibri"/>
        </w:rPr>
        <w:tab/>
      </w:r>
      <w:r w:rsidR="00707A39" w:rsidRPr="00641034">
        <w:rPr>
          <w:rFonts w:cs="Calibri"/>
        </w:rPr>
        <w:tab/>
      </w:r>
      <w:r w:rsidRPr="00641034">
        <w:rPr>
          <w:rFonts w:cs="Calibri"/>
        </w:rPr>
        <w:t>Pěstování trvalých plodin</w:t>
      </w:r>
    </w:p>
    <w:p w14:paraId="28F1CDC2" w14:textId="34F39E08"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01.3</w:t>
      </w:r>
      <w:r w:rsidRPr="00641034">
        <w:rPr>
          <w:rFonts w:cs="Calibri"/>
        </w:rPr>
        <w:tab/>
      </w:r>
      <w:r w:rsidR="00707A39" w:rsidRPr="00641034">
        <w:rPr>
          <w:rFonts w:cs="Calibri"/>
        </w:rPr>
        <w:tab/>
      </w:r>
      <w:r w:rsidRPr="00641034">
        <w:rPr>
          <w:rFonts w:cs="Calibri"/>
        </w:rPr>
        <w:t>Množení rostlin</w:t>
      </w:r>
    </w:p>
    <w:p w14:paraId="470D2EBC" w14:textId="0102778B"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01.4</w:t>
      </w:r>
      <w:r w:rsidRPr="00641034">
        <w:rPr>
          <w:rFonts w:cs="Calibri"/>
        </w:rPr>
        <w:tab/>
      </w:r>
      <w:r w:rsidR="00707A39" w:rsidRPr="00641034">
        <w:rPr>
          <w:rFonts w:cs="Calibri"/>
        </w:rPr>
        <w:tab/>
      </w:r>
      <w:r w:rsidRPr="00641034">
        <w:rPr>
          <w:rFonts w:cs="Calibri"/>
        </w:rPr>
        <w:t>Živočišná výroba, veterinární medicína (aktivní tvorba zdraví zvířat)</w:t>
      </w:r>
    </w:p>
    <w:p w14:paraId="45014FB7" w14:textId="56B0D2C8"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01.6</w:t>
      </w:r>
      <w:r w:rsidRPr="00641034">
        <w:rPr>
          <w:rFonts w:cs="Calibri"/>
        </w:rPr>
        <w:tab/>
      </w:r>
      <w:r w:rsidR="00707A39" w:rsidRPr="00641034">
        <w:rPr>
          <w:rFonts w:cs="Calibri"/>
        </w:rPr>
        <w:tab/>
      </w:r>
      <w:r w:rsidRPr="00641034">
        <w:rPr>
          <w:rFonts w:cs="Calibri"/>
        </w:rPr>
        <w:t>Podpůrné činnosti pro zemědělství a posklizňové činnosti</w:t>
      </w:r>
    </w:p>
    <w:p w14:paraId="7B49C100" w14:textId="589320D7"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01.7</w:t>
      </w:r>
      <w:r w:rsidRPr="00641034">
        <w:rPr>
          <w:rFonts w:cs="Calibri"/>
        </w:rPr>
        <w:tab/>
      </w:r>
      <w:r w:rsidR="00707A39" w:rsidRPr="00641034">
        <w:rPr>
          <w:rFonts w:cs="Calibri"/>
        </w:rPr>
        <w:tab/>
      </w:r>
      <w:r w:rsidRPr="00641034">
        <w:rPr>
          <w:rFonts w:cs="Calibri"/>
        </w:rPr>
        <w:t>Lov a odchyt divokých zvířat a související činnosti</w:t>
      </w:r>
    </w:p>
    <w:p w14:paraId="6B611567" w14:textId="1F5FC9C6"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02.1</w:t>
      </w:r>
      <w:r w:rsidRPr="00641034">
        <w:rPr>
          <w:rFonts w:cs="Calibri"/>
        </w:rPr>
        <w:tab/>
      </w:r>
      <w:r w:rsidR="00707A39" w:rsidRPr="00641034">
        <w:rPr>
          <w:rFonts w:cs="Calibri"/>
        </w:rPr>
        <w:tab/>
      </w:r>
      <w:r w:rsidRPr="00641034">
        <w:rPr>
          <w:rFonts w:cs="Calibri"/>
        </w:rPr>
        <w:t>Lesní hospodářství a jiné činnosti v oblasti lesnictví</w:t>
      </w:r>
    </w:p>
    <w:p w14:paraId="5EBCD10A" w14:textId="38CC7976"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02.2</w:t>
      </w:r>
      <w:r w:rsidRPr="00641034">
        <w:rPr>
          <w:rFonts w:cs="Calibri"/>
        </w:rPr>
        <w:tab/>
      </w:r>
      <w:r w:rsidR="00707A39" w:rsidRPr="00641034">
        <w:rPr>
          <w:rFonts w:cs="Calibri"/>
        </w:rPr>
        <w:tab/>
      </w:r>
      <w:r w:rsidRPr="00641034">
        <w:rPr>
          <w:rFonts w:cs="Calibri"/>
        </w:rPr>
        <w:t>Těžba dřeva</w:t>
      </w:r>
    </w:p>
    <w:p w14:paraId="3F194031" w14:textId="175C771E"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02.3</w:t>
      </w:r>
      <w:r w:rsidRPr="00641034">
        <w:rPr>
          <w:rFonts w:cs="Calibri"/>
        </w:rPr>
        <w:tab/>
      </w:r>
      <w:r w:rsidR="00707A39" w:rsidRPr="00641034">
        <w:rPr>
          <w:rFonts w:cs="Calibri"/>
        </w:rPr>
        <w:tab/>
      </w:r>
      <w:r w:rsidRPr="00641034">
        <w:rPr>
          <w:rFonts w:cs="Calibri"/>
        </w:rPr>
        <w:t>Sběr a získávání volně rostoucích plodů a materiálů, kromě dřeva</w:t>
      </w:r>
    </w:p>
    <w:p w14:paraId="570CEC25" w14:textId="515265CE"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Calibri"/>
        </w:rPr>
        <w:t>02.4</w:t>
      </w:r>
      <w:r w:rsidRPr="00641034">
        <w:rPr>
          <w:rFonts w:cs="Calibri"/>
        </w:rPr>
        <w:tab/>
      </w:r>
      <w:r w:rsidR="00707A39" w:rsidRPr="00641034">
        <w:rPr>
          <w:rFonts w:cs="Calibri"/>
        </w:rPr>
        <w:tab/>
      </w:r>
      <w:r w:rsidRPr="00641034">
        <w:rPr>
          <w:rFonts w:cs="Calibri"/>
        </w:rPr>
        <w:t>Podpůrné činnosti pro lesnictví</w:t>
      </w:r>
    </w:p>
    <w:p w14:paraId="448F68F3" w14:textId="61187A9B" w:rsidR="00707A39" w:rsidRPr="00641034" w:rsidRDefault="00745892" w:rsidP="00707A39">
      <w:pPr>
        <w:tabs>
          <w:tab w:val="left" w:pos="1923"/>
        </w:tabs>
        <w:autoSpaceDE w:val="0"/>
        <w:autoSpaceDN w:val="0"/>
        <w:adjustRightInd w:val="0"/>
        <w:spacing w:line="360" w:lineRule="auto"/>
        <w:ind w:left="885" w:firstLine="533"/>
        <w:rPr>
          <w:rFonts w:cs="Calibri"/>
        </w:rPr>
      </w:pPr>
      <w:r w:rsidRPr="00641034">
        <w:rPr>
          <w:rFonts w:cs="Arial"/>
        </w:rPr>
        <w:t>19.2</w:t>
      </w:r>
      <w:r w:rsidRPr="00641034">
        <w:rPr>
          <w:rFonts w:cs="Calibri"/>
        </w:rPr>
        <w:tab/>
      </w:r>
      <w:r w:rsidR="00707A39" w:rsidRPr="00641034">
        <w:rPr>
          <w:rFonts w:cs="Calibri"/>
        </w:rPr>
        <w:tab/>
      </w:r>
      <w:r w:rsidRPr="00641034">
        <w:rPr>
          <w:rFonts w:cs="Calibri"/>
        </w:rPr>
        <w:t>Výroba rafinovaných ropných produktů</w:t>
      </w:r>
    </w:p>
    <w:p w14:paraId="55E56855" w14:textId="77777777" w:rsidR="00707A39" w:rsidRPr="00641034" w:rsidRDefault="00745892" w:rsidP="00707A39">
      <w:pPr>
        <w:tabs>
          <w:tab w:val="left" w:pos="1923"/>
        </w:tabs>
        <w:autoSpaceDE w:val="0"/>
        <w:autoSpaceDN w:val="0"/>
        <w:adjustRightInd w:val="0"/>
        <w:spacing w:line="360" w:lineRule="auto"/>
        <w:ind w:left="2123" w:hanging="705"/>
        <w:rPr>
          <w:rFonts w:cs="Calibri"/>
        </w:rPr>
      </w:pPr>
      <w:r w:rsidRPr="00641034">
        <w:rPr>
          <w:rFonts w:cs="Calibri"/>
        </w:rPr>
        <w:t>20.1</w:t>
      </w:r>
      <w:r w:rsidRPr="00641034">
        <w:rPr>
          <w:rFonts w:cs="Calibri"/>
        </w:rPr>
        <w:tab/>
      </w:r>
      <w:r w:rsidR="00707A39" w:rsidRPr="00641034">
        <w:rPr>
          <w:rFonts w:cs="Calibri"/>
        </w:rPr>
        <w:tab/>
      </w:r>
      <w:r w:rsidR="00707A39" w:rsidRPr="00641034">
        <w:rPr>
          <w:rFonts w:cs="Calibri"/>
        </w:rPr>
        <w:tab/>
      </w:r>
      <w:r w:rsidRPr="00641034">
        <w:rPr>
          <w:rFonts w:cs="Calibri"/>
        </w:rPr>
        <w:t>Výroba základních chemických látek, hnojiv a dusíkatých sloučenin, plastů a syntetického kaučuku v primárních formách</w:t>
      </w:r>
    </w:p>
    <w:p w14:paraId="3C9956D1" w14:textId="77777777" w:rsidR="00707A39" w:rsidRPr="00641034" w:rsidRDefault="00745892" w:rsidP="00707A39">
      <w:pPr>
        <w:tabs>
          <w:tab w:val="left" w:pos="1923"/>
        </w:tabs>
        <w:autoSpaceDE w:val="0"/>
        <w:autoSpaceDN w:val="0"/>
        <w:adjustRightInd w:val="0"/>
        <w:spacing w:line="360" w:lineRule="auto"/>
        <w:ind w:left="2123" w:hanging="705"/>
        <w:rPr>
          <w:rFonts w:cs="Calibri"/>
        </w:rPr>
      </w:pPr>
      <w:r w:rsidRPr="00641034">
        <w:rPr>
          <w:rFonts w:cs="Calibri"/>
        </w:rPr>
        <w:t>20.6</w:t>
      </w:r>
      <w:r w:rsidRPr="00641034">
        <w:rPr>
          <w:rFonts w:cs="Calibri"/>
        </w:rPr>
        <w:tab/>
      </w:r>
      <w:r w:rsidR="00707A39" w:rsidRPr="00641034">
        <w:rPr>
          <w:rFonts w:cs="Calibri"/>
        </w:rPr>
        <w:tab/>
      </w:r>
      <w:r w:rsidRPr="00641034">
        <w:rPr>
          <w:rFonts w:cs="Calibri"/>
        </w:rPr>
        <w:t>Výroba chemických vláken</w:t>
      </w:r>
    </w:p>
    <w:p w14:paraId="621021F5" w14:textId="77777777" w:rsidR="00707A39" w:rsidRPr="00641034" w:rsidRDefault="00745892" w:rsidP="00707A39">
      <w:pPr>
        <w:tabs>
          <w:tab w:val="left" w:pos="1923"/>
        </w:tabs>
        <w:autoSpaceDE w:val="0"/>
        <w:autoSpaceDN w:val="0"/>
        <w:adjustRightInd w:val="0"/>
        <w:spacing w:line="360" w:lineRule="auto"/>
        <w:ind w:left="2123" w:hanging="705"/>
        <w:rPr>
          <w:rFonts w:cs="Calibri"/>
        </w:rPr>
      </w:pPr>
      <w:r w:rsidRPr="00641034">
        <w:rPr>
          <w:rFonts w:cs="Calibri"/>
        </w:rPr>
        <w:t>22.2</w:t>
      </w:r>
      <w:r w:rsidRPr="00641034">
        <w:rPr>
          <w:rFonts w:cs="Calibri"/>
        </w:rPr>
        <w:tab/>
      </w:r>
      <w:r w:rsidR="00707A39" w:rsidRPr="00641034">
        <w:rPr>
          <w:rFonts w:cs="Calibri"/>
        </w:rPr>
        <w:tab/>
      </w:r>
      <w:r w:rsidRPr="00641034">
        <w:rPr>
          <w:rFonts w:cs="Calibri"/>
        </w:rPr>
        <w:t>Výroba plastových výrobků</w:t>
      </w:r>
    </w:p>
    <w:p w14:paraId="5C205639" w14:textId="60F6A236" w:rsidR="00745892" w:rsidRPr="00641034" w:rsidRDefault="00745892" w:rsidP="00707A39">
      <w:pPr>
        <w:tabs>
          <w:tab w:val="left" w:pos="1923"/>
        </w:tabs>
        <w:autoSpaceDE w:val="0"/>
        <w:autoSpaceDN w:val="0"/>
        <w:adjustRightInd w:val="0"/>
        <w:spacing w:line="360" w:lineRule="auto"/>
        <w:ind w:left="2123" w:hanging="705"/>
        <w:rPr>
          <w:rFonts w:cs="Calibri"/>
        </w:rPr>
      </w:pPr>
      <w:r w:rsidRPr="00641034">
        <w:rPr>
          <w:rFonts w:cs="Calibri"/>
        </w:rPr>
        <w:t>26.4</w:t>
      </w:r>
      <w:r w:rsidRPr="00641034">
        <w:rPr>
          <w:rFonts w:cs="Calibri"/>
        </w:rPr>
        <w:tab/>
      </w:r>
      <w:r w:rsidR="00707A39" w:rsidRPr="00641034">
        <w:rPr>
          <w:rFonts w:cs="Calibri"/>
        </w:rPr>
        <w:tab/>
      </w:r>
      <w:r w:rsidRPr="00641034">
        <w:rPr>
          <w:rFonts w:cs="Calibri"/>
        </w:rPr>
        <w:t>Výroba spotřební elektroniky</w:t>
      </w:r>
    </w:p>
    <w:p w14:paraId="49FE2BAE" w14:textId="77777777" w:rsidR="00707A39" w:rsidRPr="00641034" w:rsidRDefault="00745892" w:rsidP="00707A39">
      <w:pPr>
        <w:tabs>
          <w:tab w:val="left" w:pos="1923"/>
        </w:tabs>
        <w:autoSpaceDE w:val="0"/>
        <w:autoSpaceDN w:val="0"/>
        <w:adjustRightInd w:val="0"/>
        <w:spacing w:line="360" w:lineRule="auto"/>
        <w:ind w:firstLine="777"/>
        <w:rPr>
          <w:rFonts w:cs="Calibri"/>
        </w:rPr>
      </w:pPr>
      <w:r w:rsidRPr="00641034">
        <w:rPr>
          <w:rFonts w:cs="Calibri"/>
        </w:rPr>
        <w:t>36</w:t>
      </w:r>
      <w:r w:rsidR="00707A39" w:rsidRPr="00641034">
        <w:rPr>
          <w:rFonts w:cs="Calibri"/>
        </w:rPr>
        <w:tab/>
      </w:r>
      <w:r w:rsidRPr="00641034">
        <w:rPr>
          <w:rFonts w:cs="Calibri"/>
        </w:rPr>
        <w:t>Shromažďování, úprava a rozvod vody</w:t>
      </w:r>
    </w:p>
    <w:p w14:paraId="7F73BA99" w14:textId="77777777" w:rsidR="00707A39" w:rsidRPr="00641034" w:rsidRDefault="00745892" w:rsidP="00707A39">
      <w:pPr>
        <w:tabs>
          <w:tab w:val="left" w:pos="1923"/>
        </w:tabs>
        <w:autoSpaceDE w:val="0"/>
        <w:autoSpaceDN w:val="0"/>
        <w:adjustRightInd w:val="0"/>
        <w:spacing w:line="360" w:lineRule="auto"/>
        <w:ind w:firstLine="777"/>
        <w:rPr>
          <w:rFonts w:cs="Calibri"/>
        </w:rPr>
      </w:pPr>
      <w:r w:rsidRPr="00641034">
        <w:rPr>
          <w:rFonts w:cs="Calibri"/>
        </w:rPr>
        <w:t>37</w:t>
      </w:r>
      <w:r w:rsidRPr="00641034">
        <w:rPr>
          <w:rFonts w:cs="Calibri"/>
        </w:rPr>
        <w:tab/>
        <w:t>Činnosti související s odpadními vodami</w:t>
      </w:r>
    </w:p>
    <w:p w14:paraId="352C1D06" w14:textId="15CA76DF" w:rsidR="00745892" w:rsidRPr="00641034" w:rsidRDefault="00745892" w:rsidP="00707A39">
      <w:pPr>
        <w:tabs>
          <w:tab w:val="left" w:pos="1923"/>
        </w:tabs>
        <w:autoSpaceDE w:val="0"/>
        <w:autoSpaceDN w:val="0"/>
        <w:adjustRightInd w:val="0"/>
        <w:spacing w:line="360" w:lineRule="auto"/>
        <w:ind w:firstLine="777"/>
        <w:rPr>
          <w:rFonts w:cs="Calibri"/>
        </w:rPr>
      </w:pPr>
      <w:r w:rsidRPr="00641034">
        <w:rPr>
          <w:rFonts w:cs="Calibri"/>
        </w:rPr>
        <w:t>39</w:t>
      </w:r>
      <w:r w:rsidRPr="00641034">
        <w:rPr>
          <w:rFonts w:cs="Calibri"/>
        </w:rPr>
        <w:tab/>
        <w:t>Sanace a jiné činnosti související s odpady</w:t>
      </w:r>
    </w:p>
    <w:p w14:paraId="78623EE6" w14:textId="73660DB3" w:rsidR="00745892" w:rsidRPr="00641034" w:rsidRDefault="00707A39" w:rsidP="00745892">
      <w:pPr>
        <w:tabs>
          <w:tab w:val="left" w:pos="1923"/>
        </w:tabs>
        <w:autoSpaceDE w:val="0"/>
        <w:autoSpaceDN w:val="0"/>
        <w:adjustRightInd w:val="0"/>
        <w:spacing w:line="360" w:lineRule="auto"/>
        <w:ind w:left="108"/>
        <w:rPr>
          <w:rFonts w:cs="Calibri"/>
        </w:rPr>
      </w:pPr>
      <w:r w:rsidRPr="00641034">
        <w:tab/>
      </w:r>
      <w:r w:rsidR="00745892" w:rsidRPr="00641034">
        <w:rPr>
          <w:rFonts w:cs="Calibri"/>
        </w:rPr>
        <w:t>72.11</w:t>
      </w:r>
      <w:r w:rsidR="00745892" w:rsidRPr="00641034">
        <w:rPr>
          <w:rFonts w:cs="Calibri"/>
        </w:rPr>
        <w:tab/>
        <w:t>Výzkum a vývoj v oblasti biotechnologie</w:t>
      </w:r>
    </w:p>
    <w:p w14:paraId="6C1407F2" w14:textId="04EC63F7" w:rsidR="00745892" w:rsidRPr="00641034" w:rsidRDefault="00707A39" w:rsidP="00745892">
      <w:pPr>
        <w:tabs>
          <w:tab w:val="left" w:pos="1923"/>
        </w:tabs>
        <w:autoSpaceDE w:val="0"/>
        <w:autoSpaceDN w:val="0"/>
        <w:adjustRightInd w:val="0"/>
        <w:spacing w:line="360" w:lineRule="auto"/>
        <w:ind w:left="108"/>
        <w:rPr>
          <w:rFonts w:cs="Calibri"/>
        </w:rPr>
      </w:pPr>
      <w:r w:rsidRPr="00641034">
        <w:tab/>
      </w:r>
      <w:r w:rsidR="00745892" w:rsidRPr="00641034">
        <w:rPr>
          <w:rFonts w:cs="Calibri"/>
        </w:rPr>
        <w:t>72.19</w:t>
      </w:r>
      <w:r w:rsidR="00745892" w:rsidRPr="00641034">
        <w:rPr>
          <w:rFonts w:cs="Calibri"/>
        </w:rPr>
        <w:tab/>
        <w:t>Ostatní výzkum a vývoj v oblasti přírodních a technických věd</w:t>
      </w:r>
    </w:p>
    <w:p w14:paraId="4113E57C" w14:textId="2A1B2ACE" w:rsidR="00417F34" w:rsidRPr="00641034" w:rsidRDefault="00417F34">
      <w:pPr>
        <w:spacing w:after="200" w:line="276" w:lineRule="auto"/>
        <w:rPr>
          <w:u w:val="single"/>
        </w:rPr>
      </w:pPr>
      <w:r w:rsidRPr="00641034">
        <w:rPr>
          <w:u w:val="single"/>
        </w:rPr>
        <w:br w:type="page"/>
      </w:r>
    </w:p>
    <w:p w14:paraId="2625D67E" w14:textId="28D171E6" w:rsidR="00690782" w:rsidRDefault="006E6688" w:rsidP="003B3BF0">
      <w:pPr>
        <w:pStyle w:val="Nadpis3"/>
        <w:spacing w:line="360" w:lineRule="auto"/>
      </w:pPr>
      <w:bookmarkStart w:id="274" w:name="_Toc525716298"/>
      <w:r w:rsidRPr="00EF4A38">
        <w:t>Společenské výzvy</w:t>
      </w:r>
      <w:r w:rsidR="007D758B">
        <w:t xml:space="preserve"> – výstupy z NIP VII.</w:t>
      </w:r>
      <w:bookmarkEnd w:id="274"/>
    </w:p>
    <w:p w14:paraId="2B9C813C" w14:textId="6B01D4B2" w:rsidR="003B3BF0" w:rsidRDefault="00FF24A4" w:rsidP="003B3BF0">
      <w:pPr>
        <w:pStyle w:val="Nadpis4"/>
        <w:spacing w:line="360" w:lineRule="auto"/>
      </w:pPr>
      <w:bookmarkStart w:id="275" w:name="_Toc525716299"/>
      <w:r>
        <w:t xml:space="preserve">Práce, sociální </w:t>
      </w:r>
      <w:r w:rsidR="00D770E2">
        <w:t>služby</w:t>
      </w:r>
      <w:r w:rsidR="003B3BF0">
        <w:t xml:space="preserve"> a důchodový systém</w:t>
      </w:r>
      <w:bookmarkEnd w:id="275"/>
    </w:p>
    <w:p w14:paraId="78818966" w14:textId="3628DDE0" w:rsidR="003B3BF0" w:rsidRPr="003B3BF0" w:rsidRDefault="003B3BF0" w:rsidP="003B3BF0">
      <w:pPr>
        <w:pStyle w:val="Odstavecseseznamem"/>
        <w:spacing w:line="360" w:lineRule="auto"/>
        <w:rPr>
          <w:u w:val="single"/>
        </w:rPr>
      </w:pPr>
      <w:r w:rsidRPr="003B3BF0">
        <w:rPr>
          <w:u w:val="single"/>
        </w:rPr>
        <w:t>Témata VaVaI identifikovaná prostřednictvím EDP:</w:t>
      </w:r>
    </w:p>
    <w:p w14:paraId="2957F358" w14:textId="5BD35CC4" w:rsidR="003B3BF0" w:rsidRPr="003B3BF0" w:rsidRDefault="003B3BF0" w:rsidP="00543C1B">
      <w:pPr>
        <w:pStyle w:val="Odstavecseseznamem"/>
        <w:numPr>
          <w:ilvl w:val="0"/>
          <w:numId w:val="219"/>
        </w:numPr>
        <w:spacing w:after="200" w:line="360" w:lineRule="auto"/>
        <w:jc w:val="both"/>
        <w:rPr>
          <w:u w:val="single"/>
        </w:rPr>
      </w:pPr>
      <w:r w:rsidRPr="003B3BF0">
        <w:rPr>
          <w:rFonts w:eastAsia="Calibri" w:cs="Times New Roman"/>
          <w:b/>
        </w:rPr>
        <w:t>Sledování a hodnocení vývojových trendů na trhu práce, včetně účinnosti přijímaných opatření a</w:t>
      </w:r>
      <w:r>
        <w:rPr>
          <w:rFonts w:eastAsia="Calibri" w:cs="Times New Roman"/>
          <w:b/>
        </w:rPr>
        <w:t> </w:t>
      </w:r>
      <w:r w:rsidRPr="003B3BF0">
        <w:rPr>
          <w:rFonts w:eastAsia="Calibri" w:cs="Times New Roman"/>
          <w:b/>
        </w:rPr>
        <w:t xml:space="preserve"> bezpečnosti a ochrany zdraví při práci</w:t>
      </w:r>
      <w:r w:rsidRPr="003B3BF0">
        <w:rPr>
          <w:rFonts w:eastAsia="Calibri" w:cs="Times New Roman"/>
        </w:rPr>
        <w:t xml:space="preserve"> </w:t>
      </w:r>
    </w:p>
    <w:p w14:paraId="2E1F4C2A" w14:textId="77777777" w:rsidR="003B3BF0" w:rsidRPr="003B3BF0" w:rsidRDefault="003B3BF0" w:rsidP="00543C1B">
      <w:pPr>
        <w:pStyle w:val="Odstavecseseznamem"/>
        <w:numPr>
          <w:ilvl w:val="1"/>
          <w:numId w:val="219"/>
        </w:numPr>
        <w:spacing w:after="200" w:line="360" w:lineRule="auto"/>
        <w:jc w:val="both"/>
        <w:rPr>
          <w:u w:val="single"/>
        </w:rPr>
      </w:pPr>
      <w:r w:rsidRPr="003B3BF0">
        <w:rPr>
          <w:rFonts w:eastAsia="Calibri" w:cs="Times New Roman"/>
        </w:rPr>
        <w:t xml:space="preserve">sledování základních trendů probíhajících na trhu práce, </w:t>
      </w:r>
    </w:p>
    <w:p w14:paraId="01B9AEE5" w14:textId="77777777" w:rsidR="003B3BF0" w:rsidRPr="003B3BF0" w:rsidRDefault="003B3BF0" w:rsidP="00543C1B">
      <w:pPr>
        <w:pStyle w:val="Odstavecseseznamem"/>
        <w:numPr>
          <w:ilvl w:val="1"/>
          <w:numId w:val="219"/>
        </w:numPr>
        <w:spacing w:after="200" w:line="360" w:lineRule="auto"/>
        <w:jc w:val="both"/>
        <w:rPr>
          <w:u w:val="single"/>
        </w:rPr>
      </w:pPr>
      <w:r w:rsidRPr="003B3BF0">
        <w:rPr>
          <w:rFonts w:eastAsia="Calibri" w:cs="Times New Roman"/>
        </w:rPr>
        <w:t>hodnocení přijatých opatření v politice zaměstnanosti na trhu práce, zejména ve veřejných službách zaměstnanosti a na vytváření predikcí vývoje trhu práce, na základě kterých bude možno stanovit očekáváné nejen kvalifikační potřeby trhu práce.</w:t>
      </w:r>
    </w:p>
    <w:p w14:paraId="4B772D2E" w14:textId="77777777" w:rsidR="003B3BF0" w:rsidRPr="003B3BF0" w:rsidRDefault="003B3BF0" w:rsidP="00543C1B">
      <w:pPr>
        <w:pStyle w:val="Odstavecseseznamem"/>
        <w:numPr>
          <w:ilvl w:val="0"/>
          <w:numId w:val="219"/>
        </w:numPr>
        <w:spacing w:before="120" w:after="0" w:line="360" w:lineRule="auto"/>
        <w:jc w:val="both"/>
        <w:rPr>
          <w:rFonts w:eastAsia="Calibri" w:cs="Times New Roman"/>
        </w:rPr>
      </w:pPr>
      <w:r w:rsidRPr="003B3BF0">
        <w:rPr>
          <w:rFonts w:eastAsia="Calibri" w:cs="Times New Roman"/>
          <w:b/>
        </w:rPr>
        <w:t>Monitorování vývoje sociálního dialogu a pracovních podmínek</w:t>
      </w:r>
      <w:r w:rsidRPr="003B3BF0">
        <w:rPr>
          <w:rFonts w:eastAsia="Calibri" w:cs="Times New Roman"/>
        </w:rPr>
        <w:t xml:space="preserve"> </w:t>
      </w:r>
    </w:p>
    <w:p w14:paraId="360D1B13" w14:textId="77777777" w:rsidR="003B3BF0" w:rsidRPr="003B3BF0" w:rsidRDefault="003B3BF0" w:rsidP="00543C1B">
      <w:pPr>
        <w:pStyle w:val="Odstavecseseznamem"/>
        <w:numPr>
          <w:ilvl w:val="1"/>
          <w:numId w:val="219"/>
        </w:numPr>
        <w:spacing w:before="120" w:after="0" w:line="360" w:lineRule="auto"/>
        <w:jc w:val="both"/>
        <w:rPr>
          <w:rFonts w:eastAsia="Calibri" w:cs="Times New Roman"/>
        </w:rPr>
      </w:pPr>
      <w:r w:rsidRPr="003B3BF0">
        <w:rPr>
          <w:rFonts w:eastAsia="Calibri" w:cs="Times New Roman"/>
        </w:rPr>
        <w:t xml:space="preserve">posouzení stávajících kapacit a identifikace rozvojových bariér jak jednotlivých sociálních partnerů, tak sociálního dialogu jako celku </w:t>
      </w:r>
    </w:p>
    <w:p w14:paraId="2FD47ED2" w14:textId="77777777" w:rsidR="003B3BF0" w:rsidRPr="003B3BF0" w:rsidRDefault="003B3BF0" w:rsidP="00543C1B">
      <w:pPr>
        <w:pStyle w:val="Odstavecseseznamem"/>
        <w:numPr>
          <w:ilvl w:val="1"/>
          <w:numId w:val="219"/>
        </w:numPr>
        <w:spacing w:before="120" w:after="0" w:line="360" w:lineRule="auto"/>
        <w:jc w:val="both"/>
        <w:rPr>
          <w:rFonts w:eastAsia="Calibri" w:cs="Times New Roman"/>
        </w:rPr>
      </w:pPr>
      <w:r w:rsidRPr="003B3BF0">
        <w:rPr>
          <w:rFonts w:eastAsia="Calibri" w:cs="Times New Roman"/>
        </w:rPr>
        <w:t>mapování jednotlivých aspektů pracovních podmínek, jako jsou pracovní doba, organizace práce včetně flexibilních a tzv. prekérních forem zaměstnávání a na jejich případné zdravotní dopady.</w:t>
      </w:r>
    </w:p>
    <w:p w14:paraId="06120CBE" w14:textId="77777777" w:rsidR="003B3BF0" w:rsidRPr="003B3BF0" w:rsidRDefault="003B3BF0" w:rsidP="00543C1B">
      <w:pPr>
        <w:pStyle w:val="Odstavecseseznamem"/>
        <w:numPr>
          <w:ilvl w:val="0"/>
          <w:numId w:val="219"/>
        </w:numPr>
        <w:spacing w:before="120" w:after="0" w:line="360" w:lineRule="auto"/>
        <w:jc w:val="both"/>
        <w:rPr>
          <w:rFonts w:eastAsia="Calibri" w:cs="Times New Roman"/>
        </w:rPr>
      </w:pPr>
      <w:r w:rsidRPr="003B3BF0">
        <w:rPr>
          <w:rFonts w:eastAsia="Calibri" w:cs="Times New Roman"/>
          <w:b/>
          <w:bCs/>
        </w:rPr>
        <w:t xml:space="preserve">Bezpečnosti a ochrana zdraví při práci </w:t>
      </w:r>
    </w:p>
    <w:p w14:paraId="7D7F8F50" w14:textId="38DF56F3" w:rsidR="003B3BF0" w:rsidRPr="003B3BF0" w:rsidRDefault="003B3BF0" w:rsidP="00543C1B">
      <w:pPr>
        <w:pStyle w:val="Odstavecseseznamem"/>
        <w:numPr>
          <w:ilvl w:val="1"/>
          <w:numId w:val="219"/>
        </w:numPr>
        <w:spacing w:before="120" w:after="0" w:line="360" w:lineRule="auto"/>
        <w:jc w:val="both"/>
        <w:rPr>
          <w:rFonts w:eastAsia="Calibri" w:cs="Times New Roman"/>
        </w:rPr>
      </w:pPr>
      <w:r w:rsidRPr="003B3BF0">
        <w:rPr>
          <w:rFonts w:eastAsia="Calibri" w:cs="Times New Roman"/>
          <w:bCs/>
        </w:rPr>
        <w:t>cílem je především zajistit</w:t>
      </w:r>
      <w:r w:rsidRPr="003B3BF0">
        <w:rPr>
          <w:rFonts w:eastAsia="Calibri" w:cs="Times New Roman"/>
          <w:b/>
          <w:bCs/>
        </w:rPr>
        <w:t xml:space="preserve"> </w:t>
      </w:r>
      <w:r w:rsidRPr="003B3BF0">
        <w:rPr>
          <w:rFonts w:eastAsia="Calibri" w:cs="Times New Roman"/>
        </w:rPr>
        <w:t>podklady a metody hodnocení socioekonomických aspektů práce a</w:t>
      </w:r>
      <w:r w:rsidR="00C62D41">
        <w:rPr>
          <w:rFonts w:eastAsia="Calibri" w:cs="Times New Roman"/>
        </w:rPr>
        <w:t> </w:t>
      </w:r>
      <w:r w:rsidRPr="003B3BF0">
        <w:rPr>
          <w:rFonts w:eastAsia="Calibri" w:cs="Times New Roman"/>
        </w:rPr>
        <w:t>poskytnout vědecké podklady a metody hodnocení zdravotního rizika expozice chemickým škodlivinám a nanočásticím. Studován bude vliv expozice vybraným faktorům pracovního prostředí a pracovních podmínek (fyzikální, fyziologické a psychologické faktory) a vliv psychické zátěže a psychosociálního stresu při práci. Zkoumány budou i vybrané nemoci z povolání, jejich diagnostická a posudková kritéria. V tomto kontextu je podstatná také výchova a vzdělávání a management BOZP.</w:t>
      </w:r>
    </w:p>
    <w:p w14:paraId="21A9FC68" w14:textId="77777777" w:rsidR="003B3BF0" w:rsidRPr="003B3BF0" w:rsidRDefault="003B3BF0" w:rsidP="00543C1B">
      <w:pPr>
        <w:pStyle w:val="Odstavecseseznamem"/>
        <w:numPr>
          <w:ilvl w:val="0"/>
          <w:numId w:val="219"/>
        </w:numPr>
        <w:spacing w:before="120" w:after="0" w:line="360" w:lineRule="auto"/>
        <w:jc w:val="both"/>
        <w:rPr>
          <w:rFonts w:eastAsia="Calibri" w:cs="Times New Roman"/>
        </w:rPr>
      </w:pPr>
      <w:r w:rsidRPr="003B3BF0">
        <w:rPr>
          <w:rFonts w:eastAsia="Calibri" w:cs="Times New Roman"/>
          <w:b/>
        </w:rPr>
        <w:t>Hodnocení procesů utváření ceny práce</w:t>
      </w:r>
      <w:r w:rsidRPr="003B3BF0">
        <w:rPr>
          <w:rFonts w:eastAsia="Calibri" w:cs="Times New Roman"/>
        </w:rPr>
        <w:t xml:space="preserve"> </w:t>
      </w:r>
    </w:p>
    <w:p w14:paraId="1144DD81" w14:textId="77777777" w:rsidR="003B3BF0" w:rsidRPr="003B3BF0" w:rsidRDefault="003B3BF0" w:rsidP="00543C1B">
      <w:pPr>
        <w:pStyle w:val="Odstavecseseznamem"/>
        <w:numPr>
          <w:ilvl w:val="1"/>
          <w:numId w:val="219"/>
        </w:numPr>
        <w:spacing w:before="120" w:after="0" w:line="360" w:lineRule="auto"/>
        <w:jc w:val="both"/>
        <w:rPr>
          <w:rFonts w:eastAsia="Calibri" w:cs="Times New Roman"/>
        </w:rPr>
      </w:pPr>
      <w:r w:rsidRPr="003B3BF0">
        <w:rPr>
          <w:rFonts w:eastAsia="Calibri" w:cs="Times New Roman"/>
        </w:rPr>
        <w:t>kontinuální studium faktorů a sociálně-ekonomických souvislostí procesu utváření ceny práce, hodnocení složitosti, odpovědnosti a namáhavosti prací, pohybu přímých a vedlejších nákladů práce, vývoje výdělků a jejich diferenciace, příjmů a výdajů obyvatelstva, resp. vybraných sociálních skupin.</w:t>
      </w:r>
    </w:p>
    <w:p w14:paraId="19F2486D" w14:textId="77777777" w:rsidR="003B3BF0" w:rsidRPr="003B3BF0" w:rsidRDefault="003B3BF0" w:rsidP="00543C1B">
      <w:pPr>
        <w:pStyle w:val="Odstavecseseznamem"/>
        <w:numPr>
          <w:ilvl w:val="0"/>
          <w:numId w:val="219"/>
        </w:numPr>
        <w:spacing w:before="120" w:after="0" w:line="360" w:lineRule="auto"/>
        <w:jc w:val="both"/>
        <w:rPr>
          <w:rFonts w:eastAsia="Calibri" w:cs="Times New Roman"/>
        </w:rPr>
      </w:pPr>
      <w:r w:rsidRPr="003B3BF0">
        <w:rPr>
          <w:rFonts w:eastAsia="Calibri" w:cs="Times New Roman"/>
          <w:b/>
        </w:rPr>
        <w:t>Migrace a politiky integrace cizinců</w:t>
      </w:r>
      <w:r w:rsidRPr="003B3BF0">
        <w:rPr>
          <w:rFonts w:eastAsia="Calibri" w:cs="Times New Roman"/>
        </w:rPr>
        <w:t xml:space="preserve"> </w:t>
      </w:r>
    </w:p>
    <w:p w14:paraId="7ED137AA" w14:textId="77777777" w:rsidR="003B3BF0" w:rsidRDefault="003B3BF0" w:rsidP="00543C1B">
      <w:pPr>
        <w:pStyle w:val="Odstavecseseznamem"/>
        <w:numPr>
          <w:ilvl w:val="1"/>
          <w:numId w:val="219"/>
        </w:numPr>
        <w:spacing w:before="120" w:after="0" w:line="360" w:lineRule="auto"/>
        <w:jc w:val="both"/>
        <w:rPr>
          <w:rFonts w:eastAsia="Calibri" w:cs="Times New Roman"/>
        </w:rPr>
      </w:pPr>
      <w:r w:rsidRPr="003B3BF0">
        <w:rPr>
          <w:rFonts w:eastAsia="Calibri" w:cs="Times New Roman"/>
        </w:rPr>
        <w:t>kontinuální monitorování procesů migrace v ČR a rozbor jejich socioekonomických souvislostí se specifikací zásadních dopadů na českou společnost, na mapování pracovní a sociální integrace cizinců do majoritní společnosti ČR a na sledování vývoje vztahů mezi cizinci a majoritní společností ČR.</w:t>
      </w:r>
    </w:p>
    <w:p w14:paraId="47D26F50" w14:textId="77777777" w:rsidR="000236D5" w:rsidRPr="000236D5" w:rsidRDefault="000236D5" w:rsidP="000236D5">
      <w:pPr>
        <w:spacing w:before="120" w:after="0" w:line="360" w:lineRule="auto"/>
        <w:jc w:val="both"/>
        <w:rPr>
          <w:rFonts w:eastAsia="Calibri" w:cs="Times New Roman"/>
        </w:rPr>
      </w:pPr>
    </w:p>
    <w:p w14:paraId="3B516C32" w14:textId="77777777" w:rsidR="003B3BF0" w:rsidRPr="003B3BF0" w:rsidRDefault="003B3BF0" w:rsidP="00543C1B">
      <w:pPr>
        <w:pStyle w:val="Odstavecseseznamem"/>
        <w:numPr>
          <w:ilvl w:val="0"/>
          <w:numId w:val="219"/>
        </w:numPr>
        <w:spacing w:before="120" w:after="0" w:line="360" w:lineRule="auto"/>
        <w:jc w:val="both"/>
        <w:rPr>
          <w:rFonts w:eastAsia="Calibri" w:cs="Times New Roman"/>
        </w:rPr>
      </w:pPr>
      <w:r w:rsidRPr="003B3BF0">
        <w:rPr>
          <w:rFonts w:eastAsia="Calibri" w:cs="Times New Roman"/>
          <w:b/>
        </w:rPr>
        <w:t>Sociální a ekonomické důsledky stárnutí populace na sociální systémy</w:t>
      </w:r>
      <w:r w:rsidRPr="003B3BF0">
        <w:rPr>
          <w:rFonts w:eastAsia="Calibri" w:cs="Times New Roman"/>
        </w:rPr>
        <w:t xml:space="preserve"> </w:t>
      </w:r>
    </w:p>
    <w:p w14:paraId="3DB08252" w14:textId="77777777" w:rsidR="003B3BF0" w:rsidRPr="003B3BF0" w:rsidRDefault="003B3BF0" w:rsidP="00543C1B">
      <w:pPr>
        <w:pStyle w:val="Odstavecseseznamem"/>
        <w:numPr>
          <w:ilvl w:val="1"/>
          <w:numId w:val="219"/>
        </w:numPr>
        <w:spacing w:before="120" w:after="0" w:line="360" w:lineRule="auto"/>
        <w:jc w:val="both"/>
        <w:rPr>
          <w:rFonts w:eastAsia="Calibri" w:cs="Times New Roman"/>
        </w:rPr>
      </w:pPr>
      <w:r w:rsidRPr="003B3BF0">
        <w:rPr>
          <w:rFonts w:eastAsia="Calibri" w:cs="Times New Roman"/>
        </w:rPr>
        <w:t>analýza připravenosti české společnosti na řešení těchto důsledků zejména v oblasti důchodového a nemocenského pojištění a v oblasti dlouhodobé sociálně zdravotní péče, v této oblasti bude pozornost rovněž zaměřena na otázky jejich ekonomické a sociální efektivnosti.</w:t>
      </w:r>
    </w:p>
    <w:p w14:paraId="37845A8F" w14:textId="77777777" w:rsidR="003B3BF0" w:rsidRPr="003B3BF0" w:rsidRDefault="003B3BF0" w:rsidP="00543C1B">
      <w:pPr>
        <w:pStyle w:val="Odstavecseseznamem"/>
        <w:numPr>
          <w:ilvl w:val="0"/>
          <w:numId w:val="219"/>
        </w:numPr>
        <w:spacing w:before="120" w:after="0" w:line="360" w:lineRule="auto"/>
        <w:jc w:val="both"/>
        <w:rPr>
          <w:rFonts w:eastAsia="Calibri" w:cs="Times New Roman"/>
        </w:rPr>
      </w:pPr>
      <w:r w:rsidRPr="003B3BF0">
        <w:rPr>
          <w:rFonts w:eastAsia="Calibri" w:cs="Times New Roman"/>
          <w:b/>
        </w:rPr>
        <w:t>Monitorování sociální diferenciace, sociálního vyloučení a chudoby</w:t>
      </w:r>
    </w:p>
    <w:p w14:paraId="6B92E076" w14:textId="77777777" w:rsidR="003B3BF0" w:rsidRPr="003B3BF0" w:rsidRDefault="003B3BF0" w:rsidP="00543C1B">
      <w:pPr>
        <w:pStyle w:val="Odstavecseseznamem"/>
        <w:numPr>
          <w:ilvl w:val="1"/>
          <w:numId w:val="219"/>
        </w:numPr>
        <w:spacing w:before="120" w:after="0" w:line="360" w:lineRule="auto"/>
        <w:jc w:val="both"/>
        <w:rPr>
          <w:rFonts w:eastAsia="Calibri" w:cs="Times New Roman"/>
        </w:rPr>
      </w:pPr>
      <w:r w:rsidRPr="003B3BF0">
        <w:rPr>
          <w:rFonts w:eastAsia="Calibri" w:cs="Times New Roman"/>
        </w:rPr>
        <w:t>hodnocení vybraných oblastí politik (dávkové sociální systémy, politika zaměstnanosti, sociální služby, sociální bydlení) s cílem dále rozvíjet soubor národních indikátorů chudoby a sociálního vyloučení.</w:t>
      </w:r>
    </w:p>
    <w:p w14:paraId="7CB9F7C3" w14:textId="77777777" w:rsidR="003B3BF0" w:rsidRPr="003B3BF0" w:rsidRDefault="003B3BF0" w:rsidP="00543C1B">
      <w:pPr>
        <w:pStyle w:val="Odstavecseseznamem"/>
        <w:numPr>
          <w:ilvl w:val="0"/>
          <w:numId w:val="219"/>
        </w:numPr>
        <w:spacing w:before="120" w:after="0" w:line="360" w:lineRule="auto"/>
        <w:jc w:val="both"/>
        <w:rPr>
          <w:rFonts w:eastAsia="Calibri" w:cs="Times New Roman"/>
        </w:rPr>
      </w:pPr>
      <w:r w:rsidRPr="003B3BF0">
        <w:rPr>
          <w:rFonts w:eastAsia="Calibri" w:cs="Times New Roman"/>
          <w:b/>
        </w:rPr>
        <w:t>Proměny české rodiny v kontextu demografických a sociálních změn</w:t>
      </w:r>
      <w:r w:rsidRPr="003B3BF0">
        <w:rPr>
          <w:rFonts w:eastAsia="Calibri" w:cs="Times New Roman"/>
        </w:rPr>
        <w:t xml:space="preserve"> </w:t>
      </w:r>
    </w:p>
    <w:p w14:paraId="0562FF6F" w14:textId="0617867F" w:rsidR="003B3BF0" w:rsidRPr="003B3BF0" w:rsidRDefault="003B3BF0" w:rsidP="00543C1B">
      <w:pPr>
        <w:pStyle w:val="Odstavecseseznamem"/>
        <w:numPr>
          <w:ilvl w:val="1"/>
          <w:numId w:val="219"/>
        </w:numPr>
        <w:spacing w:before="120" w:after="0" w:line="360" w:lineRule="auto"/>
        <w:jc w:val="both"/>
        <w:rPr>
          <w:rFonts w:eastAsia="Calibri" w:cs="Times New Roman"/>
        </w:rPr>
      </w:pPr>
      <w:r w:rsidRPr="003B3BF0">
        <w:rPr>
          <w:rFonts w:eastAsia="Calibri" w:cs="Times New Roman"/>
        </w:rPr>
        <w:t>hodnocení možností rodinné politiky v návaznosti na další veřejné politiky, přitom budou propojovány různé přístupy ke zkoumání rodin, mj. z hlediska slaďování rodinných a profesních rolí, z hlediska potřeb jednotlivých členů rodin v různých fázích rodinného a životního cyklu a</w:t>
      </w:r>
      <w:r w:rsidR="00FB54F4">
        <w:rPr>
          <w:rFonts w:eastAsia="Calibri" w:cs="Times New Roman"/>
        </w:rPr>
        <w:t> </w:t>
      </w:r>
      <w:r w:rsidRPr="003B3BF0">
        <w:rPr>
          <w:rFonts w:eastAsia="Calibri" w:cs="Times New Roman"/>
        </w:rPr>
        <w:t>v</w:t>
      </w:r>
      <w:r w:rsidR="00FB54F4">
        <w:rPr>
          <w:rFonts w:eastAsia="Calibri" w:cs="Times New Roman"/>
        </w:rPr>
        <w:t> </w:t>
      </w:r>
      <w:r w:rsidRPr="003B3BF0">
        <w:rPr>
          <w:rFonts w:eastAsia="Calibri" w:cs="Times New Roman"/>
        </w:rPr>
        <w:t>různých formách rodin, z hlediska vztahu finančních a nefinančních forem společenské podpory.</w:t>
      </w:r>
    </w:p>
    <w:p w14:paraId="41EE0816" w14:textId="77777777" w:rsidR="003B3BF0" w:rsidRPr="003B3BF0" w:rsidRDefault="003B3BF0" w:rsidP="00543C1B">
      <w:pPr>
        <w:pStyle w:val="Odstavecseseznamem"/>
        <w:numPr>
          <w:ilvl w:val="0"/>
          <w:numId w:val="219"/>
        </w:numPr>
        <w:spacing w:before="120" w:after="0" w:line="360" w:lineRule="auto"/>
        <w:jc w:val="both"/>
        <w:rPr>
          <w:rFonts w:eastAsia="Calibri" w:cs="Times New Roman"/>
        </w:rPr>
      </w:pPr>
      <w:r w:rsidRPr="003B3BF0">
        <w:rPr>
          <w:rFonts w:eastAsia="Calibri" w:cs="Times New Roman"/>
          <w:b/>
        </w:rPr>
        <w:t>Hodnocení trendů v rozvoji kapacity veřejné správy a vládnutí ve vztahu k sociální politice</w:t>
      </w:r>
      <w:r w:rsidRPr="003B3BF0">
        <w:rPr>
          <w:rFonts w:eastAsia="Calibri" w:cs="Times New Roman"/>
        </w:rPr>
        <w:t xml:space="preserve"> </w:t>
      </w:r>
    </w:p>
    <w:p w14:paraId="63B907C3" w14:textId="77777777" w:rsidR="003B3BF0" w:rsidRDefault="003B3BF0" w:rsidP="00543C1B">
      <w:pPr>
        <w:pStyle w:val="Odstavecseseznamem"/>
        <w:numPr>
          <w:ilvl w:val="1"/>
          <w:numId w:val="219"/>
        </w:numPr>
        <w:spacing w:before="120" w:after="0" w:line="360" w:lineRule="auto"/>
        <w:jc w:val="both"/>
        <w:rPr>
          <w:rFonts w:eastAsia="Calibri" w:cs="Times New Roman"/>
        </w:rPr>
      </w:pPr>
      <w:r w:rsidRPr="003B3BF0">
        <w:rPr>
          <w:rFonts w:eastAsia="Calibri" w:cs="Times New Roman"/>
        </w:rPr>
        <w:t>sledování probíhajících institucionálních a regulačních změn v systému veřejné správy, a to ve vztahu k uplatňování významnějších změn v jednotlivých oblastech sociální politiky, včetně oblasti sociální práce.</w:t>
      </w:r>
    </w:p>
    <w:p w14:paraId="1B6767C0" w14:textId="69F3B8EC" w:rsidR="00417F34" w:rsidRDefault="00417F34">
      <w:pPr>
        <w:spacing w:after="200" w:line="276" w:lineRule="auto"/>
        <w:rPr>
          <w:rFonts w:eastAsia="Calibri" w:cs="Times New Roman"/>
        </w:rPr>
      </w:pPr>
      <w:r>
        <w:rPr>
          <w:rFonts w:eastAsia="Calibri" w:cs="Times New Roman"/>
        </w:rPr>
        <w:br w:type="page"/>
      </w:r>
    </w:p>
    <w:p w14:paraId="569ABEE4" w14:textId="22CE2972" w:rsidR="003B3BF0" w:rsidRDefault="003B3BF0" w:rsidP="003B3BF0">
      <w:pPr>
        <w:pStyle w:val="Nadpis4"/>
        <w:spacing w:line="360" w:lineRule="auto"/>
        <w:rPr>
          <w:rFonts w:eastAsia="Calibri"/>
        </w:rPr>
      </w:pPr>
      <w:bookmarkStart w:id="276" w:name="_Toc525716300"/>
      <w:r>
        <w:rPr>
          <w:rFonts w:eastAsia="Calibri"/>
        </w:rPr>
        <w:t>Bezpečnostní výzkum</w:t>
      </w:r>
      <w:bookmarkEnd w:id="276"/>
    </w:p>
    <w:p w14:paraId="69125252" w14:textId="77777777" w:rsidR="003B3BF0" w:rsidRPr="005623E0" w:rsidRDefault="003B3BF0" w:rsidP="003B3BF0">
      <w:pPr>
        <w:pStyle w:val="Odstavecseseznamem"/>
        <w:spacing w:line="360" w:lineRule="auto"/>
        <w:rPr>
          <w:u w:val="single"/>
        </w:rPr>
      </w:pPr>
      <w:r w:rsidRPr="005623E0">
        <w:rPr>
          <w:u w:val="single"/>
        </w:rPr>
        <w:t>Témata VaVaI identifikovaná prostřednictvím EDP:</w:t>
      </w:r>
    </w:p>
    <w:p w14:paraId="268C4271" w14:textId="3A4A7E19" w:rsidR="005623E0" w:rsidRPr="005623E0" w:rsidRDefault="005623E0" w:rsidP="00543C1B">
      <w:pPr>
        <w:pStyle w:val="Odstavecseseznamem"/>
        <w:numPr>
          <w:ilvl w:val="0"/>
          <w:numId w:val="220"/>
        </w:numPr>
        <w:autoSpaceDE w:val="0"/>
        <w:autoSpaceDN w:val="0"/>
        <w:adjustRightInd w:val="0"/>
        <w:spacing w:after="0" w:line="360" w:lineRule="auto"/>
        <w:jc w:val="both"/>
        <w:rPr>
          <w:lang w:eastAsia="cs-CZ"/>
        </w:rPr>
      </w:pPr>
      <w:r w:rsidRPr="005623E0">
        <w:rPr>
          <w:b/>
          <w:lang w:eastAsia="cs-CZ"/>
        </w:rPr>
        <w:t>Efektivní zásah</w:t>
      </w:r>
      <w:r w:rsidRPr="005623E0">
        <w:rPr>
          <w:lang w:eastAsia="cs-CZ"/>
        </w:rPr>
        <w:t xml:space="preserve"> - v rámci tohoto prioritního cíle jsou rozvíjeny zájmové oblasti jako včasná výstraha a</w:t>
      </w:r>
      <w:r>
        <w:rPr>
          <w:lang w:eastAsia="cs-CZ"/>
        </w:rPr>
        <w:t> </w:t>
      </w:r>
      <w:r w:rsidRPr="005623E0">
        <w:rPr>
          <w:lang w:eastAsia="cs-CZ"/>
        </w:rPr>
        <w:t xml:space="preserve">situační přehled, efektivní intervence a vyšetřování incidentů </w:t>
      </w:r>
    </w:p>
    <w:p w14:paraId="6DDDBB65" w14:textId="2ABDA741" w:rsidR="005623E0" w:rsidRPr="005623E0" w:rsidRDefault="005623E0" w:rsidP="005623E0">
      <w:pPr>
        <w:pStyle w:val="Odstavecseseznamem"/>
        <w:autoSpaceDE w:val="0"/>
        <w:autoSpaceDN w:val="0"/>
        <w:adjustRightInd w:val="0"/>
        <w:spacing w:after="0" w:line="360" w:lineRule="auto"/>
        <w:ind w:left="1440"/>
        <w:jc w:val="both"/>
        <w:rPr>
          <w:lang w:eastAsia="cs-CZ"/>
        </w:rPr>
      </w:pPr>
      <w:r w:rsidRPr="005623E0">
        <w:rPr>
          <w:lang w:eastAsia="cs-CZ"/>
        </w:rPr>
        <w:t>Včasná výstraha a situační přehled - rozvoj schopnosti udržování dlouhodobého situačního přehledu odpovědných orgánů ve zvláštních oblastech zájmu z hlediska závažných bezpečnostních rizik včetně schopnosti modelování a prediktivně orientované analýzy pro podporu včasného varování v případě krize k zefektivnění reakce bezpečnostního systému i</w:t>
      </w:r>
      <w:r>
        <w:rPr>
          <w:lang w:eastAsia="cs-CZ"/>
        </w:rPr>
        <w:t> </w:t>
      </w:r>
      <w:r w:rsidRPr="005623E0">
        <w:rPr>
          <w:lang w:eastAsia="cs-CZ"/>
        </w:rPr>
        <w:t>společnosti.</w:t>
      </w:r>
    </w:p>
    <w:p w14:paraId="6E6B036E" w14:textId="77DC3A3A"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Schopnosti efektivní intervence - vývoj nástrojů pro podporu schopnosti bezpečnostních a</w:t>
      </w:r>
      <w:r>
        <w:rPr>
          <w:lang w:eastAsia="cs-CZ"/>
        </w:rPr>
        <w:t> </w:t>
      </w:r>
      <w:r w:rsidRPr="005623E0">
        <w:rPr>
          <w:lang w:eastAsia="cs-CZ"/>
        </w:rPr>
        <w:t>záchranných sborů a dalších aktivních součástí bezpečnostního systému zvládat bezpečnostní incidenty velkého rozsahu nebo ty s významnými dopady na dotčené komunity či společnost, zejména speciálních zásahových prostředků či postupů, nástrojů podpory velení, řízení a komunikace během incidentu nebo podpory taktického situačního přehledu.</w:t>
      </w:r>
    </w:p>
    <w:p w14:paraId="1A6F88FA" w14:textId="77777777" w:rsidR="005623E0" w:rsidRPr="005623E0" w:rsidRDefault="005623E0" w:rsidP="005623E0">
      <w:pPr>
        <w:autoSpaceDE w:val="0"/>
        <w:autoSpaceDN w:val="0"/>
        <w:adjustRightInd w:val="0"/>
        <w:spacing w:after="0" w:line="360" w:lineRule="auto"/>
        <w:jc w:val="both"/>
        <w:rPr>
          <w:lang w:eastAsia="cs-CZ"/>
        </w:rPr>
      </w:pPr>
    </w:p>
    <w:p w14:paraId="43E69598" w14:textId="77777777"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 xml:space="preserve">Forenzní schopnosti - systematický rozvoj znalostí a nástrojů k podpoře schopností dokumentace, vyšetřování a objasňování vzniku a průběhu bezpečnostních incidentů, podpůrných nástrojů a metod identifikace a ztotožňování osob a věcí a nástrojů vytěžování elektronických zdrojů informací.  </w:t>
      </w:r>
    </w:p>
    <w:p w14:paraId="0005B998" w14:textId="77777777" w:rsidR="005623E0" w:rsidRPr="005623E0" w:rsidRDefault="005623E0" w:rsidP="005623E0">
      <w:pPr>
        <w:pStyle w:val="Odstavecseseznamem"/>
        <w:autoSpaceDE w:val="0"/>
        <w:autoSpaceDN w:val="0"/>
        <w:adjustRightInd w:val="0"/>
        <w:spacing w:after="0" w:line="360" w:lineRule="auto"/>
        <w:ind w:left="1440"/>
        <w:jc w:val="both"/>
        <w:rPr>
          <w:lang w:eastAsia="cs-CZ"/>
        </w:rPr>
      </w:pPr>
    </w:p>
    <w:p w14:paraId="76ADB9BB" w14:textId="77777777" w:rsidR="005623E0" w:rsidRPr="005623E0" w:rsidRDefault="005623E0" w:rsidP="005623E0">
      <w:pPr>
        <w:autoSpaceDE w:val="0"/>
        <w:autoSpaceDN w:val="0"/>
        <w:adjustRightInd w:val="0"/>
        <w:spacing w:after="0" w:line="360" w:lineRule="auto"/>
        <w:jc w:val="both"/>
        <w:rPr>
          <w:lang w:eastAsia="cs-CZ"/>
        </w:rPr>
      </w:pPr>
    </w:p>
    <w:p w14:paraId="01BB4003" w14:textId="77777777" w:rsidR="005623E0" w:rsidRPr="005623E0" w:rsidRDefault="005623E0" w:rsidP="005623E0">
      <w:pPr>
        <w:spacing w:before="40" w:after="40" w:line="360" w:lineRule="auto"/>
        <w:jc w:val="both"/>
        <w:rPr>
          <w:lang w:eastAsia="cs-CZ"/>
        </w:rPr>
      </w:pPr>
      <w:r w:rsidRPr="005623E0">
        <w:rPr>
          <w:b/>
          <w:lang w:eastAsia="cs-CZ"/>
        </w:rPr>
        <w:t>Adaptabilní bezpečnostní systém -</w:t>
      </w:r>
      <w:r w:rsidRPr="005623E0">
        <w:rPr>
          <w:lang w:eastAsia="cs-CZ"/>
        </w:rPr>
        <w:t xml:space="preserve"> v rámci tohoto cíle jsou rozvíjeny tyto zájmové oblasti: bezpečnostní politika a krizové řízení, vnitřní schopnosti součástí bezpečnostního systému, management bezpečnostních informací. </w:t>
      </w:r>
    </w:p>
    <w:p w14:paraId="079364EC" w14:textId="77777777" w:rsidR="005623E0" w:rsidRPr="005623E0" w:rsidRDefault="005623E0" w:rsidP="005623E0">
      <w:pPr>
        <w:pStyle w:val="Odstavecseseznamem"/>
        <w:autoSpaceDE w:val="0"/>
        <w:autoSpaceDN w:val="0"/>
        <w:adjustRightInd w:val="0"/>
        <w:spacing w:after="0" w:line="360" w:lineRule="auto"/>
        <w:jc w:val="both"/>
        <w:rPr>
          <w:lang w:eastAsia="cs-CZ"/>
        </w:rPr>
      </w:pPr>
    </w:p>
    <w:p w14:paraId="3C935D32" w14:textId="1EF5147A"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Bezpečnostní politika a krizové řízení - rozvoj znalostí a nástrojů podpory a rozvoje bezpečnostní politiky a procesů krizového řízení v rámci všech fází politického cyklu s důrazem na schopnosti monitoringu a analýzy bezpečnostního prostředí a souvisejících trendů a odpovídající promítnutí jejich vývoje do legislativních a nelegislativních předpisů a</w:t>
      </w:r>
      <w:r>
        <w:rPr>
          <w:lang w:eastAsia="cs-CZ"/>
        </w:rPr>
        <w:t> </w:t>
      </w:r>
      <w:r w:rsidRPr="005623E0">
        <w:rPr>
          <w:lang w:eastAsia="cs-CZ"/>
        </w:rPr>
        <w:t xml:space="preserve">dalších řídících či plánovacích mechanismů;  řízení rozhraní a komunikace se zainteresovanými stranami mimo bezpečnostní systém pomocí výše uvedených nástrojů.  </w:t>
      </w:r>
    </w:p>
    <w:p w14:paraId="7C6B1F1E" w14:textId="77777777" w:rsidR="005623E0" w:rsidRPr="005623E0" w:rsidRDefault="005623E0" w:rsidP="005623E0">
      <w:pPr>
        <w:pStyle w:val="Odstavecseseznamem"/>
        <w:autoSpaceDE w:val="0"/>
        <w:autoSpaceDN w:val="0"/>
        <w:adjustRightInd w:val="0"/>
        <w:spacing w:after="0" w:line="360" w:lineRule="auto"/>
        <w:ind w:left="360"/>
        <w:jc w:val="both"/>
        <w:rPr>
          <w:lang w:eastAsia="cs-CZ"/>
        </w:rPr>
      </w:pPr>
    </w:p>
    <w:p w14:paraId="3495BC42" w14:textId="77777777" w:rsidR="005623E0" w:rsidRPr="005623E0" w:rsidRDefault="005623E0" w:rsidP="005623E0">
      <w:pPr>
        <w:pStyle w:val="Odstavecseseznamem"/>
        <w:autoSpaceDE w:val="0"/>
        <w:autoSpaceDN w:val="0"/>
        <w:adjustRightInd w:val="0"/>
        <w:spacing w:after="0" w:line="360" w:lineRule="auto"/>
        <w:ind w:left="1440"/>
        <w:jc w:val="both"/>
        <w:rPr>
          <w:lang w:eastAsia="cs-CZ"/>
        </w:rPr>
      </w:pPr>
    </w:p>
    <w:p w14:paraId="6F63FB47" w14:textId="77777777" w:rsidR="005623E0" w:rsidRPr="005623E0" w:rsidRDefault="005623E0" w:rsidP="005623E0">
      <w:pPr>
        <w:pStyle w:val="Odstavecseseznamem"/>
        <w:autoSpaceDE w:val="0"/>
        <w:autoSpaceDN w:val="0"/>
        <w:adjustRightInd w:val="0"/>
        <w:spacing w:after="0" w:line="360" w:lineRule="auto"/>
        <w:ind w:left="360"/>
        <w:jc w:val="both"/>
        <w:rPr>
          <w:lang w:eastAsia="cs-CZ"/>
        </w:rPr>
      </w:pPr>
    </w:p>
    <w:p w14:paraId="69ABC1AF" w14:textId="3B1F57D9"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 xml:space="preserve">Vnitřní rozvoj součástí bezpečnostního systému - rozvoj schopností jednotlivých součástí bezpečnostního systému zajistit přípravu, bezpečnost a podmínky pro efektivní činnost svých příslušníků a dlouhodobě se vnitřně rozvíjet na základě poučení se ze zkušeností i </w:t>
      </w:r>
      <w:r>
        <w:rPr>
          <w:lang w:eastAsia="cs-CZ"/>
        </w:rPr>
        <w:t> </w:t>
      </w:r>
      <w:r w:rsidRPr="005623E0">
        <w:rPr>
          <w:lang w:eastAsia="cs-CZ"/>
        </w:rPr>
        <w:t>technologického pokroku.</w:t>
      </w:r>
    </w:p>
    <w:p w14:paraId="7D32502E" w14:textId="77777777" w:rsidR="005623E0" w:rsidRPr="005623E0" w:rsidRDefault="005623E0" w:rsidP="005623E0">
      <w:pPr>
        <w:pStyle w:val="Odstavecseseznamem"/>
        <w:spacing w:line="360" w:lineRule="auto"/>
        <w:jc w:val="both"/>
        <w:rPr>
          <w:lang w:eastAsia="cs-CZ"/>
        </w:rPr>
      </w:pPr>
    </w:p>
    <w:p w14:paraId="0E3AED59" w14:textId="77777777"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 xml:space="preserve">Management bezpečnostních informací. </w:t>
      </w:r>
    </w:p>
    <w:p w14:paraId="05B033E5" w14:textId="77777777" w:rsidR="005623E0" w:rsidRPr="005623E0" w:rsidRDefault="005623E0" w:rsidP="005623E0">
      <w:pPr>
        <w:autoSpaceDE w:val="0"/>
        <w:autoSpaceDN w:val="0"/>
        <w:adjustRightInd w:val="0"/>
        <w:spacing w:after="0" w:line="360" w:lineRule="auto"/>
        <w:jc w:val="both"/>
        <w:rPr>
          <w:lang w:eastAsia="cs-CZ"/>
        </w:rPr>
      </w:pPr>
    </w:p>
    <w:p w14:paraId="53C39362" w14:textId="77777777" w:rsidR="005623E0" w:rsidRPr="005623E0" w:rsidRDefault="005623E0" w:rsidP="005623E0">
      <w:pPr>
        <w:spacing w:before="40" w:after="40" w:line="360" w:lineRule="auto"/>
        <w:jc w:val="both"/>
        <w:rPr>
          <w:lang w:eastAsia="cs-CZ"/>
        </w:rPr>
      </w:pPr>
      <w:r w:rsidRPr="005623E0">
        <w:rPr>
          <w:b/>
          <w:lang w:eastAsia="cs-CZ"/>
        </w:rPr>
        <w:t xml:space="preserve">Resilientní komunity - </w:t>
      </w:r>
      <w:r w:rsidRPr="005623E0">
        <w:rPr>
          <w:lang w:eastAsia="cs-CZ"/>
        </w:rPr>
        <w:t xml:space="preserve">v rámci tohoto cíle jsou rozvíjeny tyto zájmové oblasti: bezpečný veřejný prostor, bezpečnost infrastruktur a environmentální bezpečnost. </w:t>
      </w:r>
    </w:p>
    <w:p w14:paraId="10FA037A" w14:textId="77777777" w:rsidR="005623E0" w:rsidRPr="005623E0" w:rsidRDefault="005623E0" w:rsidP="005623E0">
      <w:pPr>
        <w:pStyle w:val="Odstavecseseznamem"/>
        <w:autoSpaceDE w:val="0"/>
        <w:autoSpaceDN w:val="0"/>
        <w:adjustRightInd w:val="0"/>
        <w:spacing w:after="0" w:line="360" w:lineRule="auto"/>
        <w:jc w:val="both"/>
        <w:rPr>
          <w:lang w:eastAsia="cs-CZ"/>
        </w:rPr>
      </w:pPr>
    </w:p>
    <w:p w14:paraId="62640FDF" w14:textId="2EF606F3"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Bezpečný veřejný prostor - rozvoj znalostí a nástrojů podporujících schopnosti zainteresovaných stran programově zajišťovat bezpečnost veřejného prostoru, včetně bezpečnostně významných vlastností návrhů takových prostor, komunikace, varování a</w:t>
      </w:r>
      <w:r>
        <w:rPr>
          <w:lang w:eastAsia="cs-CZ"/>
        </w:rPr>
        <w:t> </w:t>
      </w:r>
      <w:r w:rsidRPr="005623E0">
        <w:rPr>
          <w:lang w:eastAsia="cs-CZ"/>
        </w:rPr>
        <w:t>vyrozumění i behaviorálních a sociálních aspektů zajišťování bezpečnosti.</w:t>
      </w:r>
    </w:p>
    <w:p w14:paraId="2DC1C950" w14:textId="77777777" w:rsidR="005623E0" w:rsidRPr="005623E0" w:rsidRDefault="005623E0" w:rsidP="005623E0">
      <w:pPr>
        <w:pStyle w:val="Odstavecseseznamem"/>
        <w:autoSpaceDE w:val="0"/>
        <w:autoSpaceDN w:val="0"/>
        <w:adjustRightInd w:val="0"/>
        <w:spacing w:after="0" w:line="360" w:lineRule="auto"/>
        <w:ind w:left="1440"/>
        <w:jc w:val="both"/>
        <w:rPr>
          <w:lang w:eastAsia="cs-CZ"/>
        </w:rPr>
      </w:pPr>
    </w:p>
    <w:p w14:paraId="7E54C1AC" w14:textId="5FB6F4BF"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Bezpečnost infrastruktur - rozvoj nástrojů a postupů zajištění spolehlivosti, dostupnosti a</w:t>
      </w:r>
      <w:r>
        <w:rPr>
          <w:lang w:eastAsia="cs-CZ"/>
        </w:rPr>
        <w:t> </w:t>
      </w:r>
      <w:r w:rsidRPr="005623E0">
        <w:rPr>
          <w:lang w:eastAsia="cs-CZ"/>
        </w:rPr>
        <w:t>funkčnosti společensky významných infrastruktur a přípravy systémových opatření na úrovni infrastruktury samé, komunity, územního celku nebo státu pro případy jejich narušení nebo výpadku, včetně přípravy na vedlejší dopady takových selhání v rámci sektorových i</w:t>
      </w:r>
      <w:r>
        <w:rPr>
          <w:lang w:eastAsia="cs-CZ"/>
        </w:rPr>
        <w:t> </w:t>
      </w:r>
      <w:r w:rsidRPr="005623E0">
        <w:rPr>
          <w:lang w:eastAsia="cs-CZ"/>
        </w:rPr>
        <w:t>mezisektorových vazeb.</w:t>
      </w:r>
    </w:p>
    <w:p w14:paraId="1496EBDB" w14:textId="77777777" w:rsidR="005623E0" w:rsidRPr="005623E0" w:rsidRDefault="005623E0" w:rsidP="005623E0">
      <w:pPr>
        <w:pStyle w:val="Odstavecseseznamem"/>
        <w:spacing w:line="360" w:lineRule="auto"/>
        <w:jc w:val="both"/>
        <w:rPr>
          <w:lang w:eastAsia="cs-CZ"/>
        </w:rPr>
      </w:pPr>
    </w:p>
    <w:p w14:paraId="7CE2FA82" w14:textId="77777777"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 xml:space="preserve">Environmentální bezpečnost. </w:t>
      </w:r>
    </w:p>
    <w:p w14:paraId="2AB15825" w14:textId="77777777" w:rsidR="005623E0" w:rsidRPr="005623E0" w:rsidRDefault="005623E0" w:rsidP="005623E0">
      <w:pPr>
        <w:pStyle w:val="Odstavecseseznamem"/>
        <w:autoSpaceDE w:val="0"/>
        <w:autoSpaceDN w:val="0"/>
        <w:adjustRightInd w:val="0"/>
        <w:spacing w:after="0" w:line="360" w:lineRule="auto"/>
        <w:ind w:left="360"/>
        <w:jc w:val="both"/>
        <w:rPr>
          <w:lang w:eastAsia="cs-CZ"/>
        </w:rPr>
      </w:pPr>
    </w:p>
    <w:p w14:paraId="708F5449" w14:textId="77777777" w:rsidR="005623E0" w:rsidRPr="005623E0" w:rsidRDefault="005623E0" w:rsidP="00543C1B">
      <w:pPr>
        <w:pStyle w:val="Odstavecseseznamem"/>
        <w:numPr>
          <w:ilvl w:val="0"/>
          <w:numId w:val="220"/>
        </w:numPr>
        <w:autoSpaceDE w:val="0"/>
        <w:autoSpaceDN w:val="0"/>
        <w:adjustRightInd w:val="0"/>
        <w:spacing w:after="0" w:line="360" w:lineRule="auto"/>
        <w:jc w:val="both"/>
        <w:rPr>
          <w:lang w:eastAsia="cs-CZ"/>
        </w:rPr>
      </w:pPr>
      <w:r w:rsidRPr="005623E0">
        <w:rPr>
          <w:lang w:eastAsia="cs-CZ"/>
        </w:rPr>
        <w:t xml:space="preserve"> </w:t>
      </w:r>
      <w:r w:rsidRPr="005623E0">
        <w:rPr>
          <w:b/>
          <w:lang w:eastAsia="cs-CZ"/>
        </w:rPr>
        <w:t>Kontexty bezpečnosti</w:t>
      </w:r>
    </w:p>
    <w:p w14:paraId="45A17459" w14:textId="77777777" w:rsidR="005623E0" w:rsidRPr="005623E0" w:rsidRDefault="005623E0" w:rsidP="005623E0">
      <w:pPr>
        <w:pStyle w:val="Odstavecseseznamem"/>
        <w:autoSpaceDE w:val="0"/>
        <w:autoSpaceDN w:val="0"/>
        <w:adjustRightInd w:val="0"/>
        <w:spacing w:after="0" w:line="360" w:lineRule="auto"/>
        <w:jc w:val="both"/>
        <w:rPr>
          <w:lang w:eastAsia="cs-CZ"/>
        </w:rPr>
      </w:pPr>
    </w:p>
    <w:p w14:paraId="5DF94FAD" w14:textId="77777777"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 xml:space="preserve">Ekonomické rozhraní - získávání znalostí a nástrojů k rozvoji schopností soukromých subjektů zajistit stabilitu a kontinuitu vlastního fungování v krizích i mimo ně včetně zajištění spolehlivosti industriálních celků a jejich součástí, přiměřenou ochranu inovační sféry v oblastech jako duševní vlastnictví a know-how, rozvoj studia právních aspektů technologických selhání (zvláště v návaznosti na iniciativy z oblasti Průmyslu 4.0), zajistit integritu, stabilitu a dostupnost dodavatelských řetězců, rozvíjet problematiku bezpečnosti práce a konečně také oblast ochrany a spolehlivosti služeb z hlediska koncových zákazníků. </w:t>
      </w:r>
    </w:p>
    <w:p w14:paraId="4072756B" w14:textId="77777777" w:rsidR="005623E0" w:rsidRPr="005623E0" w:rsidRDefault="005623E0" w:rsidP="005623E0">
      <w:pPr>
        <w:pStyle w:val="Odstavecseseznamem"/>
        <w:autoSpaceDE w:val="0"/>
        <w:autoSpaceDN w:val="0"/>
        <w:adjustRightInd w:val="0"/>
        <w:spacing w:after="0" w:line="360" w:lineRule="auto"/>
        <w:ind w:left="1440"/>
        <w:jc w:val="both"/>
        <w:rPr>
          <w:lang w:eastAsia="cs-CZ"/>
        </w:rPr>
      </w:pPr>
    </w:p>
    <w:p w14:paraId="020F4DFC" w14:textId="77777777"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Environmentální rozhraní - získávání znalostí a nástrojů v oblastech souvisejících s interakcí komunit a životního prostředí, udržitelného rozvoje a dostupnosti a stability ekosystémových služeb. Specifické zaměření lze vymezit pro oblasti monitorování a vymáhání ochranných režimů, ochrany biodiverzity, monitoringu a analýzy dopadů klimatické změny, dlouhodobých rizik z technologického vývoje nebo ochrany produkčních schopností zemědělské půdy.</w:t>
      </w:r>
    </w:p>
    <w:p w14:paraId="202F744C" w14:textId="77777777" w:rsidR="005623E0" w:rsidRPr="005623E0" w:rsidRDefault="005623E0" w:rsidP="005623E0">
      <w:pPr>
        <w:pStyle w:val="Odstavecseseznamem"/>
        <w:autoSpaceDE w:val="0"/>
        <w:autoSpaceDN w:val="0"/>
        <w:adjustRightInd w:val="0"/>
        <w:spacing w:after="0" w:line="360" w:lineRule="auto"/>
        <w:ind w:left="1440"/>
        <w:jc w:val="both"/>
        <w:rPr>
          <w:lang w:eastAsia="cs-CZ"/>
        </w:rPr>
      </w:pPr>
    </w:p>
    <w:p w14:paraId="578D407B" w14:textId="68F3E890" w:rsidR="005623E0" w:rsidRPr="005623E0" w:rsidRDefault="005623E0" w:rsidP="00543C1B">
      <w:pPr>
        <w:pStyle w:val="Odstavecseseznamem"/>
        <w:numPr>
          <w:ilvl w:val="1"/>
          <w:numId w:val="220"/>
        </w:numPr>
        <w:autoSpaceDE w:val="0"/>
        <w:autoSpaceDN w:val="0"/>
        <w:adjustRightInd w:val="0"/>
        <w:spacing w:after="0" w:line="360" w:lineRule="auto"/>
        <w:jc w:val="both"/>
        <w:rPr>
          <w:lang w:eastAsia="cs-CZ"/>
        </w:rPr>
      </w:pPr>
      <w:r w:rsidRPr="005623E0">
        <w:rPr>
          <w:lang w:eastAsia="cs-CZ"/>
        </w:rPr>
        <w:t>Societální rozhraní - získávání znalostí k rozvoji schopností v oblastech hodných zvláštního zřetele z hlediska společenského, zejména etiky, práv a svobod jednotlivce, kulturní identity a kulturního dědictví, sociálních procesů s různou měrou relevance pro oblast bezpečnosti nebo zajištění společenské stability, fungování principů právního státu a demokracie a</w:t>
      </w:r>
      <w:r>
        <w:rPr>
          <w:lang w:eastAsia="cs-CZ"/>
        </w:rPr>
        <w:t> </w:t>
      </w:r>
      <w:r w:rsidRPr="005623E0">
        <w:rPr>
          <w:lang w:eastAsia="cs-CZ"/>
        </w:rPr>
        <w:t xml:space="preserve">veřejné kontroly. </w:t>
      </w:r>
    </w:p>
    <w:p w14:paraId="16FA7580" w14:textId="0C90352C" w:rsidR="00F35932" w:rsidRDefault="00F35932">
      <w:pPr>
        <w:spacing w:after="200" w:line="276" w:lineRule="auto"/>
      </w:pPr>
      <w:r>
        <w:br w:type="page"/>
      </w:r>
    </w:p>
    <w:p w14:paraId="4C6BA087" w14:textId="6F9D4B9C" w:rsidR="003B3BF0" w:rsidRDefault="005623E0" w:rsidP="005623E0">
      <w:pPr>
        <w:pStyle w:val="Nadpis4"/>
        <w:spacing w:line="360" w:lineRule="auto"/>
        <w:rPr>
          <w:rFonts w:eastAsia="Calibri"/>
        </w:rPr>
      </w:pPr>
      <w:bookmarkStart w:id="277" w:name="_Toc525716301"/>
      <w:r>
        <w:rPr>
          <w:rFonts w:eastAsia="Calibri"/>
        </w:rPr>
        <w:t>Výzkum ve zdravotnictví</w:t>
      </w:r>
      <w:bookmarkEnd w:id="277"/>
    </w:p>
    <w:p w14:paraId="01864B63" w14:textId="77777777" w:rsidR="005623E0" w:rsidRPr="005623E0" w:rsidRDefault="005623E0" w:rsidP="005623E0">
      <w:pPr>
        <w:pStyle w:val="Odstavecseseznamem"/>
        <w:spacing w:line="360" w:lineRule="auto"/>
        <w:rPr>
          <w:u w:val="single"/>
        </w:rPr>
      </w:pPr>
      <w:r w:rsidRPr="005623E0">
        <w:rPr>
          <w:u w:val="single"/>
        </w:rPr>
        <w:t>Témata VaVaI identifikovaná prostřednictvím EDP:</w:t>
      </w:r>
    </w:p>
    <w:p w14:paraId="4B7C2CB7" w14:textId="77777777" w:rsidR="005623E0" w:rsidRPr="005623E0" w:rsidRDefault="005623E0" w:rsidP="00543C1B">
      <w:pPr>
        <w:pStyle w:val="Odstavecseseznamem"/>
        <w:numPr>
          <w:ilvl w:val="0"/>
          <w:numId w:val="221"/>
        </w:numPr>
        <w:autoSpaceDE w:val="0"/>
        <w:autoSpaceDN w:val="0"/>
        <w:adjustRightInd w:val="0"/>
        <w:spacing w:after="0" w:line="360" w:lineRule="auto"/>
        <w:jc w:val="both"/>
        <w:rPr>
          <w:rFonts w:cs="Times-Roman"/>
          <w:b/>
        </w:rPr>
      </w:pPr>
      <w:r w:rsidRPr="005623E0">
        <w:rPr>
          <w:rFonts w:cs="Times-Roman"/>
          <w:b/>
        </w:rPr>
        <w:t xml:space="preserve">Vznik a rozvoj chorob </w:t>
      </w:r>
    </w:p>
    <w:p w14:paraId="75CC435E" w14:textId="77777777" w:rsidR="005623E0" w:rsidRPr="005623E0" w:rsidRDefault="005623E0" w:rsidP="00543C1B">
      <w:pPr>
        <w:pStyle w:val="Odstavecseseznamem"/>
        <w:numPr>
          <w:ilvl w:val="0"/>
          <w:numId w:val="222"/>
        </w:numPr>
        <w:autoSpaceDE w:val="0"/>
        <w:autoSpaceDN w:val="0"/>
        <w:adjustRightInd w:val="0"/>
        <w:spacing w:after="0" w:line="360" w:lineRule="auto"/>
        <w:jc w:val="both"/>
        <w:rPr>
          <w:rFonts w:cs="Times-Roman"/>
        </w:rPr>
      </w:pPr>
      <w:r w:rsidRPr="005623E0">
        <w:rPr>
          <w:rFonts w:cs="Times-Roman"/>
        </w:rPr>
        <w:t xml:space="preserve">Metabolické a endokrinní choroby </w:t>
      </w:r>
    </w:p>
    <w:p w14:paraId="384153A7" w14:textId="77777777" w:rsidR="005623E0" w:rsidRPr="005623E0" w:rsidRDefault="005623E0" w:rsidP="00543C1B">
      <w:pPr>
        <w:pStyle w:val="Odstavecseseznamem"/>
        <w:numPr>
          <w:ilvl w:val="0"/>
          <w:numId w:val="222"/>
        </w:numPr>
        <w:autoSpaceDE w:val="0"/>
        <w:autoSpaceDN w:val="0"/>
        <w:adjustRightInd w:val="0"/>
        <w:spacing w:after="0" w:line="360" w:lineRule="auto"/>
        <w:jc w:val="both"/>
        <w:rPr>
          <w:rFonts w:cs="Times-Roman"/>
        </w:rPr>
      </w:pPr>
      <w:r w:rsidRPr="005623E0">
        <w:rPr>
          <w:rFonts w:cs="Times-Roman"/>
        </w:rPr>
        <w:t>Nemoci ob</w:t>
      </w:r>
      <w:r w:rsidRPr="005623E0">
        <w:rPr>
          <w:rFonts w:cs="TimesNewRoman-OneByteIdentityH"/>
        </w:rPr>
        <w:t>ě</w:t>
      </w:r>
      <w:r w:rsidRPr="005623E0">
        <w:rPr>
          <w:rFonts w:cs="Times-Roman"/>
        </w:rPr>
        <w:t xml:space="preserve">hové soustavy </w:t>
      </w:r>
    </w:p>
    <w:p w14:paraId="3D32F3BA" w14:textId="77777777" w:rsidR="005623E0" w:rsidRPr="005623E0" w:rsidRDefault="005623E0" w:rsidP="00543C1B">
      <w:pPr>
        <w:pStyle w:val="Odstavecseseznamem"/>
        <w:numPr>
          <w:ilvl w:val="0"/>
          <w:numId w:val="222"/>
        </w:numPr>
        <w:autoSpaceDE w:val="0"/>
        <w:autoSpaceDN w:val="0"/>
        <w:adjustRightInd w:val="0"/>
        <w:spacing w:after="0" w:line="360" w:lineRule="auto"/>
        <w:jc w:val="both"/>
        <w:rPr>
          <w:rFonts w:cs="Times-Roman"/>
        </w:rPr>
      </w:pPr>
      <w:r w:rsidRPr="005623E0">
        <w:rPr>
          <w:rFonts w:cs="Times-Roman"/>
        </w:rPr>
        <w:t>Nádorová onemocn</w:t>
      </w:r>
      <w:r w:rsidRPr="005623E0">
        <w:rPr>
          <w:rFonts w:cs="TimesNewRoman-OneByteIdentityH"/>
        </w:rPr>
        <w:t>ě</w:t>
      </w:r>
      <w:r w:rsidRPr="005623E0">
        <w:rPr>
          <w:rFonts w:cs="Times-Roman"/>
        </w:rPr>
        <w:t xml:space="preserve">ní </w:t>
      </w:r>
    </w:p>
    <w:p w14:paraId="66BCFA0A" w14:textId="77777777" w:rsidR="005623E0" w:rsidRPr="005623E0" w:rsidRDefault="005623E0" w:rsidP="00543C1B">
      <w:pPr>
        <w:pStyle w:val="Odstavecseseznamem"/>
        <w:numPr>
          <w:ilvl w:val="0"/>
          <w:numId w:val="222"/>
        </w:numPr>
        <w:autoSpaceDE w:val="0"/>
        <w:autoSpaceDN w:val="0"/>
        <w:adjustRightInd w:val="0"/>
        <w:spacing w:after="0" w:line="360" w:lineRule="auto"/>
        <w:jc w:val="both"/>
        <w:rPr>
          <w:rFonts w:cs="Times-Roman"/>
        </w:rPr>
      </w:pPr>
      <w:r w:rsidRPr="005623E0">
        <w:rPr>
          <w:rFonts w:cs="Times-Roman"/>
        </w:rPr>
        <w:t>Nervová a psychická onemocn</w:t>
      </w:r>
      <w:r w:rsidRPr="005623E0">
        <w:rPr>
          <w:rFonts w:cs="TimesNewRoman-OneByteIdentityH"/>
        </w:rPr>
        <w:t>ě</w:t>
      </w:r>
      <w:r w:rsidRPr="005623E0">
        <w:rPr>
          <w:rFonts w:cs="Times-Roman"/>
        </w:rPr>
        <w:t xml:space="preserve">ní </w:t>
      </w:r>
    </w:p>
    <w:p w14:paraId="7AD138CE" w14:textId="77777777" w:rsidR="005623E0" w:rsidRPr="005623E0" w:rsidRDefault="005623E0" w:rsidP="00543C1B">
      <w:pPr>
        <w:pStyle w:val="Odstavecseseznamem"/>
        <w:numPr>
          <w:ilvl w:val="0"/>
          <w:numId w:val="222"/>
        </w:numPr>
        <w:autoSpaceDE w:val="0"/>
        <w:autoSpaceDN w:val="0"/>
        <w:adjustRightInd w:val="0"/>
        <w:spacing w:after="0" w:line="360" w:lineRule="auto"/>
        <w:jc w:val="both"/>
        <w:rPr>
          <w:rFonts w:cs="Times-Roman"/>
        </w:rPr>
      </w:pPr>
      <w:r w:rsidRPr="005623E0">
        <w:rPr>
          <w:rFonts w:cs="Times-Roman"/>
        </w:rPr>
        <w:t>Onemocn</w:t>
      </w:r>
      <w:r w:rsidRPr="005623E0">
        <w:rPr>
          <w:rFonts w:cs="TimesNewRoman-OneByteIdentityH"/>
        </w:rPr>
        <w:t>ě</w:t>
      </w:r>
      <w:r w:rsidRPr="005623E0">
        <w:rPr>
          <w:rFonts w:cs="Times-Roman"/>
        </w:rPr>
        <w:t>ní pohybového aparátu a zán</w:t>
      </w:r>
      <w:r w:rsidRPr="005623E0">
        <w:rPr>
          <w:rFonts w:cs="TimesNewRoman-OneByteIdentityH"/>
        </w:rPr>
        <w:t>ě</w:t>
      </w:r>
      <w:r w:rsidRPr="005623E0">
        <w:rPr>
          <w:rFonts w:cs="Times-Roman"/>
        </w:rPr>
        <w:t>tlivá a imunologická onemocn</w:t>
      </w:r>
      <w:r w:rsidRPr="005623E0">
        <w:rPr>
          <w:rFonts w:cs="TimesNewRoman-OneByteIdentityH"/>
        </w:rPr>
        <w:t>ě</w:t>
      </w:r>
      <w:r w:rsidRPr="005623E0">
        <w:rPr>
          <w:rFonts w:cs="Times-Roman"/>
        </w:rPr>
        <w:t xml:space="preserve">ní </w:t>
      </w:r>
    </w:p>
    <w:p w14:paraId="477D3B9C" w14:textId="77777777" w:rsidR="005623E0" w:rsidRPr="005623E0" w:rsidRDefault="005623E0" w:rsidP="00543C1B">
      <w:pPr>
        <w:pStyle w:val="Odstavecseseznamem"/>
        <w:numPr>
          <w:ilvl w:val="0"/>
          <w:numId w:val="222"/>
        </w:numPr>
        <w:autoSpaceDE w:val="0"/>
        <w:autoSpaceDN w:val="0"/>
        <w:adjustRightInd w:val="0"/>
        <w:spacing w:after="0" w:line="360" w:lineRule="auto"/>
        <w:jc w:val="both"/>
        <w:rPr>
          <w:rFonts w:cs="Times-Roman"/>
        </w:rPr>
      </w:pPr>
      <w:r w:rsidRPr="005623E0">
        <w:rPr>
          <w:rFonts w:cs="Times-Roman"/>
        </w:rPr>
        <w:t xml:space="preserve">Infekce </w:t>
      </w:r>
    </w:p>
    <w:p w14:paraId="2A64A46B" w14:textId="77777777" w:rsidR="005623E0" w:rsidRPr="005623E0" w:rsidRDefault="005623E0" w:rsidP="00543C1B">
      <w:pPr>
        <w:pStyle w:val="Odstavecseseznamem"/>
        <w:numPr>
          <w:ilvl w:val="0"/>
          <w:numId w:val="222"/>
        </w:numPr>
        <w:autoSpaceDE w:val="0"/>
        <w:autoSpaceDN w:val="0"/>
        <w:adjustRightInd w:val="0"/>
        <w:spacing w:after="0" w:line="360" w:lineRule="auto"/>
        <w:jc w:val="both"/>
        <w:rPr>
          <w:rFonts w:cs="Times-Roman"/>
        </w:rPr>
      </w:pPr>
      <w:r w:rsidRPr="005623E0">
        <w:rPr>
          <w:rFonts w:cs="Times-Roman"/>
        </w:rPr>
        <w:t>Onemocn</w:t>
      </w:r>
      <w:r w:rsidRPr="005623E0">
        <w:rPr>
          <w:rFonts w:cs="TimesNewRoman-OneByteIdentityH"/>
        </w:rPr>
        <w:t>ě</w:t>
      </w:r>
      <w:r w:rsidRPr="005623E0">
        <w:rPr>
          <w:rFonts w:cs="Times-Roman"/>
        </w:rPr>
        <w:t>ní d</w:t>
      </w:r>
      <w:r w:rsidRPr="005623E0">
        <w:rPr>
          <w:rFonts w:cs="TimesNewRoman-OneByteIdentityH"/>
        </w:rPr>
        <w:t>ě</w:t>
      </w:r>
      <w:r w:rsidRPr="005623E0">
        <w:rPr>
          <w:rFonts w:cs="Times-Roman"/>
        </w:rPr>
        <w:t>tského v</w:t>
      </w:r>
      <w:r w:rsidRPr="005623E0">
        <w:rPr>
          <w:rFonts w:cs="TimesNewRoman-OneByteIdentityH"/>
        </w:rPr>
        <w:t>ě</w:t>
      </w:r>
      <w:r w:rsidRPr="005623E0">
        <w:rPr>
          <w:rFonts w:cs="Times-Roman"/>
        </w:rPr>
        <w:t>ku a vzácná onemocn</w:t>
      </w:r>
      <w:r w:rsidRPr="005623E0">
        <w:rPr>
          <w:rFonts w:cs="TimesNewRoman-OneByteIdentityH"/>
        </w:rPr>
        <w:t>ě</w:t>
      </w:r>
      <w:r w:rsidRPr="005623E0">
        <w:rPr>
          <w:rFonts w:cs="Times-Roman"/>
        </w:rPr>
        <w:t xml:space="preserve">ní </w:t>
      </w:r>
    </w:p>
    <w:p w14:paraId="7204610E" w14:textId="77777777" w:rsidR="005623E0" w:rsidRPr="005623E0" w:rsidRDefault="005623E0" w:rsidP="005623E0">
      <w:pPr>
        <w:pStyle w:val="Odstavecseseznamem"/>
        <w:autoSpaceDE w:val="0"/>
        <w:autoSpaceDN w:val="0"/>
        <w:adjustRightInd w:val="0"/>
        <w:spacing w:after="0" w:line="360" w:lineRule="auto"/>
        <w:jc w:val="both"/>
        <w:rPr>
          <w:rFonts w:cs="Times-Roman"/>
        </w:rPr>
      </w:pPr>
    </w:p>
    <w:p w14:paraId="2D0C3B2A" w14:textId="77777777" w:rsidR="005623E0" w:rsidRPr="005623E0" w:rsidRDefault="005623E0" w:rsidP="00543C1B">
      <w:pPr>
        <w:pStyle w:val="Odstavecseseznamem"/>
        <w:numPr>
          <w:ilvl w:val="0"/>
          <w:numId w:val="221"/>
        </w:numPr>
        <w:autoSpaceDE w:val="0"/>
        <w:autoSpaceDN w:val="0"/>
        <w:adjustRightInd w:val="0"/>
        <w:spacing w:after="0" w:line="360" w:lineRule="auto"/>
        <w:jc w:val="both"/>
        <w:rPr>
          <w:rFonts w:cs="Times-Roman"/>
          <w:b/>
        </w:rPr>
      </w:pPr>
      <w:r w:rsidRPr="005623E0">
        <w:rPr>
          <w:rFonts w:cs="Times-Roman"/>
          <w:b/>
        </w:rPr>
        <w:t xml:space="preserve">Nové diagnostické a terapeutické metody </w:t>
      </w:r>
    </w:p>
    <w:p w14:paraId="49469572" w14:textId="77777777" w:rsidR="005623E0" w:rsidRPr="005623E0" w:rsidRDefault="005623E0" w:rsidP="00543C1B">
      <w:pPr>
        <w:pStyle w:val="Odstavecseseznamem"/>
        <w:numPr>
          <w:ilvl w:val="0"/>
          <w:numId w:val="223"/>
        </w:numPr>
        <w:autoSpaceDE w:val="0"/>
        <w:autoSpaceDN w:val="0"/>
        <w:adjustRightInd w:val="0"/>
        <w:spacing w:after="0" w:line="360" w:lineRule="auto"/>
        <w:jc w:val="both"/>
        <w:rPr>
          <w:rFonts w:cs="Times-Roman"/>
        </w:rPr>
      </w:pPr>
      <w:r w:rsidRPr="005623E0">
        <w:rPr>
          <w:rFonts w:cs="Times-Roman"/>
        </w:rPr>
        <w:t xml:space="preserve">In vitro diagnostika </w:t>
      </w:r>
    </w:p>
    <w:p w14:paraId="33E0126D" w14:textId="77777777" w:rsidR="005623E0" w:rsidRPr="005623E0" w:rsidRDefault="005623E0" w:rsidP="00543C1B">
      <w:pPr>
        <w:pStyle w:val="Odstavecseseznamem"/>
        <w:numPr>
          <w:ilvl w:val="0"/>
          <w:numId w:val="223"/>
        </w:numPr>
        <w:autoSpaceDE w:val="0"/>
        <w:autoSpaceDN w:val="0"/>
        <w:adjustRightInd w:val="0"/>
        <w:spacing w:after="0" w:line="360" w:lineRule="auto"/>
        <w:jc w:val="both"/>
        <w:rPr>
          <w:rFonts w:cs="Times-Roman"/>
        </w:rPr>
      </w:pPr>
      <w:r w:rsidRPr="005623E0">
        <w:rPr>
          <w:rFonts w:cs="Times-Roman"/>
        </w:rPr>
        <w:t>Nízkomolekulární lé</w:t>
      </w:r>
      <w:r w:rsidRPr="005623E0">
        <w:rPr>
          <w:rFonts w:cs="TimesNewRoman-OneByteIdentityH"/>
        </w:rPr>
        <w:t>č</w:t>
      </w:r>
      <w:r w:rsidRPr="005623E0">
        <w:rPr>
          <w:rFonts w:cs="Times-Roman"/>
        </w:rPr>
        <w:t xml:space="preserve">iva </w:t>
      </w:r>
    </w:p>
    <w:p w14:paraId="362FBB89" w14:textId="77777777" w:rsidR="005623E0" w:rsidRPr="005623E0" w:rsidRDefault="005623E0" w:rsidP="00543C1B">
      <w:pPr>
        <w:pStyle w:val="Odstavecseseznamem"/>
        <w:numPr>
          <w:ilvl w:val="0"/>
          <w:numId w:val="223"/>
        </w:numPr>
        <w:autoSpaceDE w:val="0"/>
        <w:autoSpaceDN w:val="0"/>
        <w:adjustRightInd w:val="0"/>
        <w:spacing w:after="0" w:line="360" w:lineRule="auto"/>
        <w:jc w:val="both"/>
        <w:rPr>
          <w:rFonts w:cs="Times-Roman"/>
        </w:rPr>
      </w:pPr>
      <w:r w:rsidRPr="005623E0">
        <w:rPr>
          <w:rFonts w:cs="Times-Roman"/>
        </w:rPr>
        <w:t>Biologická lé</w:t>
      </w:r>
      <w:r w:rsidRPr="005623E0">
        <w:rPr>
          <w:rFonts w:cs="TimesNewRoman-OneByteIdentityH"/>
        </w:rPr>
        <w:t>č</w:t>
      </w:r>
      <w:r w:rsidRPr="005623E0">
        <w:rPr>
          <w:rFonts w:cs="Times-Roman"/>
        </w:rPr>
        <w:t>iva v</w:t>
      </w:r>
      <w:r w:rsidRPr="005623E0">
        <w:rPr>
          <w:rFonts w:cs="TimesNewRoman-OneByteIdentityH"/>
        </w:rPr>
        <w:t>č</w:t>
      </w:r>
      <w:r w:rsidRPr="005623E0">
        <w:rPr>
          <w:rFonts w:cs="Times-Roman"/>
        </w:rPr>
        <w:t>etn</w:t>
      </w:r>
      <w:r w:rsidRPr="005623E0">
        <w:rPr>
          <w:rFonts w:cs="TimesNewRoman-OneByteIdentityH"/>
        </w:rPr>
        <w:t xml:space="preserve">ě </w:t>
      </w:r>
      <w:r w:rsidRPr="005623E0">
        <w:rPr>
          <w:rFonts w:cs="Times-Roman"/>
        </w:rPr>
        <w:t xml:space="preserve">vakcín </w:t>
      </w:r>
    </w:p>
    <w:p w14:paraId="603A4BBD" w14:textId="77777777" w:rsidR="005623E0" w:rsidRPr="005623E0" w:rsidRDefault="005623E0" w:rsidP="00543C1B">
      <w:pPr>
        <w:pStyle w:val="Odstavecseseznamem"/>
        <w:numPr>
          <w:ilvl w:val="0"/>
          <w:numId w:val="223"/>
        </w:numPr>
        <w:autoSpaceDE w:val="0"/>
        <w:autoSpaceDN w:val="0"/>
        <w:adjustRightInd w:val="0"/>
        <w:spacing w:after="0" w:line="360" w:lineRule="auto"/>
        <w:jc w:val="both"/>
        <w:rPr>
          <w:rFonts w:cs="Times-Roman"/>
        </w:rPr>
      </w:pPr>
      <w:r w:rsidRPr="005623E0">
        <w:rPr>
          <w:rFonts w:cs="Times-Roman"/>
        </w:rPr>
        <w:t xml:space="preserve">Drug delivery systémy </w:t>
      </w:r>
    </w:p>
    <w:p w14:paraId="37786AC0" w14:textId="77777777" w:rsidR="005623E0" w:rsidRPr="005623E0" w:rsidRDefault="005623E0" w:rsidP="00543C1B">
      <w:pPr>
        <w:pStyle w:val="Odstavecseseznamem"/>
        <w:numPr>
          <w:ilvl w:val="0"/>
          <w:numId w:val="223"/>
        </w:numPr>
        <w:autoSpaceDE w:val="0"/>
        <w:autoSpaceDN w:val="0"/>
        <w:adjustRightInd w:val="0"/>
        <w:spacing w:after="0" w:line="360" w:lineRule="auto"/>
        <w:jc w:val="both"/>
        <w:rPr>
          <w:rFonts w:cs="Times-Roman"/>
        </w:rPr>
      </w:pPr>
      <w:r w:rsidRPr="005623E0">
        <w:rPr>
          <w:rFonts w:cs="Times-Roman"/>
        </w:rPr>
        <w:t>Genová, bun</w:t>
      </w:r>
      <w:r w:rsidRPr="005623E0">
        <w:rPr>
          <w:rFonts w:cs="TimesNewRoman-OneByteIdentityH"/>
        </w:rPr>
        <w:t>ěč</w:t>
      </w:r>
      <w:r w:rsidRPr="005623E0">
        <w:rPr>
          <w:rFonts w:cs="Times-Roman"/>
        </w:rPr>
        <w:t>ná terapie a tká</w:t>
      </w:r>
      <w:r w:rsidRPr="005623E0">
        <w:rPr>
          <w:rFonts w:cs="TimesNewRoman-OneByteIdentityH"/>
        </w:rPr>
        <w:t>ň</w:t>
      </w:r>
      <w:r w:rsidRPr="005623E0">
        <w:rPr>
          <w:rFonts w:cs="Times-Roman"/>
        </w:rPr>
        <w:t xml:space="preserve">ové náhrady </w:t>
      </w:r>
    </w:p>
    <w:p w14:paraId="21A42078" w14:textId="77777777" w:rsidR="005623E0" w:rsidRPr="005623E0" w:rsidRDefault="005623E0" w:rsidP="00543C1B">
      <w:pPr>
        <w:pStyle w:val="Odstavecseseznamem"/>
        <w:numPr>
          <w:ilvl w:val="0"/>
          <w:numId w:val="223"/>
        </w:numPr>
        <w:autoSpaceDE w:val="0"/>
        <w:autoSpaceDN w:val="0"/>
        <w:adjustRightInd w:val="0"/>
        <w:spacing w:after="0" w:line="360" w:lineRule="auto"/>
        <w:jc w:val="both"/>
        <w:rPr>
          <w:rFonts w:cs="Times-Roman"/>
        </w:rPr>
      </w:pPr>
      <w:r w:rsidRPr="005623E0">
        <w:rPr>
          <w:rFonts w:cs="Times-Roman"/>
        </w:rPr>
        <w:t>Vývoj nových léka</w:t>
      </w:r>
      <w:r w:rsidRPr="005623E0">
        <w:rPr>
          <w:rFonts w:cs="TimesNewRoman-OneByteIdentityH"/>
        </w:rPr>
        <w:t>ř</w:t>
      </w:r>
      <w:r w:rsidRPr="005623E0">
        <w:rPr>
          <w:rFonts w:cs="Times-Roman"/>
        </w:rPr>
        <w:t>ských p</w:t>
      </w:r>
      <w:r w:rsidRPr="005623E0">
        <w:rPr>
          <w:rFonts w:cs="TimesNewRoman-OneByteIdentityH"/>
        </w:rPr>
        <w:t>ř</w:t>
      </w:r>
      <w:r w:rsidRPr="005623E0">
        <w:rPr>
          <w:rFonts w:cs="Times-Roman"/>
        </w:rPr>
        <w:t>ístroj</w:t>
      </w:r>
      <w:r w:rsidRPr="005623E0">
        <w:rPr>
          <w:rFonts w:cs="TimesNewRoman-OneByteIdentityH"/>
        </w:rPr>
        <w:t xml:space="preserve">ů </w:t>
      </w:r>
      <w:r w:rsidRPr="005623E0">
        <w:rPr>
          <w:rFonts w:cs="Times-Roman"/>
        </w:rPr>
        <w:t>a za</w:t>
      </w:r>
      <w:r w:rsidRPr="005623E0">
        <w:rPr>
          <w:rFonts w:cs="TimesNewRoman-OneByteIdentityH"/>
        </w:rPr>
        <w:t>ř</w:t>
      </w:r>
      <w:r w:rsidRPr="005623E0">
        <w:rPr>
          <w:rFonts w:cs="Times-Roman"/>
        </w:rPr>
        <w:t xml:space="preserve">ízení </w:t>
      </w:r>
    </w:p>
    <w:p w14:paraId="307E5178" w14:textId="77777777" w:rsidR="005623E0" w:rsidRPr="005623E0" w:rsidRDefault="005623E0" w:rsidP="00543C1B">
      <w:pPr>
        <w:pStyle w:val="Odstavecseseznamem"/>
        <w:numPr>
          <w:ilvl w:val="0"/>
          <w:numId w:val="223"/>
        </w:numPr>
        <w:autoSpaceDE w:val="0"/>
        <w:autoSpaceDN w:val="0"/>
        <w:adjustRightInd w:val="0"/>
        <w:spacing w:after="0" w:line="360" w:lineRule="auto"/>
        <w:jc w:val="both"/>
        <w:rPr>
          <w:rFonts w:cs="Times-Roman"/>
        </w:rPr>
      </w:pPr>
      <w:r w:rsidRPr="005623E0">
        <w:rPr>
          <w:rFonts w:cs="Times-Roman"/>
        </w:rPr>
        <w:t>Inovativní chirurgické postupy v</w:t>
      </w:r>
      <w:r w:rsidRPr="005623E0">
        <w:rPr>
          <w:rFonts w:cs="TimesNewRoman-OneByteIdentityH"/>
        </w:rPr>
        <w:t>č</w:t>
      </w:r>
      <w:r w:rsidRPr="005623E0">
        <w:rPr>
          <w:rFonts w:cs="Times-Roman"/>
        </w:rPr>
        <w:t>etn</w:t>
      </w:r>
      <w:r w:rsidRPr="005623E0">
        <w:rPr>
          <w:rFonts w:cs="TimesNewRoman-OneByteIdentityH"/>
        </w:rPr>
        <w:t xml:space="preserve">ě </w:t>
      </w:r>
      <w:r w:rsidRPr="005623E0">
        <w:rPr>
          <w:rFonts w:cs="Times-Roman"/>
        </w:rPr>
        <w:t xml:space="preserve">transplantace </w:t>
      </w:r>
    </w:p>
    <w:p w14:paraId="79083312" w14:textId="77777777" w:rsidR="005623E0" w:rsidRPr="005623E0" w:rsidRDefault="005623E0" w:rsidP="005623E0">
      <w:pPr>
        <w:pStyle w:val="Odstavecseseznamem"/>
        <w:autoSpaceDE w:val="0"/>
        <w:autoSpaceDN w:val="0"/>
        <w:adjustRightInd w:val="0"/>
        <w:spacing w:after="0" w:line="360" w:lineRule="auto"/>
        <w:jc w:val="both"/>
        <w:rPr>
          <w:rFonts w:cs="Times-Roman"/>
        </w:rPr>
      </w:pPr>
    </w:p>
    <w:p w14:paraId="4A9C2882" w14:textId="77777777" w:rsidR="005623E0" w:rsidRPr="005623E0" w:rsidRDefault="005623E0" w:rsidP="00543C1B">
      <w:pPr>
        <w:pStyle w:val="Odstavecseseznamem"/>
        <w:numPr>
          <w:ilvl w:val="0"/>
          <w:numId w:val="221"/>
        </w:numPr>
        <w:autoSpaceDE w:val="0"/>
        <w:autoSpaceDN w:val="0"/>
        <w:adjustRightInd w:val="0"/>
        <w:spacing w:after="0" w:line="360" w:lineRule="auto"/>
        <w:jc w:val="both"/>
        <w:rPr>
          <w:rFonts w:cs="Times-Roman"/>
          <w:b/>
        </w:rPr>
      </w:pPr>
      <w:r w:rsidRPr="005623E0">
        <w:rPr>
          <w:rFonts w:cs="Times-Roman"/>
          <w:b/>
        </w:rPr>
        <w:t>Epidemiologie a prevence nejzávažn</w:t>
      </w:r>
      <w:r w:rsidRPr="005623E0">
        <w:rPr>
          <w:rFonts w:cs="TimesNewRoman-OneByteIdentityH"/>
          <w:b/>
        </w:rPr>
        <w:t>ě</w:t>
      </w:r>
      <w:r w:rsidRPr="005623E0">
        <w:rPr>
          <w:rFonts w:cs="Times-Roman"/>
          <w:b/>
        </w:rPr>
        <w:t xml:space="preserve">jších chorob </w:t>
      </w:r>
    </w:p>
    <w:p w14:paraId="63CADD83" w14:textId="77777777" w:rsidR="005623E0" w:rsidRPr="005623E0" w:rsidRDefault="005623E0" w:rsidP="00543C1B">
      <w:pPr>
        <w:pStyle w:val="Odstavecseseznamem"/>
        <w:numPr>
          <w:ilvl w:val="0"/>
          <w:numId w:val="224"/>
        </w:numPr>
        <w:autoSpaceDE w:val="0"/>
        <w:autoSpaceDN w:val="0"/>
        <w:adjustRightInd w:val="0"/>
        <w:spacing w:after="0" w:line="360" w:lineRule="auto"/>
        <w:jc w:val="both"/>
        <w:rPr>
          <w:rFonts w:cs="Times-Roman"/>
        </w:rPr>
      </w:pPr>
      <w:r w:rsidRPr="005623E0">
        <w:rPr>
          <w:rFonts w:cs="Times-Roman"/>
        </w:rPr>
        <w:t xml:space="preserve">Metabolické a endokrinní choroby </w:t>
      </w:r>
    </w:p>
    <w:p w14:paraId="78A0E612" w14:textId="77777777" w:rsidR="005623E0" w:rsidRPr="005623E0" w:rsidRDefault="005623E0" w:rsidP="00543C1B">
      <w:pPr>
        <w:pStyle w:val="Odstavecseseznamem"/>
        <w:numPr>
          <w:ilvl w:val="0"/>
          <w:numId w:val="224"/>
        </w:numPr>
        <w:autoSpaceDE w:val="0"/>
        <w:autoSpaceDN w:val="0"/>
        <w:adjustRightInd w:val="0"/>
        <w:spacing w:after="0" w:line="360" w:lineRule="auto"/>
        <w:jc w:val="both"/>
        <w:rPr>
          <w:rFonts w:cs="Times-Roman"/>
        </w:rPr>
      </w:pPr>
      <w:r w:rsidRPr="005623E0">
        <w:rPr>
          <w:rFonts w:cs="Times-Roman"/>
        </w:rPr>
        <w:t>Nemoci ob</w:t>
      </w:r>
      <w:r w:rsidRPr="005623E0">
        <w:rPr>
          <w:rFonts w:cs="TimesNewRoman-OneByteIdentityH"/>
        </w:rPr>
        <w:t>ě</w:t>
      </w:r>
      <w:r w:rsidRPr="005623E0">
        <w:rPr>
          <w:rFonts w:cs="Times-Roman"/>
        </w:rPr>
        <w:t xml:space="preserve">hové soustavy </w:t>
      </w:r>
    </w:p>
    <w:p w14:paraId="4FA72791" w14:textId="77777777" w:rsidR="005623E0" w:rsidRPr="005623E0" w:rsidRDefault="005623E0" w:rsidP="00543C1B">
      <w:pPr>
        <w:pStyle w:val="Odstavecseseznamem"/>
        <w:numPr>
          <w:ilvl w:val="0"/>
          <w:numId w:val="224"/>
        </w:numPr>
        <w:autoSpaceDE w:val="0"/>
        <w:autoSpaceDN w:val="0"/>
        <w:adjustRightInd w:val="0"/>
        <w:spacing w:after="0" w:line="360" w:lineRule="auto"/>
        <w:jc w:val="both"/>
        <w:rPr>
          <w:rFonts w:cs="Times-Roman"/>
        </w:rPr>
      </w:pPr>
      <w:r w:rsidRPr="005623E0">
        <w:rPr>
          <w:rFonts w:cs="Times-Roman"/>
        </w:rPr>
        <w:t>Nádorová onemocn</w:t>
      </w:r>
      <w:r w:rsidRPr="005623E0">
        <w:rPr>
          <w:rFonts w:cs="TimesNewRoman-OneByteIdentityH"/>
        </w:rPr>
        <w:t>ě</w:t>
      </w:r>
      <w:r w:rsidRPr="005623E0">
        <w:rPr>
          <w:rFonts w:cs="Times-Roman"/>
        </w:rPr>
        <w:t xml:space="preserve">ní </w:t>
      </w:r>
    </w:p>
    <w:p w14:paraId="5AA5B639" w14:textId="77777777" w:rsidR="005623E0" w:rsidRPr="005623E0" w:rsidRDefault="005623E0" w:rsidP="00543C1B">
      <w:pPr>
        <w:pStyle w:val="Odstavecseseznamem"/>
        <w:numPr>
          <w:ilvl w:val="0"/>
          <w:numId w:val="224"/>
        </w:numPr>
        <w:autoSpaceDE w:val="0"/>
        <w:autoSpaceDN w:val="0"/>
        <w:adjustRightInd w:val="0"/>
        <w:spacing w:after="0" w:line="360" w:lineRule="auto"/>
        <w:jc w:val="both"/>
        <w:rPr>
          <w:rFonts w:cs="Times-Roman"/>
        </w:rPr>
      </w:pPr>
      <w:r w:rsidRPr="005623E0">
        <w:rPr>
          <w:rFonts w:cs="Times-Roman"/>
        </w:rPr>
        <w:t>Nervová a psychická onemocn</w:t>
      </w:r>
      <w:r w:rsidRPr="005623E0">
        <w:rPr>
          <w:rFonts w:cs="TimesNewRoman-OneByteIdentityH"/>
        </w:rPr>
        <w:t>ě</w:t>
      </w:r>
      <w:r w:rsidRPr="005623E0">
        <w:rPr>
          <w:rFonts w:cs="Times-Roman"/>
        </w:rPr>
        <w:t xml:space="preserve">ní </w:t>
      </w:r>
    </w:p>
    <w:p w14:paraId="224C8CAA" w14:textId="77777777" w:rsidR="005623E0" w:rsidRPr="005623E0" w:rsidRDefault="005623E0" w:rsidP="00543C1B">
      <w:pPr>
        <w:pStyle w:val="Odstavecseseznamem"/>
        <w:numPr>
          <w:ilvl w:val="0"/>
          <w:numId w:val="224"/>
        </w:numPr>
        <w:autoSpaceDE w:val="0"/>
        <w:autoSpaceDN w:val="0"/>
        <w:adjustRightInd w:val="0"/>
        <w:spacing w:after="0" w:line="360" w:lineRule="auto"/>
        <w:jc w:val="both"/>
        <w:rPr>
          <w:rFonts w:cs="Times-Roman"/>
        </w:rPr>
      </w:pPr>
      <w:r w:rsidRPr="005623E0">
        <w:rPr>
          <w:rFonts w:cs="Times-Roman"/>
        </w:rPr>
        <w:t>Nemoci pohybového aparátu a zán</w:t>
      </w:r>
      <w:r w:rsidRPr="005623E0">
        <w:rPr>
          <w:rFonts w:cs="TimesNewRoman-OneByteIdentityH"/>
        </w:rPr>
        <w:t>ě</w:t>
      </w:r>
      <w:r w:rsidRPr="005623E0">
        <w:rPr>
          <w:rFonts w:cs="Times-Roman"/>
        </w:rPr>
        <w:t>tlivá a imunologická onemocn</w:t>
      </w:r>
      <w:r w:rsidRPr="005623E0">
        <w:rPr>
          <w:rFonts w:cs="TimesNewRoman-OneByteIdentityH"/>
        </w:rPr>
        <w:t>ě</w:t>
      </w:r>
      <w:r w:rsidRPr="005623E0">
        <w:rPr>
          <w:rFonts w:cs="Times-Roman"/>
        </w:rPr>
        <w:t>ní</w:t>
      </w:r>
    </w:p>
    <w:p w14:paraId="6DBD1512" w14:textId="77777777" w:rsidR="005623E0" w:rsidRPr="005623E0" w:rsidRDefault="005623E0" w:rsidP="00543C1B">
      <w:pPr>
        <w:pStyle w:val="Odstavecseseznamem"/>
        <w:numPr>
          <w:ilvl w:val="0"/>
          <w:numId w:val="224"/>
        </w:numPr>
        <w:autoSpaceDE w:val="0"/>
        <w:autoSpaceDN w:val="0"/>
        <w:adjustRightInd w:val="0"/>
        <w:spacing w:after="0" w:line="360" w:lineRule="auto"/>
        <w:jc w:val="both"/>
        <w:rPr>
          <w:rFonts w:cs="Times-Roman"/>
        </w:rPr>
      </w:pPr>
      <w:r w:rsidRPr="005623E0">
        <w:rPr>
          <w:rFonts w:cs="Times-Roman"/>
        </w:rPr>
        <w:t xml:space="preserve">Závislosti </w:t>
      </w:r>
    </w:p>
    <w:p w14:paraId="09DE400A" w14:textId="77777777" w:rsidR="005623E0" w:rsidRPr="005623E0" w:rsidRDefault="005623E0" w:rsidP="00543C1B">
      <w:pPr>
        <w:pStyle w:val="Odstavecseseznamem"/>
        <w:numPr>
          <w:ilvl w:val="0"/>
          <w:numId w:val="224"/>
        </w:numPr>
        <w:autoSpaceDE w:val="0"/>
        <w:autoSpaceDN w:val="0"/>
        <w:adjustRightInd w:val="0"/>
        <w:spacing w:after="0" w:line="360" w:lineRule="auto"/>
        <w:jc w:val="both"/>
        <w:rPr>
          <w:b/>
          <w:bCs/>
        </w:rPr>
      </w:pPr>
      <w:r w:rsidRPr="005623E0">
        <w:rPr>
          <w:rFonts w:cs="Times-Roman"/>
        </w:rPr>
        <w:t>Infekce</w:t>
      </w:r>
    </w:p>
    <w:p w14:paraId="4DDB2CEC" w14:textId="77777777" w:rsidR="005623E0" w:rsidRPr="005623E0" w:rsidRDefault="005623E0" w:rsidP="005623E0"/>
    <w:p w14:paraId="6B678FDB" w14:textId="77777777" w:rsidR="003B3BF0" w:rsidRPr="003B3BF0" w:rsidRDefault="003B3BF0" w:rsidP="003B3BF0"/>
    <w:p w14:paraId="65694686" w14:textId="77777777" w:rsidR="007D758B" w:rsidRPr="007D758B" w:rsidRDefault="007D758B" w:rsidP="007D758B"/>
    <w:p w14:paraId="1465974F" w14:textId="77777777" w:rsidR="00690782" w:rsidRDefault="00690782">
      <w:pPr>
        <w:spacing w:after="200" w:line="276" w:lineRule="auto"/>
        <w:rPr>
          <w:rFonts w:eastAsiaTheme="majorEastAsia" w:cstheme="majorBidi"/>
          <w:b/>
          <w:sz w:val="24"/>
          <w:szCs w:val="24"/>
        </w:rPr>
      </w:pPr>
      <w:r>
        <w:br w:type="page"/>
      </w:r>
    </w:p>
    <w:p w14:paraId="14A26A7B" w14:textId="77777777" w:rsidR="006E6688" w:rsidRDefault="006E6688" w:rsidP="005C2F38">
      <w:pPr>
        <w:pStyle w:val="Nadpis1"/>
      </w:pPr>
      <w:bookmarkStart w:id="278" w:name="_Toc525716302"/>
      <w:r w:rsidRPr="005C2F38">
        <w:t>Použitá literatura</w:t>
      </w:r>
      <w:bookmarkEnd w:id="278"/>
    </w:p>
    <w:p w14:paraId="6CBF0646" w14:textId="77777777" w:rsidR="0035206A" w:rsidRPr="00EE5273" w:rsidRDefault="0035206A" w:rsidP="00EE5273">
      <w:pPr>
        <w:spacing w:before="240" w:afterLines="120" w:after="288" w:line="23" w:lineRule="atLeast"/>
        <w:jc w:val="both"/>
        <w:rPr>
          <w:rFonts w:ascii="Calibri" w:hAnsi="Calibri" w:cstheme="majorHAnsi"/>
        </w:rPr>
      </w:pPr>
      <w:bookmarkStart w:id="279" w:name="OLE_LINK2"/>
      <w:r w:rsidRPr="00EE5273">
        <w:rPr>
          <w:rFonts w:cstheme="minorHAnsi"/>
        </w:rPr>
        <w:t>ARNOLD, E., GIARRACCA, F. (2012): Getting the Balance Right: Basic Research, Missions and Governance for Horizon</w:t>
      </w:r>
      <w:r w:rsidRPr="00EE5273">
        <w:rPr>
          <w:rFonts w:cstheme="minorHAnsi"/>
          <w:i/>
        </w:rPr>
        <w:t xml:space="preserve"> </w:t>
      </w:r>
      <w:r w:rsidRPr="00EE5273">
        <w:rPr>
          <w:rFonts w:cstheme="minorHAnsi"/>
        </w:rPr>
        <w:t>2020. Technopolis Group, 70 str.</w:t>
      </w:r>
    </w:p>
    <w:p w14:paraId="77609F31"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BALCAR, J. (2011): Future skills needs in EU and skills transferability in 2020: sector meta-analysis, Ekonomická revue, 14(1), str. 5-20.</w:t>
      </w:r>
    </w:p>
    <w:p w14:paraId="50C80D11"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 xml:space="preserve">BALCAR, J., FILIPOVÁ, L., GOTTVALD, J., SIMEK, M., ŠMAJSTRLOVÁ, S. (2008): Uplatnitelnost absolventů škol v podnicích a institucích Moravskoslezského kraje. VŠB-TUO, Ostrava, CD-ROM. </w:t>
      </w:r>
    </w:p>
    <w:p w14:paraId="25AA1F2B"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BALCAR, J., HOMOLOVÁ, E., KARÁSEK, Z. et al. (2011): Transferability of skills across economic sectors: Role and importance for Employment at European level. Publications Office of the European Union, Luxembourg, 96 str.</w:t>
      </w:r>
    </w:p>
    <w:p w14:paraId="0A7A6DDF"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BURDOVÁ, J., PATEROVÁ, P. (2009): Šetření potřeb zaměstnavatelů a připravenosti absolventů v zemědělské sféře. Národní ústav odborného vzdělávání, Praha.</w:t>
      </w:r>
    </w:p>
    <w:p w14:paraId="15D5AECC" w14:textId="77777777" w:rsidR="0035206A" w:rsidRPr="00EE5273" w:rsidRDefault="0035206A" w:rsidP="00EE5273">
      <w:pPr>
        <w:spacing w:afterLines="120" w:after="288" w:line="23" w:lineRule="atLeast"/>
        <w:jc w:val="both"/>
        <w:rPr>
          <w:rFonts w:cstheme="minorHAnsi"/>
        </w:rPr>
      </w:pPr>
      <w:r w:rsidRPr="00EE5273">
        <w:rPr>
          <w:rFonts w:ascii="Calibri" w:hAnsi="Calibri" w:cstheme="majorHAnsi"/>
        </w:rPr>
        <w:t>BERMAN GROUP (2010): Analýza věcných priorit a potřeb jednotlivých oblastí v působnosti MPO pro zaměření podpory ze strukturálních fondů EU v příštím programovacím období (2014+). (</w:t>
      </w:r>
      <w:hyperlink r:id="rId50" w:history="1">
        <w:r w:rsidRPr="00EE5273">
          <w:rPr>
            <w:rStyle w:val="Hypertextovodkaz"/>
            <w:rFonts w:ascii="Calibri" w:hAnsi="Calibri" w:cstheme="majorHAnsi"/>
            <w:color w:val="auto"/>
          </w:rPr>
          <w:t>http://www.mpo.cz/dokument82084.html</w:t>
        </w:r>
      </w:hyperlink>
      <w:r w:rsidRPr="00EE5273">
        <w:rPr>
          <w:rFonts w:cstheme="minorHAnsi"/>
        </w:rPr>
        <w:t>)</w:t>
      </w:r>
    </w:p>
    <w:p w14:paraId="2273EBB4" w14:textId="77777777" w:rsidR="0035206A" w:rsidRPr="00EE5273" w:rsidRDefault="0035206A" w:rsidP="00EE5273">
      <w:pPr>
        <w:spacing w:afterLines="120" w:after="288" w:line="23" w:lineRule="atLeast"/>
        <w:jc w:val="both"/>
      </w:pPr>
      <w:r w:rsidRPr="00EE5273">
        <w:t>BOEKHOLT et al. (2011): International Co-operation in R&amp;D. Final Report - 6. International Audit of Research, Development&amp;Innovation in the Czech Republic. Manchester Institute of Innovation Research&amp;Technopolis Group.</w:t>
      </w:r>
    </w:p>
    <w:p w14:paraId="54262185"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BOSMA, N., WENNEKERS, S., AMOROS, J.E. (2012): Global entrepreneurship monitor 2011.</w:t>
      </w:r>
    </w:p>
    <w:p w14:paraId="55E0CFF2" w14:textId="77777777" w:rsidR="0035206A" w:rsidRPr="00EE5273" w:rsidRDefault="0035206A" w:rsidP="00EE5273">
      <w:pPr>
        <w:spacing w:afterLines="120" w:after="288" w:line="23" w:lineRule="atLeast"/>
        <w:jc w:val="both"/>
        <w:rPr>
          <w:rFonts w:cstheme="minorHAnsi"/>
        </w:rPr>
      </w:pPr>
      <w:r w:rsidRPr="00EE5273">
        <w:rPr>
          <w:rFonts w:cstheme="minorHAnsi"/>
        </w:rPr>
        <w:t>Český telekomunikační úřad (2013): Mapování infrastruktury pro poskytování vysokorychlostního přístupu k internetu v ČR.</w:t>
      </w:r>
    </w:p>
    <w:p w14:paraId="2C964E95"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CHRISTENSEN, C. (1997): The Innovator’s Dilemma. Harvard Business School Press, Boston, 286 str.</w:t>
      </w:r>
    </w:p>
    <w:p w14:paraId="1D51718A"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DICKEN, P. (2011): Global Shift: Mapping the Changing Contours of the World Economy. The Guildford Press, 607 str.</w:t>
      </w:r>
    </w:p>
    <w:p w14:paraId="587D7294" w14:textId="77777777" w:rsidR="0035206A" w:rsidRPr="00EE5273" w:rsidRDefault="0035206A" w:rsidP="00EE5273">
      <w:pPr>
        <w:spacing w:afterLines="120" w:after="288" w:line="23" w:lineRule="atLeast"/>
        <w:jc w:val="both"/>
        <w:rPr>
          <w:rFonts w:cstheme="minorHAnsi"/>
        </w:rPr>
      </w:pPr>
      <w:r w:rsidRPr="00EE5273">
        <w:rPr>
          <w:rFonts w:cstheme="minorHAnsi"/>
        </w:rPr>
        <w:t>JAHN, M. et al. (2005): Strategie hospodářského růstu České republiky. Praha, 136 str. (</w:t>
      </w:r>
      <w:hyperlink r:id="rId51" w:history="1">
        <w:r w:rsidRPr="00EE5273">
          <w:rPr>
            <w:rStyle w:val="Hypertextovodkaz"/>
            <w:rFonts w:cstheme="minorHAnsi"/>
            <w:color w:val="auto"/>
          </w:rPr>
          <w:t>http://www.vyzkum.cz/FrontClanek.aspx?idsekce=13633&amp;ad=1&amp;attid=13719</w:t>
        </w:r>
      </w:hyperlink>
      <w:r w:rsidRPr="00EE5273">
        <w:rPr>
          <w:rFonts w:cstheme="minorHAnsi"/>
        </w:rPr>
        <w:t>)</w:t>
      </w:r>
    </w:p>
    <w:p w14:paraId="5FA1817D"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ETZKOWITZ, H., LEYDESDORFF, L. (200): The dynamics of innovation: from natinoal systems and „Mode 2“ To a triple helix of university-industry-government relations. Research Policy, vol. 29, str. 109-123</w:t>
      </w:r>
    </w:p>
    <w:p w14:paraId="51F17D90"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European Commission (2007): Remuneration of Researchers in the Public and Private sectors. Publications Office of the European Union, Luxembourg.</w:t>
      </w:r>
    </w:p>
    <w:p w14:paraId="386ADF65" w14:textId="77777777" w:rsidR="0035206A" w:rsidRPr="00EE5273" w:rsidRDefault="0035206A" w:rsidP="00EE5273">
      <w:pPr>
        <w:spacing w:afterLines="120" w:after="288" w:line="23" w:lineRule="atLeast"/>
        <w:jc w:val="both"/>
        <w:rPr>
          <w:rFonts w:cstheme="minorHAnsi"/>
        </w:rPr>
      </w:pPr>
      <w:r w:rsidRPr="00EE5273">
        <w:t>European Commission (2010):</w:t>
      </w:r>
      <w:r w:rsidRPr="00EE5273">
        <w:rPr>
          <w:rFonts w:cstheme="minorHAnsi"/>
        </w:rPr>
        <w:t xml:space="preserve"> The Role of Community Research Policy in the Knowledge-based Economy.</w:t>
      </w:r>
    </w:p>
    <w:p w14:paraId="7708F69C" w14:textId="77777777" w:rsidR="0035206A" w:rsidRPr="00EE5273" w:rsidRDefault="0035206A" w:rsidP="00EE5273">
      <w:pPr>
        <w:spacing w:afterLines="120" w:after="288" w:line="23" w:lineRule="atLeast"/>
        <w:jc w:val="both"/>
        <w:rPr>
          <w:rFonts w:cs="Times New Roman"/>
        </w:rPr>
      </w:pPr>
      <w:r w:rsidRPr="00EE5273">
        <w:rPr>
          <w:rFonts w:cs="Times New Roman"/>
        </w:rPr>
        <w:t>European Commission (2010b) Study on mobility patterns and career paths of EU researchers</w:t>
      </w:r>
      <w:r w:rsidRPr="00EE5273">
        <w:rPr>
          <w:rFonts w:cs="Times New Roman"/>
          <w:i/>
        </w:rPr>
        <w:t xml:space="preserve">. </w:t>
      </w:r>
      <w:r w:rsidRPr="00EE5273">
        <w:rPr>
          <w:rFonts w:cs="Times New Roman"/>
        </w:rPr>
        <w:t>Brussels. (</w:t>
      </w:r>
      <w:hyperlink r:id="rId52" w:history="1">
        <w:r w:rsidRPr="00EE5273">
          <w:rPr>
            <w:rStyle w:val="Hypertextovodkaz"/>
            <w:color w:val="auto"/>
          </w:rPr>
          <w:t>https://cdn5.euraxess.org/sites/default/files/policy_library/more_extra_eu_mobility_report_final_version.pdf</w:t>
        </w:r>
      </w:hyperlink>
      <w:r w:rsidRPr="00EE5273">
        <w:t>).</w:t>
      </w:r>
    </w:p>
    <w:p w14:paraId="2DE9C578" w14:textId="77777777" w:rsidR="0035206A" w:rsidRPr="00EE5273" w:rsidRDefault="0035206A" w:rsidP="00EE5273">
      <w:pPr>
        <w:spacing w:afterLines="120" w:after="288" w:line="23" w:lineRule="atLeast"/>
        <w:jc w:val="both"/>
        <w:rPr>
          <w:rFonts w:cstheme="minorHAnsi"/>
        </w:rPr>
      </w:pPr>
      <w:r w:rsidRPr="00EE5273">
        <w:t xml:space="preserve">European Commission </w:t>
      </w:r>
      <w:r w:rsidRPr="00EE5273">
        <w:rPr>
          <w:rFonts w:cstheme="minorHAnsi"/>
        </w:rPr>
        <w:t>(2012): The Researchers Report 2012: Monitor human resources policies and practices in research. Scorecards.</w:t>
      </w:r>
    </w:p>
    <w:p w14:paraId="7C495DBD" w14:textId="77777777" w:rsidR="0035206A" w:rsidRPr="00EE5273" w:rsidRDefault="0035206A" w:rsidP="00EE5273">
      <w:pPr>
        <w:spacing w:afterLines="120" w:after="288" w:line="23" w:lineRule="atLeast"/>
        <w:jc w:val="both"/>
        <w:rPr>
          <w:rFonts w:cstheme="minorHAnsi"/>
        </w:rPr>
      </w:pPr>
      <w:r w:rsidRPr="00EE5273">
        <w:t>European Commission (2013)</w:t>
      </w:r>
      <w:r w:rsidRPr="00EE5273">
        <w:rPr>
          <w:rFonts w:cstheme="minorHAnsi"/>
        </w:rPr>
        <w:t>: Digital Agenda for Europe. (</w:t>
      </w:r>
      <w:hyperlink r:id="rId53" w:history="1">
        <w:r w:rsidRPr="00EE5273">
          <w:rPr>
            <w:rStyle w:val="Hypertextovodkaz"/>
            <w:rFonts w:cstheme="minorHAnsi"/>
            <w:color w:val="auto"/>
          </w:rPr>
          <w:t>http://digital-agenda-data.eu</w:t>
        </w:r>
      </w:hyperlink>
      <w:r w:rsidRPr="00EE5273">
        <w:rPr>
          <w:rFonts w:cstheme="minorHAnsi"/>
        </w:rPr>
        <w:t>)</w:t>
      </w:r>
    </w:p>
    <w:p w14:paraId="259E1100" w14:textId="77777777" w:rsidR="0035206A" w:rsidRPr="00EE5273" w:rsidRDefault="0035206A" w:rsidP="00EE5273">
      <w:pPr>
        <w:spacing w:afterLines="120" w:after="288" w:line="23" w:lineRule="atLeast"/>
        <w:jc w:val="both"/>
        <w:rPr>
          <w:rFonts w:cs="Times New Roman"/>
        </w:rPr>
      </w:pPr>
      <w:r w:rsidRPr="00EE5273">
        <w:rPr>
          <w:rFonts w:cs="Times New Roman"/>
        </w:rPr>
        <w:t>European Commission (2013b) She Figures 2012: Gender in Research and Innovation. Brussels. (</w:t>
      </w:r>
      <w:hyperlink r:id="rId54" w:history="1">
        <w:r w:rsidRPr="00EE5273">
          <w:rPr>
            <w:rStyle w:val="Hypertextovodkaz"/>
            <w:rFonts w:cs="Times New Roman"/>
            <w:color w:val="auto"/>
          </w:rPr>
          <w:t>http://ec.europa.eu/research/science-society/document_library/pdf_06/she-figures-2012_en.pdf</w:t>
        </w:r>
      </w:hyperlink>
      <w:r w:rsidRPr="00EE5273">
        <w:rPr>
          <w:rFonts w:cs="Times New Roman"/>
        </w:rPr>
        <w:t>)</w:t>
      </w:r>
    </w:p>
    <w:p w14:paraId="3BFEF1DC" w14:textId="77777777" w:rsidR="0035206A" w:rsidRPr="00EE5273" w:rsidRDefault="0035206A" w:rsidP="00EE5273">
      <w:pPr>
        <w:spacing w:afterLines="120" w:after="288" w:line="23" w:lineRule="atLeast"/>
        <w:jc w:val="both"/>
        <w:rPr>
          <w:rFonts w:cstheme="minorHAnsi"/>
        </w:rPr>
      </w:pPr>
      <w:r w:rsidRPr="00EE5273">
        <w:t xml:space="preserve">European Commission (2013c): </w:t>
      </w:r>
      <w:r w:rsidRPr="00EE5273">
        <w:rPr>
          <w:rFonts w:cstheme="minorHAnsi"/>
        </w:rPr>
        <w:t>Researchers' Report 2012. DG Research and Innovation.</w:t>
      </w:r>
    </w:p>
    <w:p w14:paraId="3E915BFD" w14:textId="77777777" w:rsidR="0035206A" w:rsidRPr="00EE5273" w:rsidRDefault="0035206A" w:rsidP="00EE5273">
      <w:pPr>
        <w:spacing w:afterLines="120" w:after="288" w:line="23" w:lineRule="atLeast"/>
        <w:jc w:val="both"/>
        <w:rPr>
          <w:rFonts w:ascii="Calibri" w:hAnsi="Calibri" w:cs="Times New Roman"/>
        </w:rPr>
      </w:pPr>
      <w:r w:rsidRPr="00EE5273">
        <w:rPr>
          <w:rFonts w:ascii="Calibri" w:hAnsi="Calibri" w:cstheme="majorHAnsi"/>
        </w:rPr>
        <w:t>European Commission (20</w:t>
      </w:r>
      <w:r w:rsidRPr="00EE5273">
        <w:rPr>
          <w:rFonts w:ascii="Calibri" w:hAnsi="Calibri" w:cs="Times New Roman"/>
        </w:rPr>
        <w:t>13d</w:t>
      </w:r>
      <w:r w:rsidRPr="00EE5273">
        <w:rPr>
          <w:rFonts w:ascii="Calibri" w:hAnsi="Calibri" w:cstheme="majorHAnsi"/>
        </w:rPr>
        <w:t xml:space="preserve">): </w:t>
      </w:r>
      <w:r w:rsidRPr="00EE5273">
        <w:rPr>
          <w:rFonts w:ascii="Calibri" w:hAnsi="Calibri" w:cs="Times New Roman"/>
        </w:rPr>
        <w:t xml:space="preserve">Guide to Social Innovation. </w:t>
      </w:r>
    </w:p>
    <w:p w14:paraId="6982D54B" w14:textId="77777777" w:rsidR="0035206A" w:rsidRDefault="0035206A" w:rsidP="00EE5273">
      <w:pPr>
        <w:spacing w:afterLines="120" w:after="288" w:line="23" w:lineRule="atLeast"/>
        <w:jc w:val="both"/>
        <w:rPr>
          <w:rFonts w:ascii="Calibri" w:hAnsi="Calibri"/>
        </w:rPr>
      </w:pPr>
      <w:r w:rsidRPr="00EE5273">
        <w:rPr>
          <w:rFonts w:ascii="Calibri" w:hAnsi="Calibri" w:cs="Times New Roman"/>
        </w:rPr>
        <w:t>European Comission (</w:t>
      </w:r>
      <w:r w:rsidRPr="00EE5273">
        <w:rPr>
          <w:rFonts w:cs="Times New Roman"/>
        </w:rPr>
        <w:t>2014): Enabling synergies between European Structural and Investment Funds, Horizon 2020 and other research, innovation and competitiveness-related Union programmes (</w:t>
      </w:r>
      <w:hyperlink r:id="rId55" w:history="1">
        <w:r w:rsidRPr="00EE5273">
          <w:rPr>
            <w:rStyle w:val="Hypertextovodkaz"/>
            <w:rFonts w:cs="Times New Roman"/>
            <w:color w:val="auto"/>
          </w:rPr>
          <w:t>http://ec.europa.eu/regional_policy/sources/docgener/guides/synergy/synergies_en.pdf</w:t>
        </w:r>
      </w:hyperlink>
      <w:r w:rsidRPr="00EE5273">
        <w:t>)</w:t>
      </w:r>
      <w:r w:rsidRPr="00EE5273">
        <w:rPr>
          <w:rFonts w:cs="Times New Roman"/>
        </w:rPr>
        <w:t>.</w:t>
      </w:r>
      <w:r w:rsidRPr="00EE5273">
        <w:rPr>
          <w:rFonts w:ascii="Times New Roman" w:hAnsi="Times New Roman" w:cs="Times New Roman"/>
        </w:rPr>
        <w:t xml:space="preserve"> </w:t>
      </w:r>
      <w:r w:rsidRPr="00EE5273">
        <w:rPr>
          <w:rFonts w:ascii="Calibri" w:hAnsi="Calibri"/>
        </w:rPr>
        <w:t>Eurostat (</w:t>
      </w:r>
      <w:r w:rsidRPr="00EE5273">
        <w:rPr>
          <w:rFonts w:ascii="Calibri" w:hAnsi="Calibri" w:cstheme="majorHAnsi"/>
        </w:rPr>
        <w:t xml:space="preserve">2013): </w:t>
      </w:r>
      <w:r w:rsidRPr="00EE5273">
        <w:rPr>
          <w:rFonts w:ascii="Calibri" w:hAnsi="Calibri"/>
        </w:rPr>
        <w:t>Statistics database.</w:t>
      </w:r>
    </w:p>
    <w:p w14:paraId="53AEA1D1" w14:textId="77777777" w:rsidR="00206A6B" w:rsidRPr="00EE5273" w:rsidRDefault="00206A6B" w:rsidP="00206A6B">
      <w:pPr>
        <w:spacing w:afterLines="120" w:after="288" w:line="23" w:lineRule="atLeast"/>
        <w:jc w:val="both"/>
      </w:pPr>
      <w:r w:rsidRPr="00CD2983">
        <w:t>EUROPEAN COMMISSION: Re-finding Industry – Defining Innovation. Publication Office in Luxembourg, 2018. (</w:t>
      </w:r>
      <w:hyperlink r:id="rId56" w:history="1">
        <w:r w:rsidRPr="00CD2983">
          <w:t>https://publications.europa.eu/en/publication-detail/-/publication/28e1c485-476a-11e8-be1d-01aa75ed71a1</w:t>
        </w:r>
      </w:hyperlink>
      <w:r w:rsidRPr="00CD2983">
        <w:t>) .</w:t>
      </w:r>
    </w:p>
    <w:p w14:paraId="5B3D9D06" w14:textId="77777777" w:rsidR="0035206A" w:rsidRPr="00EE5273" w:rsidRDefault="0035206A" w:rsidP="00EE5273">
      <w:pPr>
        <w:spacing w:afterLines="120" w:after="288" w:line="23" w:lineRule="atLeast"/>
        <w:jc w:val="both"/>
        <w:rPr>
          <w:rFonts w:cstheme="minorHAnsi"/>
        </w:rPr>
      </w:pPr>
      <w:r w:rsidRPr="00EE5273">
        <w:rPr>
          <w:rFonts w:cstheme="minorHAnsi"/>
        </w:rPr>
        <w:t>FAGERBERG, J. (2005): Innovation: A Guide to the Literature. In: Fagerberg, J., Mowery, D. C., Nelson, R.: The Oxford Handbook of Innovation, Oxford University Press, Oxford, str. 1-26.</w:t>
      </w:r>
    </w:p>
    <w:p w14:paraId="65BDD5E8" w14:textId="77777777" w:rsidR="0035206A" w:rsidRPr="00EE5273" w:rsidRDefault="0035206A" w:rsidP="00EE5273">
      <w:pPr>
        <w:spacing w:afterLines="120" w:after="288" w:line="23" w:lineRule="atLeast"/>
        <w:jc w:val="both"/>
        <w:rPr>
          <w:rFonts w:cstheme="minorHAnsi"/>
        </w:rPr>
      </w:pPr>
      <w:r w:rsidRPr="00EE5273">
        <w:rPr>
          <w:rFonts w:cstheme="minorHAnsi"/>
        </w:rPr>
        <w:t>HEBÁKOVÁ, L., GRANGER, R. (2013): Smart Specialisation Strategy (S3) and the Czech Republic.</w:t>
      </w:r>
    </w:p>
    <w:p w14:paraId="3EC4003F" w14:textId="77777777" w:rsidR="0035206A" w:rsidRPr="00EE5273" w:rsidRDefault="0035206A" w:rsidP="00EE5273">
      <w:pPr>
        <w:spacing w:afterLines="120" w:after="288" w:line="23" w:lineRule="atLeast"/>
        <w:jc w:val="both"/>
        <w:rPr>
          <w:rFonts w:cstheme="minorHAnsi"/>
        </w:rPr>
      </w:pPr>
      <w:r w:rsidRPr="00EE5273">
        <w:rPr>
          <w:rFonts w:cstheme="minorHAnsi"/>
        </w:rPr>
        <w:t>HIRSCH-KREINSEN et al. (2008): Innovation in low-tech firms and industries. Edward Elgar, London, 320 str.</w:t>
      </w:r>
    </w:p>
    <w:p w14:paraId="004A37FF" w14:textId="77777777" w:rsidR="0035206A" w:rsidRPr="00EE5273" w:rsidRDefault="0035206A" w:rsidP="00EE5273">
      <w:pPr>
        <w:spacing w:afterLines="120" w:after="288" w:line="23" w:lineRule="atLeast"/>
        <w:jc w:val="both"/>
        <w:rPr>
          <w:rFonts w:cstheme="minorHAnsi"/>
        </w:rPr>
      </w:pPr>
      <w:r w:rsidRPr="00EE5273">
        <w:rPr>
          <w:rFonts w:cstheme="minorHAnsi"/>
        </w:rPr>
        <w:t>IHNED.cz (2013): Mapa české digitální pustiny: Opravdu rychlý internet mají jen 3 procenta lidí. (</w:t>
      </w:r>
      <w:hyperlink r:id="rId57" w:history="1">
        <w:r w:rsidRPr="00EE5273">
          <w:rPr>
            <w:rStyle w:val="Hypertextovodkaz"/>
            <w:rFonts w:cstheme="minorHAnsi"/>
            <w:color w:val="auto"/>
          </w:rPr>
          <w:t>http://byznys.ihned.cz/zpravodajstvi-cesko/c1-61402650-mapa-ceske-digitalni-pustiny-opravdu-rychly-internet-maji-jen-3-procenta-lidi</w:t>
        </w:r>
      </w:hyperlink>
      <w:r w:rsidRPr="00EE5273">
        <w:rPr>
          <w:rFonts w:ascii="Calibri" w:hAnsi="Calibri" w:cstheme="majorHAnsi"/>
        </w:rPr>
        <w:t>)</w:t>
      </w:r>
    </w:p>
    <w:p w14:paraId="3A52F393" w14:textId="77777777" w:rsidR="0035206A" w:rsidRDefault="0035206A" w:rsidP="00EE5273">
      <w:pPr>
        <w:spacing w:afterLines="120" w:after="288" w:line="23" w:lineRule="atLeast"/>
        <w:jc w:val="both"/>
        <w:rPr>
          <w:rFonts w:cstheme="minorHAnsi"/>
        </w:rPr>
      </w:pPr>
      <w:r w:rsidRPr="00EE5273">
        <w:rPr>
          <w:rFonts w:cstheme="minorHAnsi"/>
        </w:rPr>
        <w:t>JENSEN, M. B., JOHNSON, B., LORENZ, E., LUNDVALL, B. Å. (2007): Forms of knowledge and modes of innovation. Research Policy, 36, 5, str. 680-693.</w:t>
      </w:r>
    </w:p>
    <w:p w14:paraId="5B61E4A8" w14:textId="30F57FA9" w:rsidR="00BF444F" w:rsidRPr="00BF444F" w:rsidRDefault="00D87ED6" w:rsidP="00EE5273">
      <w:pPr>
        <w:spacing w:afterLines="120" w:after="288" w:line="23" w:lineRule="atLeast"/>
        <w:jc w:val="both"/>
        <w:rPr>
          <w:rFonts w:cstheme="minorHAnsi"/>
        </w:rPr>
      </w:pPr>
      <w:r w:rsidRPr="00BF444F">
        <w:rPr>
          <w:rFonts w:cstheme="minorHAnsi"/>
        </w:rPr>
        <w:t>JOHANNES HAHN</w:t>
      </w:r>
      <w:r w:rsidR="00BF444F">
        <w:rPr>
          <w:rFonts w:cstheme="minorHAnsi"/>
        </w:rPr>
        <w:t xml:space="preserve"> (2014)</w:t>
      </w:r>
      <w:r>
        <w:rPr>
          <w:rFonts w:cstheme="minorHAnsi"/>
        </w:rPr>
        <w:t>:</w:t>
      </w:r>
      <w:r w:rsidR="00BF444F" w:rsidRPr="00BF444F">
        <w:rPr>
          <w:rFonts w:cstheme="minorHAnsi"/>
        </w:rPr>
        <w:t xml:space="preserve"> Smart Specialisation and Europe’s Growth Agenda</w:t>
      </w:r>
    </w:p>
    <w:p w14:paraId="1B572240"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KALOUSKOVÁ, P. (2007): Potřeby zaměstnavatelů a připravenost absolventů škol - šetření v kvartérním sektoru. Národní ústav odborného vzdělávání, Praha.</w:t>
      </w:r>
    </w:p>
    <w:p w14:paraId="78C9BCED"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KALOUSKOVÁ, P. (2006): Potřeby zaměstnavatelů a připravenosti absolventů škol - šetření v terciární sféře. Národní ústav odborného vzdělávání, Praha.</w:t>
      </w:r>
    </w:p>
    <w:p w14:paraId="6E61BB78"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 xml:space="preserve">KALOUSKOVÁ, P., ŠŤASTNOVÁ, P., ÚLOVCOVÁ, H., VOJTĚCH, J. (2004): Potřeby zaměstnavatelů a připravenost absolventů pro vstup na trh práce - 2004. Národní ústav odborného vzdělávání, Praha. </w:t>
      </w:r>
    </w:p>
    <w:p w14:paraId="3661CFAC"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KOPICOVÁ, M. (2013): Mají absolventi „techniky“ budoucnost? Prezentace na mezinárodní odborné konferenci Univerzita – firma – prosperita, Brno, listopad 2013.</w:t>
      </w:r>
    </w:p>
    <w:p w14:paraId="6168D4AC"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KOSTELECKÁ Y., BERNARD J., KOSTELECKÝ T. (2007): Zahraniční migrace vědců a výzkumníků a nástroje k jejímu ovlivnění. Sociologický ústav Akademie věd ČR, v.v.i., Praha.</w:t>
      </w:r>
    </w:p>
    <w:p w14:paraId="0DB3A680" w14:textId="77777777" w:rsidR="0035206A" w:rsidRPr="00EE5273" w:rsidRDefault="0035206A" w:rsidP="00EE5273">
      <w:pPr>
        <w:spacing w:afterLines="120" w:after="288" w:line="23" w:lineRule="atLeast"/>
        <w:jc w:val="both"/>
        <w:rPr>
          <w:rFonts w:ascii="Calibri" w:hAnsi="Calibri" w:cstheme="majorHAnsi"/>
        </w:rPr>
      </w:pPr>
      <w:r w:rsidRPr="00EE5273">
        <w:rPr>
          <w:rFonts w:cstheme="minorHAnsi"/>
        </w:rPr>
        <w:t>KOSTIĆ, M., PAZOUR, M., POKORNÝ, O. (2012): Manažerský styl řízení na vysokých školách a ostatních výzkumných organizacích. TC AV, Praha. (</w:t>
      </w:r>
      <w:hyperlink r:id="rId58" w:history="1">
        <w:r w:rsidRPr="00EE5273">
          <w:rPr>
            <w:rStyle w:val="Hypertextovodkaz"/>
            <w:rFonts w:cstheme="minorHAnsi"/>
            <w:color w:val="auto"/>
          </w:rPr>
          <w:t>http://www.vyzkum.cz/Priloha.aspx?idpriloha=665607</w:t>
        </w:r>
      </w:hyperlink>
      <w:r w:rsidRPr="00EE5273">
        <w:rPr>
          <w:rFonts w:cstheme="minorHAnsi"/>
        </w:rPr>
        <w:t>)</w:t>
      </w:r>
    </w:p>
    <w:p w14:paraId="40073213" w14:textId="77777777" w:rsidR="0035206A" w:rsidRDefault="0035206A" w:rsidP="00EE5273">
      <w:pPr>
        <w:pStyle w:val="Textkomente"/>
        <w:spacing w:afterLines="120" w:after="288" w:line="23" w:lineRule="atLeast"/>
        <w:jc w:val="both"/>
        <w:rPr>
          <w:rFonts w:cstheme="minorHAnsi"/>
        </w:rPr>
      </w:pPr>
      <w:r w:rsidRPr="00EE5273">
        <w:rPr>
          <w:sz w:val="22"/>
          <w:szCs w:val="22"/>
        </w:rPr>
        <w:t>KUČERA, Z. a VONDRÁK, T. (2014): Key Enabling Technologies v ČR. TC AV, Praha, 106 str. (</w:t>
      </w:r>
      <w:hyperlink r:id="rId59" w:history="1">
        <w:r w:rsidRPr="00EE5273">
          <w:rPr>
            <w:rStyle w:val="Hypertextovodkaz"/>
            <w:color w:val="auto"/>
            <w:sz w:val="22"/>
            <w:szCs w:val="22"/>
          </w:rPr>
          <w:t>http://www.strast.cz/cs/publikace/key-enabling-technologies-v-cr</w:t>
        </w:r>
      </w:hyperlink>
      <w:r w:rsidRPr="00EE5273">
        <w:rPr>
          <w:rFonts w:cstheme="minorHAnsi"/>
        </w:rPr>
        <w:t>)</w:t>
      </w:r>
    </w:p>
    <w:p w14:paraId="2594A69F" w14:textId="52C8F7B4" w:rsidR="005C2FFB" w:rsidRPr="00AD0A96" w:rsidRDefault="005C2FFB" w:rsidP="00EE5273">
      <w:pPr>
        <w:pStyle w:val="Textkomente"/>
        <w:spacing w:afterLines="120" w:after="288" w:line="23" w:lineRule="atLeast"/>
        <w:jc w:val="both"/>
        <w:rPr>
          <w:rFonts w:cstheme="minorHAnsi"/>
          <w:sz w:val="22"/>
          <w:szCs w:val="22"/>
        </w:rPr>
      </w:pPr>
      <w:r w:rsidRPr="00AD0A96">
        <w:rPr>
          <w:rFonts w:cs="Arial"/>
          <w:sz w:val="22"/>
          <w:szCs w:val="22"/>
        </w:rPr>
        <w:t>SDĚLENÍ KOMISE EVROPSKÉMU PARLAMENTU, RADĚ, EVROPSKÉMU HOSPODÁŘSKÉMU A SOCIÁLNÍMU VÝBORU A VÝBORU REGIONŮ, „Evropská strategie pro klíčové technologie – cesta k růstu a zaměstnanosti“, Brusel, COM (2012) 341final.</w:t>
      </w:r>
    </w:p>
    <w:p w14:paraId="2FBD8588" w14:textId="7D47A4D7" w:rsidR="00035092" w:rsidRPr="00AD0A96" w:rsidRDefault="00A15A03" w:rsidP="00A15A03">
      <w:pPr>
        <w:spacing w:line="288" w:lineRule="auto"/>
        <w:jc w:val="both"/>
        <w:rPr>
          <w:rFonts w:cs="Arial"/>
          <w:color w:val="000000"/>
        </w:rPr>
      </w:pPr>
      <w:r w:rsidRPr="00AD0A96">
        <w:rPr>
          <w:rFonts w:cs="Arial"/>
        </w:rPr>
        <w:t xml:space="preserve">EUROPEAN COMMISSION: </w:t>
      </w:r>
      <w:r w:rsidRPr="00AD0A96">
        <w:rPr>
          <w:rFonts w:cs="Arial"/>
          <w:iCs/>
        </w:rPr>
        <w:t>Re-finding Industry – Defining Innovation</w:t>
      </w:r>
      <w:r w:rsidRPr="00AD0A96">
        <w:rPr>
          <w:rFonts w:cs="Arial"/>
        </w:rPr>
        <w:t xml:space="preserve">. Publication Office in Luxembourg, 2018. </w:t>
      </w:r>
      <w:r w:rsidR="00AD0A96">
        <w:rPr>
          <w:rFonts w:cs="Arial"/>
        </w:rPr>
        <w:t>(</w:t>
      </w:r>
      <w:hyperlink r:id="rId60" w:history="1">
        <w:r w:rsidRPr="00AD0A96">
          <w:rPr>
            <w:rStyle w:val="Hypertextovodkaz"/>
            <w:rFonts w:cs="Arial"/>
          </w:rPr>
          <w:t>https://publications.europa.eu/en/publication-detail/-/publication/28e1c485-476a-11e8-be1d-01aa75ed71a1</w:t>
        </w:r>
      </w:hyperlink>
      <w:r w:rsidR="00AD0A96">
        <w:rPr>
          <w:rFonts w:cs="Arial"/>
          <w:color w:val="1F497D"/>
        </w:rPr>
        <w:t>)</w:t>
      </w:r>
      <w:r w:rsidRPr="00AD0A96">
        <w:rPr>
          <w:rFonts w:cs="Arial"/>
          <w:color w:val="1F497D"/>
        </w:rPr>
        <w:t>.</w:t>
      </w:r>
    </w:p>
    <w:p w14:paraId="6F18D7DE" w14:textId="68831FDC"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LEISYTE, L. et al. (2011): Lidské zdroje ve VaV. Závěrečná zpráva Mezinárodního auditu výzkumu, vývoje a</w:t>
      </w:r>
      <w:r w:rsidR="00A44D7D">
        <w:rPr>
          <w:rFonts w:ascii="Calibri" w:hAnsi="Calibri" w:cstheme="majorHAnsi"/>
        </w:rPr>
        <w:t> </w:t>
      </w:r>
      <w:r w:rsidRPr="00EE5273">
        <w:rPr>
          <w:rFonts w:ascii="Calibri" w:hAnsi="Calibri" w:cstheme="majorHAnsi"/>
        </w:rPr>
        <w:t>inovací v České republice.</w:t>
      </w:r>
    </w:p>
    <w:p w14:paraId="271E5F1A" w14:textId="77777777" w:rsidR="0035206A" w:rsidRPr="00EE5273" w:rsidRDefault="0035206A" w:rsidP="00EE5273">
      <w:pPr>
        <w:spacing w:afterLines="120" w:after="288" w:line="23" w:lineRule="atLeast"/>
        <w:jc w:val="both"/>
        <w:rPr>
          <w:rFonts w:ascii="Calibri" w:hAnsi="Calibri" w:cstheme="majorHAnsi"/>
        </w:rPr>
      </w:pPr>
      <w:r w:rsidRPr="00EE5273">
        <w:rPr>
          <w:rFonts w:cstheme="minorHAnsi"/>
        </w:rPr>
        <w:t>LUKEŠ, M., JAKL, M. (2011): Podnikatelská aktivita v ČR, VŠE, 87 str.</w:t>
      </w:r>
    </w:p>
    <w:p w14:paraId="5333413C" w14:textId="77777777" w:rsidR="0035206A" w:rsidRPr="00EE5273" w:rsidRDefault="0035206A" w:rsidP="00EE5273">
      <w:pPr>
        <w:spacing w:afterLines="120" w:after="288" w:line="23" w:lineRule="atLeast"/>
        <w:jc w:val="both"/>
        <w:rPr>
          <w:rFonts w:cs="Times New Roman"/>
        </w:rPr>
      </w:pPr>
      <w:r w:rsidRPr="00EE5273">
        <w:rPr>
          <w:rFonts w:cs="Times New Roman"/>
        </w:rPr>
        <w:t>MAZZUAZZUCATO, M. (2013): The Eneterpreneurial State: Debunking Public vs. Private Sector Myths.</w:t>
      </w:r>
      <w:r w:rsidRPr="00EE5273">
        <w:rPr>
          <w:rFonts w:cs="Times New Roman"/>
          <w:i/>
        </w:rPr>
        <w:t xml:space="preserve"> </w:t>
      </w:r>
      <w:r w:rsidRPr="00EE5273">
        <w:rPr>
          <w:rFonts w:cs="Times New Roman"/>
        </w:rPr>
        <w:t>London: Anthem Press.</w:t>
      </w:r>
    </w:p>
    <w:p w14:paraId="705A7E00"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 xml:space="preserve">MCKINSEY &amp; COMPANY (2010): Klesající výsledky českého základního a středního školství: fakta a řešení. </w:t>
      </w:r>
    </w:p>
    <w:p w14:paraId="5AA0B2B8"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Technopolis Group (2011): Mezinárodní audit výzkumu, vývoje a inovací v České republice. Závěrečná zpráva, Praha.</w:t>
      </w:r>
    </w:p>
    <w:p w14:paraId="61F52C43" w14:textId="77777777" w:rsidR="0035206A" w:rsidRPr="00EE5273" w:rsidRDefault="0035206A" w:rsidP="00EE5273">
      <w:pPr>
        <w:spacing w:afterLines="120" w:after="288" w:line="23" w:lineRule="atLeast"/>
        <w:jc w:val="both"/>
      </w:pPr>
      <w:r w:rsidRPr="00EE5273">
        <w:rPr>
          <w:rFonts w:cstheme="minorHAnsi"/>
        </w:rPr>
        <w:t>Ekonom (2013): Rozhovor s prof. Lubomírem Mlčochem. Ekonom č. 50/2013.</w:t>
      </w:r>
    </w:p>
    <w:p w14:paraId="15AFE401" w14:textId="77777777" w:rsidR="0035206A" w:rsidRPr="00EE5273" w:rsidRDefault="0035206A" w:rsidP="00EE5273">
      <w:pPr>
        <w:spacing w:afterLines="120" w:after="288" w:line="23" w:lineRule="atLeast"/>
        <w:jc w:val="both"/>
        <w:rPr>
          <w:rFonts w:cstheme="minorHAnsi"/>
        </w:rPr>
      </w:pPr>
      <w:r w:rsidRPr="00EE5273">
        <w:rPr>
          <w:rFonts w:cstheme="minorHAnsi"/>
        </w:rPr>
        <w:t>MPO (2011): Národní inovační strategie České republiky. Praha, 40 str. (</w:t>
      </w:r>
      <w:hyperlink r:id="rId61" w:history="1">
        <w:r w:rsidRPr="00EE5273">
          <w:rPr>
            <w:rStyle w:val="Hypertextovodkaz"/>
            <w:color w:val="auto"/>
          </w:rPr>
          <w:t>https://www.mpo.cz/dokument91200.html</w:t>
        </w:r>
      </w:hyperlink>
      <w:r w:rsidRPr="00EE5273">
        <w:rPr>
          <w:rFonts w:cstheme="minorHAnsi"/>
        </w:rPr>
        <w:t>).</w:t>
      </w:r>
    </w:p>
    <w:p w14:paraId="17CAAFCA" w14:textId="77777777" w:rsidR="0035206A" w:rsidRDefault="0035206A" w:rsidP="00EE5273">
      <w:pPr>
        <w:spacing w:afterLines="120" w:after="288" w:line="23" w:lineRule="atLeast"/>
        <w:jc w:val="both"/>
        <w:rPr>
          <w:rFonts w:cstheme="minorHAnsi"/>
        </w:rPr>
      </w:pPr>
      <w:r w:rsidRPr="00EE5273">
        <w:rPr>
          <w:rFonts w:cstheme="minorHAnsi"/>
        </w:rPr>
        <w:t>MPO (2012): Exportní strategie České republiky pro období 2012 až 2020. Praha.</w:t>
      </w:r>
    </w:p>
    <w:p w14:paraId="0F350BC5" w14:textId="0B3E3F94" w:rsidR="002F2992" w:rsidRPr="00EE5273" w:rsidRDefault="002F2992" w:rsidP="00EE5273">
      <w:pPr>
        <w:spacing w:afterLines="120" w:after="288" w:line="23" w:lineRule="atLeast"/>
        <w:jc w:val="both"/>
        <w:rPr>
          <w:rFonts w:cstheme="minorHAnsi"/>
        </w:rPr>
      </w:pPr>
      <w:r>
        <w:rPr>
          <w:rFonts w:cstheme="minorHAnsi"/>
        </w:rPr>
        <w:t>MPO (2016): Aktualizace Exportní strategie ČR 2012-2020. Praha.</w:t>
      </w:r>
    </w:p>
    <w:p w14:paraId="55C69F6A" w14:textId="77777777" w:rsidR="0035206A" w:rsidRPr="00EE5273" w:rsidRDefault="0035206A" w:rsidP="00EE5273">
      <w:pPr>
        <w:spacing w:afterLines="120" w:after="288" w:line="23" w:lineRule="atLeast"/>
        <w:jc w:val="both"/>
        <w:rPr>
          <w:rFonts w:cstheme="minorHAnsi"/>
        </w:rPr>
      </w:pPr>
      <w:r w:rsidRPr="00EE5273">
        <w:rPr>
          <w:rFonts w:cstheme="minorHAnsi"/>
        </w:rPr>
        <w:t>MPO (2012b): Strategie mezinárodní konkurenceschopnosti České republiky pro období 2012 až 2020. Praha, 53 str. (</w:t>
      </w:r>
      <w:hyperlink r:id="rId62" w:history="1">
        <w:r w:rsidRPr="00EE5273">
          <w:rPr>
            <w:rStyle w:val="Hypertextovodkaz"/>
            <w:rFonts w:cstheme="minorHAnsi"/>
            <w:color w:val="auto"/>
          </w:rPr>
          <w:t>http://www.vlada.cz/assets/media-centrum/aktualne/Strategie-mezinarodni-konkurenceschopnosti-Ceske-republiky.pdf</w:t>
        </w:r>
      </w:hyperlink>
      <w:r w:rsidRPr="00EE5273">
        <w:rPr>
          <w:rFonts w:cstheme="minorHAnsi"/>
        </w:rPr>
        <w:t>)</w:t>
      </w:r>
    </w:p>
    <w:p w14:paraId="3FDE86D7" w14:textId="77777777" w:rsidR="0035206A" w:rsidRPr="00EE5273" w:rsidRDefault="0035206A" w:rsidP="00EE5273">
      <w:pPr>
        <w:spacing w:afterLines="120" w:after="288" w:line="23" w:lineRule="atLeast"/>
        <w:jc w:val="both"/>
        <w:rPr>
          <w:rFonts w:cstheme="minorHAnsi"/>
        </w:rPr>
      </w:pPr>
      <w:r w:rsidRPr="00EE5273">
        <w:rPr>
          <w:rFonts w:cstheme="minorHAnsi"/>
        </w:rPr>
        <w:t>MPO (2013): Státní politika v elektronických komunikacích - Digitální Česko v. 2.0 - Cesta k digitální ekonomice.</w:t>
      </w:r>
    </w:p>
    <w:p w14:paraId="56E7BE12" w14:textId="77777777" w:rsidR="0035206A" w:rsidRDefault="0035206A" w:rsidP="00EE5273">
      <w:pPr>
        <w:spacing w:afterLines="120" w:after="288" w:line="23" w:lineRule="atLeast"/>
        <w:jc w:val="both"/>
        <w:rPr>
          <w:rFonts w:ascii="Calibri" w:hAnsi="Calibri" w:cstheme="majorHAnsi"/>
        </w:rPr>
      </w:pPr>
      <w:r w:rsidRPr="00EE5273">
        <w:rPr>
          <w:rFonts w:ascii="Calibri" w:hAnsi="Calibri" w:cstheme="majorHAnsi"/>
        </w:rPr>
        <w:t>MPO (2014): Priority MPO pro oblast průmyslového výzkumu, vývoje a inovací.</w:t>
      </w:r>
    </w:p>
    <w:p w14:paraId="5A121C71" w14:textId="5E5F4B16" w:rsidR="00AB21B2" w:rsidRPr="00EE5273" w:rsidRDefault="00AB21B2" w:rsidP="00EE5273">
      <w:pPr>
        <w:spacing w:afterLines="120" w:after="288" w:line="23" w:lineRule="atLeast"/>
        <w:jc w:val="both"/>
        <w:rPr>
          <w:rFonts w:ascii="Calibri" w:hAnsi="Calibri" w:cstheme="majorHAnsi"/>
        </w:rPr>
      </w:pPr>
      <w:r>
        <w:rPr>
          <w:rFonts w:ascii="Calibri" w:hAnsi="Calibri" w:cstheme="majorHAnsi"/>
        </w:rPr>
        <w:t>MPO (2016) Panorama zpracovatelského průmyslu ČR 2016</w:t>
      </w:r>
    </w:p>
    <w:p w14:paraId="13739BD2"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MÜNICH, D, PROTIVÍNSKÝ, T. (2013): Dopad vzdělanosti na hospodářský růst ve světle nových výsledků PISA 2012.</w:t>
      </w:r>
    </w:p>
    <w:p w14:paraId="552D949D" w14:textId="77777777" w:rsidR="0035206A" w:rsidRPr="00EE5273" w:rsidRDefault="0035206A" w:rsidP="00EE5273">
      <w:pPr>
        <w:spacing w:afterLines="120" w:after="288" w:line="23" w:lineRule="atLeast"/>
        <w:jc w:val="both"/>
        <w:rPr>
          <w:rFonts w:cstheme="minorHAnsi"/>
        </w:rPr>
      </w:pPr>
      <w:r w:rsidRPr="00EE5273">
        <w:rPr>
          <w:rFonts w:cstheme="minorHAnsi"/>
        </w:rPr>
        <w:t>MŠMT (2011): Cestovní mapa ČR velkých infrastruktur pro výzkum, experimentální vývoj a inovace. Aktualizace květen 2011, 49 str.</w:t>
      </w:r>
    </w:p>
    <w:p w14:paraId="50AB3642" w14:textId="77777777" w:rsidR="0035206A" w:rsidRPr="00EE5273" w:rsidRDefault="0035206A" w:rsidP="00EE5273">
      <w:pPr>
        <w:spacing w:afterLines="120" w:after="288" w:line="23" w:lineRule="atLeast"/>
        <w:jc w:val="both"/>
        <w:rPr>
          <w:rFonts w:ascii="Calibri" w:hAnsi="Calibri" w:cstheme="majorHAnsi"/>
        </w:rPr>
      </w:pPr>
      <w:r w:rsidRPr="00EE5273">
        <w:rPr>
          <w:rFonts w:cstheme="minorHAnsi"/>
        </w:rPr>
        <w:t>MŠMT (2015):</w:t>
      </w:r>
      <w:r w:rsidRPr="00EE5273">
        <w:t xml:space="preserve"> Cestovní mapu ČR velkých infrastruktur pro výzkum, experimentální vývoj a inovace pro léta 2016 až 2022, 127 str.</w:t>
      </w:r>
    </w:p>
    <w:p w14:paraId="534D590B" w14:textId="77777777" w:rsidR="0035206A" w:rsidRPr="00EE5273" w:rsidRDefault="0035206A" w:rsidP="00EE5273">
      <w:pPr>
        <w:spacing w:afterLines="120" w:after="288" w:line="23" w:lineRule="atLeast"/>
        <w:jc w:val="both"/>
        <w:rPr>
          <w:rFonts w:cstheme="minorHAnsi"/>
        </w:rPr>
      </w:pPr>
      <w:r w:rsidRPr="00EE5273">
        <w:rPr>
          <w:rFonts w:cstheme="minorHAnsi"/>
        </w:rPr>
        <w:t>MŠMT (2014): Strategie vzdělávací politiky České republiky do roku 2020. Praha, 52 str. (</w:t>
      </w:r>
      <w:hyperlink r:id="rId63" w:history="1">
        <w:r w:rsidRPr="00EE5273">
          <w:rPr>
            <w:rStyle w:val="Hypertextovodkaz"/>
            <w:rFonts w:cstheme="minorHAnsi"/>
            <w:color w:val="auto"/>
          </w:rPr>
          <w:t>http://www.vzdelavani2020.cz/images_obsah/dokumenty/strategie-2020_web.pdf</w:t>
        </w:r>
      </w:hyperlink>
      <w:r w:rsidRPr="00EE5273">
        <w:rPr>
          <w:rFonts w:cstheme="minorHAnsi"/>
        </w:rPr>
        <w:t>)</w:t>
      </w:r>
    </w:p>
    <w:p w14:paraId="595DD762"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NVF (2011): Mapa výzkumného a aplikačního potenciálu Česka, Situace na trhu práce: nabídka a poptávka po pracovnících ve vědě a výzkumu.</w:t>
      </w:r>
    </w:p>
    <w:p w14:paraId="001CA305" w14:textId="77777777" w:rsidR="0035206A" w:rsidRPr="00EE5273" w:rsidRDefault="0035206A" w:rsidP="00EE5273">
      <w:pPr>
        <w:spacing w:afterLines="120" w:after="288" w:line="23" w:lineRule="atLeast"/>
        <w:jc w:val="both"/>
        <w:rPr>
          <w:rFonts w:ascii="Calibri" w:hAnsi="Calibri" w:cstheme="majorHAnsi"/>
        </w:rPr>
      </w:pPr>
      <w:r w:rsidRPr="00EE5273">
        <w:rPr>
          <w:rFonts w:cstheme="minorHAnsi"/>
        </w:rPr>
        <w:t>NVF (2011b): Vstupní analýza lidských zdrojů pro vědu a výzkum, 68 str.</w:t>
      </w:r>
    </w:p>
    <w:p w14:paraId="65A6B72E" w14:textId="77777777" w:rsidR="0035206A" w:rsidRPr="00EE5273" w:rsidRDefault="0035206A" w:rsidP="00EE5273">
      <w:pPr>
        <w:spacing w:afterLines="120" w:after="288" w:line="23" w:lineRule="atLeast"/>
        <w:jc w:val="both"/>
      </w:pPr>
      <w:r w:rsidRPr="00EE5273">
        <w:t>NVF (2011c): Motivace absolventů škol k výzkumné práci. Podklady pro vyhodnocení Národní politiky VaVaI: Oblast lidských zdrojů.</w:t>
      </w:r>
    </w:p>
    <w:p w14:paraId="47CE3AAD" w14:textId="77777777" w:rsidR="0035206A" w:rsidRPr="00EE5273" w:rsidRDefault="0035206A" w:rsidP="00EE5273">
      <w:pPr>
        <w:spacing w:afterLines="120" w:after="288" w:line="23" w:lineRule="atLeast"/>
        <w:jc w:val="both"/>
      </w:pPr>
      <w:r w:rsidRPr="00EE5273">
        <w:t>NVF (2011d): Mzdová atraktivita zaměstnání ve výzkumu a vývoji. Podkladové studie pro přípravu národních priorit VaVaI. (</w:t>
      </w:r>
      <w:hyperlink r:id="rId64" w:history="1">
        <w:r w:rsidRPr="00EE5273">
          <w:rPr>
            <w:rStyle w:val="Hypertextovodkaz"/>
            <w:color w:val="auto"/>
          </w:rPr>
          <w:t>http://www.vyzkum.cz/FrontClanek.aspx?idsekce=15138</w:t>
        </w:r>
      </w:hyperlink>
      <w:r w:rsidRPr="00EE5273">
        <w:rPr>
          <w:rFonts w:cstheme="minorHAnsi"/>
        </w:rPr>
        <w:t>)</w:t>
      </w:r>
    </w:p>
    <w:p w14:paraId="20B7F11D"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 xml:space="preserve">OECD (2003): First Results from PISA 2003, Executive Summary. </w:t>
      </w:r>
    </w:p>
    <w:p w14:paraId="4BA9A167"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 xml:space="preserve">OECD (2013): OECD Skills Outlook 2013: First Results from the Survey of Adult Skills, OECD Publishing. </w:t>
      </w:r>
    </w:p>
    <w:p w14:paraId="45A1CB47"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 xml:space="preserve">OECD (2013b): OECD Science, Technology and Industry Scoreboard 2013, OECD Publishing. </w:t>
      </w:r>
    </w:p>
    <w:p w14:paraId="6B003AFB" w14:textId="77777777" w:rsidR="0035206A" w:rsidRDefault="0035206A" w:rsidP="00EE5273">
      <w:pPr>
        <w:spacing w:afterLines="120" w:after="288" w:line="23" w:lineRule="atLeast"/>
        <w:jc w:val="both"/>
        <w:rPr>
          <w:rFonts w:ascii="Calibri" w:hAnsi="Calibri" w:cstheme="majorHAnsi"/>
        </w:rPr>
      </w:pPr>
      <w:r w:rsidRPr="00EE5273">
        <w:rPr>
          <w:rFonts w:ascii="Calibri" w:hAnsi="Calibri" w:cstheme="majorHAnsi"/>
        </w:rPr>
        <w:t xml:space="preserve">OECD (2013c): PISA 2012 Results in Focus. What 15-year-olds know and what they can do with what they know. </w:t>
      </w:r>
    </w:p>
    <w:p w14:paraId="7DD7952B" w14:textId="14875CC3" w:rsidR="004962EA" w:rsidRPr="00EE5273" w:rsidRDefault="004962EA" w:rsidP="00EE5273">
      <w:pPr>
        <w:spacing w:afterLines="120" w:after="288" w:line="23" w:lineRule="atLeast"/>
        <w:jc w:val="both"/>
        <w:rPr>
          <w:rFonts w:ascii="Calibri" w:hAnsi="Calibri" w:cstheme="majorHAnsi"/>
        </w:rPr>
      </w:pPr>
      <w:r>
        <w:rPr>
          <w:rFonts w:ascii="Calibri" w:hAnsi="Calibri" w:cstheme="majorHAnsi"/>
        </w:rPr>
        <w:t>OECD (2016): Technology and Innovation Outlook</w:t>
      </w:r>
      <w:r w:rsidR="00C6142F">
        <w:rPr>
          <w:rFonts w:ascii="Calibri" w:hAnsi="Calibri" w:cstheme="majorHAnsi"/>
        </w:rPr>
        <w:t xml:space="preserve"> 2016, OECD Publishing.</w:t>
      </w:r>
    </w:p>
    <w:p w14:paraId="02E3A75F"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PALEČKOVÁ, J., TOMÁŠEK, V., BASL, J. (2010): Hlavní zjištění výzkumu PISA 2009. Umíme ještě číst? Ústav pro informace ve vzdělávání, Praha.</w:t>
      </w:r>
    </w:p>
    <w:p w14:paraId="7298A879"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PALEČKOVÁ, J, TOMÁŠEK, V. a kol. (2013): Hlavní zjištění PISA 2012. Matematická gramotnost patnáctiletých žáků. Česká školní inspekce, Praha.</w:t>
      </w:r>
    </w:p>
    <w:p w14:paraId="6584164E"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PAVLÍNEK, P., ŽENKA, J. (2011) Upgrading in the automotive industry: Firm-level evidence from Central Europe, Journal of Economic Geography, 11(3), str. 559–586.</w:t>
      </w:r>
    </w:p>
    <w:p w14:paraId="668074AC" w14:textId="77777777" w:rsidR="00A440FB" w:rsidRDefault="0035206A" w:rsidP="00EE5273">
      <w:pPr>
        <w:spacing w:afterLines="120" w:after="288" w:line="23" w:lineRule="atLeast"/>
        <w:jc w:val="both"/>
        <w:rPr>
          <w:rFonts w:cstheme="minorHAnsi"/>
        </w:rPr>
      </w:pPr>
      <w:r w:rsidRPr="00EE5273">
        <w:rPr>
          <w:rFonts w:cstheme="minorHAnsi"/>
        </w:rPr>
        <w:t>PAZOUR, M., KUČERA, Z. (2012): Návrhy na zefektivnění systému řízení výzkumu, vývoje a inovací v ČR. Analýzy a podklady pro realizaci a aktualizaci Národní politiky výzkumu, vývoje a inovací.</w:t>
      </w:r>
    </w:p>
    <w:p w14:paraId="318EEBEA" w14:textId="62B673C2" w:rsidR="00E221C5" w:rsidRDefault="00E221C5" w:rsidP="00EE5273">
      <w:pPr>
        <w:spacing w:afterLines="120" w:after="288" w:line="23" w:lineRule="atLeast"/>
        <w:jc w:val="both"/>
        <w:rPr>
          <w:rFonts w:cstheme="minorHAnsi"/>
        </w:rPr>
      </w:pPr>
      <w:r>
        <w:rPr>
          <w:rFonts w:cstheme="minorHAnsi"/>
        </w:rPr>
        <w:t>Roland Berger: Megatrends: A bigger picture for a better strat</w:t>
      </w:r>
      <w:r w:rsidR="004962EA">
        <w:rPr>
          <w:rFonts w:cstheme="minorHAnsi"/>
        </w:rPr>
        <w:t>e</w:t>
      </w:r>
      <w:r>
        <w:rPr>
          <w:rFonts w:cstheme="minorHAnsi"/>
        </w:rPr>
        <w:t>gy (</w:t>
      </w:r>
      <w:r w:rsidRPr="00E221C5">
        <w:rPr>
          <w:rFonts w:cstheme="minorHAnsi"/>
        </w:rPr>
        <w:t>https://www.rolandberger.com/en/Insights/Global-Topics/Trend-Compendium.html</w:t>
      </w:r>
      <w:r>
        <w:rPr>
          <w:rFonts w:cstheme="minorHAnsi"/>
        </w:rPr>
        <w:t>)</w:t>
      </w:r>
    </w:p>
    <w:p w14:paraId="13B51187" w14:textId="77777777" w:rsidR="0035206A" w:rsidRPr="00EE5273" w:rsidRDefault="0035206A" w:rsidP="00EE5273">
      <w:pPr>
        <w:spacing w:afterLines="120" w:after="288" w:line="23" w:lineRule="atLeast"/>
        <w:jc w:val="both"/>
        <w:rPr>
          <w:rFonts w:cstheme="minorHAnsi"/>
        </w:rPr>
      </w:pPr>
      <w:r w:rsidRPr="00EE5273">
        <w:rPr>
          <w:rFonts w:cstheme="minorHAnsi"/>
        </w:rPr>
        <w:t>Science Europe (2013): Comparative Benchmarking of European and US Research Collaboration and Researcher Mobility. (</w:t>
      </w:r>
      <w:hyperlink r:id="rId65" w:history="1">
        <w:r w:rsidRPr="00EE5273">
          <w:rPr>
            <w:rStyle w:val="Hypertextovodkaz"/>
            <w:rFonts w:cstheme="minorHAnsi"/>
            <w:color w:val="auto"/>
          </w:rPr>
          <w:t>http://www.scienceeurope.org/downloads</w:t>
        </w:r>
      </w:hyperlink>
      <w:r w:rsidRPr="00EE5273">
        <w:rPr>
          <w:rFonts w:cstheme="minorHAnsi"/>
        </w:rPr>
        <w:t>)</w:t>
      </w:r>
    </w:p>
    <w:p w14:paraId="246E226A" w14:textId="77777777" w:rsidR="0035206A" w:rsidRPr="00EE5273" w:rsidRDefault="0035206A" w:rsidP="00EE5273">
      <w:pPr>
        <w:spacing w:afterLines="120" w:after="288" w:line="23" w:lineRule="atLeast"/>
        <w:jc w:val="both"/>
        <w:rPr>
          <w:rFonts w:cstheme="minorHAnsi"/>
        </w:rPr>
      </w:pPr>
      <w:r w:rsidRPr="00EE5273">
        <w:rPr>
          <w:rFonts w:cstheme="minorHAnsi"/>
        </w:rPr>
        <w:t>Science Europe (2012): Science Europe Position Statement: Horizon 2020: Excellence Counts. (</w:t>
      </w:r>
      <w:hyperlink r:id="rId66" w:history="1">
        <w:r w:rsidRPr="00EE5273">
          <w:rPr>
            <w:rStyle w:val="Hypertextovodkaz"/>
            <w:rFonts w:cstheme="minorHAnsi"/>
            <w:color w:val="auto"/>
          </w:rPr>
          <w:t>http://www.scienceeurope.org/downloads</w:t>
        </w:r>
      </w:hyperlink>
      <w:r w:rsidRPr="00EE5273">
        <w:rPr>
          <w:rFonts w:cstheme="minorHAnsi"/>
        </w:rPr>
        <w:t>)</w:t>
      </w:r>
    </w:p>
    <w:p w14:paraId="302B0317"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STIGLITZ, J. E. (2002): Globalisation and its Discontents, W. W. Norton &amp; Company, 435 str.</w:t>
      </w:r>
    </w:p>
    <w:p w14:paraId="7D22673D" w14:textId="77777777" w:rsidR="0035206A" w:rsidRPr="00EE5273" w:rsidRDefault="0035206A" w:rsidP="00EE5273">
      <w:pPr>
        <w:spacing w:afterLines="120" w:after="288" w:line="23" w:lineRule="atLeast"/>
        <w:jc w:val="both"/>
        <w:rPr>
          <w:rFonts w:ascii="Calibri" w:hAnsi="Calibri" w:cstheme="majorHAnsi"/>
        </w:rPr>
      </w:pPr>
      <w:r w:rsidRPr="00EE5273">
        <w:rPr>
          <w:rFonts w:ascii="Calibri" w:hAnsi="Calibri" w:cstheme="majorHAnsi"/>
        </w:rPr>
        <w:t>STRAKOVÁ, J. et al. (2009): Analýza naplnění cílů Národního programu rozvoje vzdělávání v České republice (Bílé knihy) v oblasti předškolního, základního a středního vzdělávání, ver. 13. 3. 2009.</w:t>
      </w:r>
    </w:p>
    <w:p w14:paraId="2BDF7FDB" w14:textId="43AA1ABC" w:rsidR="0035206A" w:rsidRPr="00EE5273" w:rsidRDefault="00895314" w:rsidP="00EE5273">
      <w:pPr>
        <w:spacing w:afterLines="120" w:after="288" w:line="23" w:lineRule="atLeast"/>
        <w:jc w:val="both"/>
        <w:rPr>
          <w:rFonts w:ascii="Calibri" w:hAnsi="Calibri" w:cstheme="majorHAnsi"/>
        </w:rPr>
      </w:pPr>
      <w:r>
        <w:rPr>
          <w:rFonts w:ascii="Calibri" w:hAnsi="Calibri" w:cstheme="majorHAnsi"/>
        </w:rPr>
        <w:t>MŠMT</w:t>
      </w:r>
      <w:r w:rsidR="0035206A" w:rsidRPr="00EE5273">
        <w:rPr>
          <w:rFonts w:ascii="Calibri" w:hAnsi="Calibri" w:cstheme="majorHAnsi"/>
        </w:rPr>
        <w:t>: Strategie vzdělávací politiky České republiky do roku 2020 (http://www.msmt.cz/uploads/Strategie_2020_web.pdf)</w:t>
      </w:r>
    </w:p>
    <w:p w14:paraId="3838AF3A" w14:textId="77777777" w:rsidR="0035206A" w:rsidRPr="00EE5273" w:rsidRDefault="0035206A" w:rsidP="00EE5273">
      <w:pPr>
        <w:spacing w:afterLines="120" w:after="288" w:line="23" w:lineRule="atLeast"/>
        <w:jc w:val="both"/>
        <w:rPr>
          <w:rFonts w:cs="Times New Roman"/>
        </w:rPr>
      </w:pPr>
      <w:r w:rsidRPr="00EE5273">
        <w:rPr>
          <w:rFonts w:cs="Times New Roman"/>
        </w:rPr>
        <w:t>TECHNOLOGICKÉ CENTRUM AV ČR (2014): Pracovní návrh hlavních závěrů analytických podkladů pro stanovení výzkumné specializace ČR.</w:t>
      </w:r>
    </w:p>
    <w:p w14:paraId="71A72686" w14:textId="77777777" w:rsidR="0035206A" w:rsidRPr="00EE5273" w:rsidRDefault="0035206A" w:rsidP="00EE5273">
      <w:pPr>
        <w:spacing w:afterLines="120" w:after="288" w:line="23" w:lineRule="atLeast"/>
        <w:jc w:val="both"/>
        <w:rPr>
          <w:rFonts w:cs="Times New Roman"/>
        </w:rPr>
      </w:pPr>
      <w:r w:rsidRPr="00EE5273">
        <w:rPr>
          <w:rFonts w:cs="Times New Roman"/>
        </w:rPr>
        <w:t>TENGLEROVÁ, H. (2011): Postavení žen v české vědě – monitorovací zpráva za rok 2010.</w:t>
      </w:r>
      <w:r w:rsidRPr="00EE5273">
        <w:rPr>
          <w:rFonts w:cs="Times New Roman"/>
          <w:i/>
        </w:rPr>
        <w:t xml:space="preserve"> </w:t>
      </w:r>
      <w:r w:rsidRPr="00EE5273">
        <w:rPr>
          <w:rFonts w:cs="Times New Roman"/>
        </w:rPr>
        <w:t>Praha: Sociologický ústav AV ČR, v. v. i. (</w:t>
      </w:r>
      <w:hyperlink r:id="rId67" w:history="1">
        <w:r w:rsidRPr="00EE5273">
          <w:rPr>
            <w:rStyle w:val="Hypertextovodkaz"/>
            <w:rFonts w:cs="Times New Roman"/>
            <w:color w:val="auto"/>
          </w:rPr>
          <w:t>http://www.zenyaveda.cz/files/monitorovaci-zprava-2010.pdf</w:t>
        </w:r>
      </w:hyperlink>
      <w:r w:rsidRPr="00EE5273">
        <w:rPr>
          <w:rFonts w:cs="Times New Roman"/>
        </w:rPr>
        <w:t>)</w:t>
      </w:r>
    </w:p>
    <w:p w14:paraId="347DD672" w14:textId="77777777" w:rsidR="0035206A" w:rsidRPr="00EE5273" w:rsidRDefault="0035206A" w:rsidP="00EE5273">
      <w:pPr>
        <w:spacing w:afterLines="120" w:after="288" w:line="23" w:lineRule="atLeast"/>
        <w:jc w:val="both"/>
        <w:rPr>
          <w:rFonts w:cs="Times New Roman"/>
        </w:rPr>
      </w:pPr>
      <w:r w:rsidRPr="00EE5273">
        <w:rPr>
          <w:rFonts w:cs="Times New Roman"/>
        </w:rPr>
        <w:t>TENGLEROVÁ, H. (2012):</w:t>
      </w:r>
      <w:r w:rsidRPr="00EE5273">
        <w:rPr>
          <w:rFonts w:cs="Times New Roman"/>
          <w:i/>
        </w:rPr>
        <w:t xml:space="preserve"> </w:t>
      </w:r>
      <w:r w:rsidRPr="00EE5273">
        <w:rPr>
          <w:rFonts w:cs="Times New Roman"/>
        </w:rPr>
        <w:t>Postavení žen v české vědě – monitorovací zpráva za rok 2011.</w:t>
      </w:r>
      <w:r w:rsidRPr="00EE5273">
        <w:rPr>
          <w:rFonts w:cs="Times New Roman"/>
          <w:i/>
        </w:rPr>
        <w:t xml:space="preserve"> </w:t>
      </w:r>
      <w:r w:rsidRPr="00EE5273">
        <w:rPr>
          <w:rFonts w:cs="Times New Roman"/>
        </w:rPr>
        <w:t>Praha: Sociologický ústav AV ČR, v. v. i. (</w:t>
      </w:r>
      <w:hyperlink r:id="rId68" w:history="1">
        <w:r w:rsidRPr="00EE5273">
          <w:rPr>
            <w:rStyle w:val="Hypertextovodkaz"/>
            <w:rFonts w:cs="Times New Roman"/>
            <w:color w:val="auto"/>
          </w:rPr>
          <w:t>http://www.zenyaveda.cz/files/postaveni-zen-v-ceske-vede-2011-zlom-final-www.pdf</w:t>
        </w:r>
      </w:hyperlink>
      <w:r w:rsidRPr="00EE5273">
        <w:rPr>
          <w:rFonts w:cs="Times New Roman"/>
        </w:rPr>
        <w:t>)</w:t>
      </w:r>
    </w:p>
    <w:p w14:paraId="5A989F51" w14:textId="77777777" w:rsidR="0035206A" w:rsidRPr="00EE5273" w:rsidRDefault="0035206A" w:rsidP="00EE5273">
      <w:pPr>
        <w:spacing w:afterLines="120" w:after="288" w:line="23" w:lineRule="atLeast"/>
        <w:jc w:val="both"/>
        <w:rPr>
          <w:rFonts w:cs="Times New Roman"/>
        </w:rPr>
      </w:pPr>
      <w:r w:rsidRPr="00EE5273">
        <w:rPr>
          <w:rFonts w:cs="Times New Roman"/>
        </w:rPr>
        <w:t>TENGLEROVÁ, H. (2014): Postavení žen v české vědě – monitorovací zpráva za rok 2012.</w:t>
      </w:r>
      <w:r w:rsidRPr="00EE5273">
        <w:rPr>
          <w:rFonts w:cs="Times New Roman"/>
          <w:i/>
        </w:rPr>
        <w:t xml:space="preserve"> </w:t>
      </w:r>
      <w:r w:rsidRPr="00EE5273">
        <w:rPr>
          <w:rFonts w:cs="Times New Roman"/>
        </w:rPr>
        <w:t>Praha: Sociologický ústav AV ČR, v. v. i. (</w:t>
      </w:r>
      <w:hyperlink r:id="rId69" w:history="1">
        <w:r w:rsidRPr="00EE5273">
          <w:rPr>
            <w:rStyle w:val="Hypertextovodkaz"/>
            <w:rFonts w:cs="Times New Roman"/>
            <w:color w:val="auto"/>
          </w:rPr>
          <w:t>http://www.zenyaveda.cz/files/monitorovaci-zprava2012.pdf</w:t>
        </w:r>
      </w:hyperlink>
      <w:r w:rsidRPr="00EE5273">
        <w:rPr>
          <w:rFonts w:cs="Times New Roman"/>
        </w:rPr>
        <w:t>)</w:t>
      </w:r>
    </w:p>
    <w:p w14:paraId="2C24C057" w14:textId="77777777" w:rsidR="0035206A" w:rsidRDefault="0035206A" w:rsidP="00EE5273">
      <w:pPr>
        <w:spacing w:afterLines="120" w:after="288" w:line="23" w:lineRule="atLeast"/>
        <w:jc w:val="both"/>
      </w:pPr>
      <w:r w:rsidRPr="00EE5273">
        <w:t>TIDD, J., BESSANT, J., PAVITT, K. (2005): Řízení inovací: zavádění technologických, tržních a organizačních změn. Computer Press, Brno, 549 str.</w:t>
      </w:r>
    </w:p>
    <w:p w14:paraId="190F4E7E" w14:textId="77777777" w:rsidR="00640D88" w:rsidRPr="00EE5273" w:rsidRDefault="00640D88" w:rsidP="00640D88">
      <w:pPr>
        <w:spacing w:afterLines="120" w:after="288" w:line="23" w:lineRule="atLeast"/>
        <w:jc w:val="both"/>
        <w:rPr>
          <w:rFonts w:cstheme="minorHAnsi"/>
        </w:rPr>
      </w:pPr>
      <w:r>
        <w:rPr>
          <w:rFonts w:cstheme="minorHAnsi"/>
        </w:rPr>
        <w:t xml:space="preserve">Úřad vlády České republiky </w:t>
      </w:r>
      <w:r w:rsidRPr="00EE5273">
        <w:rPr>
          <w:rFonts w:ascii="Calibri" w:hAnsi="Calibri" w:cstheme="majorHAnsi"/>
        </w:rPr>
        <w:t xml:space="preserve">(2009): </w:t>
      </w:r>
      <w:r w:rsidRPr="00A440FB">
        <w:rPr>
          <w:rStyle w:val="Siln"/>
          <w:rFonts w:cstheme="minorHAnsi"/>
          <w:b w:val="0"/>
        </w:rPr>
        <w:t>Reforma systému výzkumu a vývoje v České republice</w:t>
      </w:r>
      <w:r w:rsidRPr="00EE5273">
        <w:rPr>
          <w:rStyle w:val="Siln"/>
          <w:rFonts w:cstheme="minorHAnsi"/>
        </w:rPr>
        <w:t>. (</w:t>
      </w:r>
      <w:hyperlink r:id="rId70" w:history="1">
        <w:r w:rsidRPr="00EE5273">
          <w:rPr>
            <w:rStyle w:val="Hypertextovodkaz"/>
            <w:rFonts w:cstheme="minorHAnsi"/>
            <w:color w:val="auto"/>
          </w:rPr>
          <w:t>http://www.vyzkum.cz/FrontClanek.aspx?idsekce=495405</w:t>
        </w:r>
      </w:hyperlink>
      <w:r w:rsidRPr="00EE5273">
        <w:rPr>
          <w:rFonts w:cstheme="minorHAnsi"/>
        </w:rPr>
        <w:t>)</w:t>
      </w:r>
    </w:p>
    <w:p w14:paraId="7B4301F3" w14:textId="77777777" w:rsidR="00640D88" w:rsidRPr="00EE5273" w:rsidRDefault="00640D88" w:rsidP="00640D88">
      <w:pPr>
        <w:spacing w:afterLines="120" w:after="288" w:line="23" w:lineRule="atLeast"/>
        <w:jc w:val="both"/>
        <w:rPr>
          <w:rFonts w:cstheme="minorHAnsi"/>
        </w:rPr>
      </w:pPr>
      <w:r>
        <w:rPr>
          <w:rFonts w:cstheme="minorHAnsi"/>
        </w:rPr>
        <w:t xml:space="preserve">Úřad vlády České republiky </w:t>
      </w:r>
      <w:r w:rsidRPr="00EE5273">
        <w:rPr>
          <w:rFonts w:cstheme="minorHAnsi"/>
        </w:rPr>
        <w:t>(2009): Národní politika výzkumu, vývoje a inovací ČR na léta 2009-2015.</w:t>
      </w:r>
      <w:r w:rsidRPr="00EE5273">
        <w:rPr>
          <w:rFonts w:ascii="Calibri" w:hAnsi="Calibri" w:cstheme="majorHAnsi"/>
        </w:rPr>
        <w:t xml:space="preserve">, Praha, 37 str. </w:t>
      </w:r>
      <w:r w:rsidRPr="00EE5273">
        <w:rPr>
          <w:rFonts w:cstheme="minorHAnsi"/>
        </w:rPr>
        <w:t>(</w:t>
      </w:r>
      <w:hyperlink r:id="rId71" w:history="1">
        <w:r w:rsidRPr="00EE5273">
          <w:rPr>
            <w:rStyle w:val="Hypertextovodkaz"/>
            <w:rFonts w:cstheme="minorHAnsi"/>
            <w:color w:val="auto"/>
          </w:rPr>
          <w:t>http://www.vyzkum.cz/FrontClanek.aspx?idsekce=532844&amp;ad=1&amp;attid=680526</w:t>
        </w:r>
      </w:hyperlink>
      <w:r w:rsidRPr="00EE5273">
        <w:rPr>
          <w:rFonts w:cstheme="minorHAnsi"/>
        </w:rPr>
        <w:t>)</w:t>
      </w:r>
    </w:p>
    <w:p w14:paraId="54AEC0BC" w14:textId="77777777" w:rsidR="00640D88" w:rsidRPr="00EE5273" w:rsidRDefault="00640D88" w:rsidP="00640D88">
      <w:pPr>
        <w:spacing w:afterLines="120" w:after="288" w:line="23" w:lineRule="atLeast"/>
        <w:jc w:val="both"/>
        <w:rPr>
          <w:rFonts w:cstheme="minorHAnsi"/>
        </w:rPr>
      </w:pPr>
      <w:r w:rsidRPr="00EE5273">
        <w:rPr>
          <w:rFonts w:cstheme="minorHAnsi"/>
        </w:rPr>
        <w:t>Úřad vlády České republiky (2016) : Národní politika výzkumu, vývoje a inovací České republiky na léta 2016-2020 (https://www.vyzkum.cz/FrontClanek.aspx?idsekce=682145)</w:t>
      </w:r>
    </w:p>
    <w:p w14:paraId="4F24D712" w14:textId="77777777" w:rsidR="00640D88" w:rsidRPr="00EE5273" w:rsidRDefault="00640D88" w:rsidP="00640D88">
      <w:pPr>
        <w:spacing w:afterLines="120" w:after="288" w:line="23" w:lineRule="atLeast"/>
        <w:jc w:val="both"/>
        <w:rPr>
          <w:rFonts w:cstheme="minorHAnsi"/>
        </w:rPr>
      </w:pPr>
      <w:r w:rsidRPr="00EE5273">
        <w:rPr>
          <w:rFonts w:ascii="Calibri" w:hAnsi="Calibri" w:cstheme="majorHAnsi"/>
        </w:rPr>
        <w:t xml:space="preserve">Úřad vlády České republiky (2012): </w:t>
      </w:r>
      <w:r w:rsidRPr="00EE5273">
        <w:rPr>
          <w:rFonts w:cstheme="minorHAnsi"/>
        </w:rPr>
        <w:t>Národní priority orientovaného výzkumu, experimentálního vývoje a</w:t>
      </w:r>
      <w:r>
        <w:rPr>
          <w:rFonts w:cstheme="minorHAnsi"/>
        </w:rPr>
        <w:t> </w:t>
      </w:r>
      <w:r w:rsidRPr="00EE5273">
        <w:rPr>
          <w:rFonts w:cstheme="minorHAnsi"/>
        </w:rPr>
        <w:t>inovací</w:t>
      </w:r>
      <w:r w:rsidRPr="00EE5273">
        <w:rPr>
          <w:rFonts w:ascii="Calibri" w:hAnsi="Calibri" w:cstheme="majorHAnsi"/>
        </w:rPr>
        <w:t>, Praha</w:t>
      </w:r>
      <w:r w:rsidRPr="00EE5273">
        <w:rPr>
          <w:rFonts w:cstheme="minorHAnsi"/>
        </w:rPr>
        <w:t>, 32 str. (</w:t>
      </w:r>
      <w:r w:rsidRPr="00EE5273">
        <w:rPr>
          <w:rStyle w:val="Hypertextovodkaz"/>
          <w:rFonts w:cstheme="minorHAnsi"/>
          <w:color w:val="auto"/>
        </w:rPr>
        <w:t>https://www.vyzkum.cz/FrontClanek.aspx?idsekce=653383</w:t>
      </w:r>
      <w:r w:rsidRPr="00EE5273">
        <w:rPr>
          <w:rFonts w:cstheme="minorHAnsi"/>
        </w:rPr>
        <w:t>)</w:t>
      </w:r>
    </w:p>
    <w:p w14:paraId="535BA128" w14:textId="77777777" w:rsidR="00640D88" w:rsidRPr="00EE5273" w:rsidRDefault="00640D88" w:rsidP="00640D88">
      <w:pPr>
        <w:spacing w:afterLines="120" w:after="288" w:line="23" w:lineRule="atLeast"/>
        <w:jc w:val="both"/>
        <w:rPr>
          <w:rFonts w:cstheme="minorHAnsi"/>
        </w:rPr>
      </w:pPr>
      <w:r w:rsidRPr="00EE5273">
        <w:rPr>
          <w:rFonts w:ascii="Calibri" w:hAnsi="Calibri" w:cstheme="majorHAnsi"/>
        </w:rPr>
        <w:t xml:space="preserve">Úřad vlády České republiky: </w:t>
      </w:r>
      <w:r w:rsidRPr="00EE5273">
        <w:rPr>
          <w:rFonts w:cstheme="minorHAnsi"/>
        </w:rPr>
        <w:t>Aktualizace Národní politiky výzkumu, vývoje a inovací České republiky na léta 2009 až 2015 s výhledem do roku 2020. Praha, 45 str. (</w:t>
      </w:r>
      <w:hyperlink r:id="rId72" w:history="1">
        <w:r w:rsidRPr="00EE5273">
          <w:rPr>
            <w:rStyle w:val="Hypertextovodkaz"/>
            <w:rFonts w:cstheme="minorHAnsi"/>
            <w:color w:val="auto"/>
          </w:rPr>
          <w:t>http://www.vyzkum.cz/Priloha.aspx?idpriloha=705455</w:t>
        </w:r>
      </w:hyperlink>
      <w:r w:rsidRPr="00EE5273">
        <w:rPr>
          <w:rFonts w:cstheme="minorHAnsi"/>
        </w:rPr>
        <w:t>)</w:t>
      </w:r>
    </w:p>
    <w:p w14:paraId="7D4270A4" w14:textId="77777777" w:rsidR="00640D88" w:rsidRPr="00EE5273" w:rsidRDefault="00640D88" w:rsidP="00640D88">
      <w:pPr>
        <w:spacing w:afterLines="120" w:after="288" w:line="23" w:lineRule="atLeast"/>
        <w:jc w:val="both"/>
        <w:rPr>
          <w:rFonts w:ascii="Calibri" w:hAnsi="Calibri" w:cstheme="majorHAnsi"/>
        </w:rPr>
      </w:pPr>
      <w:r w:rsidRPr="00EE5273">
        <w:rPr>
          <w:rFonts w:cstheme="minorHAnsi"/>
        </w:rPr>
        <w:t>Úřad vlády České republiky</w:t>
      </w:r>
      <w:r>
        <w:rPr>
          <w:rFonts w:cstheme="minorHAnsi"/>
        </w:rPr>
        <w:t xml:space="preserve"> </w:t>
      </w:r>
      <w:r w:rsidRPr="00EE5273">
        <w:rPr>
          <w:rFonts w:ascii="Calibri" w:hAnsi="Calibri" w:cstheme="majorHAnsi"/>
        </w:rPr>
        <w:t>(2013): Analýza stavu výzkumu, vývoje a inovací v České republice a jejich srovnání se zahraničím v roce 2012. Praha, 154 str.</w:t>
      </w:r>
    </w:p>
    <w:p w14:paraId="78E8401B" w14:textId="77777777" w:rsidR="00640D88" w:rsidRPr="00EE5273" w:rsidRDefault="00640D88" w:rsidP="00640D88">
      <w:pPr>
        <w:spacing w:afterLines="120" w:after="288" w:line="23" w:lineRule="atLeast"/>
        <w:jc w:val="both"/>
        <w:rPr>
          <w:rFonts w:ascii="Calibri" w:hAnsi="Calibri" w:cstheme="majorHAnsi"/>
        </w:rPr>
      </w:pPr>
      <w:r w:rsidRPr="00EE5273">
        <w:rPr>
          <w:rFonts w:ascii="Calibri" w:hAnsi="Calibri" w:cstheme="majorHAnsi"/>
        </w:rPr>
        <w:t>Úřad vlády České republiky (2017): Analýza stavu výzkumu, vývoje a inovací v České republice a jejich srovnání se zahraničím v roce 2016</w:t>
      </w:r>
    </w:p>
    <w:p w14:paraId="18F3A240" w14:textId="77777777" w:rsidR="0035206A" w:rsidRPr="00EE5273" w:rsidRDefault="0035206A" w:rsidP="00EE5273">
      <w:pPr>
        <w:spacing w:afterLines="120" w:after="288" w:line="23" w:lineRule="atLeast"/>
        <w:jc w:val="both"/>
        <w:rPr>
          <w:rFonts w:cstheme="minorHAnsi"/>
        </w:rPr>
      </w:pPr>
      <w:r w:rsidRPr="00EE5273">
        <w:rPr>
          <w:rFonts w:cstheme="minorHAnsi"/>
        </w:rPr>
        <w:t>Úřad vlády České republiky (2014): Národní program reforem České republiky 2014. Praha, 58 str. (</w:t>
      </w:r>
      <w:hyperlink r:id="rId73" w:history="1">
        <w:r w:rsidRPr="00EE5273">
          <w:rPr>
            <w:rFonts w:cstheme="minorHAnsi"/>
          </w:rPr>
          <w:t>http://www.vlada.cz/assets/evropske-zalezitosti/aktualne/Narodni-program-reforem-pro-rok-2014.pdf</w:t>
        </w:r>
      </w:hyperlink>
      <w:r w:rsidRPr="00EE5273">
        <w:rPr>
          <w:rFonts w:cstheme="minorHAnsi"/>
        </w:rPr>
        <w:t>.)</w:t>
      </w:r>
    </w:p>
    <w:p w14:paraId="55A42027" w14:textId="551D2D9A" w:rsidR="0035206A" w:rsidRPr="00EE5273" w:rsidRDefault="0035206A" w:rsidP="00EE5273">
      <w:pPr>
        <w:spacing w:afterLines="120" w:after="288" w:line="23" w:lineRule="atLeast"/>
        <w:jc w:val="both"/>
        <w:rPr>
          <w:rFonts w:cstheme="minorHAnsi"/>
        </w:rPr>
      </w:pPr>
      <w:r w:rsidRPr="00EE5273">
        <w:rPr>
          <w:rFonts w:cstheme="minorHAnsi"/>
        </w:rPr>
        <w:t>Úřad vlády České republiky: Národní program reforem České republiky 2018. Praha, 76 str. (https://ec.europa.eu/info/sites/info/files/2018-european-semester-national-reform-programme-czech-republic-cs.pdf)</w:t>
      </w:r>
    </w:p>
    <w:p w14:paraId="14726D22" w14:textId="77777777" w:rsidR="0035206A" w:rsidRPr="00EE5273" w:rsidRDefault="0035206A" w:rsidP="00EE5273">
      <w:pPr>
        <w:spacing w:afterLines="120" w:after="288" w:line="23" w:lineRule="atLeast"/>
        <w:jc w:val="both"/>
      </w:pPr>
      <w:r w:rsidRPr="00EE5273">
        <w:t>VAN NORDEN, R. (2012): 2012 in Review. Nature, vol. 492, str. 324-327</w:t>
      </w:r>
    </w:p>
    <w:p w14:paraId="04D17996" w14:textId="77777777" w:rsidR="0035206A" w:rsidRPr="00EE5273" w:rsidRDefault="0035206A" w:rsidP="00EE5273">
      <w:pPr>
        <w:spacing w:afterLines="120" w:after="288" w:line="23" w:lineRule="atLeast"/>
        <w:jc w:val="both"/>
      </w:pPr>
      <w:r w:rsidRPr="00EE5273">
        <w:rPr>
          <w:rFonts w:cstheme="minorHAnsi"/>
        </w:rPr>
        <w:t>VANĚČEK, J. (2011): Oborová a institucionální analýza výsledků výzkumu a vývoje ČR. TC AV ČR, Praha, 39 str. (</w:t>
      </w:r>
      <w:hyperlink r:id="rId74" w:history="1">
        <w:r w:rsidRPr="00EE5273">
          <w:rPr>
            <w:rStyle w:val="Hypertextovodkaz"/>
            <w:rFonts w:cstheme="minorHAnsi"/>
            <w:color w:val="auto"/>
          </w:rPr>
          <w:t>www.</w:t>
        </w:r>
        <w:r w:rsidRPr="00EE5273">
          <w:rPr>
            <w:rStyle w:val="Hypertextovodkaz"/>
            <w:rFonts w:cstheme="minorHAnsi"/>
            <w:bCs/>
            <w:color w:val="auto"/>
          </w:rPr>
          <w:t>vyzkum</w:t>
        </w:r>
        <w:r w:rsidRPr="00EE5273">
          <w:rPr>
            <w:rStyle w:val="Hypertextovodkaz"/>
            <w:rFonts w:cstheme="minorHAnsi"/>
            <w:color w:val="auto"/>
          </w:rPr>
          <w:t>.cz/Priloha.aspx?idpriloha=645356</w:t>
        </w:r>
      </w:hyperlink>
      <w:r w:rsidRPr="00EE5273">
        <w:rPr>
          <w:rFonts w:cstheme="minorHAnsi"/>
        </w:rPr>
        <w:t>)</w:t>
      </w:r>
    </w:p>
    <w:p w14:paraId="733226DD" w14:textId="77777777" w:rsidR="0035206A" w:rsidRPr="00EE5273" w:rsidRDefault="0035206A" w:rsidP="00EE5273">
      <w:pPr>
        <w:spacing w:afterLines="120" w:after="288" w:line="23" w:lineRule="atLeast"/>
        <w:jc w:val="both"/>
      </w:pPr>
      <w:r w:rsidRPr="00EE5273">
        <w:t>WEF (2013): World Competitiveness Report 2013-14</w:t>
      </w:r>
    </w:p>
    <w:p w14:paraId="6609CF0A" w14:textId="77777777" w:rsidR="0035206A" w:rsidRPr="00EE5273" w:rsidRDefault="0035206A" w:rsidP="00EE5273">
      <w:pPr>
        <w:spacing w:afterLines="120" w:after="288" w:line="23" w:lineRule="atLeast"/>
        <w:jc w:val="both"/>
        <w:rPr>
          <w:rFonts w:cstheme="minorHAnsi"/>
        </w:rPr>
      </w:pPr>
      <w:r w:rsidRPr="00EE5273">
        <w:t>World Bank (2013): Doing Business 2014</w:t>
      </w:r>
      <w:bookmarkEnd w:id="279"/>
    </w:p>
    <w:p w14:paraId="21589C0F" w14:textId="0F50DB93" w:rsidR="0035206A" w:rsidRDefault="0035206A" w:rsidP="00EE5273">
      <w:pPr>
        <w:jc w:val="both"/>
      </w:pPr>
      <w:r w:rsidRPr="00EE5273">
        <w:t>World Bank</w:t>
      </w:r>
      <w:r w:rsidR="0088298D">
        <w:t xml:space="preserve"> </w:t>
      </w:r>
      <w:r w:rsidRPr="00EE5273">
        <w:t>(2018): Doing Business 2018.</w:t>
      </w:r>
      <w:r w:rsidR="00EE5273" w:rsidRPr="00EE5273">
        <w:t xml:space="preserve"> </w:t>
      </w:r>
      <w:r w:rsidRPr="00EE5273">
        <w:t>(</w:t>
      </w:r>
      <w:hyperlink r:id="rId75" w:history="1">
        <w:r w:rsidR="007D5D9B" w:rsidRPr="00F72210">
          <w:rPr>
            <w:rStyle w:val="Hypertextovodkaz"/>
          </w:rPr>
          <w:t>http://www.doingbusiness.org/~/media/WBG/DoingBusiness/Documents/Annual-Reports/English/DB2018-Full-Report.pdf</w:t>
        </w:r>
      </w:hyperlink>
      <w:r w:rsidRPr="00EE5273">
        <w:t>)</w:t>
      </w:r>
    </w:p>
    <w:p w14:paraId="45F6F3E9" w14:textId="5E71D474" w:rsidR="007D5D9B" w:rsidRPr="00EE5273" w:rsidRDefault="007D5D9B" w:rsidP="00EE5273">
      <w:pPr>
        <w:jc w:val="both"/>
      </w:pPr>
      <w:r>
        <w:rPr>
          <w:rFonts w:ascii="Calibri" w:hAnsi="Calibri" w:cstheme="majorHAnsi"/>
        </w:rPr>
        <w:t>Úřad vlády České republiky (2017</w:t>
      </w:r>
      <w:r w:rsidRPr="00EE5273">
        <w:rPr>
          <w:rFonts w:ascii="Calibri" w:hAnsi="Calibri" w:cstheme="majorHAnsi"/>
        </w:rPr>
        <w:t xml:space="preserve">): </w:t>
      </w:r>
      <w:r>
        <w:rPr>
          <w:rFonts w:cstheme="minorHAnsi"/>
        </w:rPr>
        <w:t>Metodika</w:t>
      </w:r>
      <w:r w:rsidRPr="007D5D9B">
        <w:rPr>
          <w:rFonts w:cstheme="minorHAnsi"/>
        </w:rPr>
        <w:t xml:space="preserve"> hodnocení výzkumných organizací a programů účelové podpory výzkumu, vývoje a inovací (</w:t>
      </w:r>
      <w:r>
        <w:rPr>
          <w:rFonts w:cstheme="minorHAnsi"/>
        </w:rPr>
        <w:t>Metodika M17+</w:t>
      </w:r>
      <w:r w:rsidRPr="007D5D9B">
        <w:rPr>
          <w:rFonts w:cstheme="minorHAnsi"/>
        </w:rPr>
        <w:t>)</w:t>
      </w:r>
      <w:r w:rsidRPr="00EE5273">
        <w:rPr>
          <w:rFonts w:ascii="Calibri" w:hAnsi="Calibri" w:cstheme="majorHAnsi"/>
        </w:rPr>
        <w:t>, Praha</w:t>
      </w:r>
      <w:r>
        <w:rPr>
          <w:rFonts w:cstheme="minorHAnsi"/>
        </w:rPr>
        <w:t>, 57</w:t>
      </w:r>
      <w:r w:rsidRPr="00EE5273">
        <w:rPr>
          <w:rFonts w:cstheme="minorHAnsi"/>
        </w:rPr>
        <w:t xml:space="preserve"> str. (</w:t>
      </w:r>
      <w:hyperlink r:id="rId76" w:history="1">
        <w:r w:rsidRPr="00F72210">
          <w:rPr>
            <w:rStyle w:val="Hypertextovodkaz"/>
            <w:rFonts w:cstheme="minorHAnsi"/>
          </w:rPr>
          <w:t>https://www.vyzkum.cz/FrontClanek.aspx?idsekce=799796</w:t>
        </w:r>
      </w:hyperlink>
      <w:r w:rsidRPr="00EE5273">
        <w:rPr>
          <w:rFonts w:cstheme="minorHAnsi"/>
        </w:rPr>
        <w:t>)</w:t>
      </w:r>
      <w:r>
        <w:rPr>
          <w:rFonts w:cstheme="minorHAnsi"/>
        </w:rPr>
        <w:t xml:space="preserve"> </w:t>
      </w:r>
    </w:p>
    <w:sectPr w:rsidR="007D5D9B" w:rsidRPr="00EE5273" w:rsidSect="00CC5E40">
      <w:headerReference w:type="even" r:id="rId77"/>
      <w:headerReference w:type="default" r:id="rId78"/>
      <w:footerReference w:type="default" r:id="rId79"/>
      <w:headerReference w:type="first" r:id="rId8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5250EB" w14:textId="77777777" w:rsidR="0044083E" w:rsidRDefault="0044083E" w:rsidP="00677FE0">
      <w:pPr>
        <w:spacing w:after="0" w:line="240" w:lineRule="auto"/>
      </w:pPr>
      <w:r>
        <w:separator/>
      </w:r>
    </w:p>
  </w:endnote>
  <w:endnote w:type="continuationSeparator" w:id="0">
    <w:p w14:paraId="476AD0C5" w14:textId="77777777" w:rsidR="0044083E" w:rsidRDefault="0044083E" w:rsidP="00677F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charset w:val="01"/>
    <w:family w:val="roman"/>
    <w:pitch w:val="variable"/>
  </w:font>
  <w:font w:name="DejaVu Sans">
    <w:altName w:val="Times New Roman"/>
    <w:panose1 w:val="00000000000000000000"/>
    <w:charset w:val="00"/>
    <w:family w:val="roman"/>
    <w:notTrueType/>
    <w:pitch w:val="default"/>
  </w:font>
  <w:font w:name="Consolas">
    <w:panose1 w:val="020B0609020204030204"/>
    <w:charset w:val="EE"/>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ê0˘ø\◊">
    <w:altName w:val="Cambria"/>
    <w:panose1 w:val="00000000000000000000"/>
    <w:charset w:val="4D"/>
    <w:family w:val="auto"/>
    <w:notTrueType/>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Narrow">
    <w:panose1 w:val="00000000000000000000"/>
    <w:charset w:val="EE"/>
    <w:family w:val="auto"/>
    <w:notTrueType/>
    <w:pitch w:val="default"/>
    <w:sig w:usb0="00000005" w:usb1="00000000" w:usb2="00000000" w:usb3="00000000" w:csb0="00000002" w:csb1="00000000"/>
  </w:font>
  <w:font w:name="Calibri,Bold">
    <w:altName w:val="Arial"/>
    <w:panose1 w:val="00000000000000000000"/>
    <w:charset w:val="00"/>
    <w:family w:val="swiss"/>
    <w:notTrueType/>
    <w:pitch w:val="default"/>
    <w:sig w:usb0="00000007" w:usb1="00000000" w:usb2="00000000" w:usb3="00000000" w:csb0="00000003" w:csb1="00000000"/>
  </w:font>
  <w:font w:name="Helv">
    <w:panose1 w:val="020B0604020202030204"/>
    <w:charset w:val="00"/>
    <w:family w:val="swiss"/>
    <w:notTrueType/>
    <w:pitch w:val="variable"/>
    <w:sig w:usb0="00000003" w:usb1="00000000" w:usb2="00000000" w:usb3="00000000" w:csb0="00000001" w:csb1="00000000"/>
  </w:font>
  <w:font w:name="Arial,Italic">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TimesNewRoman">
    <w:altName w:val="Times New Roman"/>
    <w:charset w:val="00"/>
    <w:family w:val="auto"/>
    <w:pitch w:val="default"/>
  </w:font>
  <w:font w:name="Arial,Bold">
    <w:panose1 w:val="00000000000000000000"/>
    <w:charset w:val="EE"/>
    <w:family w:val="auto"/>
    <w:notTrueType/>
    <w:pitch w:val="default"/>
    <w:sig w:usb0="00000005" w:usb1="00000000" w:usb2="00000000" w:usb3="00000000" w:csb0="00000002"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NewRoman-OneByteIdentityH">
    <w:panose1 w:val="00000000000000000000"/>
    <w:charset w:val="EE"/>
    <w:family w:val="auto"/>
    <w:notTrueType/>
    <w:pitch w:val="default"/>
    <w:sig w:usb0="00000005" w:usb1="00000000" w:usb2="00000000" w:usb3="00000000" w:csb0="00000002" w:csb1="00000000"/>
  </w:font>
  <w:font w:name="Arial,Times New Roman">
    <w:altName w:val="Times New Roman"/>
    <w:panose1 w:val="00000000000000000000"/>
    <w:charset w:val="00"/>
    <w:family w:val="roman"/>
    <w:notTrueType/>
    <w:pitch w:val="default"/>
  </w:font>
  <w:font w:name="MS Sans Serif">
    <w:panose1 w:val="00000000000000000000"/>
    <w:charset w:val="EE"/>
    <w:family w:val="auto"/>
    <w:notTrueType/>
    <w:pitch w:val="default"/>
    <w:sig w:usb0="00000005" w:usb1="00000000" w:usb2="00000000" w:usb3="00000000" w:csb0="00000002" w:csb1="00000000"/>
  </w:font>
  <w:font w:name="Arial-BoldMT">
    <w:altName w:val="Arial"/>
    <w:panose1 w:val="00000000000000000000"/>
    <w:charset w:val="00"/>
    <w:family w:val="swiss"/>
    <w:notTrueType/>
    <w:pitch w:val="default"/>
    <w:sig w:usb0="00000007" w:usb1="00000000" w:usb2="00000000" w:usb3="00000000" w:csb0="00000003" w:csb1="00000000"/>
  </w:font>
  <w:font w:name="ArialMT">
    <w:altName w:val="Arial"/>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450F8" w14:textId="375AC9B0" w:rsidR="0044083E" w:rsidRDefault="0044083E">
    <w:pPr>
      <w:pStyle w:val="Zpat"/>
      <w:jc w:val="right"/>
    </w:pPr>
  </w:p>
  <w:p w14:paraId="61E53037" w14:textId="77777777" w:rsidR="0044083E" w:rsidRDefault="0044083E">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38150022"/>
      <w:docPartObj>
        <w:docPartGallery w:val="Page Numbers (Bottom of Page)"/>
        <w:docPartUnique/>
      </w:docPartObj>
    </w:sdtPr>
    <w:sdtEndPr/>
    <w:sdtContent>
      <w:p w14:paraId="180A846C" w14:textId="77777777" w:rsidR="0044083E" w:rsidRPr="00C41582" w:rsidRDefault="0044083E">
        <w:pPr>
          <w:pStyle w:val="Zpat"/>
          <w:jc w:val="right"/>
        </w:pPr>
        <w:r w:rsidRPr="00C41582">
          <w:fldChar w:fldCharType="begin"/>
        </w:r>
        <w:r w:rsidRPr="00C41582">
          <w:instrText>PAGE   \* MERGEFORMAT</w:instrText>
        </w:r>
        <w:r w:rsidRPr="00C41582">
          <w:fldChar w:fldCharType="separate"/>
        </w:r>
        <w:r w:rsidR="00663FF6">
          <w:rPr>
            <w:noProof/>
          </w:rPr>
          <w:t>15</w:t>
        </w:r>
        <w:r w:rsidRPr="00C41582">
          <w:fldChar w:fldCharType="end"/>
        </w:r>
      </w:p>
    </w:sdtContent>
  </w:sdt>
  <w:p w14:paraId="6686DCDA" w14:textId="77777777" w:rsidR="0044083E" w:rsidRDefault="0044083E">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70936291"/>
      <w:docPartObj>
        <w:docPartGallery w:val="Page Numbers (Bottom of Page)"/>
        <w:docPartUnique/>
      </w:docPartObj>
    </w:sdtPr>
    <w:sdtEndPr/>
    <w:sdtContent>
      <w:p w14:paraId="49E2DA75" w14:textId="77777777" w:rsidR="0044083E" w:rsidRPr="006A6FFF" w:rsidRDefault="0044083E">
        <w:pPr>
          <w:pStyle w:val="Zpat"/>
          <w:jc w:val="right"/>
        </w:pPr>
        <w:r w:rsidRPr="006A6FFF">
          <w:fldChar w:fldCharType="begin"/>
        </w:r>
        <w:r w:rsidRPr="006A6FFF">
          <w:instrText>PAGE   \* MERGEFORMAT</w:instrText>
        </w:r>
        <w:r w:rsidRPr="006A6FFF">
          <w:fldChar w:fldCharType="separate"/>
        </w:r>
        <w:r w:rsidR="00FD7389">
          <w:rPr>
            <w:noProof/>
          </w:rPr>
          <w:t>341</w:t>
        </w:r>
        <w:r w:rsidRPr="006A6FFF">
          <w:fldChar w:fldCharType="end"/>
        </w:r>
      </w:p>
    </w:sdtContent>
  </w:sdt>
  <w:p w14:paraId="1EE38A28" w14:textId="77777777" w:rsidR="0044083E" w:rsidRDefault="0044083E" w:rsidP="00695246">
    <w:pPr>
      <w:pStyle w:val="Zpat"/>
      <w:jc w:val="right"/>
    </w:pPr>
  </w:p>
  <w:p w14:paraId="3BE545FE" w14:textId="77777777" w:rsidR="0044083E" w:rsidRDefault="0044083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2A07DE" w14:textId="77777777" w:rsidR="0044083E" w:rsidRDefault="0044083E" w:rsidP="00677FE0">
      <w:pPr>
        <w:spacing w:after="0" w:line="240" w:lineRule="auto"/>
      </w:pPr>
      <w:r>
        <w:separator/>
      </w:r>
    </w:p>
  </w:footnote>
  <w:footnote w:type="continuationSeparator" w:id="0">
    <w:p w14:paraId="08F2C676" w14:textId="77777777" w:rsidR="0044083E" w:rsidRDefault="0044083E" w:rsidP="00677FE0">
      <w:pPr>
        <w:spacing w:after="0" w:line="240" w:lineRule="auto"/>
      </w:pPr>
      <w:r>
        <w:continuationSeparator/>
      </w:r>
    </w:p>
  </w:footnote>
  <w:footnote w:id="1">
    <w:p w14:paraId="7A82FA53" w14:textId="77777777" w:rsidR="0044083E" w:rsidRPr="002315AB" w:rsidRDefault="0044083E" w:rsidP="002315AB">
      <w:pPr>
        <w:spacing w:after="0" w:line="240" w:lineRule="auto"/>
        <w:rPr>
          <w:sz w:val="18"/>
          <w:szCs w:val="18"/>
        </w:rPr>
      </w:pPr>
      <w:r w:rsidRPr="002315AB">
        <w:rPr>
          <w:rStyle w:val="Znakapoznpodarou"/>
          <w:sz w:val="18"/>
          <w:szCs w:val="18"/>
        </w:rPr>
        <w:footnoteRef/>
      </w:r>
      <w:r w:rsidRPr="002315AB">
        <w:rPr>
          <w:sz w:val="18"/>
          <w:szCs w:val="18"/>
        </w:rPr>
        <w:t xml:space="preserve"> Pokud není specifikováno jinak, v Národní RIS3 je užíváno pojmu konkurenceschopnost ve smyslu </w:t>
      </w:r>
      <w:r w:rsidRPr="002315AB">
        <w:rPr>
          <w:i/>
          <w:sz w:val="18"/>
          <w:szCs w:val="18"/>
        </w:rPr>
        <w:t xml:space="preserve">ekonomické </w:t>
      </w:r>
      <w:r w:rsidRPr="002315AB">
        <w:rPr>
          <w:sz w:val="18"/>
          <w:szCs w:val="18"/>
        </w:rPr>
        <w:t xml:space="preserve">konkurenceschopnosti. </w:t>
      </w:r>
    </w:p>
  </w:footnote>
  <w:footnote w:id="2">
    <w:p w14:paraId="0DCA4056" w14:textId="50E505BC" w:rsidR="0044083E" w:rsidRDefault="0044083E" w:rsidP="002315AB">
      <w:pPr>
        <w:pStyle w:val="Textpoznpodarou"/>
      </w:pPr>
      <w:r w:rsidRPr="002315AB">
        <w:rPr>
          <w:rStyle w:val="Znakapoznpodarou"/>
          <w:rFonts w:eastAsiaTheme="majorEastAsia"/>
          <w:sz w:val="18"/>
          <w:szCs w:val="18"/>
        </w:rPr>
        <w:footnoteRef/>
      </w:r>
      <w:r w:rsidRPr="002315AB">
        <w:rPr>
          <w:sz w:val="18"/>
          <w:szCs w:val="18"/>
        </w:rPr>
        <w:t xml:space="preserve"> </w:t>
      </w:r>
      <w:r w:rsidRPr="00643826">
        <w:rPr>
          <w:sz w:val="18"/>
          <w:szCs w:val="18"/>
        </w:rPr>
        <w:t>Johannes Hahn, Smart Specialisation and Europe’s Growth Agenda (2014)</w:t>
      </w:r>
    </w:p>
  </w:footnote>
  <w:footnote w:id="3">
    <w:p w14:paraId="3E9C640E" w14:textId="77777777" w:rsidR="0044083E" w:rsidRPr="00352C58" w:rsidRDefault="0044083E" w:rsidP="00A97438">
      <w:pPr>
        <w:pStyle w:val="Textpoznpodarou"/>
        <w:jc w:val="both"/>
        <w:rPr>
          <w:sz w:val="18"/>
          <w:szCs w:val="18"/>
        </w:rPr>
      </w:pPr>
      <w:r w:rsidRPr="00352C58">
        <w:rPr>
          <w:rStyle w:val="Znakapoznpodarou"/>
          <w:sz w:val="18"/>
          <w:szCs w:val="18"/>
        </w:rPr>
        <w:footnoteRef/>
      </w:r>
      <w:r w:rsidRPr="00352C58">
        <w:rPr>
          <w:sz w:val="18"/>
          <w:szCs w:val="18"/>
        </w:rPr>
        <w:t xml:space="preserve"> </w:t>
      </w:r>
      <w:r w:rsidRPr="00352C58">
        <w:rPr>
          <w:rFonts w:eastAsiaTheme="minorHAnsi"/>
          <w:sz w:val="18"/>
          <w:szCs w:val="18"/>
          <w:lang w:eastAsia="en-US"/>
        </w:rPr>
        <w:t>Intervence do vzdělávání se řídí Strategií vzdělávací politiky ČR do roku 2020 a Dlouhodobým záměrem rozvoje VŠ, který je ex-ante kondicionalitou pro oblast VŠ vzdělávání. Národní RIS3 strategie nepředstavuje předběžnou podmínku pro oblast vzdělávání.</w:t>
      </w:r>
      <w:r w:rsidRPr="00352C58">
        <w:rPr>
          <w:sz w:val="18"/>
          <w:szCs w:val="18"/>
        </w:rPr>
        <w:t xml:space="preserve"> </w:t>
      </w:r>
    </w:p>
  </w:footnote>
  <w:footnote w:id="4">
    <w:p w14:paraId="11A50209" w14:textId="2D551EB3" w:rsidR="0044083E" w:rsidRDefault="0044083E">
      <w:pPr>
        <w:pStyle w:val="Textpoznpodarou"/>
      </w:pPr>
      <w:r w:rsidRPr="00ED73BC">
        <w:rPr>
          <w:rStyle w:val="Znakapoznpodarou"/>
          <w:sz w:val="18"/>
          <w:szCs w:val="18"/>
        </w:rPr>
        <w:footnoteRef/>
      </w:r>
      <w:r w:rsidRPr="00ED73BC">
        <w:rPr>
          <w:sz w:val="18"/>
          <w:szCs w:val="18"/>
        </w:rPr>
        <w:t xml:space="preserve"> P</w:t>
      </w:r>
      <w:r w:rsidRPr="00DE1642">
        <w:rPr>
          <w:sz w:val="18"/>
          <w:szCs w:val="18"/>
        </w:rPr>
        <w:t>ro Národní RIS3 strate</w:t>
      </w:r>
      <w:r w:rsidRPr="00C5635B">
        <w:rPr>
          <w:sz w:val="18"/>
          <w:szCs w:val="18"/>
        </w:rPr>
        <w:t>gii 2021+ se počítá s využitím dalších národních strategických dokumentů, např. Strategie podpory malých a středních podniků 2021+, Strategie regionálního rozvoje 2021+ ad.</w:t>
      </w:r>
    </w:p>
  </w:footnote>
  <w:footnote w:id="5">
    <w:p w14:paraId="10B731F3" w14:textId="77777777" w:rsidR="0044083E" w:rsidRDefault="0044083E" w:rsidP="00A97438">
      <w:pPr>
        <w:pStyle w:val="Textpoznpodarou"/>
      </w:pPr>
      <w:r w:rsidRPr="00352C58">
        <w:rPr>
          <w:rStyle w:val="Znakapoznpodarou"/>
          <w:rFonts w:eastAsiaTheme="majorEastAsia"/>
          <w:sz w:val="18"/>
          <w:szCs w:val="18"/>
        </w:rPr>
        <w:footnoteRef/>
      </w:r>
      <w:r w:rsidRPr="00352C58">
        <w:rPr>
          <w:sz w:val="18"/>
          <w:szCs w:val="18"/>
        </w:rPr>
        <w:t xml:space="preserve"> Revidované </w:t>
      </w:r>
      <w:r w:rsidRPr="00352C58">
        <w:rPr>
          <w:i/>
          <w:sz w:val="18"/>
          <w:szCs w:val="18"/>
        </w:rPr>
        <w:t>Digitální Česko</w:t>
      </w:r>
      <w:r w:rsidRPr="00352C58">
        <w:rPr>
          <w:sz w:val="18"/>
          <w:szCs w:val="18"/>
        </w:rPr>
        <w:t xml:space="preserve"> bylo na podzim 2018 ve schvalovacím procesu.</w:t>
      </w:r>
    </w:p>
  </w:footnote>
  <w:footnote w:id="6">
    <w:p w14:paraId="3F7A1525" w14:textId="77777777" w:rsidR="0044083E" w:rsidRPr="000F1BFA" w:rsidRDefault="0044083E" w:rsidP="0003130E">
      <w:pPr>
        <w:pStyle w:val="Textpoznpodarou"/>
        <w:jc w:val="both"/>
        <w:rPr>
          <w:sz w:val="18"/>
          <w:szCs w:val="18"/>
        </w:rPr>
      </w:pPr>
      <w:r w:rsidRPr="000F1BFA">
        <w:rPr>
          <w:rStyle w:val="Znakapoznpodarou"/>
          <w:sz w:val="18"/>
          <w:szCs w:val="18"/>
        </w:rPr>
        <w:footnoteRef/>
      </w:r>
      <w:r w:rsidRPr="000F1BFA">
        <w:rPr>
          <w:sz w:val="18"/>
          <w:szCs w:val="18"/>
        </w:rPr>
        <w:t xml:space="preserve"> Koncept inovačních systémů dle Cooke (2002) nebo Etzkowitz a Leydesdorf (2000) zahrnuje subsystém </w:t>
      </w:r>
      <w:r w:rsidRPr="000F1BFA">
        <w:rPr>
          <w:i/>
          <w:sz w:val="18"/>
          <w:szCs w:val="18"/>
        </w:rPr>
        <w:t>využití znalostí</w:t>
      </w:r>
      <w:r w:rsidRPr="000F1BFA">
        <w:rPr>
          <w:sz w:val="18"/>
          <w:szCs w:val="18"/>
        </w:rPr>
        <w:t xml:space="preserve"> (firemní sektor, veřejnou správu) a subsystém </w:t>
      </w:r>
      <w:r w:rsidRPr="000F1BFA">
        <w:rPr>
          <w:i/>
          <w:sz w:val="18"/>
          <w:szCs w:val="18"/>
        </w:rPr>
        <w:t>produkce znalostí</w:t>
      </w:r>
      <w:r w:rsidRPr="000F1BFA">
        <w:rPr>
          <w:sz w:val="18"/>
          <w:szCs w:val="18"/>
        </w:rPr>
        <w:t xml:space="preserve"> (výzkumný subsystém), do kterého patří například veřejné výzkumné organizace, vysoké školy, soukromé výzkumné organizace nebo podniky realizující výzkum apod. Pokud se v Národní RIS3 strategii hovoří o </w:t>
      </w:r>
      <w:r w:rsidRPr="000F1BFA">
        <w:rPr>
          <w:i/>
          <w:sz w:val="18"/>
          <w:szCs w:val="18"/>
        </w:rPr>
        <w:t>inovačním systému</w:t>
      </w:r>
      <w:r w:rsidRPr="000F1BFA">
        <w:rPr>
          <w:sz w:val="18"/>
          <w:szCs w:val="18"/>
        </w:rPr>
        <w:t xml:space="preserve">, má se za to, že zahrnuje oba výše uvedené subsystémy. </w:t>
      </w:r>
    </w:p>
  </w:footnote>
  <w:footnote w:id="7">
    <w:p w14:paraId="608145BE" w14:textId="77777777" w:rsidR="0044083E" w:rsidRPr="001B3605" w:rsidRDefault="0044083E" w:rsidP="00C146E9">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Koncept globální produkční sítě (Global Production Network) či globálního hodnotového řetězce (Global Value Chain) zahrnuje nejen výrobní aktivity, ale i celou škálu z pohledu firem servisních aktivit (finanční služby, poradenské služby, logistika ad.).</w:t>
      </w:r>
    </w:p>
  </w:footnote>
  <w:footnote w:id="8">
    <w:p w14:paraId="1CC95C4C" w14:textId="04E30E7E" w:rsidR="0044083E" w:rsidRPr="001B3605" w:rsidRDefault="0044083E">
      <w:pPr>
        <w:pStyle w:val="Textpoznpodarou"/>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Doing business 2018.</w:t>
      </w:r>
    </w:p>
  </w:footnote>
  <w:footnote w:id="9">
    <w:p w14:paraId="5A5D685B" w14:textId="5F24E755" w:rsidR="0044083E" w:rsidRPr="001B3605" w:rsidRDefault="0044083E" w:rsidP="00BA61EB">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Předpokládaný částečný návrat výrobních aktivit do EU je reakcí na rostoucí náklady v Číně a v dalších rychle se rozvíjejících především asijských ekonomikách, větší automatizaci výroby, rostoucí potřebou pružnějších reakcí na potřeby zákazníků v EU a těsnější sepětí výroby s výzkumem a vývojem. </w:t>
      </w:r>
    </w:p>
  </w:footnote>
  <w:footnote w:id="10">
    <w:p w14:paraId="4C795F32" w14:textId="6B12775E" w:rsidR="0044083E" w:rsidRPr="001B3605" w:rsidRDefault="0044083E" w:rsidP="00BA61EB">
      <w:pPr>
        <w:pStyle w:val="Textpoznpodarou"/>
        <w:jc w:val="both"/>
        <w:rPr>
          <w:rFonts w:asciiTheme="minorHAnsi" w:hAnsiTheme="minorHAnsi"/>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Evropská komise - Tisková zpráva - Evropský srovnávací přehled inovací 2018 </w:t>
      </w:r>
      <w:r w:rsidRPr="001B3605">
        <w:rPr>
          <w:rFonts w:asciiTheme="minorHAnsi" w:hAnsiTheme="minorHAnsi" w:cs="Arial"/>
          <w:noProof/>
          <w:sz w:val="18"/>
          <w:szCs w:val="18"/>
        </w:rPr>
        <w:t>(European Innovation Scoreboard)</w:t>
      </w:r>
      <w:r w:rsidRPr="001B3605">
        <w:rPr>
          <w:rFonts w:asciiTheme="minorHAnsi" w:hAnsiTheme="minorHAnsi" w:cs="Arial"/>
          <w:sz w:val="18"/>
          <w:szCs w:val="18"/>
        </w:rPr>
        <w:t>, Brusel 22.</w:t>
      </w:r>
      <w:r>
        <w:rPr>
          <w:rFonts w:asciiTheme="minorHAnsi" w:hAnsiTheme="minorHAnsi" w:cs="Arial"/>
          <w:sz w:val="18"/>
          <w:szCs w:val="18"/>
        </w:rPr>
        <w:t> </w:t>
      </w:r>
      <w:r w:rsidRPr="001B3605">
        <w:rPr>
          <w:rFonts w:asciiTheme="minorHAnsi" w:hAnsiTheme="minorHAnsi" w:cs="Arial"/>
          <w:sz w:val="18"/>
          <w:szCs w:val="18"/>
        </w:rPr>
        <w:t>června 2018.</w:t>
      </w:r>
    </w:p>
  </w:footnote>
  <w:footnote w:id="11">
    <w:p w14:paraId="25DE93D2" w14:textId="77777777" w:rsidR="0044083E" w:rsidRPr="001B3605" w:rsidRDefault="0044083E" w:rsidP="00E4671C">
      <w:pPr>
        <w:pStyle w:val="Textpoznpodarou"/>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Rojíček, Marek et al. </w:t>
      </w:r>
      <w:r w:rsidRPr="001B3605">
        <w:rPr>
          <w:rFonts w:asciiTheme="minorHAnsi" w:hAnsiTheme="minorHAnsi"/>
          <w:i/>
          <w:iCs/>
          <w:sz w:val="18"/>
          <w:szCs w:val="18"/>
        </w:rPr>
        <w:t>Makroekonomická analýza: teorie a praxe</w:t>
      </w:r>
      <w:r w:rsidRPr="001B3605">
        <w:rPr>
          <w:rFonts w:asciiTheme="minorHAnsi" w:hAnsiTheme="minorHAnsi"/>
          <w:sz w:val="18"/>
          <w:szCs w:val="18"/>
        </w:rPr>
        <w:t>. První vydání. Praha: Grada Publishing, 2016. 543 stran. Expert. ISBN 978-80-247-5858-9.</w:t>
      </w:r>
    </w:p>
  </w:footnote>
  <w:footnote w:id="12">
    <w:p w14:paraId="29933B44" w14:textId="77777777" w:rsidR="0044083E" w:rsidRPr="001B3605" w:rsidRDefault="0044083E" w:rsidP="00BA61EB">
      <w:pPr>
        <w:pStyle w:val="Textpoznpodarou"/>
        <w:jc w:val="both"/>
        <w:rPr>
          <w:rFonts w:asciiTheme="minorHAnsi" w:hAnsiTheme="minorHAnsi"/>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Velmi dobrý poměr mezi technickými kompetencemi a cenou pracovní síly je jedním z hlavních důvodů pro umisťování sofistikovanějších a v podnikové hierarchii důležitějších funkcí typu vývoje, konstrukce a designu.</w:t>
      </w:r>
    </w:p>
  </w:footnote>
  <w:footnote w:id="13">
    <w:p w14:paraId="4C2094B3" w14:textId="4EBBDA06" w:rsidR="009F6252" w:rsidRPr="009F6252" w:rsidRDefault="009F6252" w:rsidP="006972D9">
      <w:pPr>
        <w:pStyle w:val="Textpoznpodarou"/>
        <w:jc w:val="both"/>
        <w:rPr>
          <w:sz w:val="18"/>
          <w:szCs w:val="18"/>
        </w:rPr>
      </w:pPr>
      <w:r>
        <w:rPr>
          <w:rStyle w:val="Znakapoznpodarou"/>
        </w:rPr>
        <w:footnoteRef/>
      </w:r>
      <w:r>
        <w:t xml:space="preserve"> Pozn. Existují i další předpoklady pro diverzifikaci, především schopnost českých firem přiblížit se koncovým zákazníkům (získat lepší postavení v hodnotových řetězcích díky využití inovačního potenciálu).</w:t>
      </w:r>
    </w:p>
  </w:footnote>
  <w:footnote w:id="14">
    <w:p w14:paraId="1DA8AF8A" w14:textId="27429D04" w:rsidR="0044083E" w:rsidRDefault="0044083E" w:rsidP="00721FDE">
      <w:pPr>
        <w:pStyle w:val="Textpoznpodarou"/>
        <w:jc w:val="both"/>
      </w:pPr>
      <w:r>
        <w:rPr>
          <w:rStyle w:val="Znakapoznpodarou"/>
        </w:rPr>
        <w:footnoteRef/>
      </w:r>
      <w:r>
        <w:t xml:space="preserve"> </w:t>
      </w:r>
      <w:r>
        <w:rPr>
          <w:rFonts w:asciiTheme="minorHAnsi" w:hAnsiTheme="minorHAnsi"/>
        </w:rPr>
        <w:t xml:space="preserve">Hladina mezd </w:t>
      </w:r>
      <w:r w:rsidRPr="008A3FE5">
        <w:rPr>
          <w:rFonts w:asciiTheme="minorHAnsi" w:hAnsiTheme="minorHAnsi"/>
        </w:rPr>
        <w:t xml:space="preserve">v ČR </w:t>
      </w:r>
      <w:r>
        <w:rPr>
          <w:rFonts w:asciiTheme="minorHAnsi" w:hAnsiTheme="minorHAnsi"/>
        </w:rPr>
        <w:t xml:space="preserve">však v každém případě stále </w:t>
      </w:r>
      <w:r w:rsidRPr="008A3FE5">
        <w:rPr>
          <w:rFonts w:asciiTheme="minorHAnsi" w:hAnsiTheme="minorHAnsi"/>
        </w:rPr>
        <w:t>zaostává za sousedními vyspělými státy</w:t>
      </w:r>
      <w:r>
        <w:rPr>
          <w:rFonts w:asciiTheme="minorHAnsi" w:hAnsiTheme="minorHAnsi"/>
        </w:rPr>
        <w:t xml:space="preserve">, což může přispívat k tzv. </w:t>
      </w:r>
      <w:r w:rsidRPr="008A3FE5">
        <w:rPr>
          <w:rFonts w:asciiTheme="minorHAnsi" w:hAnsiTheme="minorHAnsi"/>
        </w:rPr>
        <w:t>brain drain</w:t>
      </w:r>
      <w:r>
        <w:rPr>
          <w:rFonts w:asciiTheme="minorHAnsi" w:hAnsiTheme="minorHAnsi"/>
        </w:rPr>
        <w:t>.</w:t>
      </w:r>
    </w:p>
  </w:footnote>
  <w:footnote w:id="15">
    <w:p w14:paraId="36C36D99" w14:textId="77777777" w:rsidR="0044083E" w:rsidRPr="001B3605" w:rsidRDefault="0044083E" w:rsidP="00860F23">
      <w:pPr>
        <w:pStyle w:val="Textpoznpodarou"/>
        <w:jc w:val="both"/>
        <w:rPr>
          <w:rFonts w:asciiTheme="minorHAnsi" w:hAnsiTheme="minorHAnsi" w:cs="Arial"/>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Často tyto dva trendy probíhají současně i u jedné firmy. Jádrové VaV aktivity vedoucí k vyššímu řádu inovací firma realizuje sama in-house (mohou ale probíhat ve spolupráci s VO). Zároveň ale nižší vývojové aktivity nebo aktivity na </w:t>
      </w:r>
      <w:r w:rsidRPr="001B3605">
        <w:rPr>
          <w:rFonts w:asciiTheme="minorHAnsi" w:hAnsiTheme="minorHAnsi" w:cs="Arial"/>
          <w:sz w:val="18"/>
          <w:szCs w:val="18"/>
        </w:rPr>
        <w:t>pomezí své současné specializace deleguje na spolupracující subjekty a využívá tak distribuované znalostní sítě. U tohoto nižšího řádu inovací ale také existuje poptávka po spolupráci s VO, byť není tak silná.</w:t>
      </w:r>
    </w:p>
  </w:footnote>
  <w:footnote w:id="16">
    <w:p w14:paraId="07BE6D4D" w14:textId="09143543" w:rsidR="0044083E" w:rsidRPr="00A9499B" w:rsidRDefault="0044083E" w:rsidP="00A9499B">
      <w:pPr>
        <w:autoSpaceDE w:val="0"/>
        <w:autoSpaceDN w:val="0"/>
        <w:adjustRightInd w:val="0"/>
        <w:spacing w:after="0" w:line="240" w:lineRule="auto"/>
        <w:jc w:val="both"/>
        <w:rPr>
          <w:rFonts w:ascii="Calibri" w:hAnsi="Calibri" w:cs="Calibri"/>
        </w:rPr>
      </w:pPr>
      <w:r w:rsidRPr="007A2486">
        <w:rPr>
          <w:rStyle w:val="Znakapoznpodarou"/>
          <w:sz w:val="18"/>
          <w:szCs w:val="18"/>
        </w:rPr>
        <w:footnoteRef/>
      </w:r>
      <w:r w:rsidRPr="007A2486">
        <w:rPr>
          <w:sz w:val="18"/>
          <w:szCs w:val="18"/>
        </w:rPr>
        <w:t xml:space="preserve"> </w:t>
      </w:r>
      <w:r w:rsidRPr="007A2486">
        <w:rPr>
          <w:rFonts w:ascii="Calibri" w:hAnsi="Calibri" w:cs="Calibri"/>
          <w:sz w:val="18"/>
          <w:szCs w:val="18"/>
        </w:rPr>
        <w:t>Firmy vla</w:t>
      </w:r>
      <w:r w:rsidRPr="00A9499B">
        <w:rPr>
          <w:rFonts w:ascii="Calibri" w:hAnsi="Calibri" w:cs="Calibri"/>
          <w:sz w:val="18"/>
          <w:szCs w:val="18"/>
        </w:rPr>
        <w:t>stněné a řízené českými občany vykazující rapidní růst tažený světovou poptávkou.</w:t>
      </w:r>
    </w:p>
  </w:footnote>
  <w:footnote w:id="17">
    <w:p w14:paraId="02505513" w14:textId="77777777" w:rsidR="0044083E" w:rsidRPr="001B3605" w:rsidRDefault="0044083E" w:rsidP="005363CE">
      <w:pPr>
        <w:pStyle w:val="Textpoznpodarou"/>
        <w:jc w:val="both"/>
        <w:rPr>
          <w:rFonts w:asciiTheme="minorHAnsi" w:hAnsiTheme="minorHAnsi" w:cs="Calibri"/>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KET (Key Enabling Technologies) jsou klíčové široké technologické znalostní domény systémové povahy, jejichž použití v různých ekonomických oborech umožňuje generovat inovace produktů, výrobních procesů i služeb. Patří mezi ně nanotechnologie, mikroelektronika, pokročilé materiály, fotonika, průmyslové biotechnologie a pokročilé výrobní technologie.</w:t>
      </w:r>
    </w:p>
  </w:footnote>
  <w:footnote w:id="18">
    <w:p w14:paraId="7A3BB792" w14:textId="03F01501" w:rsidR="0044083E" w:rsidRDefault="0044083E" w:rsidP="00F9423A">
      <w:pPr>
        <w:pStyle w:val="Textpoznpodarou"/>
        <w:jc w:val="both"/>
      </w:pPr>
      <w:r>
        <w:rPr>
          <w:rStyle w:val="Znakapoznpodarou"/>
        </w:rPr>
        <w:footnoteRef/>
      </w:r>
      <w:r>
        <w:t xml:space="preserve"> Zejména KETs nebo obecněji pojaté GPTs (General-purpose technologies), které mají povahu radikálních technologických inovací, které ovlivňují celou ekonomiku (např. internet, nanotechnologie).</w:t>
      </w:r>
    </w:p>
    <w:p w14:paraId="286DE294" w14:textId="25CE8B92" w:rsidR="0044083E" w:rsidRDefault="0044083E">
      <w:pPr>
        <w:pStyle w:val="Textpoznpodarou"/>
      </w:pPr>
    </w:p>
  </w:footnote>
  <w:footnote w:id="19">
    <w:p w14:paraId="5EDC6476" w14:textId="77777777" w:rsidR="0044083E" w:rsidRPr="001B3605" w:rsidRDefault="0044083E" w:rsidP="00EF1C29">
      <w:pPr>
        <w:pStyle w:val="Textpoznpodarou"/>
        <w:jc w:val="both"/>
        <w:rPr>
          <w:rFonts w:asciiTheme="minorHAnsi" w:hAnsiTheme="minorHAnsi" w:cs="Arial"/>
          <w:sz w:val="18"/>
          <w:szCs w:val="18"/>
        </w:rPr>
      </w:pPr>
      <w:r w:rsidRPr="001B3605">
        <w:rPr>
          <w:rStyle w:val="Znakapoznpodarou"/>
          <w:rFonts w:asciiTheme="minorHAnsi" w:hAnsiTheme="minorHAnsi"/>
          <w:sz w:val="18"/>
          <w:szCs w:val="18"/>
        </w:rPr>
        <w:footnoteRef/>
      </w:r>
      <w:r w:rsidRPr="001B3605">
        <w:rPr>
          <w:rFonts w:asciiTheme="minorHAnsi" w:hAnsiTheme="minorHAnsi" w:cs="Arial"/>
          <w:sz w:val="18"/>
          <w:szCs w:val="18"/>
        </w:rPr>
        <w:t xml:space="preserve"> Inovace lze chápat i šířeji, tedy že se jedná o změnu, která přináší hodnotu uživatelům (např. inovace ve veřejné správě nebo inovace snižující negativní externality). V jiných částech textu jsou inovace takto šířeji chápány – přiměřeně kontextu – ale vždy s podmínkou projevené/získané hodnoty pro uživatele.  </w:t>
      </w:r>
    </w:p>
  </w:footnote>
  <w:footnote w:id="20">
    <w:p w14:paraId="4806E34D" w14:textId="77777777" w:rsidR="0044083E" w:rsidRPr="001B3605" w:rsidRDefault="0044083E" w:rsidP="00EF1C29">
      <w:pPr>
        <w:pStyle w:val="Textpoznpodarou"/>
        <w:jc w:val="both"/>
        <w:rPr>
          <w:rFonts w:asciiTheme="minorHAnsi" w:hAnsiTheme="minorHAnsi"/>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Investice do výzkumu činěné s cílem podpořit inovace jsou vnímány jako nástroj inovační politiky. Výzkumná politika má však i další cíle než je podpora inovací a ekonomického růstu.  </w:t>
      </w:r>
    </w:p>
  </w:footnote>
  <w:footnote w:id="21">
    <w:p w14:paraId="4B4AE90C" w14:textId="77777777" w:rsidR="0044083E" w:rsidRPr="001B3605" w:rsidRDefault="0044083E" w:rsidP="00F52275">
      <w:pPr>
        <w:pStyle w:val="Textpoznpodarou"/>
        <w:jc w:val="both"/>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Mezi podniky pod zahraniční kontrolou působící v ČR existují významné rozdíly, mnohé z nich představují technologické lídry české ekonomiky.</w:t>
      </w:r>
    </w:p>
  </w:footnote>
  <w:footnote w:id="22">
    <w:p w14:paraId="13DB56AA" w14:textId="77777777" w:rsidR="0044083E" w:rsidRPr="001B3605" w:rsidRDefault="0044083E" w:rsidP="0099171B">
      <w:pPr>
        <w:pStyle w:val="Textpoznpodarou"/>
        <w:jc w:val="both"/>
        <w:rPr>
          <w:rFonts w:asciiTheme="minorHAnsi" w:hAnsiTheme="minorHAnsi"/>
          <w:sz w:val="18"/>
          <w:szCs w:val="18"/>
        </w:rPr>
      </w:pPr>
      <w:r w:rsidRPr="001B3605">
        <w:rPr>
          <w:rStyle w:val="Znakapoznpodarou"/>
          <w:rFonts w:asciiTheme="minorHAnsi" w:hAnsiTheme="minorHAnsi" w:cs="Calibri"/>
          <w:sz w:val="18"/>
          <w:szCs w:val="18"/>
        </w:rPr>
        <w:footnoteRef/>
      </w:r>
      <w:r w:rsidRPr="001B3605">
        <w:rPr>
          <w:rFonts w:asciiTheme="minorHAnsi" w:hAnsiTheme="minorHAnsi" w:cs="Calibri"/>
          <w:sz w:val="18"/>
          <w:szCs w:val="18"/>
        </w:rPr>
        <w:t xml:space="preserve"> </w:t>
      </w:r>
      <w:r w:rsidRPr="001B3605">
        <w:rPr>
          <w:rFonts w:asciiTheme="minorHAnsi" w:hAnsiTheme="minorHAnsi" w:cs="Arial"/>
          <w:sz w:val="18"/>
          <w:szCs w:val="18"/>
        </w:rPr>
        <w:t xml:space="preserve">Dominující manažerské postupy vedoucí ke koncentraci na značku a klíčové aktivity a tím rozsáhlému outsourcingu a delokalizaci výroby (viz např. Stiglitz, 2002; Dicken, 2011). </w:t>
      </w:r>
    </w:p>
  </w:footnote>
  <w:footnote w:id="23">
    <w:p w14:paraId="60988169" w14:textId="77777777" w:rsidR="0044083E" w:rsidRPr="001B3605" w:rsidRDefault="0044083E" w:rsidP="00877238">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WEF: World Competitiveness Report 2017-18</w:t>
      </w:r>
    </w:p>
  </w:footnote>
  <w:footnote w:id="24">
    <w:p w14:paraId="55A98830" w14:textId="77777777" w:rsidR="0044083E" w:rsidRPr="001B3605" w:rsidRDefault="0044083E" w:rsidP="00877238">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World Bank Doing Business 2018</w:t>
      </w:r>
    </w:p>
  </w:footnote>
  <w:footnote w:id="25">
    <w:p w14:paraId="4F9EEFCA" w14:textId="0E537B6E" w:rsidR="0044083E" w:rsidRPr="001B3605" w:rsidRDefault="0044083E" w:rsidP="00877238">
      <w:pPr>
        <w:pStyle w:val="Textpoznpodarou"/>
        <w:jc w:val="both"/>
        <w:rPr>
          <w:rFonts w:asciiTheme="minorHAnsi" w:hAnsiTheme="minorHAnsi"/>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Studie WEF (viz poznámka č. 45) a WB (č. 46) jsou zčásti v některých tematických oblastech založeny na subjektivním hodnocení respondentů, a jejich názory tudíž mohou být ovlivněny rozdíly v sociokulturním prostředí a rozdílným vnímáním problémů v určitých o</w:t>
      </w:r>
      <w:r>
        <w:rPr>
          <w:rFonts w:asciiTheme="minorHAnsi" w:hAnsiTheme="minorHAnsi" w:cs="Arial"/>
          <w:sz w:val="18"/>
          <w:szCs w:val="18"/>
        </w:rPr>
        <w:t>blastech.</w:t>
      </w:r>
    </w:p>
  </w:footnote>
  <w:footnote w:id="26">
    <w:p w14:paraId="1F6203E8" w14:textId="77777777" w:rsidR="0044083E" w:rsidRPr="001B3605" w:rsidRDefault="0044083E" w:rsidP="005330F9">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Pro přehled studií zaměřených na podrobnou dokumentaci závislosti mezi oběma viz Arnold, E. a Giarracca, F. (2012): Getting the Balance Right: Basic Research, Missions and Governance for Horizon 2020. EARTO. (</w:t>
      </w:r>
      <w:hyperlink r:id="rId1" w:history="1">
        <w:r w:rsidRPr="001B3605">
          <w:rPr>
            <w:rFonts w:asciiTheme="minorHAnsi" w:hAnsiTheme="minorHAnsi" w:cs="Arial"/>
            <w:sz w:val="18"/>
            <w:szCs w:val="18"/>
          </w:rPr>
          <w:t>http://www.earto.eu/european-news/detail/article/technopolis-report-getting-the-balance-right-in-public-rd-investment.html</w:t>
        </w:r>
      </w:hyperlink>
      <w:r w:rsidRPr="001B3605">
        <w:rPr>
          <w:rFonts w:asciiTheme="minorHAnsi" w:hAnsiTheme="minorHAnsi" w:cs="Arial"/>
          <w:sz w:val="18"/>
          <w:szCs w:val="18"/>
        </w:rPr>
        <w:t xml:space="preserve">). </w:t>
      </w:r>
    </w:p>
  </w:footnote>
  <w:footnote w:id="27">
    <w:p w14:paraId="0E3CA7DD" w14:textId="64AC0DCC" w:rsidR="0044083E" w:rsidRPr="001B3605" w:rsidRDefault="0044083E" w:rsidP="005330F9">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Pojmem veřejný výzkum se myslí výzkum realizovaný ve veřejném sektoru, tedy především v sektoru vládním a vysokoškolském. </w:t>
      </w:r>
    </w:p>
  </w:footnote>
  <w:footnote w:id="28">
    <w:p w14:paraId="48006ED3" w14:textId="77777777" w:rsidR="0044083E" w:rsidRPr="001B3605" w:rsidRDefault="0044083E" w:rsidP="005330F9">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Viz např. </w:t>
      </w:r>
      <w:r w:rsidRPr="001B3605">
        <w:rPr>
          <w:rFonts w:asciiTheme="minorHAnsi" w:hAnsiTheme="minorHAnsi" w:cs="Arial"/>
          <w:i/>
          <w:sz w:val="18"/>
          <w:szCs w:val="18"/>
        </w:rPr>
        <w:t>Národní inovační strategie</w:t>
      </w:r>
      <w:r w:rsidRPr="001B3605">
        <w:rPr>
          <w:rFonts w:asciiTheme="minorHAnsi" w:hAnsiTheme="minorHAnsi" w:cs="Arial"/>
          <w:sz w:val="18"/>
          <w:szCs w:val="18"/>
        </w:rPr>
        <w:t xml:space="preserve"> </w:t>
      </w:r>
      <w:r w:rsidRPr="001B3605">
        <w:rPr>
          <w:rFonts w:asciiTheme="minorHAnsi" w:hAnsiTheme="minorHAnsi" w:cs="Arial"/>
          <w:i/>
          <w:sz w:val="18"/>
          <w:szCs w:val="18"/>
        </w:rPr>
        <w:t>České republiky</w:t>
      </w:r>
      <w:r w:rsidRPr="001B3605">
        <w:rPr>
          <w:rFonts w:asciiTheme="minorHAnsi" w:hAnsiTheme="minorHAnsi" w:cs="Arial"/>
          <w:sz w:val="18"/>
          <w:szCs w:val="18"/>
        </w:rPr>
        <w:t xml:space="preserve">, str. 3, nebo </w:t>
      </w:r>
      <w:r w:rsidRPr="001B3605">
        <w:rPr>
          <w:rFonts w:asciiTheme="minorHAnsi" w:hAnsiTheme="minorHAnsi" w:cs="Arial"/>
          <w:i/>
          <w:sz w:val="18"/>
          <w:szCs w:val="18"/>
        </w:rPr>
        <w:t>Strategie mezinárodní konkurenceschopnosti České republiky pro období 2012-2020</w:t>
      </w:r>
      <w:r w:rsidRPr="001B3605">
        <w:rPr>
          <w:rFonts w:asciiTheme="minorHAnsi" w:hAnsiTheme="minorHAnsi" w:cs="Arial"/>
          <w:sz w:val="18"/>
          <w:szCs w:val="18"/>
        </w:rPr>
        <w:t>, str. 41.</w:t>
      </w:r>
    </w:p>
  </w:footnote>
  <w:footnote w:id="29">
    <w:p w14:paraId="53A86E91" w14:textId="77777777" w:rsidR="0044083E" w:rsidRPr="001B3605" w:rsidRDefault="0044083E" w:rsidP="005330F9">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Desetiletí izolace české vědy, malý počet světově výjimečných vědeckých osobností, neexistence silných partnerů ze soukromého sektoru, nedostatečné přístrojové vybavení, častý „inbreeding“, tj. celoživotní kariéra vědecko-pedagogických pracovníků v rámci jedné VŠ apod. (Viz výsledky </w:t>
      </w:r>
      <w:r w:rsidRPr="001B3605">
        <w:rPr>
          <w:rFonts w:asciiTheme="minorHAnsi" w:hAnsiTheme="minorHAnsi" w:cs="Arial"/>
          <w:i/>
          <w:sz w:val="18"/>
          <w:szCs w:val="18"/>
        </w:rPr>
        <w:t>Mezinárodního auditu výzkumu, vývoje a inovací v ČR</w:t>
      </w:r>
      <w:r w:rsidRPr="001B3605">
        <w:rPr>
          <w:rFonts w:asciiTheme="minorHAnsi" w:hAnsiTheme="minorHAnsi" w:cs="Arial"/>
          <w:sz w:val="18"/>
          <w:szCs w:val="18"/>
        </w:rPr>
        <w:t xml:space="preserve">, </w:t>
      </w:r>
      <w:hyperlink r:id="rId2" w:history="1">
        <w:r w:rsidRPr="001B3605">
          <w:rPr>
            <w:rStyle w:val="Hypertextovodkaz"/>
            <w:rFonts w:asciiTheme="minorHAnsi" w:hAnsiTheme="minorHAnsi" w:cs="Arial"/>
            <w:sz w:val="18"/>
            <w:szCs w:val="18"/>
          </w:rPr>
          <w:t>http://audit-vav.reformy-msmt.cz</w:t>
        </w:r>
      </w:hyperlink>
      <w:r w:rsidRPr="001B3605">
        <w:rPr>
          <w:rFonts w:asciiTheme="minorHAnsi" w:hAnsiTheme="minorHAnsi" w:cs="Arial"/>
          <w:sz w:val="18"/>
          <w:szCs w:val="18"/>
        </w:rPr>
        <w:t>).</w:t>
      </w:r>
    </w:p>
  </w:footnote>
  <w:footnote w:id="30">
    <w:p w14:paraId="7FA68950" w14:textId="77777777" w:rsidR="0044083E" w:rsidRPr="001B3605" w:rsidRDefault="0044083E" w:rsidP="005330F9">
      <w:pPr>
        <w:pStyle w:val="Textpoznpodarou"/>
        <w:jc w:val="both"/>
        <w:rPr>
          <w:rFonts w:asciiTheme="minorHAnsi" w:hAnsiTheme="minorHAnsi" w:cs="Calibri"/>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w:t>
      </w:r>
      <w:r w:rsidRPr="001B3605">
        <w:rPr>
          <w:rFonts w:asciiTheme="minorHAnsi" w:hAnsiTheme="minorHAnsi" w:cs="Arial"/>
          <w:i/>
          <w:sz w:val="18"/>
          <w:szCs w:val="18"/>
        </w:rPr>
        <w:t>Analýza stavu výzkumu, vývoje a inovací v ČR a jejich srovnání se zahraničím v roce 2013.</w:t>
      </w:r>
    </w:p>
  </w:footnote>
  <w:footnote w:id="31">
    <w:p w14:paraId="32EEBDB2" w14:textId="43968FB8" w:rsidR="0044083E" w:rsidRPr="001B3605" w:rsidRDefault="0044083E" w:rsidP="004D40A5">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Je</w:t>
      </w:r>
      <w:r>
        <w:rPr>
          <w:rFonts w:asciiTheme="minorHAnsi" w:hAnsiTheme="minorHAnsi" w:cs="Arial"/>
          <w:sz w:val="18"/>
          <w:szCs w:val="18"/>
        </w:rPr>
        <w:t>dná se o m</w:t>
      </w:r>
      <w:r w:rsidRPr="001B3605">
        <w:rPr>
          <w:rFonts w:asciiTheme="minorHAnsi" w:hAnsiTheme="minorHAnsi" w:cs="Arial"/>
          <w:sz w:val="18"/>
          <w:szCs w:val="18"/>
        </w:rPr>
        <w:t>etodiku</w:t>
      </w:r>
      <w:r>
        <w:rPr>
          <w:rFonts w:asciiTheme="minorHAnsi" w:hAnsiTheme="minorHAnsi" w:cs="Arial"/>
          <w:sz w:val="18"/>
          <w:szCs w:val="18"/>
        </w:rPr>
        <w:t xml:space="preserve"> hodnocení výsledků VO</w:t>
      </w:r>
      <w:r w:rsidRPr="001B3605">
        <w:rPr>
          <w:rFonts w:asciiTheme="minorHAnsi" w:hAnsiTheme="minorHAnsi" w:cs="Arial"/>
          <w:sz w:val="18"/>
          <w:szCs w:val="18"/>
        </w:rPr>
        <w:t xml:space="preserve">, na jejímž základě se mechanickým přepočtem rozděluje institucionální podpora (blíže viz např. </w:t>
      </w:r>
      <w:r w:rsidRPr="001B3605">
        <w:rPr>
          <w:rFonts w:asciiTheme="minorHAnsi" w:hAnsiTheme="minorHAnsi" w:cs="Arial"/>
          <w:i/>
          <w:sz w:val="18"/>
          <w:szCs w:val="18"/>
        </w:rPr>
        <w:t>Mezinárodní audit VaVaI v ČR</w:t>
      </w:r>
      <w:r w:rsidRPr="001B3605">
        <w:rPr>
          <w:rFonts w:asciiTheme="minorHAnsi" w:hAnsiTheme="minorHAnsi" w:cs="Arial"/>
          <w:sz w:val="18"/>
          <w:szCs w:val="18"/>
        </w:rPr>
        <w:t>).</w:t>
      </w:r>
    </w:p>
  </w:footnote>
  <w:footnote w:id="32">
    <w:p w14:paraId="6FC99E9A" w14:textId="5D62710A" w:rsidR="0044083E" w:rsidRPr="001B3605" w:rsidRDefault="0044083E" w:rsidP="004D40A5">
      <w:pPr>
        <w:pStyle w:val="Textpoznpodarou"/>
        <w:jc w:val="both"/>
        <w:rPr>
          <w:rFonts w:asciiTheme="minorHAnsi" w:hAnsiTheme="minorHAnsi" w:cs="Calibri"/>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w:t>
      </w:r>
      <w:r w:rsidRPr="001B3605">
        <w:rPr>
          <w:rFonts w:asciiTheme="minorHAnsi" w:hAnsiTheme="minorHAnsi" w:cs="Arial"/>
          <w:i/>
          <w:sz w:val="18"/>
          <w:szCs w:val="18"/>
        </w:rPr>
        <w:t>Cestovní mapa ČR velkých infrastruktur pro výzkum, experimentální vývoj a inovace pro léta 2016 až 2022.</w:t>
      </w:r>
      <w:r w:rsidRPr="001B3605">
        <w:rPr>
          <w:rFonts w:asciiTheme="minorHAnsi" w:hAnsiTheme="minorHAnsi"/>
          <w:sz w:val="18"/>
          <w:szCs w:val="18"/>
        </w:rPr>
        <w:t xml:space="preserve"> </w:t>
      </w:r>
      <w:r w:rsidRPr="001B3605">
        <w:rPr>
          <w:rFonts w:asciiTheme="minorHAnsi" w:hAnsiTheme="minorHAnsi" w:cstheme="minorHAnsi"/>
          <w:sz w:val="18"/>
          <w:szCs w:val="18"/>
        </w:rPr>
        <w:t xml:space="preserve">MŠMT, 2015 </w:t>
      </w:r>
      <w:hyperlink r:id="rId3" w:history="1">
        <w:r w:rsidRPr="001B3605">
          <w:rPr>
            <w:rStyle w:val="Hypertextovodkaz"/>
            <w:rFonts w:asciiTheme="minorHAnsi" w:hAnsiTheme="minorHAnsi" w:cstheme="minorHAnsi"/>
            <w:sz w:val="18"/>
            <w:szCs w:val="18"/>
          </w:rPr>
          <w:t>http://www.msmt.cz/vyzkum-a-vyvoj-2/cestovni-mapa-cr-velkych-infrastruktur-pro-vyzkum</w:t>
        </w:r>
      </w:hyperlink>
    </w:p>
  </w:footnote>
  <w:footnote w:id="33">
    <w:p w14:paraId="16B1CCAE" w14:textId="77777777" w:rsidR="0044083E" w:rsidRPr="001B3605" w:rsidRDefault="0044083E" w:rsidP="004D40A5">
      <w:pPr>
        <w:pStyle w:val="Textpoznpodarou"/>
        <w:jc w:val="both"/>
        <w:rPr>
          <w:rFonts w:asciiTheme="minorHAnsi" w:hAnsiTheme="minorHAnsi" w:cs="Calibri"/>
          <w:sz w:val="18"/>
          <w:szCs w:val="18"/>
        </w:rPr>
      </w:pPr>
      <w:r w:rsidRPr="001B3605">
        <w:rPr>
          <w:rStyle w:val="Znakapoznpodarou"/>
          <w:rFonts w:asciiTheme="minorHAnsi" w:hAnsiTheme="minorHAnsi" w:cs="Calibri"/>
          <w:sz w:val="18"/>
          <w:szCs w:val="18"/>
        </w:rPr>
        <w:footnoteRef/>
      </w:r>
      <w:r w:rsidRPr="001B3605">
        <w:rPr>
          <w:rFonts w:asciiTheme="minorHAnsi" w:hAnsiTheme="minorHAnsi" w:cs="Calibri"/>
          <w:sz w:val="18"/>
          <w:szCs w:val="18"/>
        </w:rPr>
        <w:t xml:space="preserve"> NVF (2011): Mzdová atraktivita zaměstnání ve výzkumu a vývoji. Podkladové studie pro přípravu národních priorit VaVaI. (</w:t>
      </w:r>
      <w:hyperlink r:id="rId4" w:history="1">
        <w:r w:rsidRPr="001B3605">
          <w:rPr>
            <w:rStyle w:val="Hypertextovodkaz"/>
            <w:rFonts w:asciiTheme="minorHAnsi" w:hAnsiTheme="minorHAnsi" w:cs="Calibri"/>
            <w:sz w:val="18"/>
            <w:szCs w:val="18"/>
          </w:rPr>
          <w:t>http://www.vyzkum.cz/FrontClanek.aspx?idsekce=15138</w:t>
        </w:r>
      </w:hyperlink>
      <w:r w:rsidRPr="001B3605">
        <w:rPr>
          <w:rFonts w:asciiTheme="minorHAnsi" w:hAnsiTheme="minorHAnsi" w:cs="Calibri"/>
          <w:sz w:val="18"/>
          <w:szCs w:val="18"/>
        </w:rPr>
        <w:t xml:space="preserve">). </w:t>
      </w:r>
    </w:p>
  </w:footnote>
  <w:footnote w:id="34">
    <w:p w14:paraId="7863C3B7" w14:textId="484B6932" w:rsidR="0044083E" w:rsidRPr="002E71F0" w:rsidRDefault="0044083E">
      <w:pPr>
        <w:pStyle w:val="Textpoznpodarou"/>
        <w:rPr>
          <w:sz w:val="18"/>
          <w:szCs w:val="18"/>
        </w:rPr>
      </w:pPr>
      <w:r>
        <w:rPr>
          <w:rStyle w:val="Znakapoznpodarou"/>
        </w:rPr>
        <w:footnoteRef/>
      </w:r>
      <w:r>
        <w:t xml:space="preserve"> </w:t>
      </w:r>
      <w:r w:rsidRPr="002E71F0">
        <w:rPr>
          <w:sz w:val="18"/>
          <w:szCs w:val="18"/>
        </w:rPr>
        <w:t xml:space="preserve">CESNET - organizace zajišťující </w:t>
      </w:r>
      <w:r w:rsidRPr="002E71F0">
        <w:rPr>
          <w:i/>
          <w:sz w:val="18"/>
          <w:szCs w:val="18"/>
        </w:rPr>
        <w:t>digitální infrastrukturu pro potřeby výzkumných organizací v ČR</w:t>
      </w:r>
      <w:r w:rsidRPr="002E71F0">
        <w:rPr>
          <w:sz w:val="18"/>
          <w:szCs w:val="18"/>
        </w:rPr>
        <w:t>, která zajišťuje přenosové a datové služby pro potřeby výzkumných organizací a současně realizuje vlastní výzkumnou činnost v této oblasti.</w:t>
      </w:r>
      <w:r>
        <w:rPr>
          <w:sz w:val="18"/>
          <w:szCs w:val="18"/>
        </w:rPr>
        <w:t xml:space="preserve"> Existuje od r. 1996.</w:t>
      </w:r>
    </w:p>
  </w:footnote>
  <w:footnote w:id="35">
    <w:p w14:paraId="0879052E" w14:textId="5375B534" w:rsidR="0044083E" w:rsidRDefault="0044083E">
      <w:pPr>
        <w:pStyle w:val="Textpoznpodarou"/>
      </w:pPr>
      <w:r>
        <w:rPr>
          <w:rStyle w:val="Znakapoznpodarou"/>
        </w:rPr>
        <w:footnoteRef/>
      </w:r>
      <w:r>
        <w:t xml:space="preserve"> Z národních programů je na podporu transferu technologií zacílen program GAMA poskytovatele TA ČR.</w:t>
      </w:r>
    </w:p>
  </w:footnote>
  <w:footnote w:id="36">
    <w:p w14:paraId="3E05DE57" w14:textId="77777777" w:rsidR="0044083E" w:rsidRPr="001B3605" w:rsidRDefault="0044083E" w:rsidP="003623FF">
      <w:pPr>
        <w:pStyle w:val="Textpoznpodarou"/>
        <w:jc w:val="both"/>
        <w:rPr>
          <w:rFonts w:asciiTheme="minorHAnsi" w:hAnsiTheme="minorHAnsi" w:cs="Calibri"/>
          <w:sz w:val="18"/>
          <w:szCs w:val="18"/>
        </w:rPr>
      </w:pPr>
      <w:r w:rsidRPr="001B3605">
        <w:rPr>
          <w:rStyle w:val="Znakapoznpodarou"/>
          <w:rFonts w:asciiTheme="minorHAnsi" w:hAnsiTheme="minorHAnsi" w:cs="Calibri"/>
          <w:sz w:val="18"/>
          <w:szCs w:val="18"/>
        </w:rPr>
        <w:footnoteRef/>
      </w:r>
      <w:r w:rsidRPr="001B3605">
        <w:rPr>
          <w:rFonts w:asciiTheme="minorHAnsi" w:hAnsiTheme="minorHAnsi" w:cs="Calibri"/>
          <w:sz w:val="18"/>
          <w:szCs w:val="18"/>
        </w:rPr>
        <w:t xml:space="preserve"> Viz výsledky šetření realizované v rámci Mezinárodního auditu VaVaI</w:t>
      </w:r>
      <w:r w:rsidRPr="001B3605">
        <w:rPr>
          <w:rFonts w:asciiTheme="minorHAnsi" w:hAnsiTheme="minorHAnsi" w:cs="Calibri"/>
          <w:i/>
          <w:sz w:val="18"/>
          <w:szCs w:val="18"/>
        </w:rPr>
        <w:t xml:space="preserve"> (Annex 5 to the Final Report:</w:t>
      </w:r>
      <w:r w:rsidRPr="001B3605">
        <w:rPr>
          <w:rFonts w:asciiTheme="minorHAnsi" w:hAnsiTheme="minorHAnsi" w:cs="Calibri"/>
          <w:sz w:val="18"/>
          <w:szCs w:val="18"/>
        </w:rPr>
        <w:t xml:space="preserve"> </w:t>
      </w:r>
      <w:r w:rsidRPr="001B3605">
        <w:rPr>
          <w:rFonts w:asciiTheme="minorHAnsi" w:hAnsiTheme="minorHAnsi" w:cs="Calibri"/>
          <w:i/>
          <w:sz w:val="18"/>
          <w:szCs w:val="18"/>
        </w:rPr>
        <w:t>Science-Industry Linkages.</w:t>
      </w:r>
    </w:p>
  </w:footnote>
  <w:footnote w:id="37">
    <w:p w14:paraId="022F931D" w14:textId="7D35EE4D" w:rsidR="0044083E" w:rsidRPr="001B3605" w:rsidRDefault="0044083E" w:rsidP="003623FF">
      <w:pPr>
        <w:pStyle w:val="Textpoznpodarou"/>
        <w:jc w:val="both"/>
        <w:rPr>
          <w:rFonts w:asciiTheme="minorHAnsi" w:hAnsiTheme="minorHAnsi" w:cs="Calibri"/>
          <w:sz w:val="18"/>
          <w:szCs w:val="18"/>
        </w:rPr>
      </w:pPr>
      <w:r w:rsidRPr="001B3605">
        <w:rPr>
          <w:rStyle w:val="Znakapoznpodarou"/>
          <w:rFonts w:asciiTheme="minorHAnsi" w:hAnsiTheme="minorHAnsi" w:cs="Calibri"/>
          <w:sz w:val="18"/>
          <w:szCs w:val="18"/>
        </w:rPr>
        <w:footnoteRef/>
      </w:r>
      <w:r w:rsidRPr="001B3605">
        <w:rPr>
          <w:rFonts w:asciiTheme="minorHAnsi" w:hAnsiTheme="minorHAnsi" w:cs="Calibri"/>
          <w:sz w:val="18"/>
          <w:szCs w:val="18"/>
        </w:rPr>
        <w:t xml:space="preserve"> Viz zejména </w:t>
      </w:r>
      <w:r w:rsidRPr="001B3605">
        <w:rPr>
          <w:rFonts w:asciiTheme="minorHAnsi" w:hAnsiTheme="minorHAnsi" w:cs="Calibri"/>
          <w:i/>
          <w:sz w:val="18"/>
          <w:szCs w:val="18"/>
        </w:rPr>
        <w:t>Mezinárodní audit VaVaI</w:t>
      </w:r>
      <w:r w:rsidRPr="001B3605">
        <w:rPr>
          <w:rFonts w:asciiTheme="minorHAnsi" w:hAnsiTheme="minorHAnsi" w:cs="Calibri"/>
          <w:sz w:val="18"/>
          <w:szCs w:val="18"/>
        </w:rPr>
        <w:t xml:space="preserve">, </w:t>
      </w:r>
      <w:r w:rsidRPr="001B3605">
        <w:rPr>
          <w:rFonts w:asciiTheme="minorHAnsi" w:hAnsiTheme="minorHAnsi" w:cs="Calibri"/>
          <w:i/>
          <w:sz w:val="18"/>
          <w:szCs w:val="18"/>
        </w:rPr>
        <w:t>Annex 5</w:t>
      </w:r>
      <w:r w:rsidRPr="001B3605">
        <w:rPr>
          <w:rFonts w:asciiTheme="minorHAnsi" w:hAnsiTheme="minorHAnsi" w:cs="Calibri"/>
          <w:sz w:val="18"/>
          <w:szCs w:val="18"/>
        </w:rPr>
        <w:t xml:space="preserve"> </w:t>
      </w:r>
      <w:r w:rsidRPr="001B3605">
        <w:rPr>
          <w:rFonts w:asciiTheme="minorHAnsi" w:hAnsiTheme="minorHAnsi" w:cs="Calibri"/>
          <w:i/>
          <w:sz w:val="18"/>
          <w:szCs w:val="18"/>
        </w:rPr>
        <w:t>Science-Industry Linkages</w:t>
      </w:r>
      <w:r w:rsidRPr="001B3605">
        <w:rPr>
          <w:rFonts w:asciiTheme="minorHAnsi" w:hAnsiTheme="minorHAnsi" w:cs="Calibri"/>
          <w:sz w:val="18"/>
          <w:szCs w:val="18"/>
        </w:rPr>
        <w:t>, nebo Berman Group (2010b).</w:t>
      </w:r>
    </w:p>
  </w:footnote>
  <w:footnote w:id="38">
    <w:p w14:paraId="762B7B66" w14:textId="77777777" w:rsidR="0044083E" w:rsidRPr="001B3605" w:rsidRDefault="0044083E" w:rsidP="003F5D0F">
      <w:pPr>
        <w:pStyle w:val="Textpoznpodarou"/>
        <w:jc w:val="both"/>
        <w:rPr>
          <w:rFonts w:asciiTheme="minorHAnsi" w:hAnsiTheme="minorHAnsi" w:cs="Arial"/>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w:t>
      </w:r>
      <w:r w:rsidRPr="001B3605">
        <w:rPr>
          <w:rFonts w:asciiTheme="minorHAnsi" w:hAnsiTheme="minorHAnsi" w:cs="Arial"/>
          <w:sz w:val="18"/>
          <w:szCs w:val="18"/>
        </w:rPr>
        <w:t>Tvůrčí volno - placené, částečně placené nebo neplacené volno poskytované vysokými školami vysokoškolským učitelům za účelem vědecké práce, sebevzdělávání, práce na publikaci a/nebo psychohygieny.</w:t>
      </w:r>
    </w:p>
  </w:footnote>
  <w:footnote w:id="39">
    <w:p w14:paraId="4EE67C10" w14:textId="77777777" w:rsidR="0044083E" w:rsidRPr="001B3605" w:rsidRDefault="0044083E" w:rsidP="00853043">
      <w:pPr>
        <w:pStyle w:val="Textpoznpodarou"/>
        <w:jc w:val="both"/>
        <w:rPr>
          <w:rFonts w:asciiTheme="minorHAnsi" w:hAnsiTheme="minorHAnsi" w:cs="Arial"/>
          <w:sz w:val="18"/>
          <w:szCs w:val="18"/>
        </w:rPr>
      </w:pPr>
      <w:r w:rsidRPr="001B3605">
        <w:rPr>
          <w:rStyle w:val="Znakapoznpodarou"/>
          <w:rFonts w:asciiTheme="minorHAnsi" w:hAnsiTheme="minorHAnsi" w:cs="Calibri"/>
          <w:sz w:val="18"/>
          <w:szCs w:val="18"/>
        </w:rPr>
        <w:footnoteRef/>
      </w:r>
      <w:r w:rsidRPr="001B3605">
        <w:rPr>
          <w:rFonts w:asciiTheme="minorHAnsi" w:hAnsiTheme="minorHAnsi" w:cs="Calibri"/>
          <w:sz w:val="18"/>
          <w:szCs w:val="18"/>
        </w:rPr>
        <w:t xml:space="preserve"> </w:t>
      </w:r>
      <w:r w:rsidRPr="001B3605">
        <w:rPr>
          <w:rFonts w:asciiTheme="minorHAnsi" w:hAnsiTheme="minorHAnsi" w:cs="Arial"/>
          <w:sz w:val="18"/>
          <w:szCs w:val="18"/>
        </w:rPr>
        <w:t xml:space="preserve">Podrobněji viz Mezinárodní audit VaV, annex 2. </w:t>
      </w:r>
      <w:r w:rsidRPr="001B3605">
        <w:rPr>
          <w:rFonts w:asciiTheme="minorHAnsi" w:hAnsiTheme="minorHAnsi" w:cs="Arial"/>
          <w:i/>
          <w:sz w:val="18"/>
          <w:szCs w:val="18"/>
        </w:rPr>
        <w:t>R&amp;D Governance in the Czech Republic</w:t>
      </w:r>
      <w:r w:rsidRPr="001B3605">
        <w:rPr>
          <w:rFonts w:asciiTheme="minorHAnsi" w:hAnsiTheme="minorHAnsi" w:cs="Arial"/>
          <w:sz w:val="18"/>
          <w:szCs w:val="18"/>
        </w:rPr>
        <w:t xml:space="preserve"> a doporučení Mezinárodního auditu.</w:t>
      </w:r>
    </w:p>
  </w:footnote>
  <w:footnote w:id="40">
    <w:p w14:paraId="7B32419C" w14:textId="77777777" w:rsidR="0044083E" w:rsidRPr="001B3605" w:rsidRDefault="0044083E" w:rsidP="00853043">
      <w:pPr>
        <w:pStyle w:val="Textpoznpodarou"/>
        <w:jc w:val="both"/>
        <w:rPr>
          <w:rFonts w:asciiTheme="minorHAnsi" w:hAnsiTheme="minorHAnsi"/>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Zejména neprovázanost zákonů č. 130/2002 Sb., zákona č. 218/2000 Sb. a zákona č. 341/2005 Sb.</w:t>
      </w:r>
    </w:p>
  </w:footnote>
  <w:footnote w:id="41">
    <w:p w14:paraId="520BE8AB" w14:textId="77777777" w:rsidR="0044083E" w:rsidRPr="001B3605" w:rsidRDefault="0044083E" w:rsidP="00853043">
      <w:pPr>
        <w:pStyle w:val="Textpoznpodarou"/>
        <w:jc w:val="both"/>
        <w:rPr>
          <w:rFonts w:asciiTheme="minorHAnsi" w:hAnsiTheme="minorHAnsi" w:cs="Arial"/>
          <w:sz w:val="18"/>
          <w:szCs w:val="18"/>
        </w:rPr>
      </w:pPr>
      <w:r w:rsidRPr="001B3605">
        <w:rPr>
          <w:rStyle w:val="Znakapoznpodarou"/>
          <w:rFonts w:asciiTheme="minorHAnsi" w:hAnsiTheme="minorHAnsi" w:cs="Arial"/>
          <w:sz w:val="18"/>
          <w:szCs w:val="18"/>
        </w:rPr>
        <w:footnoteRef/>
      </w:r>
      <w:r w:rsidRPr="001B3605">
        <w:rPr>
          <w:rFonts w:asciiTheme="minorHAnsi" w:hAnsiTheme="minorHAnsi" w:cs="Arial"/>
          <w:sz w:val="18"/>
          <w:szCs w:val="18"/>
        </w:rPr>
        <w:t xml:space="preserve"> Viz např. srovnání ČR s dalšími státy v rámci projektu Erawatch: </w:t>
      </w:r>
      <w:hyperlink r:id="rId5" w:history="1">
        <w:r w:rsidRPr="001B3605">
          <w:rPr>
            <w:rStyle w:val="Hypertextovodkaz"/>
            <w:rFonts w:asciiTheme="minorHAnsi" w:hAnsiTheme="minorHAnsi" w:cs="Arial"/>
            <w:sz w:val="18"/>
            <w:szCs w:val="18"/>
          </w:rPr>
          <w:t>http://erawatch.jrc.ec.europa.eu/</w:t>
        </w:r>
      </w:hyperlink>
      <w:r w:rsidRPr="001B3605">
        <w:rPr>
          <w:rFonts w:asciiTheme="minorHAnsi" w:hAnsiTheme="minorHAnsi" w:cs="Arial"/>
          <w:sz w:val="18"/>
          <w:szCs w:val="18"/>
        </w:rPr>
        <w:t xml:space="preserve"> .</w:t>
      </w:r>
    </w:p>
  </w:footnote>
  <w:footnote w:id="42">
    <w:p w14:paraId="2DE9D0A6" w14:textId="77777777" w:rsidR="0044083E" w:rsidRPr="001B3605" w:rsidRDefault="0044083E" w:rsidP="00BB1BC9">
      <w:pPr>
        <w:pStyle w:val="Textpoznpodarou"/>
        <w:jc w:val="both"/>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w:t>
      </w:r>
      <w:r w:rsidRPr="001B3605">
        <w:rPr>
          <w:rFonts w:asciiTheme="minorHAnsi" w:hAnsiTheme="minorHAnsi" w:cs="Arial"/>
          <w:sz w:val="18"/>
          <w:szCs w:val="18"/>
        </w:rPr>
        <w:t>Mezi přírodní vědy a nauky, dle klasifikace kmenových oborů vzdělávání, náleží např. matematické, geologické, geografické, chemické, fyzikální a informatické obory, které bývají často vnímány jako obory technické.</w:t>
      </w:r>
    </w:p>
  </w:footnote>
  <w:footnote w:id="43">
    <w:p w14:paraId="63A69FA1" w14:textId="2D868C0C" w:rsidR="0044083E" w:rsidRDefault="0044083E">
      <w:pPr>
        <w:pStyle w:val="Textpoznpodarou"/>
      </w:pPr>
      <w:r>
        <w:rPr>
          <w:rStyle w:val="Znakapoznpodarou"/>
        </w:rPr>
        <w:footnoteRef/>
      </w:r>
      <w:r>
        <w:t xml:space="preserve"> Genderovou nerovnost mladých výzkumníků řeší částečně např. program Zéta poskytovatele TA ČR.</w:t>
      </w:r>
    </w:p>
  </w:footnote>
  <w:footnote w:id="44">
    <w:p w14:paraId="7DF632B0" w14:textId="77777777" w:rsidR="0044083E" w:rsidRPr="001B3605" w:rsidRDefault="0044083E" w:rsidP="00815F3B">
      <w:pPr>
        <w:pStyle w:val="Textpoznpodarou"/>
        <w:jc w:val="both"/>
        <w:rPr>
          <w:rFonts w:asciiTheme="minorHAnsi" w:hAnsiTheme="minorHAnsi"/>
          <w:color w:val="FF0000"/>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w:t>
      </w:r>
      <w:r w:rsidRPr="001B3605">
        <w:rPr>
          <w:rFonts w:asciiTheme="minorHAnsi" w:hAnsiTheme="minorHAnsi" w:cs="Arial"/>
          <w:sz w:val="18"/>
          <w:szCs w:val="18"/>
        </w:rPr>
        <w:t xml:space="preserve"> Dne 12. listopadu 2014 byla schválena usnesením vlády ČR Strategie digitálního vzdělávání do roku 2020. </w:t>
      </w:r>
    </w:p>
  </w:footnote>
  <w:footnote w:id="45">
    <w:p w14:paraId="382CCD00" w14:textId="77777777" w:rsidR="00394F62" w:rsidRDefault="00394F62" w:rsidP="00394F62">
      <w:pPr>
        <w:pStyle w:val="Textpoznpodarou"/>
        <w:jc w:val="both"/>
      </w:pPr>
      <w:r>
        <w:rPr>
          <w:rStyle w:val="Znakapoznpodarou"/>
        </w:rPr>
        <w:footnoteRef/>
      </w:r>
      <w:r>
        <w:t xml:space="preserve"> </w:t>
      </w:r>
      <w:r w:rsidRPr="00BA5DF0">
        <w:t>Dluh vládního sektoru (v % HDP) se dle aktuálních dat v roce 2013 zvýšil o 0,2 p.b. Pro roky 2014 a 2015 MF ČR předpokládá jeho pokles na 43,9, resp. 42,2 % HDP</w:t>
      </w:r>
      <w:r>
        <w:t>.</w:t>
      </w:r>
    </w:p>
  </w:footnote>
  <w:footnote w:id="46">
    <w:p w14:paraId="29C14D5F" w14:textId="77777777" w:rsidR="00394F62" w:rsidRDefault="00394F62" w:rsidP="00394F62">
      <w:pPr>
        <w:pStyle w:val="Textpoznpodarou"/>
        <w:jc w:val="both"/>
      </w:pPr>
      <w:r>
        <w:rPr>
          <w:rStyle w:val="Znakapoznpodarou"/>
        </w:rPr>
        <w:footnoteRef/>
      </w:r>
      <w:r>
        <w:t xml:space="preserve"> Udržitelnost důchodového systému bude částečně pokryta </w:t>
      </w:r>
      <w:r w:rsidRPr="00734242">
        <w:t>prodlužování</w:t>
      </w:r>
      <w:r>
        <w:t>m</w:t>
      </w:r>
      <w:r w:rsidRPr="00734242">
        <w:t xml:space="preserve"> naděje dožití pro období následujících 20-25 let</w:t>
      </w:r>
      <w:r>
        <w:t>.</w:t>
      </w:r>
    </w:p>
  </w:footnote>
  <w:footnote w:id="47">
    <w:p w14:paraId="77C1FD37" w14:textId="77777777" w:rsidR="00394F62" w:rsidRDefault="00394F62" w:rsidP="00394F62">
      <w:pPr>
        <w:pStyle w:val="Textpoznpodarou"/>
        <w:jc w:val="both"/>
      </w:pPr>
      <w:r>
        <w:rPr>
          <w:rStyle w:val="Znakapoznpodarou"/>
        </w:rPr>
        <w:footnoteRef/>
      </w:r>
      <w:r>
        <w:t xml:space="preserve"> Celkově záporná bilance talentů.</w:t>
      </w:r>
    </w:p>
  </w:footnote>
  <w:footnote w:id="48">
    <w:p w14:paraId="75088769" w14:textId="7EA7FB31" w:rsidR="0044083E" w:rsidRPr="00C70DF9" w:rsidRDefault="0044083E" w:rsidP="000570B9">
      <w:pPr>
        <w:pStyle w:val="Textpoznpodarou"/>
        <w:jc w:val="both"/>
        <w:rPr>
          <w:rFonts w:cstheme="minorHAnsi"/>
          <w:sz w:val="18"/>
          <w:szCs w:val="18"/>
        </w:rPr>
      </w:pPr>
      <w:r w:rsidRPr="00C70DF9">
        <w:rPr>
          <w:rStyle w:val="Znakapoznpodarou"/>
          <w:rFonts w:cstheme="minorHAnsi"/>
          <w:sz w:val="18"/>
          <w:szCs w:val="18"/>
        </w:rPr>
        <w:footnoteRef/>
      </w:r>
      <w:r>
        <w:rPr>
          <w:rFonts w:cstheme="minorHAnsi"/>
          <w:sz w:val="18"/>
          <w:szCs w:val="18"/>
        </w:rPr>
        <w:t xml:space="preserve">  </w:t>
      </w:r>
      <w:r w:rsidRPr="00C70DF9">
        <w:rPr>
          <w:rFonts w:cstheme="minorHAnsi"/>
          <w:sz w:val="18"/>
          <w:szCs w:val="18"/>
        </w:rPr>
        <w:t>Hodnota vychází ze statistiky Českého statistického úřadu – zahraniční obchod a HPH, národní účty.</w:t>
      </w:r>
    </w:p>
  </w:footnote>
  <w:footnote w:id="49">
    <w:p w14:paraId="633FCAA4" w14:textId="77777777" w:rsidR="0044083E" w:rsidRPr="00C70DF9" w:rsidRDefault="0044083E" w:rsidP="000570B9">
      <w:pPr>
        <w:pStyle w:val="Textpoznpodarou"/>
        <w:jc w:val="both"/>
        <w:rPr>
          <w:rFonts w:ascii="Arial" w:hAnsi="Arial" w:cs="Arial"/>
          <w:sz w:val="18"/>
          <w:szCs w:val="18"/>
        </w:rPr>
      </w:pPr>
      <w:r w:rsidRPr="00C70DF9">
        <w:rPr>
          <w:rStyle w:val="Znakapoznpodarou"/>
          <w:rFonts w:cstheme="minorHAnsi"/>
          <w:sz w:val="18"/>
          <w:szCs w:val="18"/>
        </w:rPr>
        <w:footnoteRef/>
      </w:r>
      <w:r w:rsidRPr="00C70DF9">
        <w:rPr>
          <w:rFonts w:cstheme="minorHAnsi"/>
          <w:sz w:val="18"/>
          <w:szCs w:val="18"/>
        </w:rPr>
        <w:t xml:space="preserve"> SITC 2 – Standardní mezinárodní klasifikace obchodovaného zboží. SITC 2 označuje úroveň podrobnosti členění na dvě místa.</w:t>
      </w:r>
      <w:r w:rsidRPr="00C70DF9">
        <w:rPr>
          <w:rFonts w:ascii="Arial" w:hAnsi="Arial" w:cs="Arial"/>
          <w:sz w:val="18"/>
          <w:szCs w:val="18"/>
        </w:rPr>
        <w:t xml:space="preserve"> </w:t>
      </w:r>
    </w:p>
  </w:footnote>
  <w:footnote w:id="50">
    <w:p w14:paraId="214DED64" w14:textId="77777777" w:rsidR="0044083E" w:rsidRPr="00C70DF9" w:rsidRDefault="0044083E" w:rsidP="000570B9">
      <w:pPr>
        <w:jc w:val="both"/>
        <w:rPr>
          <w:sz w:val="18"/>
          <w:szCs w:val="18"/>
        </w:rPr>
      </w:pPr>
      <w:r w:rsidRPr="00721587">
        <w:rPr>
          <w:rStyle w:val="Znakapoznpodarou"/>
          <w:sz w:val="18"/>
          <w:szCs w:val="18"/>
        </w:rPr>
        <w:footnoteRef/>
      </w:r>
      <w:r w:rsidRPr="00C70DF9">
        <w:rPr>
          <w:sz w:val="18"/>
          <w:szCs w:val="18"/>
        </w:rPr>
        <w:t xml:space="preserve"> </w:t>
      </w:r>
      <w:r w:rsidRPr="00C70DF9">
        <w:rPr>
          <w:rFonts w:eastAsiaTheme="minorEastAsia" w:cstheme="minorHAnsi"/>
          <w:sz w:val="18"/>
          <w:szCs w:val="18"/>
          <w:lang w:eastAsia="cs-CZ"/>
        </w:rPr>
        <w:t>Balassův index (BI), nebo též index odhalené komparativní výhody (Revealed Comparative Advantage). BI je pro vývoz vyjádřen jako poměr podílu vývozů dané komoditní skupiny na celkových vývozech dané země a podílu vývozů této komoditní skupiny na celkových vývozech sledované referenční skupiny zemí. Pokud je hodnota BI větší než jedna, potom můžeme říct, že daná země se v rámci zkoumané skupiny zemí specializuje na vývoz dané komoditní skupiny.</w:t>
      </w:r>
    </w:p>
    <w:p w14:paraId="4598D9D0" w14:textId="77777777" w:rsidR="0044083E" w:rsidRDefault="0044083E" w:rsidP="000570B9">
      <w:pPr>
        <w:pStyle w:val="Textpoznpodarou"/>
      </w:pPr>
    </w:p>
  </w:footnote>
  <w:footnote w:id="51">
    <w:p w14:paraId="65701DA9" w14:textId="77777777" w:rsidR="0044083E" w:rsidRPr="001566E0" w:rsidRDefault="0044083E" w:rsidP="00B2479C">
      <w:pPr>
        <w:pStyle w:val="Textpoznpodarou"/>
        <w:jc w:val="both"/>
        <w:rPr>
          <w:rFonts w:cstheme="minorHAnsi"/>
          <w:sz w:val="18"/>
          <w:szCs w:val="18"/>
        </w:rPr>
      </w:pPr>
      <w:r w:rsidRPr="001566E0">
        <w:rPr>
          <w:rStyle w:val="Znakapoznpodarou"/>
          <w:rFonts w:cstheme="minorHAnsi"/>
          <w:sz w:val="18"/>
          <w:szCs w:val="18"/>
        </w:rPr>
        <w:footnoteRef/>
      </w:r>
      <w:r w:rsidRPr="001566E0">
        <w:rPr>
          <w:rFonts w:cstheme="minorHAnsi"/>
          <w:sz w:val="18"/>
          <w:szCs w:val="18"/>
        </w:rPr>
        <w:t xml:space="preserve"> Hutnictví a kovodělný průmysl jsou zdroji významných modulů a komponent např. pro produkty z oblasti silnoproudé elektrotechniky (např. generátory, elektromotory apod.), konstrukcí automobilů, strojů ad. </w:t>
      </w:r>
    </w:p>
  </w:footnote>
  <w:footnote w:id="52">
    <w:p w14:paraId="192EBE07" w14:textId="7E58A643" w:rsidR="0044083E" w:rsidRPr="001566E0" w:rsidRDefault="0044083E" w:rsidP="00B2479C">
      <w:pPr>
        <w:pStyle w:val="Textpoznpodarou"/>
        <w:jc w:val="both"/>
        <w:rPr>
          <w:rFonts w:cstheme="minorHAnsi"/>
          <w:sz w:val="18"/>
          <w:szCs w:val="18"/>
        </w:rPr>
      </w:pPr>
      <w:r w:rsidRPr="001566E0">
        <w:rPr>
          <w:rStyle w:val="Znakapoznpodarou"/>
          <w:rFonts w:cstheme="minorHAnsi"/>
          <w:sz w:val="18"/>
          <w:szCs w:val="18"/>
        </w:rPr>
        <w:footnoteRef/>
      </w:r>
      <w:r w:rsidRPr="001566E0">
        <w:rPr>
          <w:rFonts w:cstheme="minorHAnsi"/>
          <w:sz w:val="18"/>
          <w:szCs w:val="18"/>
        </w:rPr>
        <w:t xml:space="preserve"> Firmy v automobilovém průmyslu velmi silně tlačí na snižování jednotkových nákladů a tím na výrobní efektivitu a absorpci moderních technologií u svých dodavatelů (viz Berman Group, 2010: Analýza věcných priorit a potřeb jednotlivých oblastí v</w:t>
      </w:r>
      <w:r>
        <w:rPr>
          <w:rFonts w:cstheme="minorHAnsi"/>
          <w:sz w:val="18"/>
          <w:szCs w:val="18"/>
        </w:rPr>
        <w:t> </w:t>
      </w:r>
      <w:r w:rsidRPr="001566E0">
        <w:rPr>
          <w:rFonts w:cstheme="minorHAnsi"/>
          <w:sz w:val="18"/>
          <w:szCs w:val="18"/>
        </w:rPr>
        <w:t xml:space="preserve">působnosti MPO pro zaměření podpory ze strukturálních fondů EU v příštím programovacím období 2014+). Tyto firmy, často z kovodělného, hutnického a plastikářského průmyslu, postupně dosáhly vysoké výrobní efektivity, což jim umožnilo úspěšně pronikat na jiné trhy mimo automobilový průmysl. </w:t>
      </w:r>
    </w:p>
  </w:footnote>
  <w:footnote w:id="53">
    <w:p w14:paraId="313CE005" w14:textId="77777777" w:rsidR="0044083E" w:rsidRPr="001566E0" w:rsidRDefault="0044083E" w:rsidP="00B2479C">
      <w:pPr>
        <w:pStyle w:val="Textpoznpodarou"/>
        <w:jc w:val="both"/>
        <w:rPr>
          <w:rFonts w:cstheme="minorHAnsi"/>
          <w:sz w:val="18"/>
          <w:szCs w:val="18"/>
        </w:rPr>
      </w:pPr>
      <w:r w:rsidRPr="001566E0">
        <w:rPr>
          <w:rStyle w:val="Znakapoznpodarou"/>
          <w:rFonts w:cstheme="minorHAnsi"/>
          <w:sz w:val="18"/>
          <w:szCs w:val="18"/>
        </w:rPr>
        <w:footnoteRef/>
      </w:r>
      <w:r w:rsidRPr="001566E0">
        <w:rPr>
          <w:rFonts w:cstheme="minorHAnsi"/>
          <w:sz w:val="18"/>
          <w:szCs w:val="18"/>
        </w:rPr>
        <w:t xml:space="preserve"> Od zdravotnických prostředků přes pera a tužky až po bižuterii a ozdobné předměty pro turisty. Nicméně obor zdravotnických prostředků a pomůcek vykazuje obzvlášť zajímavou dynamiku.</w:t>
      </w:r>
    </w:p>
  </w:footnote>
  <w:footnote w:id="54">
    <w:p w14:paraId="076AF29E" w14:textId="77777777" w:rsidR="0044083E" w:rsidRPr="00005D72" w:rsidRDefault="0044083E" w:rsidP="00B2479C">
      <w:pPr>
        <w:pStyle w:val="Textpoznpodarou"/>
        <w:jc w:val="both"/>
        <w:rPr>
          <w:rFonts w:ascii="Arial" w:hAnsi="Arial" w:cs="Arial"/>
          <w:sz w:val="16"/>
          <w:szCs w:val="16"/>
        </w:rPr>
      </w:pPr>
      <w:r w:rsidRPr="001566E0">
        <w:rPr>
          <w:rStyle w:val="Znakapoznpodarou"/>
          <w:rFonts w:cstheme="minorHAnsi"/>
          <w:sz w:val="18"/>
          <w:szCs w:val="18"/>
        </w:rPr>
        <w:footnoteRef/>
      </w:r>
      <w:r w:rsidRPr="001566E0">
        <w:rPr>
          <w:rFonts w:cstheme="minorHAnsi"/>
          <w:sz w:val="18"/>
          <w:szCs w:val="18"/>
        </w:rPr>
        <w:t xml:space="preserve"> Berman Group (2010): Analýza věcných priorit a potřeb jednotlivých oblastí v působnosti MPO pro zaměření podpory ze strukturálních fondů EU v příštím programovacím období 2014+</w:t>
      </w:r>
    </w:p>
  </w:footnote>
  <w:footnote w:id="55">
    <w:p w14:paraId="46AF0047" w14:textId="77777777" w:rsidR="0044083E" w:rsidRPr="003154D9" w:rsidRDefault="0044083E" w:rsidP="003154D9">
      <w:pPr>
        <w:pStyle w:val="Textpoznpodarou"/>
        <w:jc w:val="both"/>
        <w:rPr>
          <w:rFonts w:cstheme="minorHAnsi"/>
          <w:sz w:val="18"/>
          <w:szCs w:val="18"/>
        </w:rPr>
      </w:pPr>
      <w:r w:rsidRPr="003154D9">
        <w:rPr>
          <w:rStyle w:val="Znakapoznpodarou"/>
          <w:rFonts w:cstheme="minorHAnsi"/>
          <w:sz w:val="18"/>
          <w:szCs w:val="18"/>
        </w:rPr>
        <w:footnoteRef/>
      </w:r>
      <w:r w:rsidRPr="003154D9">
        <w:rPr>
          <w:rFonts w:cstheme="minorHAnsi"/>
          <w:sz w:val="18"/>
          <w:szCs w:val="18"/>
        </w:rPr>
        <w:t xml:space="preserve"> Z Prahy lze v rámci jednodenní cesty kamiónu obsloužit trh čítající cca. 200 mil. lidí, přičemž jejich kupní síla je v rámci světového srovnání velmi vysoká. </w:t>
      </w:r>
    </w:p>
  </w:footnote>
  <w:footnote w:id="56">
    <w:p w14:paraId="42AA6CB3" w14:textId="3EDF9635" w:rsidR="0044083E" w:rsidRPr="00005D72" w:rsidRDefault="0044083E" w:rsidP="003154D9">
      <w:pPr>
        <w:pStyle w:val="Textpoznpodarou"/>
        <w:jc w:val="both"/>
        <w:rPr>
          <w:rFonts w:ascii="Arial" w:hAnsi="Arial" w:cs="Arial"/>
          <w:sz w:val="16"/>
          <w:szCs w:val="16"/>
        </w:rPr>
      </w:pPr>
      <w:r w:rsidRPr="003154D9">
        <w:rPr>
          <w:rStyle w:val="Znakapoznpodarou"/>
          <w:rFonts w:cstheme="minorHAnsi"/>
          <w:sz w:val="18"/>
          <w:szCs w:val="18"/>
        </w:rPr>
        <w:footnoteRef/>
      </w:r>
      <w:r w:rsidRPr="003154D9">
        <w:rPr>
          <w:rFonts w:cstheme="minorHAnsi"/>
          <w:sz w:val="18"/>
          <w:szCs w:val="18"/>
        </w:rPr>
        <w:t xml:space="preserve"> V posledním desetiletí se rozvíjí služby související s trendem rostoucí individualizace spotřeby a péče o zákazníka. Příkladem může být zajištění operačních setů na míru nemocnicím, kdy operační sety obsahují nástroje a prostředky (vyrobené v různých zemích) připravené na míru lékařům vedoucích operace v dané nemocnici. Tímto způsobem jsou z ČR obsluhovány i</w:t>
      </w:r>
      <w:r>
        <w:rPr>
          <w:rFonts w:cstheme="minorHAnsi"/>
          <w:sz w:val="18"/>
          <w:szCs w:val="18"/>
        </w:rPr>
        <w:t> </w:t>
      </w:r>
      <w:r w:rsidRPr="003154D9">
        <w:rPr>
          <w:rFonts w:cstheme="minorHAnsi"/>
          <w:sz w:val="18"/>
          <w:szCs w:val="18"/>
        </w:rPr>
        <w:t>nemocnice v okolních zemích (např. v Německu).</w:t>
      </w:r>
      <w:r w:rsidRPr="003154D9">
        <w:rPr>
          <w:rFonts w:ascii="Arial" w:hAnsi="Arial" w:cs="Arial"/>
          <w:sz w:val="18"/>
          <w:szCs w:val="18"/>
        </w:rPr>
        <w:t xml:space="preserve"> </w:t>
      </w:r>
    </w:p>
  </w:footnote>
  <w:footnote w:id="57">
    <w:p w14:paraId="1F18DEC1" w14:textId="77777777" w:rsidR="0044083E" w:rsidRPr="002B2E0E" w:rsidRDefault="0044083E" w:rsidP="003154D9">
      <w:pPr>
        <w:pStyle w:val="Textpoznpodarou"/>
        <w:jc w:val="both"/>
        <w:rPr>
          <w:sz w:val="18"/>
          <w:szCs w:val="18"/>
        </w:rPr>
      </w:pPr>
      <w:r w:rsidRPr="002B2E0E">
        <w:rPr>
          <w:rStyle w:val="Znakapoznpodarou"/>
          <w:sz w:val="18"/>
          <w:szCs w:val="18"/>
        </w:rPr>
        <w:footnoteRef/>
      </w:r>
      <w:r w:rsidRPr="002B2E0E">
        <w:rPr>
          <w:sz w:val="18"/>
          <w:szCs w:val="18"/>
        </w:rPr>
        <w:t xml:space="preserve"> Viz např. Good Country Index, který identifikuje ČR v globálním měřítku jako jednu z předních zemí z hlediska relativní intenzity exportu kulturních statků ve vztahu k velikosti národní ekonomiky (The Good Country (2017) - </w:t>
      </w:r>
      <w:hyperlink r:id="rId6" w:history="1">
        <w:r w:rsidRPr="002B2E0E">
          <w:rPr>
            <w:rStyle w:val="Hypertextovodkaz"/>
            <w:sz w:val="18"/>
            <w:szCs w:val="18"/>
          </w:rPr>
          <w:t>https://goodcountry.org/index/results</w:t>
        </w:r>
      </w:hyperlink>
      <w:r w:rsidRPr="002B2E0E">
        <w:rPr>
          <w:sz w:val="18"/>
          <w:szCs w:val="18"/>
        </w:rPr>
        <w:t xml:space="preserve">). </w:t>
      </w:r>
    </w:p>
  </w:footnote>
  <w:footnote w:id="58">
    <w:p w14:paraId="3BC8FAFF" w14:textId="3F309D1A" w:rsidR="0044083E" w:rsidRDefault="0044083E" w:rsidP="000750F8">
      <w:pPr>
        <w:pStyle w:val="Textpoznpodarou"/>
        <w:jc w:val="both"/>
      </w:pPr>
      <w:r>
        <w:rPr>
          <w:rStyle w:val="Znakapoznpodarou"/>
        </w:rPr>
        <w:footnoteRef/>
      </w:r>
      <w:r>
        <w:t xml:space="preserve"> </w:t>
      </w:r>
      <w:r w:rsidRPr="00BA0E7A">
        <w:rPr>
          <w:sz w:val="18"/>
          <w:szCs w:val="18"/>
        </w:rPr>
        <w:t>Analýza vychází ze</w:t>
      </w:r>
      <w:r>
        <w:rPr>
          <w:sz w:val="18"/>
          <w:szCs w:val="18"/>
        </w:rPr>
        <w:t xml:space="preserve"> srovnání</w:t>
      </w:r>
      <w:r w:rsidRPr="00BA0E7A">
        <w:rPr>
          <w:sz w:val="18"/>
          <w:szCs w:val="18"/>
        </w:rPr>
        <w:t xml:space="preserve"> znalostní intenzity ve vybraných oborech ČR a zeměmi OECD.</w:t>
      </w:r>
      <w:r>
        <w:t xml:space="preserve"> </w:t>
      </w:r>
      <w:r w:rsidRPr="00BA0E7A">
        <w:rPr>
          <w:sz w:val="18"/>
          <w:szCs w:val="18"/>
        </w:rPr>
        <w:t xml:space="preserve">OECD </w:t>
      </w:r>
      <w:r>
        <w:rPr>
          <w:sz w:val="18"/>
          <w:szCs w:val="18"/>
        </w:rPr>
        <w:t xml:space="preserve">však </w:t>
      </w:r>
      <w:r w:rsidRPr="00BA0E7A">
        <w:rPr>
          <w:sz w:val="18"/>
          <w:szCs w:val="18"/>
        </w:rPr>
        <w:t>od roku 2010 přestalo sledovat na celku pro „OECD země“ pro BERD a HDP. Z tohoto důvodu není možné tabulku aktualizovat.</w:t>
      </w:r>
    </w:p>
  </w:footnote>
  <w:footnote w:id="59">
    <w:p w14:paraId="51C99F82" w14:textId="77777777" w:rsidR="0044083E" w:rsidRPr="00AB1CD9" w:rsidRDefault="0044083E" w:rsidP="00790C59">
      <w:pPr>
        <w:pStyle w:val="Textpoznpodarou"/>
        <w:rPr>
          <w:rFonts w:cs="Arial"/>
          <w:sz w:val="18"/>
          <w:szCs w:val="16"/>
        </w:rPr>
      </w:pPr>
      <w:r w:rsidRPr="00AB1CD9">
        <w:rPr>
          <w:rStyle w:val="Znakapoznpodarou"/>
          <w:rFonts w:cs="Arial"/>
          <w:sz w:val="18"/>
          <w:szCs w:val="16"/>
        </w:rPr>
        <w:footnoteRef/>
      </w:r>
      <w:r w:rsidRPr="00AB1CD9">
        <w:rPr>
          <w:rFonts w:cs="Arial"/>
          <w:sz w:val="18"/>
          <w:szCs w:val="16"/>
        </w:rPr>
        <w:t xml:space="preserve"> Ať už jde o auta, letadla či autobusy.</w:t>
      </w:r>
    </w:p>
  </w:footnote>
  <w:footnote w:id="60">
    <w:p w14:paraId="3EF9245B" w14:textId="77777777" w:rsidR="0044083E" w:rsidRPr="00AB1CD9" w:rsidRDefault="0044083E" w:rsidP="00790C59">
      <w:pPr>
        <w:pStyle w:val="Textpoznpodarou"/>
        <w:rPr>
          <w:rFonts w:cs="Arial"/>
          <w:sz w:val="18"/>
          <w:szCs w:val="16"/>
        </w:rPr>
      </w:pPr>
      <w:r w:rsidRPr="00AB1CD9">
        <w:rPr>
          <w:rStyle w:val="Znakapoznpodarou"/>
          <w:rFonts w:cs="Arial"/>
          <w:sz w:val="18"/>
          <w:szCs w:val="16"/>
        </w:rPr>
        <w:footnoteRef/>
      </w:r>
      <w:r w:rsidRPr="00AB1CD9">
        <w:rPr>
          <w:rFonts w:cs="Arial"/>
          <w:sz w:val="18"/>
          <w:szCs w:val="16"/>
        </w:rPr>
        <w:t xml:space="preserve"> Podíl příslušných NACE 62 a NACE 63 na podnikových VaV výdajích přesahuje 10 %.</w:t>
      </w:r>
    </w:p>
  </w:footnote>
  <w:footnote w:id="61">
    <w:p w14:paraId="76F480A3" w14:textId="2B09F744" w:rsidR="0044083E" w:rsidRPr="0088654D" w:rsidRDefault="0044083E" w:rsidP="00790C59">
      <w:pPr>
        <w:pStyle w:val="Textpoznpodarou"/>
        <w:jc w:val="both"/>
        <w:rPr>
          <w:sz w:val="18"/>
          <w:szCs w:val="18"/>
        </w:rPr>
      </w:pPr>
      <w:r w:rsidRPr="0088654D">
        <w:rPr>
          <w:rStyle w:val="Znakapoznpodarou"/>
          <w:sz w:val="18"/>
          <w:szCs w:val="18"/>
        </w:rPr>
        <w:footnoteRef/>
      </w:r>
      <w:r w:rsidRPr="0088654D">
        <w:rPr>
          <w:sz w:val="18"/>
          <w:szCs w:val="18"/>
        </w:rPr>
        <w:t xml:space="preserve"> Tento závěr je také v souladu se závěry analytických zjištění MPO (2014) - dokument Priority MPO pro oblast průmyslového výzkumu, vývoje a inovací ze září 2014, který identifikuje tyto priority: 1. dopravní prostředky a jejich komponenty; 2.</w:t>
      </w:r>
      <w:r>
        <w:rPr>
          <w:sz w:val="18"/>
          <w:szCs w:val="18"/>
        </w:rPr>
        <w:t> </w:t>
      </w:r>
      <w:r w:rsidRPr="0088654D">
        <w:rPr>
          <w:sz w:val="18"/>
          <w:szCs w:val="18"/>
        </w:rPr>
        <w:t>pokročilé výrobní a strojírenské technologie; 3. elektronika, elektrotechnika, optika, fotonika, ICT a související IT služby; 4.</w:t>
      </w:r>
      <w:r>
        <w:rPr>
          <w:sz w:val="18"/>
          <w:szCs w:val="18"/>
        </w:rPr>
        <w:t> </w:t>
      </w:r>
      <w:r w:rsidRPr="0088654D">
        <w:rPr>
          <w:sz w:val="18"/>
          <w:szCs w:val="18"/>
        </w:rPr>
        <w:t>speciální stroje a zařízení a přesné přístroje; 5. pokročilé materiály, technologie pro jejich zpracování; 6. nové chemické technologie, postupy a produkty, biotechnologie a léčiva; 7. technologie pro letecký a kosmický průmysl. Přístup dokumentu MPO, na rozdíl od RIS3, neodlišuje aplikační oblasti a znalostní domény, u nichž je potenciál uplatnit znalost v generických, umožňujících technologií napříč větším počtem aplikačních oblastí.</w:t>
      </w:r>
    </w:p>
  </w:footnote>
  <w:footnote w:id="62">
    <w:p w14:paraId="1CF7D54B" w14:textId="77777777" w:rsidR="0044083E" w:rsidRPr="0088654D" w:rsidRDefault="0044083E" w:rsidP="00790C59">
      <w:pPr>
        <w:pStyle w:val="Textpoznpodarou"/>
        <w:jc w:val="both"/>
        <w:rPr>
          <w:sz w:val="18"/>
          <w:szCs w:val="18"/>
        </w:rPr>
      </w:pPr>
      <w:r w:rsidRPr="0088654D">
        <w:rPr>
          <w:rStyle w:val="Znakapoznpodarou"/>
          <w:sz w:val="18"/>
          <w:szCs w:val="18"/>
        </w:rPr>
        <w:footnoteRef/>
      </w:r>
      <w:r w:rsidRPr="0088654D">
        <w:rPr>
          <w:sz w:val="18"/>
          <w:szCs w:val="18"/>
        </w:rPr>
        <w:t xml:space="preserve"> Nejedná se ovšem o definitivní výčet, nýbrž o přehled dosud identifikovaných aplikačních oblastí, které by neměly zůstat opomenuty. Průběžné doplňování a upřesňování by mělo být setrvalou součástí procesu entrepreneurial discovery, který bude z národní úrovně koordinován po celou dobu implementace RIS3 z úrovně národního RIS3 manažera.</w:t>
      </w:r>
    </w:p>
  </w:footnote>
  <w:footnote w:id="63">
    <w:p w14:paraId="6ABE5D42" w14:textId="77777777" w:rsidR="0044083E" w:rsidRDefault="0044083E" w:rsidP="00790C59">
      <w:pPr>
        <w:pStyle w:val="Textpoznpodarou"/>
      </w:pPr>
      <w:r w:rsidRPr="0088654D">
        <w:rPr>
          <w:rStyle w:val="Znakapoznpodarou"/>
          <w:sz w:val="18"/>
          <w:szCs w:val="18"/>
        </w:rPr>
        <w:footnoteRef/>
      </w:r>
      <w:r w:rsidRPr="0088654D">
        <w:rPr>
          <w:sz w:val="18"/>
          <w:szCs w:val="18"/>
        </w:rPr>
        <w:t xml:space="preserve"> Kosmické technologie jsou formálně uvedeny jako součást výroby dopravních prostředků, ve skutečnosti se však jejich využití promítá do mnoha dalších oborů a odvětví a naopak, kosmické technologie využívají výsledků a vstupů z mnoha dalších odvětví a znalostních domén. </w:t>
      </w:r>
    </w:p>
  </w:footnote>
  <w:footnote w:id="64">
    <w:p w14:paraId="240CA3F7" w14:textId="36A23C6A" w:rsidR="0044083E" w:rsidRPr="00485FF7" w:rsidRDefault="0044083E" w:rsidP="00790C59">
      <w:pPr>
        <w:pStyle w:val="Textpoznpodarou"/>
        <w:jc w:val="both"/>
        <w:rPr>
          <w:sz w:val="18"/>
          <w:szCs w:val="18"/>
        </w:rPr>
      </w:pPr>
      <w:r w:rsidRPr="00485FF7">
        <w:rPr>
          <w:rStyle w:val="Znakapoznpodarou"/>
          <w:sz w:val="18"/>
          <w:szCs w:val="18"/>
        </w:rPr>
        <w:footnoteRef/>
      </w:r>
      <w:r w:rsidRPr="00485FF7">
        <w:rPr>
          <w:sz w:val="18"/>
          <w:szCs w:val="18"/>
        </w:rPr>
        <w:t xml:space="preserve"> Empiricky se identifikace tohoto aplikačního </w:t>
      </w:r>
      <w:r>
        <w:rPr>
          <w:sz w:val="18"/>
          <w:szCs w:val="18"/>
        </w:rPr>
        <w:t>odvětví</w:t>
      </w:r>
      <w:r w:rsidRPr="00485FF7">
        <w:rPr>
          <w:sz w:val="18"/>
          <w:szCs w:val="18"/>
        </w:rPr>
        <w:t xml:space="preserve"> opírá o závěry studie </w:t>
      </w:r>
      <w:r w:rsidRPr="00485FF7">
        <w:rPr>
          <w:rFonts w:cstheme="minorHAnsi"/>
          <w:sz w:val="18"/>
          <w:szCs w:val="18"/>
        </w:rPr>
        <w:t>Pracovní návrh hlavních závěrů analytických podkladů pro stanovení výzkumné specializace ČR (TC AV, 2014), a také o prioritu č. 3 definovanou v dokumentu Národní priority orientovaného výzkumu, experimentálního vývoje a inovací.</w:t>
      </w:r>
    </w:p>
  </w:footnote>
  <w:footnote w:id="65">
    <w:p w14:paraId="1C159253" w14:textId="77777777" w:rsidR="0044083E" w:rsidRPr="00936360" w:rsidRDefault="0044083E" w:rsidP="009F2F26">
      <w:pPr>
        <w:pStyle w:val="Textpoznpodarou"/>
        <w:jc w:val="both"/>
        <w:rPr>
          <w:sz w:val="18"/>
          <w:szCs w:val="18"/>
        </w:rPr>
      </w:pPr>
      <w:r w:rsidRPr="00936360">
        <w:rPr>
          <w:rStyle w:val="Znakapoznpodarou"/>
          <w:sz w:val="18"/>
          <w:szCs w:val="18"/>
        </w:rPr>
        <w:footnoteRef/>
      </w:r>
      <w:r w:rsidRPr="00936360">
        <w:rPr>
          <w:sz w:val="18"/>
          <w:szCs w:val="18"/>
        </w:rPr>
        <w:t xml:space="preserve"> Definováno na základě Národních priorit orientovaného výzkumu, experimentálního vývoje a inovací (2012).</w:t>
      </w:r>
    </w:p>
  </w:footnote>
  <w:footnote w:id="66">
    <w:p w14:paraId="1871E026" w14:textId="47938FF7" w:rsidR="0044083E" w:rsidRPr="005B619F" w:rsidRDefault="0044083E" w:rsidP="008857B9">
      <w:pPr>
        <w:pStyle w:val="Textpoznpodarou"/>
        <w:jc w:val="both"/>
        <w:rPr>
          <w:sz w:val="18"/>
          <w:szCs w:val="18"/>
        </w:rPr>
      </w:pPr>
      <w:r w:rsidRPr="005B619F">
        <w:rPr>
          <w:rStyle w:val="Znakapoznpodarou"/>
          <w:sz w:val="18"/>
          <w:szCs w:val="18"/>
        </w:rPr>
        <w:footnoteRef/>
      </w:r>
      <w:r w:rsidRPr="005B619F">
        <w:rPr>
          <w:sz w:val="18"/>
          <w:szCs w:val="18"/>
        </w:rPr>
        <w:t xml:space="preserve"> Zastoupení aplikačních odvětví (ekonomických specializací) v krajích ČR vychází z aktuálních krajských RIS3 strategií. </w:t>
      </w:r>
    </w:p>
  </w:footnote>
  <w:footnote w:id="67">
    <w:p w14:paraId="42564D86" w14:textId="77777777" w:rsidR="0044083E" w:rsidRPr="00C5111B" w:rsidRDefault="0044083E" w:rsidP="005E5696">
      <w:pPr>
        <w:spacing w:after="0" w:line="240" w:lineRule="auto"/>
        <w:jc w:val="both"/>
        <w:rPr>
          <w:rFonts w:cs="Arial"/>
          <w:sz w:val="18"/>
          <w:szCs w:val="18"/>
        </w:rPr>
      </w:pPr>
      <w:r w:rsidRPr="00C5111B">
        <w:rPr>
          <w:rStyle w:val="Znakapoznpodarou"/>
          <w:rFonts w:cs="Arial"/>
          <w:sz w:val="18"/>
          <w:szCs w:val="18"/>
        </w:rPr>
        <w:footnoteRef/>
      </w:r>
      <w:r w:rsidRPr="00C5111B">
        <w:rPr>
          <w:rFonts w:cs="Arial"/>
          <w:sz w:val="18"/>
          <w:szCs w:val="18"/>
        </w:rPr>
        <w:t xml:space="preserve"> </w:t>
      </w:r>
      <w:r w:rsidRPr="00C5111B">
        <w:rPr>
          <w:rFonts w:cs="Arial"/>
          <w:i/>
          <w:sz w:val="18"/>
          <w:szCs w:val="18"/>
        </w:rPr>
        <w:t>SDĚLENÍ KOMISE EVROPSKÉMU PARLAMENTU, RADĚ, EVROPSKÉMU HOSPODÁŘSKÉMU A SOCIÁLNÍMU VÝBORU A VÝBORU REGIONŮ, „Evropská strategie pro klíčové technologie – cesta k růstu a zaměstnanosti“</w:t>
      </w:r>
      <w:r w:rsidRPr="00C5111B">
        <w:rPr>
          <w:rFonts w:cs="Arial"/>
          <w:sz w:val="18"/>
          <w:szCs w:val="18"/>
        </w:rPr>
        <w:t xml:space="preserve">, Brusel, COM (2012) 341final. </w:t>
      </w:r>
    </w:p>
  </w:footnote>
  <w:footnote w:id="68">
    <w:p w14:paraId="03E8E13B" w14:textId="77777777" w:rsidR="0044083E" w:rsidRPr="00927761" w:rsidRDefault="0044083E" w:rsidP="005E5696">
      <w:pPr>
        <w:pStyle w:val="Textpoznpodarou"/>
        <w:jc w:val="both"/>
        <w:rPr>
          <w:sz w:val="18"/>
          <w:szCs w:val="18"/>
        </w:rPr>
      </w:pPr>
      <w:r w:rsidRPr="00C5111B">
        <w:rPr>
          <w:rStyle w:val="Znakapoznpodarou"/>
          <w:rFonts w:asciiTheme="minorHAnsi" w:hAnsiTheme="minorHAnsi"/>
          <w:sz w:val="18"/>
          <w:szCs w:val="18"/>
        </w:rPr>
        <w:footnoteRef/>
      </w:r>
      <w:r w:rsidRPr="00C5111B">
        <w:rPr>
          <w:rFonts w:asciiTheme="minorHAnsi" w:hAnsiTheme="minorHAnsi"/>
          <w:sz w:val="18"/>
          <w:szCs w:val="18"/>
        </w:rPr>
        <w:t xml:space="preserve"> </w:t>
      </w:r>
      <w:r w:rsidRPr="00C5111B">
        <w:rPr>
          <w:rFonts w:asciiTheme="minorHAnsi" w:hAnsiTheme="minorHAnsi"/>
          <w:i/>
          <w:sz w:val="18"/>
          <w:szCs w:val="18"/>
        </w:rPr>
        <w:t>KEY ENABLING TECHNOLOGIES V ČR</w:t>
      </w:r>
      <w:r w:rsidRPr="00C5111B">
        <w:rPr>
          <w:rFonts w:asciiTheme="minorHAnsi" w:hAnsiTheme="minorHAnsi"/>
          <w:sz w:val="18"/>
          <w:szCs w:val="18"/>
        </w:rPr>
        <w:t>, 6/2014 Praha, TC AV.</w:t>
      </w:r>
    </w:p>
  </w:footnote>
  <w:footnote w:id="69">
    <w:p w14:paraId="34DE80D8" w14:textId="3AA30BF1" w:rsidR="0044083E" w:rsidRDefault="0044083E" w:rsidP="008857B9">
      <w:pPr>
        <w:pStyle w:val="Textpoznpodarou"/>
        <w:jc w:val="both"/>
      </w:pPr>
      <w:r>
        <w:rPr>
          <w:rStyle w:val="Znakapoznpodarou"/>
        </w:rPr>
        <w:footnoteRef/>
      </w:r>
      <w:r>
        <w:t xml:space="preserve"> </w:t>
      </w:r>
      <w:r w:rsidRPr="008857B9">
        <w:t>Zastoupení znalostních domén (výzkumných specializací) v krajích ČR</w:t>
      </w:r>
      <w:r>
        <w:t xml:space="preserve"> </w:t>
      </w:r>
      <w:r w:rsidRPr="008857B9">
        <w:t>vychází z aktuálních krajských RIS3 strategií.</w:t>
      </w:r>
    </w:p>
  </w:footnote>
  <w:footnote w:id="70">
    <w:p w14:paraId="2E4347B2" w14:textId="2A99D6B4" w:rsidR="0044083E" w:rsidRPr="004D2CED" w:rsidRDefault="0044083E" w:rsidP="004D2CED">
      <w:pPr>
        <w:pStyle w:val="Textpoznpodarou"/>
        <w:jc w:val="both"/>
        <w:rPr>
          <w:sz w:val="18"/>
          <w:szCs w:val="18"/>
        </w:rPr>
      </w:pPr>
      <w:r w:rsidRPr="004D2CED">
        <w:rPr>
          <w:rStyle w:val="Znakapoznpodarou"/>
          <w:sz w:val="18"/>
          <w:szCs w:val="18"/>
        </w:rPr>
        <w:footnoteRef/>
      </w:r>
      <w:r w:rsidRPr="004D2CED">
        <w:rPr>
          <w:sz w:val="18"/>
          <w:szCs w:val="18"/>
        </w:rPr>
        <w:t xml:space="preserve"> Celá tato kapitola, kromě explicitně vyznačených častí, čerpá (parafrázuje) údaje </w:t>
      </w:r>
      <w:r w:rsidRPr="00C84DA3">
        <w:rPr>
          <w:sz w:val="18"/>
          <w:szCs w:val="18"/>
        </w:rPr>
        <w:t xml:space="preserve">z OECD Science, Technology and Innovation Outlook 2016 </w:t>
      </w:r>
    </w:p>
  </w:footnote>
  <w:footnote w:id="71">
    <w:p w14:paraId="70B6262E" w14:textId="28AF2F4E" w:rsidR="0044083E" w:rsidRPr="00FC4838" w:rsidRDefault="0044083E" w:rsidP="00822F2B">
      <w:pPr>
        <w:pStyle w:val="Textpoznpodarou"/>
        <w:jc w:val="both"/>
        <w:rPr>
          <w:sz w:val="18"/>
          <w:szCs w:val="18"/>
        </w:rPr>
      </w:pPr>
      <w:r w:rsidRPr="00CD3ABC">
        <w:rPr>
          <w:rStyle w:val="Znakapoznpodarou"/>
          <w:sz w:val="18"/>
          <w:szCs w:val="18"/>
        </w:rPr>
        <w:footnoteRef/>
      </w:r>
      <w:r w:rsidRPr="00FC4838">
        <w:rPr>
          <w:sz w:val="18"/>
          <w:szCs w:val="18"/>
        </w:rPr>
        <w:t xml:space="preserve"> </w:t>
      </w:r>
      <w:hyperlink r:id="rId7" w:history="1">
        <w:r w:rsidRPr="00776C68">
          <w:rPr>
            <w:rStyle w:val="Hypertextovodkaz"/>
            <w:sz w:val="18"/>
            <w:szCs w:val="18"/>
          </w:rPr>
          <w:t>https://www.rolandberger.com/en/Insights/Global-Topics/Trend-Compendium.html</w:t>
        </w:r>
      </w:hyperlink>
      <w:r w:rsidRPr="00776C68">
        <w:rPr>
          <w:sz w:val="18"/>
          <w:szCs w:val="18"/>
        </w:rPr>
        <w:t xml:space="preserve"> </w:t>
      </w:r>
    </w:p>
  </w:footnote>
  <w:footnote w:id="72">
    <w:p w14:paraId="16E39FCF" w14:textId="77777777" w:rsidR="0044083E" w:rsidRDefault="0044083E" w:rsidP="00822F2B">
      <w:pPr>
        <w:pStyle w:val="Textpoznpodarou"/>
      </w:pPr>
      <w:r w:rsidRPr="00FC4838">
        <w:rPr>
          <w:rStyle w:val="Znakapoznpodarou"/>
          <w:sz w:val="18"/>
          <w:szCs w:val="18"/>
        </w:rPr>
        <w:footnoteRef/>
      </w:r>
      <w:r w:rsidRPr="00FC4838">
        <w:rPr>
          <w:sz w:val="18"/>
          <w:szCs w:val="18"/>
        </w:rPr>
        <w:t xml:space="preserve"> https://www.rolandberger.com/en/Insights/Global-Topics/Trend-Compendium.html</w:t>
      </w:r>
    </w:p>
  </w:footnote>
  <w:footnote w:id="73">
    <w:p w14:paraId="35768DA9" w14:textId="77777777" w:rsidR="0044083E" w:rsidRDefault="0044083E" w:rsidP="00822F2B">
      <w:pPr>
        <w:pStyle w:val="Textpoznpodarou"/>
      </w:pPr>
      <w:r>
        <w:rPr>
          <w:rStyle w:val="Znakapoznpodarou"/>
        </w:rPr>
        <w:footnoteRef/>
      </w:r>
      <w:r>
        <w:t xml:space="preserve"> </w:t>
      </w:r>
      <w:r w:rsidRPr="00894996">
        <w:t>https://www.rolandberger.com/en/Insights/Global-Topics/Trend-Compendium.html</w:t>
      </w:r>
    </w:p>
  </w:footnote>
  <w:footnote w:id="74">
    <w:p w14:paraId="77D9ED05" w14:textId="77777777" w:rsidR="0044083E" w:rsidRPr="00AB24EC" w:rsidRDefault="0044083E" w:rsidP="001B648E">
      <w:pPr>
        <w:pStyle w:val="Textpoznpodarou"/>
        <w:rPr>
          <w:sz w:val="18"/>
          <w:szCs w:val="18"/>
        </w:rPr>
      </w:pPr>
      <w:r w:rsidRPr="00AB24EC">
        <w:rPr>
          <w:rStyle w:val="Znakapoznpodarou"/>
          <w:sz w:val="18"/>
          <w:szCs w:val="18"/>
        </w:rPr>
        <w:footnoteRef/>
      </w:r>
      <w:r w:rsidRPr="00AB24EC">
        <w:rPr>
          <w:sz w:val="18"/>
          <w:szCs w:val="18"/>
        </w:rPr>
        <w:t xml:space="preserve"> https://sustainabledevelopment.un.org/sdgs</w:t>
      </w:r>
    </w:p>
  </w:footnote>
  <w:footnote w:id="75">
    <w:p w14:paraId="5CB0EAC3" w14:textId="77777777" w:rsidR="0044083E" w:rsidRPr="009C7FB2" w:rsidRDefault="0044083E" w:rsidP="00881F2C">
      <w:pPr>
        <w:pStyle w:val="Textpoznpodarou"/>
        <w:rPr>
          <w:sz w:val="18"/>
          <w:szCs w:val="18"/>
        </w:rPr>
      </w:pPr>
      <w:r w:rsidRPr="009C7FB2">
        <w:rPr>
          <w:rStyle w:val="Znakapoznpodarou"/>
          <w:sz w:val="18"/>
          <w:szCs w:val="18"/>
        </w:rPr>
        <w:footnoteRef/>
      </w:r>
      <w:r w:rsidRPr="009C7FB2">
        <w:rPr>
          <w:sz w:val="18"/>
          <w:szCs w:val="18"/>
        </w:rPr>
        <w:t xml:space="preserve"> EUROPEAN COMMISSION: </w:t>
      </w:r>
      <w:r w:rsidRPr="009C7FB2">
        <w:rPr>
          <w:i/>
          <w:sz w:val="18"/>
          <w:szCs w:val="18"/>
        </w:rPr>
        <w:t>Re-finding Industry – Defining Innovation</w:t>
      </w:r>
      <w:r w:rsidRPr="009C7FB2">
        <w:rPr>
          <w:sz w:val="18"/>
          <w:szCs w:val="18"/>
        </w:rPr>
        <w:t>. Publication Office in Luxembourg, 2018. Dostupný z www:</w:t>
      </w:r>
      <w:r>
        <w:rPr>
          <w:sz w:val="18"/>
          <w:szCs w:val="18"/>
        </w:rPr>
        <w:t xml:space="preserve"> </w:t>
      </w:r>
      <w:hyperlink r:id="rId8" w:history="1">
        <w:r w:rsidRPr="009C7FB2">
          <w:rPr>
            <w:rStyle w:val="Hypertextovodkaz"/>
            <w:sz w:val="18"/>
            <w:szCs w:val="18"/>
          </w:rPr>
          <w:t>https://publications.europa.eu/en/publication-detail/-/publication/28e1c485-476a-11e8-be1d-01aa75ed71a1</w:t>
        </w:r>
      </w:hyperlink>
      <w:r w:rsidRPr="009C7FB2">
        <w:rPr>
          <w:color w:val="1F497D"/>
          <w:sz w:val="18"/>
          <w:szCs w:val="18"/>
        </w:rPr>
        <w:t xml:space="preserve"> .</w:t>
      </w:r>
      <w:r w:rsidRPr="009C7FB2">
        <w:rPr>
          <w:sz w:val="18"/>
          <w:szCs w:val="18"/>
        </w:rPr>
        <w:t xml:space="preserve"> </w:t>
      </w:r>
    </w:p>
  </w:footnote>
  <w:footnote w:id="76">
    <w:p w14:paraId="363F1A98" w14:textId="77777777" w:rsidR="0044083E" w:rsidRPr="005A2D1F" w:rsidRDefault="0044083E" w:rsidP="002843E2">
      <w:pPr>
        <w:pStyle w:val="Textpoznpodarou"/>
        <w:jc w:val="both"/>
        <w:rPr>
          <w:rStyle w:val="Znakapoznpodarou"/>
          <w:sz w:val="18"/>
          <w:szCs w:val="18"/>
        </w:rPr>
      </w:pPr>
      <w:r w:rsidRPr="005A2D1F">
        <w:rPr>
          <w:rStyle w:val="Znakapoznpodarou"/>
          <w:sz w:val="18"/>
          <w:szCs w:val="18"/>
        </w:rPr>
        <w:footnoteRef/>
      </w:r>
      <w:r w:rsidRPr="005A2D1F">
        <w:rPr>
          <w:rStyle w:val="Znakapoznpodarou"/>
          <w:sz w:val="18"/>
          <w:szCs w:val="18"/>
        </w:rPr>
        <w:t xml:space="preserve"> </w:t>
      </w:r>
      <w:r w:rsidRPr="005A2D1F">
        <w:rPr>
          <w:rStyle w:val="Znakapoznpodarou"/>
          <w:sz w:val="18"/>
          <w:szCs w:val="18"/>
          <w:vertAlign w:val="baseline"/>
        </w:rPr>
        <w:t>Národní RIS3 strategie sdružuje klíčové technologie EU do tzv. znalostních domén (řádky vertikalizační matice).</w:t>
      </w:r>
    </w:p>
  </w:footnote>
  <w:footnote w:id="77">
    <w:p w14:paraId="2DEC0246" w14:textId="77777777" w:rsidR="0044083E" w:rsidRPr="005A2D1F" w:rsidRDefault="0044083E" w:rsidP="002843E2">
      <w:pPr>
        <w:pStyle w:val="Textpoznpodarou"/>
        <w:jc w:val="both"/>
        <w:rPr>
          <w:sz w:val="18"/>
          <w:szCs w:val="18"/>
        </w:rPr>
      </w:pPr>
      <w:r w:rsidRPr="005A2D1F">
        <w:rPr>
          <w:rStyle w:val="Znakapoznpodarou"/>
          <w:sz w:val="18"/>
          <w:szCs w:val="18"/>
        </w:rPr>
        <w:footnoteRef/>
      </w:r>
      <w:r w:rsidRPr="005A2D1F">
        <w:rPr>
          <w:sz w:val="18"/>
          <w:szCs w:val="18"/>
        </w:rPr>
        <w:t xml:space="preserve"> K identifikaci oborů ekonomické specializace byla využita data za export (dle SITC v podrobnosti na 4 místa), podnikové výdaje na VaV, a jejich dynamika v čase</w:t>
      </w:r>
      <w:r w:rsidRPr="005A2D1F">
        <w:rPr>
          <w:rFonts w:cstheme="minorHAnsi"/>
          <w:sz w:val="18"/>
          <w:szCs w:val="18"/>
        </w:rPr>
        <w:t>.</w:t>
      </w:r>
    </w:p>
  </w:footnote>
  <w:footnote w:id="78">
    <w:p w14:paraId="52201517" w14:textId="067BB95E" w:rsidR="0044083E" w:rsidRPr="005A2D1F" w:rsidRDefault="0044083E" w:rsidP="002843E2">
      <w:pPr>
        <w:pStyle w:val="Textpoznpodarou"/>
        <w:jc w:val="both"/>
        <w:rPr>
          <w:rStyle w:val="Znakapoznpodarou"/>
          <w:sz w:val="18"/>
          <w:szCs w:val="18"/>
        </w:rPr>
      </w:pPr>
      <w:r w:rsidRPr="005A2D1F">
        <w:rPr>
          <w:rStyle w:val="Znakapoznpodarou"/>
          <w:sz w:val="18"/>
          <w:szCs w:val="18"/>
        </w:rPr>
        <w:footnoteRef/>
      </w:r>
      <w:r w:rsidRPr="005A2D1F">
        <w:rPr>
          <w:rStyle w:val="Znakapoznpodarou"/>
          <w:sz w:val="18"/>
          <w:szCs w:val="18"/>
        </w:rPr>
        <w:t xml:space="preserve"> </w:t>
      </w:r>
      <w:r w:rsidRPr="005A2D1F">
        <w:rPr>
          <w:sz w:val="18"/>
          <w:szCs w:val="18"/>
        </w:rPr>
        <w:t>V</w:t>
      </w:r>
      <w:r w:rsidRPr="005A2D1F">
        <w:rPr>
          <w:rStyle w:val="Znakapoznpodarou"/>
          <w:sz w:val="18"/>
          <w:szCs w:val="18"/>
          <w:vertAlign w:val="baseline"/>
        </w:rPr>
        <w:t>iz řádky vertikalizační mati</w:t>
      </w:r>
      <w:r w:rsidRPr="00DD3634">
        <w:rPr>
          <w:rStyle w:val="Znakapoznpodarou"/>
          <w:sz w:val="18"/>
          <w:szCs w:val="18"/>
          <w:vertAlign w:val="baseline"/>
        </w:rPr>
        <w:t xml:space="preserve">ce </w:t>
      </w:r>
      <w:r w:rsidRPr="00DD3634">
        <w:rPr>
          <w:rStyle w:val="Znakapoznpodarou"/>
          <w:sz w:val="18"/>
          <w:szCs w:val="18"/>
          <w:vertAlign w:val="baseline"/>
        </w:rPr>
        <w:fldChar w:fldCharType="begin"/>
      </w:r>
      <w:r w:rsidRPr="00DD3634">
        <w:rPr>
          <w:rStyle w:val="Znakapoznpodarou"/>
          <w:sz w:val="18"/>
          <w:szCs w:val="18"/>
          <w:vertAlign w:val="baseline"/>
        </w:rPr>
        <w:instrText xml:space="preserve"> REF _Ref521491830 \h  \* MERGEFORMAT </w:instrText>
      </w:r>
      <w:r w:rsidRPr="00DD3634">
        <w:rPr>
          <w:rStyle w:val="Znakapoznpodarou"/>
          <w:sz w:val="18"/>
          <w:szCs w:val="18"/>
          <w:vertAlign w:val="baseline"/>
        </w:rPr>
      </w:r>
      <w:r w:rsidRPr="00DD3634">
        <w:rPr>
          <w:rStyle w:val="Znakapoznpodarou"/>
          <w:sz w:val="18"/>
          <w:szCs w:val="18"/>
          <w:vertAlign w:val="baseline"/>
        </w:rPr>
        <w:fldChar w:fldCharType="separate"/>
      </w:r>
      <w:r w:rsidRPr="00DE40D4">
        <w:rPr>
          <w:sz w:val="18"/>
          <w:szCs w:val="18"/>
        </w:rPr>
        <w:t xml:space="preserve">Tabulka </w:t>
      </w:r>
      <w:r w:rsidRPr="00DE40D4">
        <w:rPr>
          <w:noProof/>
          <w:sz w:val="18"/>
          <w:szCs w:val="18"/>
        </w:rPr>
        <w:t>12</w:t>
      </w:r>
      <w:r w:rsidRPr="00DD3634">
        <w:rPr>
          <w:rStyle w:val="Znakapoznpodarou"/>
          <w:sz w:val="18"/>
          <w:szCs w:val="18"/>
          <w:vertAlign w:val="baseline"/>
        </w:rPr>
        <w:fldChar w:fldCharType="end"/>
      </w:r>
      <w:r w:rsidRPr="00DD3634">
        <w:rPr>
          <w:rStyle w:val="Znakapoznpodarou"/>
          <w:sz w:val="18"/>
          <w:szCs w:val="18"/>
          <w:vertAlign w:val="baseline"/>
        </w:rPr>
        <w:t xml:space="preserve">, kap. </w:t>
      </w:r>
      <w:r w:rsidRPr="00DD3634">
        <w:rPr>
          <w:rStyle w:val="Znakapoznpodarou"/>
          <w:sz w:val="18"/>
          <w:szCs w:val="18"/>
          <w:vertAlign w:val="baseline"/>
        </w:rPr>
        <w:fldChar w:fldCharType="begin"/>
      </w:r>
      <w:r w:rsidRPr="00DD3634">
        <w:rPr>
          <w:rStyle w:val="Znakapoznpodarou"/>
          <w:sz w:val="18"/>
          <w:szCs w:val="18"/>
          <w:vertAlign w:val="baseline"/>
        </w:rPr>
        <w:instrText xml:space="preserve"> REF _Ref521489154 \w \h </w:instrText>
      </w:r>
      <w:r w:rsidRPr="00DD3634">
        <w:rPr>
          <w:rStyle w:val="Znakapoznpodarou"/>
          <w:sz w:val="18"/>
          <w:szCs w:val="18"/>
          <w:vertAlign w:val="baseline"/>
        </w:rPr>
      </w:r>
      <w:r w:rsidRPr="00DD3634">
        <w:rPr>
          <w:rStyle w:val="Znakapoznpodarou"/>
          <w:sz w:val="18"/>
          <w:szCs w:val="18"/>
          <w:vertAlign w:val="baseline"/>
        </w:rPr>
        <w:fldChar w:fldCharType="separate"/>
      </w:r>
      <w:r>
        <w:rPr>
          <w:rStyle w:val="Znakapoznpodarou"/>
          <w:sz w:val="18"/>
          <w:szCs w:val="18"/>
          <w:vertAlign w:val="baseline"/>
        </w:rPr>
        <w:t>7.3.1.5</w:t>
      </w:r>
      <w:r w:rsidRPr="00DD3634">
        <w:rPr>
          <w:rStyle w:val="Znakapoznpodarou"/>
          <w:sz w:val="18"/>
          <w:szCs w:val="18"/>
          <w:vertAlign w:val="baseline"/>
        </w:rPr>
        <w:fldChar w:fldCharType="end"/>
      </w:r>
      <w:r w:rsidRPr="00DD3634">
        <w:rPr>
          <w:rStyle w:val="Znakapoznpodarou"/>
          <w:sz w:val="18"/>
          <w:szCs w:val="18"/>
          <w:vertAlign w:val="baseline"/>
        </w:rPr>
        <w:t xml:space="preserve"> </w:t>
      </w:r>
      <w:r w:rsidRPr="00DD3634">
        <w:rPr>
          <w:rStyle w:val="Znakapoznpodarou"/>
          <w:sz w:val="18"/>
          <w:szCs w:val="18"/>
          <w:vertAlign w:val="baseline"/>
        </w:rPr>
        <w:fldChar w:fldCharType="begin"/>
      </w:r>
      <w:r w:rsidRPr="00DD3634">
        <w:rPr>
          <w:rStyle w:val="Znakapoznpodarou"/>
          <w:sz w:val="18"/>
          <w:szCs w:val="18"/>
          <w:vertAlign w:val="baseline"/>
        </w:rPr>
        <w:instrText xml:space="preserve"> REF _Ref521489154 \h  \* MERGEFORMAT </w:instrText>
      </w:r>
      <w:r w:rsidRPr="00DD3634">
        <w:rPr>
          <w:rStyle w:val="Znakapoznpodarou"/>
          <w:sz w:val="18"/>
          <w:szCs w:val="18"/>
          <w:vertAlign w:val="baseline"/>
        </w:rPr>
      </w:r>
      <w:r w:rsidRPr="00DD3634">
        <w:rPr>
          <w:rStyle w:val="Znakapoznpodarou"/>
          <w:sz w:val="18"/>
          <w:szCs w:val="18"/>
          <w:vertAlign w:val="baseline"/>
        </w:rPr>
        <w:fldChar w:fldCharType="separate"/>
      </w:r>
      <w:r w:rsidRPr="00DE40D4">
        <w:rPr>
          <w:sz w:val="18"/>
          <w:szCs w:val="18"/>
        </w:rPr>
        <w:t>Aktuální stav EDP</w:t>
      </w:r>
      <w:r w:rsidRPr="00DD3634">
        <w:rPr>
          <w:rStyle w:val="Znakapoznpodarou"/>
          <w:sz w:val="18"/>
          <w:szCs w:val="18"/>
          <w:vertAlign w:val="baseline"/>
        </w:rPr>
        <w:fldChar w:fldCharType="end"/>
      </w:r>
      <w:r w:rsidRPr="00DD3634">
        <w:rPr>
          <w:rStyle w:val="Znakapoznpodarou"/>
          <w:sz w:val="18"/>
          <w:szCs w:val="18"/>
          <w:vertAlign w:val="baseline"/>
        </w:rPr>
        <w:t>)</w:t>
      </w:r>
      <w:r w:rsidRPr="00DD3634">
        <w:rPr>
          <w:sz w:val="18"/>
          <w:szCs w:val="18"/>
        </w:rPr>
        <w:t>.</w:t>
      </w:r>
    </w:p>
  </w:footnote>
  <w:footnote w:id="79">
    <w:p w14:paraId="33D5EF25" w14:textId="77777777" w:rsidR="0044083E" w:rsidRPr="002133F4" w:rsidRDefault="0044083E" w:rsidP="002843E2">
      <w:pPr>
        <w:pStyle w:val="Textpoznpodarou"/>
        <w:jc w:val="both"/>
        <w:rPr>
          <w:sz w:val="18"/>
          <w:szCs w:val="18"/>
        </w:rPr>
      </w:pPr>
      <w:r w:rsidRPr="005A2D1F">
        <w:rPr>
          <w:rStyle w:val="Znakapoznpodarou"/>
          <w:sz w:val="18"/>
          <w:szCs w:val="18"/>
        </w:rPr>
        <w:footnoteRef/>
      </w:r>
      <w:r w:rsidRPr="005A2D1F">
        <w:rPr>
          <w:sz w:val="18"/>
          <w:szCs w:val="18"/>
        </w:rPr>
        <w:t xml:space="preserve"> V roce 2019 je plánováno uskutečnit studii zaměřenou na znalostní domény v oblasti VaVaI.  </w:t>
      </w:r>
    </w:p>
  </w:footnote>
  <w:footnote w:id="80">
    <w:p w14:paraId="3144257A" w14:textId="77777777" w:rsidR="0044083E" w:rsidRPr="002133F4" w:rsidRDefault="0044083E" w:rsidP="002843E2">
      <w:pPr>
        <w:pStyle w:val="Textpoznpodarou"/>
        <w:jc w:val="both"/>
        <w:rPr>
          <w:sz w:val="18"/>
          <w:szCs w:val="18"/>
        </w:rPr>
      </w:pPr>
      <w:r w:rsidRPr="002133F4">
        <w:rPr>
          <w:rStyle w:val="Znakapoznpodarou"/>
          <w:sz w:val="18"/>
          <w:szCs w:val="18"/>
        </w:rPr>
        <w:footnoteRef/>
      </w:r>
      <w:r w:rsidRPr="002133F4">
        <w:rPr>
          <w:sz w:val="18"/>
          <w:szCs w:val="18"/>
        </w:rPr>
        <w:t xml:space="preserve"> S implementací vertikálních intervencí z regionální, resp. krajské úrovně, se v rámci RIS3 nepočítá. Nicméně se počítá s existencí mechanismů, jimiž budou potřeby definované z regionální úrovně přenášeny do návrhu intervencí na národní úrovni.</w:t>
      </w:r>
    </w:p>
  </w:footnote>
  <w:footnote w:id="81">
    <w:p w14:paraId="340DE5E9" w14:textId="77777777" w:rsidR="0044083E" w:rsidRPr="002A724A" w:rsidRDefault="0044083E" w:rsidP="00BB296D">
      <w:pPr>
        <w:pStyle w:val="Textpoznpodarou"/>
        <w:rPr>
          <w:sz w:val="19"/>
          <w:szCs w:val="19"/>
        </w:rPr>
      </w:pPr>
      <w:r w:rsidRPr="002A724A">
        <w:rPr>
          <w:rStyle w:val="Znakapoznpodarou"/>
          <w:sz w:val="19"/>
          <w:szCs w:val="19"/>
        </w:rPr>
        <w:footnoteRef/>
      </w:r>
      <w:r w:rsidRPr="002A724A">
        <w:rPr>
          <w:sz w:val="19"/>
          <w:szCs w:val="19"/>
        </w:rPr>
        <w:t xml:space="preserve"> „Vertikalizací“ se myslí </w:t>
      </w:r>
      <w:r>
        <w:rPr>
          <w:sz w:val="19"/>
          <w:szCs w:val="19"/>
        </w:rPr>
        <w:t>postupná prioritizace, tedy zúžení intervencí na témata definovaná v jednotlivých prioritách inteligentní specializace – na rozdíl od horizontálních intervencí, které budou podporovat danou aktivitu bez tematického omezení.</w:t>
      </w:r>
    </w:p>
  </w:footnote>
  <w:footnote w:id="82">
    <w:p w14:paraId="7FAD9940" w14:textId="0F762C69" w:rsidR="0044083E" w:rsidRDefault="0044083E">
      <w:pPr>
        <w:pStyle w:val="Textpoznpodarou"/>
      </w:pPr>
      <w:r>
        <w:rPr>
          <w:rStyle w:val="Znakapoznpodarou"/>
        </w:rPr>
        <w:footnoteRef/>
      </w:r>
      <w:r>
        <w:t xml:space="preserve"> U národních programů je podmínkou také projednání s poskytovatelem.</w:t>
      </w:r>
    </w:p>
  </w:footnote>
  <w:footnote w:id="83">
    <w:p w14:paraId="0514FB53" w14:textId="6979561E" w:rsidR="0044083E" w:rsidRPr="001B3605" w:rsidRDefault="0044083E" w:rsidP="00E76F0E">
      <w:pPr>
        <w:pStyle w:val="Textpoznpodarou"/>
        <w:jc w:val="both"/>
        <w:rPr>
          <w:rFonts w:asciiTheme="minorHAnsi" w:hAnsiTheme="minorHAnsi" w:cstheme="minorHAnsi"/>
          <w:sz w:val="18"/>
          <w:szCs w:val="18"/>
        </w:rPr>
      </w:pPr>
      <w:r w:rsidRPr="001B3605">
        <w:rPr>
          <w:rStyle w:val="Znakapoznpodarou"/>
          <w:rFonts w:asciiTheme="minorHAnsi" w:hAnsiTheme="minorHAnsi" w:cstheme="minorHAnsi"/>
          <w:sz w:val="18"/>
          <w:szCs w:val="18"/>
        </w:rPr>
        <w:footnoteRef/>
      </w:r>
      <w:r w:rsidRPr="001B3605">
        <w:rPr>
          <w:rFonts w:asciiTheme="minorHAnsi" w:hAnsiTheme="minorHAnsi" w:cstheme="minorHAnsi"/>
          <w:sz w:val="18"/>
          <w:szCs w:val="18"/>
        </w:rPr>
        <w:t xml:space="preserve"> Nejvhodnějším měřítkem intenzity vstupů do inovačního procesu jsou vlastní neinvestiční podnikové výdaje na výzkum a</w:t>
      </w:r>
      <w:r>
        <w:rPr>
          <w:rFonts w:asciiTheme="minorHAnsi" w:hAnsiTheme="minorHAnsi" w:cstheme="minorHAnsi"/>
          <w:sz w:val="18"/>
          <w:szCs w:val="18"/>
        </w:rPr>
        <w:t> </w:t>
      </w:r>
      <w:r w:rsidRPr="001B3605">
        <w:rPr>
          <w:rFonts w:asciiTheme="minorHAnsi" w:hAnsiTheme="minorHAnsi" w:cstheme="minorHAnsi"/>
          <w:sz w:val="18"/>
          <w:szCs w:val="18"/>
        </w:rPr>
        <w:t xml:space="preserve">vývoj (vč. vlastních výdajů na externí spolupráci v této oblasti). To platí přesto, že význam výzkumu a vývoje pro inovace se velmi liší dle typu a řádu inovace a také dle jednotlivých ekonomických oborů. </w:t>
      </w:r>
    </w:p>
  </w:footnote>
  <w:footnote w:id="84">
    <w:p w14:paraId="10FA52A2" w14:textId="77777777" w:rsidR="0044083E" w:rsidRPr="001B3605" w:rsidRDefault="0044083E" w:rsidP="00E76F0E">
      <w:pPr>
        <w:pStyle w:val="Textpoznpodarou"/>
        <w:jc w:val="both"/>
        <w:rPr>
          <w:rFonts w:asciiTheme="minorHAnsi" w:hAnsiTheme="minorHAnsi"/>
          <w:sz w:val="18"/>
          <w:szCs w:val="18"/>
        </w:rPr>
      </w:pPr>
      <w:r w:rsidRPr="001B3605">
        <w:rPr>
          <w:rStyle w:val="Znakapoznpodarou"/>
          <w:rFonts w:asciiTheme="minorHAnsi" w:hAnsiTheme="minorHAnsi" w:cstheme="minorHAnsi"/>
          <w:sz w:val="18"/>
          <w:szCs w:val="18"/>
        </w:rPr>
        <w:footnoteRef/>
      </w:r>
      <w:r w:rsidRPr="001B3605">
        <w:rPr>
          <w:rFonts w:asciiTheme="minorHAnsi" w:hAnsiTheme="minorHAnsi" w:cstheme="minorHAnsi"/>
          <w:sz w:val="18"/>
          <w:szCs w:val="18"/>
        </w:rPr>
        <w:t xml:space="preserve"> Vyšší řády technických inovací obvykle vyžadují rozsáhlé a dlouhodobé experimentování a tím velké investice do VaV, které mohou být pro firmu až likvidační, pokud nevyjdou. Vysoké riziko provázející tento typ inovací je považováno za překážku čistě soukromých investic do tohoto typu inovací.</w:t>
      </w:r>
      <w:r w:rsidRPr="001B3605">
        <w:rPr>
          <w:rFonts w:asciiTheme="minorHAnsi" w:hAnsiTheme="minorHAnsi"/>
          <w:sz w:val="18"/>
          <w:szCs w:val="18"/>
        </w:rPr>
        <w:t xml:space="preserve"> </w:t>
      </w:r>
    </w:p>
  </w:footnote>
  <w:footnote w:id="85">
    <w:p w14:paraId="6E40BC28" w14:textId="77777777" w:rsidR="0044083E" w:rsidRPr="001B3605" w:rsidRDefault="0044083E" w:rsidP="00E76F0E">
      <w:pPr>
        <w:pStyle w:val="Textpoznpodarou"/>
        <w:jc w:val="both"/>
        <w:rPr>
          <w:rFonts w:asciiTheme="minorHAnsi" w:hAnsiTheme="minorHAnsi" w:cstheme="minorHAnsi"/>
          <w:sz w:val="18"/>
          <w:szCs w:val="18"/>
        </w:rPr>
      </w:pPr>
      <w:r w:rsidRPr="001B3605">
        <w:rPr>
          <w:rStyle w:val="Znakapoznpodarou"/>
          <w:rFonts w:asciiTheme="minorHAnsi" w:hAnsiTheme="minorHAnsi" w:cstheme="minorHAnsi"/>
          <w:sz w:val="18"/>
          <w:szCs w:val="18"/>
        </w:rPr>
        <w:footnoteRef/>
      </w:r>
      <w:r w:rsidRPr="001B3605">
        <w:rPr>
          <w:rFonts w:asciiTheme="minorHAnsi" w:hAnsiTheme="minorHAnsi" w:cstheme="minorHAnsi"/>
          <w:sz w:val="18"/>
          <w:szCs w:val="18"/>
        </w:rPr>
        <w:t xml:space="preserve"> Strategické řízení, marketing, inovační management ad. klíčové procesy. Kompetence se zde vztahují k celé firmě, nikoliv k jednotlivcům ve firmě. </w:t>
      </w:r>
    </w:p>
  </w:footnote>
  <w:footnote w:id="86">
    <w:p w14:paraId="447F4A49" w14:textId="77777777" w:rsidR="0044083E" w:rsidRPr="001B3605" w:rsidRDefault="0044083E" w:rsidP="0071779D">
      <w:pPr>
        <w:pStyle w:val="Textpoznpodarou"/>
        <w:jc w:val="both"/>
        <w:rPr>
          <w:rFonts w:asciiTheme="minorHAnsi" w:hAnsiTheme="minorHAnsi" w:cs="Arial"/>
          <w:sz w:val="18"/>
          <w:szCs w:val="18"/>
        </w:rPr>
      </w:pPr>
      <w:r w:rsidRPr="001B3605">
        <w:rPr>
          <w:rStyle w:val="Znakapoznpodarou"/>
          <w:rFonts w:asciiTheme="minorHAnsi" w:hAnsiTheme="minorHAnsi" w:cstheme="minorHAnsi"/>
          <w:sz w:val="18"/>
          <w:szCs w:val="18"/>
        </w:rPr>
        <w:footnoteRef/>
      </w:r>
      <w:r w:rsidRPr="001B3605">
        <w:rPr>
          <w:rFonts w:asciiTheme="minorHAnsi" w:hAnsiTheme="minorHAnsi" w:cs="Arial"/>
          <w:sz w:val="18"/>
          <w:szCs w:val="18"/>
        </w:rPr>
        <w:t xml:space="preserve"> Poskytovateli jsou mezinárodně certifikované (EBN) subjekty typu rozvojových agentur. Poskytovatelé sami realizují fázi identifikace nových růstových příležitostí či růstových bariér firmy. Následně asistují podpořeným firmám při realizaci navazující fáze, v jejímž rámci poskytuje na míru šité specializované poradenství konzultant s prokazatelnou mezinárodní expertizou. Poskytovatel podpory pomáhá tohoto experta firmě najít. Příkladem pro inspiraci může být program Manufacturing Extension Partnership financovaný federální vládou USA (podobný program má řada zemí OECD, v některých zemích také regiony). </w:t>
      </w:r>
    </w:p>
  </w:footnote>
  <w:footnote w:id="87">
    <w:p w14:paraId="6251A0D1" w14:textId="77777777" w:rsidR="0044083E" w:rsidRPr="001B3605" w:rsidRDefault="0044083E" w:rsidP="00826C49">
      <w:pPr>
        <w:spacing w:after="0" w:line="240" w:lineRule="auto"/>
        <w:jc w:val="both"/>
        <w:rPr>
          <w:rFonts w:cstheme="minorHAnsi"/>
          <w:sz w:val="18"/>
          <w:szCs w:val="18"/>
        </w:rPr>
      </w:pPr>
      <w:r w:rsidRPr="001B3605">
        <w:rPr>
          <w:rStyle w:val="Znakapoznpodarou"/>
          <w:rFonts w:cs="Arial"/>
          <w:sz w:val="18"/>
          <w:szCs w:val="18"/>
        </w:rPr>
        <w:footnoteRef/>
      </w:r>
      <w:r w:rsidRPr="001B3605">
        <w:rPr>
          <w:rFonts w:cs="Arial"/>
          <w:sz w:val="18"/>
          <w:szCs w:val="18"/>
        </w:rPr>
        <w:t xml:space="preserve"> tj. dlouhodobé společné programy aplikovaného výzkumu spojené s výchovou PhD, včetně ustavení nových právnických osob.</w:t>
      </w:r>
    </w:p>
  </w:footnote>
  <w:footnote w:id="88">
    <w:p w14:paraId="70936B02" w14:textId="77777777" w:rsidR="0044083E" w:rsidRPr="001B3605" w:rsidRDefault="0044083E" w:rsidP="00826C49">
      <w:pPr>
        <w:pStyle w:val="Textpoznpodarou"/>
        <w:jc w:val="both"/>
        <w:rPr>
          <w:rFonts w:asciiTheme="minorHAnsi" w:hAnsiTheme="minorHAnsi"/>
          <w:sz w:val="18"/>
          <w:szCs w:val="18"/>
        </w:rPr>
      </w:pPr>
      <w:r w:rsidRPr="001B3605">
        <w:rPr>
          <w:rStyle w:val="Znakapoznpodarou"/>
          <w:rFonts w:asciiTheme="minorHAnsi" w:hAnsiTheme="minorHAnsi" w:cstheme="minorHAnsi"/>
          <w:sz w:val="18"/>
          <w:szCs w:val="18"/>
        </w:rPr>
        <w:footnoteRef/>
      </w:r>
      <w:r w:rsidRPr="001B3605">
        <w:rPr>
          <w:rFonts w:asciiTheme="minorHAnsi" w:hAnsiTheme="minorHAnsi" w:cstheme="minorHAnsi"/>
          <w:sz w:val="18"/>
          <w:szCs w:val="18"/>
        </w:rPr>
        <w:t xml:space="preserve"> V důsledku této závislosti je hospodářský vývoj na území ČR do značné míry odvozen z podnikatelských rozhodnutí mimo ČR. To při změně relativních cen a podmínek mezi ČR, resp. střední Evropou, a jinými regiony vytváří riziko dlouhodobé hospodářské stagnace či útlumu.</w:t>
      </w:r>
      <w:r w:rsidRPr="001B3605">
        <w:rPr>
          <w:rFonts w:asciiTheme="minorHAnsi" w:hAnsiTheme="minorHAnsi"/>
          <w:sz w:val="18"/>
          <w:szCs w:val="18"/>
        </w:rPr>
        <w:t xml:space="preserve"> </w:t>
      </w:r>
    </w:p>
  </w:footnote>
  <w:footnote w:id="89">
    <w:p w14:paraId="627D19F2" w14:textId="4945E1D8" w:rsidR="0044083E" w:rsidRPr="001B3605" w:rsidRDefault="0044083E" w:rsidP="0044099C">
      <w:pPr>
        <w:pStyle w:val="Textpoznpodarou"/>
        <w:jc w:val="both"/>
        <w:rPr>
          <w:rFonts w:asciiTheme="minorHAnsi" w:hAnsiTheme="minorHAnsi" w:cstheme="minorHAnsi"/>
          <w:sz w:val="18"/>
          <w:szCs w:val="18"/>
        </w:rPr>
      </w:pPr>
      <w:r w:rsidRPr="001B3605">
        <w:rPr>
          <w:rStyle w:val="Znakapoznpodarou"/>
          <w:rFonts w:asciiTheme="minorHAnsi" w:hAnsiTheme="minorHAnsi" w:cstheme="minorHAnsi"/>
          <w:sz w:val="18"/>
          <w:szCs w:val="18"/>
        </w:rPr>
        <w:footnoteRef/>
      </w:r>
      <w:r w:rsidRPr="001B3605">
        <w:rPr>
          <w:rFonts w:asciiTheme="minorHAnsi" w:hAnsiTheme="minorHAnsi" w:cstheme="minorHAnsi"/>
          <w:sz w:val="18"/>
          <w:szCs w:val="18"/>
        </w:rPr>
        <w:t xml:space="preserve"> Světová banka vytváří žebříček snadnosti podnikání (Ease of doing business) pro 190 zemí světa. </w:t>
      </w:r>
    </w:p>
  </w:footnote>
  <w:footnote w:id="90">
    <w:p w14:paraId="3AF154A1" w14:textId="632988CF" w:rsidR="0044083E" w:rsidRPr="001B3605" w:rsidRDefault="0044083E" w:rsidP="0044099C">
      <w:pPr>
        <w:pStyle w:val="Textpoznpodarou"/>
        <w:jc w:val="both"/>
        <w:rPr>
          <w:rFonts w:asciiTheme="minorHAnsi" w:hAnsiTheme="minorHAnsi" w:cs="Arial"/>
          <w:sz w:val="18"/>
          <w:szCs w:val="18"/>
        </w:rPr>
      </w:pPr>
      <w:r w:rsidRPr="001B3605">
        <w:rPr>
          <w:rStyle w:val="Znakapoznpodarou"/>
          <w:rFonts w:asciiTheme="minorHAnsi" w:hAnsiTheme="minorHAnsi" w:cstheme="minorHAnsi"/>
          <w:sz w:val="18"/>
          <w:szCs w:val="18"/>
        </w:rPr>
        <w:footnoteRef/>
      </w:r>
      <w:r w:rsidRPr="001B3605">
        <w:rPr>
          <w:rFonts w:asciiTheme="minorHAnsi" w:hAnsiTheme="minorHAnsi" w:cstheme="minorHAnsi"/>
          <w:sz w:val="18"/>
          <w:szCs w:val="18"/>
        </w:rPr>
        <w:t xml:space="preserve"> </w:t>
      </w:r>
      <w:r w:rsidRPr="001B3605">
        <w:rPr>
          <w:rFonts w:asciiTheme="minorHAnsi" w:hAnsiTheme="minorHAnsi" w:cs="Arial"/>
          <w:sz w:val="18"/>
          <w:szCs w:val="18"/>
        </w:rPr>
        <w:t>Kvalitu výzkumu zásadním způsobem podmiňuje kvalita lidských zdrojů pro výzkumné kariéry. K tomuto tématu blíže viz</w:t>
      </w:r>
      <w:r>
        <w:rPr>
          <w:rFonts w:asciiTheme="minorHAnsi" w:hAnsiTheme="minorHAnsi" w:cs="Arial"/>
          <w:sz w:val="18"/>
          <w:szCs w:val="18"/>
        </w:rPr>
        <w:t> </w:t>
      </w:r>
      <w:r w:rsidRPr="001B3605">
        <w:rPr>
          <w:rFonts w:asciiTheme="minorHAnsi" w:hAnsiTheme="minorHAnsi" w:cs="Arial"/>
          <w:sz w:val="18"/>
          <w:szCs w:val="18"/>
        </w:rPr>
        <w:t xml:space="preserve">klíčová oblast změn </w:t>
      </w:r>
      <w:r w:rsidRPr="001B3605">
        <w:rPr>
          <w:rFonts w:asciiTheme="minorHAnsi" w:hAnsiTheme="minorHAnsi" w:cs="Arial"/>
          <w:i/>
          <w:sz w:val="18"/>
          <w:szCs w:val="18"/>
        </w:rPr>
        <w:t>Lepší nabídka lidí v počtu i kvalitě pro inovační podnikání, výzkum a vývoj.</w:t>
      </w:r>
    </w:p>
  </w:footnote>
  <w:footnote w:id="91">
    <w:p w14:paraId="57488106" w14:textId="2C0AAB6B" w:rsidR="0044083E" w:rsidRPr="001B3605" w:rsidRDefault="0044083E" w:rsidP="0044099C">
      <w:pPr>
        <w:spacing w:line="240" w:lineRule="auto"/>
        <w:jc w:val="both"/>
        <w:rPr>
          <w:rFonts w:cs="Arial"/>
          <w:sz w:val="18"/>
          <w:szCs w:val="18"/>
        </w:rPr>
      </w:pPr>
      <w:r w:rsidRPr="001B3605">
        <w:rPr>
          <w:rStyle w:val="Znakapoznpodarou"/>
          <w:rFonts w:cs="Arial"/>
          <w:sz w:val="18"/>
          <w:szCs w:val="18"/>
        </w:rPr>
        <w:footnoteRef/>
      </w:r>
      <w:r w:rsidRPr="001B3605">
        <w:rPr>
          <w:rFonts w:cs="Arial"/>
          <w:sz w:val="18"/>
          <w:szCs w:val="18"/>
        </w:rPr>
        <w:t xml:space="preserve"> Znalostními doménami se myslí tyto oblasti výzkumu: materiálový výzkum, informační a komunikační technologie, elektronika a fotonika, pokročilé výrobní technologie, biotechnologie a biomedicína.</w:t>
      </w:r>
    </w:p>
  </w:footnote>
  <w:footnote w:id="92">
    <w:p w14:paraId="75A91E77" w14:textId="4D34A24E" w:rsidR="0044083E" w:rsidRPr="007D5D9B" w:rsidRDefault="0044083E" w:rsidP="007D5D9B">
      <w:pPr>
        <w:spacing w:line="240" w:lineRule="auto"/>
        <w:jc w:val="both"/>
        <w:rPr>
          <w:rStyle w:val="Znakapoznpodarou"/>
          <w:rFonts w:cs="Arial"/>
          <w:sz w:val="18"/>
          <w:szCs w:val="18"/>
          <w:vertAlign w:val="baseline"/>
        </w:rPr>
      </w:pPr>
      <w:r w:rsidRPr="007D5D9B">
        <w:rPr>
          <w:rStyle w:val="Znakapoznpodarou"/>
          <w:rFonts w:cs="Arial"/>
          <w:sz w:val="18"/>
          <w:szCs w:val="18"/>
        </w:rPr>
        <w:footnoteRef/>
      </w:r>
      <w:r w:rsidRPr="007D5D9B">
        <w:rPr>
          <w:rStyle w:val="Znakapoznpodarou"/>
          <w:rFonts w:cs="Arial"/>
          <w:sz w:val="18"/>
          <w:szCs w:val="18"/>
        </w:rPr>
        <w:t xml:space="preserve"> </w:t>
      </w:r>
      <w:r w:rsidRPr="007D5D9B">
        <w:rPr>
          <w:rStyle w:val="Znakapoznpodarou"/>
          <w:rFonts w:cs="Arial"/>
          <w:sz w:val="18"/>
          <w:szCs w:val="18"/>
          <w:vertAlign w:val="baseline"/>
        </w:rPr>
        <w:t>Metodika hodnocení výzkumných organizací a programů účelové podpory výzkumu, vývoje a inovací (Metodika M17+)</w:t>
      </w:r>
      <w:r>
        <w:rPr>
          <w:rFonts w:cs="Arial"/>
          <w:sz w:val="18"/>
          <w:szCs w:val="18"/>
        </w:rPr>
        <w:t xml:space="preserve">. </w:t>
      </w:r>
    </w:p>
  </w:footnote>
  <w:footnote w:id="93">
    <w:p w14:paraId="251D70D1" w14:textId="77777777" w:rsidR="0044083E" w:rsidRPr="001B3605" w:rsidRDefault="0044083E" w:rsidP="004854E2">
      <w:pPr>
        <w:pStyle w:val="Textpoznpodarou"/>
        <w:jc w:val="both"/>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Ve smyslu zákona č. 130/2002 Sb.</w:t>
      </w:r>
    </w:p>
  </w:footnote>
  <w:footnote w:id="94">
    <w:p w14:paraId="757DBB65" w14:textId="77777777" w:rsidR="0044083E" w:rsidRPr="001B3605" w:rsidRDefault="0044083E" w:rsidP="004854E2">
      <w:pPr>
        <w:pStyle w:val="Textpoznpodarou"/>
        <w:jc w:val="both"/>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Zde zařazena i opatření aktualizované Národní politiky VaVaI na léta 2009 až 2015 s výhledem do roku 2020. Konkrétně jde o opatření 1, 2, 5, 14, 15, 16, 17, 18. Ostatní opatření povahy intervencí jsou obsažena mezi navrhovanými typovými aktivitami.</w:t>
      </w:r>
    </w:p>
  </w:footnote>
  <w:footnote w:id="95">
    <w:p w14:paraId="10F898D0" w14:textId="77777777" w:rsidR="0044083E" w:rsidRPr="001B3605" w:rsidRDefault="0044083E" w:rsidP="00BF332B">
      <w:pPr>
        <w:pStyle w:val="Textpoznpodarou"/>
        <w:jc w:val="both"/>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Další příčinou neuspokojivého stavu je nízká sofistikovanost inovační poptávky na straně českých podniků. Tato oblast je řešena v klíčové oblasti změn </w:t>
      </w:r>
      <w:r w:rsidRPr="001B3605">
        <w:rPr>
          <w:rFonts w:asciiTheme="minorHAnsi" w:hAnsiTheme="minorHAnsi"/>
          <w:i/>
          <w:sz w:val="18"/>
          <w:szCs w:val="18"/>
        </w:rPr>
        <w:t>Vyšší inovační výkonnost firem</w:t>
      </w:r>
      <w:r w:rsidRPr="001B3605">
        <w:rPr>
          <w:rFonts w:asciiTheme="minorHAnsi" w:hAnsiTheme="minorHAnsi"/>
          <w:sz w:val="18"/>
          <w:szCs w:val="18"/>
        </w:rPr>
        <w:t>.</w:t>
      </w:r>
    </w:p>
  </w:footnote>
  <w:footnote w:id="96">
    <w:p w14:paraId="52BB8824" w14:textId="77777777" w:rsidR="0044083E" w:rsidRPr="001B3605" w:rsidRDefault="0044083E" w:rsidP="00E17E27">
      <w:pPr>
        <w:pStyle w:val="Textpoznpodarou"/>
        <w:jc w:val="both"/>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Jen v realizaci aplikačních výzkumných témat rozvíjejících inteligentní specializaci.</w:t>
      </w:r>
    </w:p>
  </w:footnote>
  <w:footnote w:id="97">
    <w:p w14:paraId="7F62BC1E" w14:textId="77777777" w:rsidR="0044083E" w:rsidRPr="001B3605" w:rsidRDefault="0044083E" w:rsidP="00E17E27">
      <w:pPr>
        <w:pStyle w:val="Textpoznpodarou"/>
        <w:jc w:val="both"/>
        <w:rPr>
          <w:rFonts w:asciiTheme="minorHAnsi" w:hAnsiTheme="minorHAnsi"/>
          <w:sz w:val="18"/>
          <w:szCs w:val="18"/>
        </w:rPr>
      </w:pPr>
      <w:r w:rsidRPr="001B3605">
        <w:rPr>
          <w:rStyle w:val="Znakapoznpodarou"/>
          <w:rFonts w:asciiTheme="minorHAnsi" w:hAnsiTheme="minorHAnsi" w:cstheme="minorHAnsi"/>
          <w:sz w:val="18"/>
          <w:szCs w:val="18"/>
        </w:rPr>
        <w:footnoteRef/>
      </w:r>
      <w:r w:rsidRPr="001B3605">
        <w:rPr>
          <w:rFonts w:asciiTheme="minorHAnsi" w:hAnsiTheme="minorHAnsi" w:cstheme="minorHAnsi"/>
          <w:sz w:val="18"/>
          <w:szCs w:val="18"/>
        </w:rPr>
        <w:t xml:space="preserve"> Jedná se o analogii programu Future and Emerging Technologies (FET) realizovaných v 7. rámcovém programu EU.</w:t>
      </w:r>
    </w:p>
  </w:footnote>
  <w:footnote w:id="98">
    <w:p w14:paraId="34E13386" w14:textId="77777777" w:rsidR="0044083E" w:rsidRPr="001B3605" w:rsidRDefault="0044083E" w:rsidP="006F19D4">
      <w:pPr>
        <w:widowControl w:val="0"/>
        <w:autoSpaceDE w:val="0"/>
        <w:autoSpaceDN w:val="0"/>
        <w:adjustRightInd w:val="0"/>
        <w:spacing w:after="0"/>
        <w:rPr>
          <w:sz w:val="18"/>
          <w:szCs w:val="18"/>
        </w:rPr>
      </w:pPr>
      <w:r w:rsidRPr="001B3605">
        <w:rPr>
          <w:rStyle w:val="Znakapoznpodarou"/>
          <w:sz w:val="18"/>
          <w:szCs w:val="18"/>
        </w:rPr>
        <w:footnoteRef/>
      </w:r>
      <w:r w:rsidRPr="001B3605">
        <w:rPr>
          <w:sz w:val="18"/>
          <w:szCs w:val="18"/>
        </w:rPr>
        <w:t xml:space="preserve"> </w:t>
      </w:r>
      <w:r w:rsidRPr="001B3605">
        <w:rPr>
          <w:rFonts w:cs="ê0˘ø\◊"/>
          <w:sz w:val="18"/>
          <w:szCs w:val="18"/>
        </w:rPr>
        <w:t>Münich</w:t>
      </w:r>
      <w:r w:rsidRPr="001B3605">
        <w:rPr>
          <w:rFonts w:cs="Times New Roman"/>
          <w:sz w:val="18"/>
          <w:szCs w:val="18"/>
        </w:rPr>
        <w:t xml:space="preserve"> a </w:t>
      </w:r>
      <w:r w:rsidRPr="001B3605">
        <w:rPr>
          <w:rFonts w:cs="ê0˘ø\◊"/>
          <w:sz w:val="18"/>
          <w:szCs w:val="18"/>
        </w:rPr>
        <w:t>Protivínský</w:t>
      </w:r>
      <w:r w:rsidRPr="001B3605">
        <w:rPr>
          <w:rFonts w:cs="Times New Roman"/>
          <w:sz w:val="18"/>
          <w:szCs w:val="18"/>
        </w:rPr>
        <w:t xml:space="preserve"> (2013): </w:t>
      </w:r>
      <w:r w:rsidRPr="001B3605">
        <w:rPr>
          <w:rFonts w:cs="ê0˘ø\◊"/>
          <w:sz w:val="18"/>
          <w:szCs w:val="18"/>
        </w:rPr>
        <w:t>Dopad vzdělanosti na hospodářský́ růst ve světle nových výsledků PISA 2012</w:t>
      </w:r>
    </w:p>
  </w:footnote>
  <w:footnote w:id="99">
    <w:p w14:paraId="2AB5E5DC" w14:textId="77777777" w:rsidR="0044083E" w:rsidRPr="001B3605" w:rsidRDefault="0044083E" w:rsidP="004550E7">
      <w:pPr>
        <w:pStyle w:val="Textpoznpodarou"/>
        <w:jc w:val="both"/>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Mapa české digitální pustiny: Opravdu rychlý internet mají jen 3 procenta lidí (</w:t>
      </w:r>
      <w:hyperlink r:id="rId9" w:history="1">
        <w:r w:rsidRPr="001B3605">
          <w:rPr>
            <w:rStyle w:val="Hypertextovodkaz"/>
            <w:rFonts w:asciiTheme="minorHAnsi" w:hAnsiTheme="minorHAnsi"/>
            <w:sz w:val="18"/>
            <w:szCs w:val="18"/>
          </w:rPr>
          <w:t>www.ihned.cz</w:t>
        </w:r>
      </w:hyperlink>
      <w:r w:rsidRPr="001B3605">
        <w:rPr>
          <w:rFonts w:asciiTheme="minorHAnsi" w:hAnsiTheme="minorHAnsi"/>
          <w:sz w:val="18"/>
          <w:szCs w:val="18"/>
        </w:rPr>
        <w:t>) a ČTÚ (</w:t>
      </w:r>
      <w:hyperlink r:id="rId10" w:history="1">
        <w:r w:rsidRPr="001B3605">
          <w:rPr>
            <w:rStyle w:val="Hypertextovodkaz"/>
            <w:rFonts w:asciiTheme="minorHAnsi" w:hAnsiTheme="minorHAnsi"/>
            <w:sz w:val="18"/>
            <w:szCs w:val="18"/>
          </w:rPr>
          <w:t>http://www.ctu.cz/ctu-online/pruzkum-nga.html</w:t>
        </w:r>
      </w:hyperlink>
      <w:r w:rsidRPr="001B3605">
        <w:rPr>
          <w:rFonts w:asciiTheme="minorHAnsi" w:hAnsiTheme="minorHAnsi"/>
          <w:sz w:val="18"/>
          <w:szCs w:val="18"/>
        </w:rPr>
        <w:t>).</w:t>
      </w:r>
    </w:p>
  </w:footnote>
  <w:footnote w:id="100">
    <w:p w14:paraId="3D1B51C1" w14:textId="77777777" w:rsidR="0044083E" w:rsidRPr="001B3605" w:rsidRDefault="0044083E" w:rsidP="00D91E1F">
      <w:pPr>
        <w:jc w:val="both"/>
        <w:rPr>
          <w:rFonts w:cs="Arial"/>
          <w:sz w:val="18"/>
          <w:szCs w:val="18"/>
        </w:rPr>
      </w:pPr>
      <w:r w:rsidRPr="001B3605">
        <w:rPr>
          <w:rStyle w:val="Znakapoznpodarou"/>
          <w:rFonts w:cs="Arial"/>
          <w:sz w:val="18"/>
          <w:szCs w:val="18"/>
        </w:rPr>
        <w:footnoteRef/>
      </w:r>
      <w:r w:rsidRPr="001B3605">
        <w:rPr>
          <w:rFonts w:cs="Arial"/>
          <w:sz w:val="18"/>
          <w:szCs w:val="18"/>
        </w:rPr>
        <w:t xml:space="preserve"> Viz. Vienna Action Statement on Partnerships (OECD LEED Forum on Parnterships, Vídeň 2007) a identifikace klíčové role partnerství při realizaci strategie Evropa 2020.</w:t>
      </w:r>
    </w:p>
  </w:footnote>
  <w:footnote w:id="101">
    <w:p w14:paraId="784E65D8" w14:textId="14CBCCFA" w:rsidR="0044083E" w:rsidRPr="00991E77" w:rsidRDefault="0044083E" w:rsidP="00FD4B9E">
      <w:pPr>
        <w:pStyle w:val="Textpoznpodarou"/>
        <w:jc w:val="both"/>
        <w:rPr>
          <w:sz w:val="18"/>
          <w:szCs w:val="18"/>
        </w:rPr>
      </w:pPr>
      <w:r w:rsidRPr="00991E77">
        <w:rPr>
          <w:rStyle w:val="Znakapoznpodarou"/>
          <w:sz w:val="18"/>
          <w:szCs w:val="18"/>
        </w:rPr>
        <w:footnoteRef/>
      </w:r>
      <w:r w:rsidRPr="00991E77">
        <w:rPr>
          <w:sz w:val="18"/>
          <w:szCs w:val="18"/>
        </w:rPr>
        <w:t xml:space="preserve"> Doporučení k realizaci intervencí napříč zvolenými klíčovými oblastmi změn se vztahuje také na Technologickou agenturu ČR, MZ, MZe a MV, co by poskytovatele programů podpory aplikovaného výzkumu, u nichž je deklarován obecný soulad s Národní RIS3 strategií.</w:t>
      </w:r>
      <w:r>
        <w:rPr>
          <w:sz w:val="18"/>
          <w:szCs w:val="18"/>
        </w:rPr>
        <w:t xml:space="preserve"> Pro Národní RIS3 strategii 2021+ je zvažováno rozšíření její působnosti také na programy GA ČR. </w:t>
      </w:r>
    </w:p>
  </w:footnote>
  <w:footnote w:id="102">
    <w:p w14:paraId="60F4DCCC" w14:textId="77777777" w:rsidR="0044083E" w:rsidRPr="00AC07C0" w:rsidRDefault="0044083E" w:rsidP="000649EE">
      <w:pPr>
        <w:pStyle w:val="Textpoznpodarou"/>
        <w:jc w:val="both"/>
        <w:rPr>
          <w:sz w:val="18"/>
          <w:szCs w:val="18"/>
        </w:rPr>
      </w:pPr>
      <w:r w:rsidRPr="00AC07C0">
        <w:rPr>
          <w:rStyle w:val="Znakapoznpodarou"/>
          <w:sz w:val="18"/>
          <w:szCs w:val="18"/>
        </w:rPr>
        <w:footnoteRef/>
      </w:r>
      <w:r w:rsidRPr="00AC07C0">
        <w:rPr>
          <w:sz w:val="18"/>
          <w:szCs w:val="18"/>
        </w:rPr>
        <w:t xml:space="preserve"> ČSÚ 2016, kdy jsou zahrnuty s</w:t>
      </w:r>
      <w:r w:rsidRPr="00AC07C0">
        <w:rPr>
          <w:color w:val="000000"/>
          <w:sz w:val="18"/>
          <w:szCs w:val="18"/>
        </w:rPr>
        <w:t>kupina 28.4, 25.4 a 10% podíl ze skupin 26.5, 28.1, 28.2 a 28.9.</w:t>
      </w:r>
    </w:p>
  </w:footnote>
  <w:footnote w:id="103">
    <w:p w14:paraId="164A4715" w14:textId="77777777" w:rsidR="00C70A96" w:rsidRDefault="00C70A96" w:rsidP="00C70A96">
      <w:pPr>
        <w:pStyle w:val="Textpoznpodarou"/>
      </w:pPr>
      <w:r>
        <w:rPr>
          <w:rStyle w:val="Znakapoznpodarou"/>
        </w:rPr>
        <w:footnoteRef/>
      </w:r>
      <w:r>
        <w:t xml:space="preserve"> </w:t>
      </w:r>
      <w:r w:rsidRPr="00F84E06">
        <w:rPr>
          <w:sz w:val="18"/>
          <w:szCs w:val="18"/>
        </w:rPr>
        <w:t>ČSÚ 2016.</w:t>
      </w:r>
    </w:p>
  </w:footnote>
  <w:footnote w:id="104">
    <w:p w14:paraId="5ED4194E" w14:textId="77777777" w:rsidR="0044083E" w:rsidRPr="009B1823" w:rsidRDefault="0044083E" w:rsidP="00EB2503">
      <w:pPr>
        <w:pStyle w:val="Textpoznpodarou"/>
        <w:rPr>
          <w:sz w:val="18"/>
          <w:szCs w:val="18"/>
        </w:rPr>
      </w:pPr>
      <w:r w:rsidRPr="009B1823">
        <w:rPr>
          <w:rStyle w:val="Znakapoznpodarou"/>
          <w:sz w:val="18"/>
          <w:szCs w:val="18"/>
        </w:rPr>
        <w:footnoteRef/>
      </w:r>
      <w:r w:rsidRPr="009B1823">
        <w:rPr>
          <w:sz w:val="18"/>
          <w:szCs w:val="18"/>
        </w:rPr>
        <w:t xml:space="preserve"> Panorama zpracovatelského průmyslu ČR 2016 (MPO)</w:t>
      </w:r>
    </w:p>
  </w:footnote>
  <w:footnote w:id="105">
    <w:p w14:paraId="09DBA360" w14:textId="77777777" w:rsidR="0044083E" w:rsidRDefault="0044083E" w:rsidP="00EB2503">
      <w:pPr>
        <w:pStyle w:val="Textpoznpodarou"/>
      </w:pPr>
      <w:r w:rsidRPr="009B1823">
        <w:rPr>
          <w:rStyle w:val="Znakapoznpodarou"/>
          <w:sz w:val="18"/>
          <w:szCs w:val="18"/>
        </w:rPr>
        <w:footnoteRef/>
      </w:r>
      <w:r w:rsidRPr="009B1823">
        <w:rPr>
          <w:sz w:val="18"/>
          <w:szCs w:val="18"/>
        </w:rPr>
        <w:t xml:space="preserve"> Panorama zpracovatelského průmyslu ČR 2016 (MPO)</w:t>
      </w:r>
    </w:p>
  </w:footnote>
  <w:footnote w:id="106">
    <w:p w14:paraId="4131B1B0" w14:textId="77777777" w:rsidR="0044083E" w:rsidRPr="00585AF6" w:rsidRDefault="0044083E" w:rsidP="00305943">
      <w:pPr>
        <w:pStyle w:val="Textpoznpodarou"/>
        <w:rPr>
          <w:sz w:val="18"/>
          <w:szCs w:val="18"/>
        </w:rPr>
      </w:pPr>
      <w:r w:rsidRPr="00585AF6">
        <w:rPr>
          <w:rStyle w:val="Znakapoznpodarou"/>
          <w:sz w:val="18"/>
          <w:szCs w:val="18"/>
        </w:rPr>
        <w:footnoteRef/>
      </w:r>
      <w:r w:rsidRPr="00585AF6">
        <w:rPr>
          <w:sz w:val="18"/>
          <w:szCs w:val="18"/>
        </w:rPr>
        <w:t xml:space="preserve"> ČSÚ 2016.</w:t>
      </w:r>
    </w:p>
  </w:footnote>
  <w:footnote w:id="107">
    <w:p w14:paraId="1A1DB435" w14:textId="77777777" w:rsidR="0044083E" w:rsidRPr="00B74200" w:rsidRDefault="0044083E" w:rsidP="00070CE2">
      <w:pPr>
        <w:pStyle w:val="Textpoznpodarou"/>
        <w:rPr>
          <w:sz w:val="18"/>
          <w:szCs w:val="18"/>
        </w:rPr>
      </w:pPr>
      <w:r w:rsidRPr="00B74200">
        <w:rPr>
          <w:rStyle w:val="Znakapoznpodarou"/>
          <w:sz w:val="18"/>
          <w:szCs w:val="18"/>
        </w:rPr>
        <w:footnoteRef/>
      </w:r>
      <w:r w:rsidRPr="00B74200">
        <w:rPr>
          <w:sz w:val="18"/>
          <w:szCs w:val="18"/>
        </w:rPr>
        <w:t xml:space="preserve"> ČSÚ 2016.</w:t>
      </w:r>
    </w:p>
  </w:footnote>
  <w:footnote w:id="108">
    <w:p w14:paraId="0A6E8B3F" w14:textId="77777777" w:rsidR="0044083E" w:rsidRPr="000F2893" w:rsidRDefault="0044083E" w:rsidP="00345D19">
      <w:pPr>
        <w:pStyle w:val="Textpoznpodarou"/>
        <w:rPr>
          <w:sz w:val="18"/>
          <w:szCs w:val="18"/>
        </w:rPr>
      </w:pPr>
      <w:r w:rsidRPr="000F2893">
        <w:rPr>
          <w:rStyle w:val="Znakapoznpodarou"/>
          <w:sz w:val="18"/>
          <w:szCs w:val="18"/>
        </w:rPr>
        <w:footnoteRef/>
      </w:r>
      <w:r w:rsidRPr="000F2893">
        <w:rPr>
          <w:sz w:val="18"/>
          <w:szCs w:val="18"/>
        </w:rPr>
        <w:t xml:space="preserve"> ČSÚ 2016.</w:t>
      </w:r>
    </w:p>
  </w:footnote>
  <w:footnote w:id="109">
    <w:p w14:paraId="4DE099C5" w14:textId="77777777" w:rsidR="0044083E" w:rsidRPr="000F2893" w:rsidRDefault="0044083E" w:rsidP="00345D19">
      <w:pPr>
        <w:pStyle w:val="Textpoznpodarou"/>
        <w:rPr>
          <w:sz w:val="18"/>
          <w:szCs w:val="18"/>
        </w:rPr>
      </w:pPr>
      <w:r w:rsidRPr="000F2893">
        <w:rPr>
          <w:rStyle w:val="Znakapoznpodarou"/>
          <w:sz w:val="18"/>
          <w:szCs w:val="18"/>
        </w:rPr>
        <w:footnoteRef/>
      </w:r>
      <w:r w:rsidRPr="000F2893">
        <w:rPr>
          <w:sz w:val="18"/>
          <w:szCs w:val="18"/>
        </w:rPr>
        <w:t xml:space="preserve"> CZECHINVEST – Automobilový průmysl (</w:t>
      </w:r>
      <w:hyperlink r:id="rId11" w:history="1">
        <w:r w:rsidRPr="000F2893">
          <w:rPr>
            <w:rStyle w:val="Hypertextovodkaz"/>
            <w:rFonts w:eastAsiaTheme="majorEastAsia"/>
            <w:sz w:val="18"/>
            <w:szCs w:val="18"/>
          </w:rPr>
          <w:t>www.czechinvest.org</w:t>
        </w:r>
      </w:hyperlink>
      <w:r w:rsidRPr="000F2893">
        <w:rPr>
          <w:sz w:val="18"/>
          <w:szCs w:val="18"/>
        </w:rPr>
        <w:t xml:space="preserve">). </w:t>
      </w:r>
    </w:p>
  </w:footnote>
  <w:footnote w:id="110">
    <w:p w14:paraId="3C780903" w14:textId="77777777" w:rsidR="0044083E" w:rsidRDefault="0044083E" w:rsidP="00345D19">
      <w:pPr>
        <w:pStyle w:val="Textpoznpodarou"/>
      </w:pPr>
      <w:r w:rsidRPr="000F2893">
        <w:rPr>
          <w:rStyle w:val="Znakapoznpodarou"/>
          <w:sz w:val="18"/>
          <w:szCs w:val="18"/>
        </w:rPr>
        <w:footnoteRef/>
      </w:r>
      <w:r w:rsidRPr="000F2893">
        <w:rPr>
          <w:sz w:val="18"/>
          <w:szCs w:val="18"/>
        </w:rPr>
        <w:t xml:space="preserve"> ČSÚ 2016.</w:t>
      </w:r>
    </w:p>
  </w:footnote>
  <w:footnote w:id="111">
    <w:p w14:paraId="11812816" w14:textId="77777777" w:rsidR="0044083E" w:rsidRPr="002D33C8" w:rsidRDefault="0044083E" w:rsidP="006F0BCD">
      <w:pPr>
        <w:pStyle w:val="Textpoznpodarou"/>
        <w:rPr>
          <w:sz w:val="18"/>
          <w:szCs w:val="18"/>
        </w:rPr>
      </w:pPr>
      <w:r w:rsidRPr="002D33C8">
        <w:rPr>
          <w:rStyle w:val="Znakapoznpodarou"/>
          <w:sz w:val="18"/>
          <w:szCs w:val="18"/>
        </w:rPr>
        <w:footnoteRef/>
      </w:r>
      <w:r w:rsidRPr="002D33C8">
        <w:rPr>
          <w:sz w:val="18"/>
          <w:szCs w:val="18"/>
        </w:rPr>
        <w:t xml:space="preserve"> ČSÚ 2016.</w:t>
      </w:r>
    </w:p>
  </w:footnote>
  <w:footnote w:id="112">
    <w:p w14:paraId="22EB806D" w14:textId="77777777" w:rsidR="0044083E" w:rsidRDefault="0044083E" w:rsidP="006F0BCD">
      <w:pPr>
        <w:pStyle w:val="Textpoznpodarou"/>
      </w:pPr>
      <w:r>
        <w:rPr>
          <w:rStyle w:val="Znakapoznpodarou"/>
        </w:rPr>
        <w:footnoteRef/>
      </w:r>
      <w:r>
        <w:t xml:space="preserve"> </w:t>
      </w:r>
      <w:r w:rsidRPr="009F3C05">
        <w:rPr>
          <w:sz w:val="18"/>
          <w:szCs w:val="18"/>
        </w:rPr>
        <w:t>Výbor pro udržitelnou energetiku (příloha zápisu ze 17. jednání Výboru pro udržitelnou energetiku RVUR).</w:t>
      </w:r>
    </w:p>
  </w:footnote>
  <w:footnote w:id="113">
    <w:p w14:paraId="336975C4" w14:textId="1E668B27" w:rsidR="0044083E" w:rsidRDefault="0044083E" w:rsidP="009C6CA0">
      <w:pPr>
        <w:pStyle w:val="Textpoznpodarou"/>
        <w:jc w:val="both"/>
      </w:pPr>
      <w:r>
        <w:rPr>
          <w:rStyle w:val="Znakapoznpodarou"/>
        </w:rPr>
        <w:footnoteRef/>
      </w:r>
      <w:r>
        <w:t xml:space="preserve"> </w:t>
      </w:r>
      <w:r w:rsidRPr="00233ACF">
        <w:rPr>
          <w:sz w:val="18"/>
          <w:szCs w:val="18"/>
        </w:rPr>
        <w:t xml:space="preserve">Kromě výše popsaných národních domén specializace </w:t>
      </w:r>
      <w:r w:rsidRPr="00233ACF">
        <w:rPr>
          <w:color w:val="000000"/>
          <w:sz w:val="18"/>
          <w:szCs w:val="18"/>
        </w:rPr>
        <w:t xml:space="preserve">odvozených od významnosti ekonomické a inovační dynamiky příslušných aplikačních odvětví je RIS3 strategie rozšířena o VaVaI témata v několika dalších kritických oblastech (kapitoly 7.1.6 a 7.1.7), ve kterých je z hlediska udržení dlouhodobé konkurenceschopnosti ČR nutné předcházet rizikům a nacházet řešení pro klíčové výzvy. Tato témata byla primárně odvozena z priorit aplikovaného výzkumu zodpovědných rezortů (MZe, MZ, MV, MPSV). V rámci Národní RIS3 strategie 2021+ se počítá s revizí způsobu začlenění těchto témat do komplexu specializací RIS3, mimo jiné také v návaznosti na případné změny akcentů v Národní politice VaVaI 2021+. </w:t>
      </w:r>
    </w:p>
  </w:footnote>
  <w:footnote w:id="114">
    <w:p w14:paraId="573BF021" w14:textId="05BCC946" w:rsidR="0044083E" w:rsidRPr="003F18C9" w:rsidRDefault="0044083E">
      <w:pPr>
        <w:pStyle w:val="Textpoznpodarou"/>
        <w:rPr>
          <w:sz w:val="18"/>
          <w:szCs w:val="18"/>
        </w:rPr>
      </w:pPr>
      <w:r w:rsidRPr="003F18C9">
        <w:rPr>
          <w:rStyle w:val="Znakapoznpodarou"/>
          <w:sz w:val="18"/>
          <w:szCs w:val="18"/>
        </w:rPr>
        <w:footnoteRef/>
      </w:r>
      <w:r w:rsidRPr="003F18C9">
        <w:rPr>
          <w:sz w:val="18"/>
          <w:szCs w:val="18"/>
        </w:rPr>
        <w:t xml:space="preserve"> </w:t>
      </w:r>
      <w:r>
        <w:rPr>
          <w:sz w:val="18"/>
          <w:szCs w:val="18"/>
        </w:rPr>
        <w:t>Nejsou dotčena žádná z platných ustanovení Kompetenčního zákona (č. 2/1969 Sb.) ani zákona č. 130/2002 Sb.</w:t>
      </w:r>
    </w:p>
  </w:footnote>
  <w:footnote w:id="115">
    <w:p w14:paraId="47C9E6D3" w14:textId="60FB010F" w:rsidR="0044083E" w:rsidRPr="001B3605" w:rsidRDefault="0044083E" w:rsidP="002951D1">
      <w:pPr>
        <w:pStyle w:val="Textpoznpodarou"/>
        <w:jc w:val="both"/>
        <w:rPr>
          <w:rFonts w:asciiTheme="minorHAnsi" w:hAnsiTheme="minorHAnsi"/>
          <w:sz w:val="18"/>
          <w:szCs w:val="18"/>
        </w:rPr>
      </w:pPr>
      <w:r w:rsidRPr="001B3605">
        <w:rPr>
          <w:rStyle w:val="Znakapoznpodarou"/>
          <w:rFonts w:asciiTheme="minorHAnsi" w:eastAsiaTheme="majorEastAsia" w:hAnsiTheme="minorHAnsi"/>
          <w:sz w:val="18"/>
          <w:szCs w:val="18"/>
        </w:rPr>
        <w:footnoteRef/>
      </w:r>
      <w:r w:rsidRPr="001B3605">
        <w:rPr>
          <w:rFonts w:asciiTheme="minorHAnsi" w:hAnsiTheme="minorHAnsi"/>
          <w:sz w:val="18"/>
          <w:szCs w:val="18"/>
        </w:rPr>
        <w:t xml:space="preserve"> Zákon č. 130/2002 Sb. - Zákon o podpoře výzkumu a vývoje z veřejných prostředků a o změně některých souvisejících zákonů (zákon o podpoře výzkumu a vývoje)</w:t>
      </w:r>
      <w:r>
        <w:rPr>
          <w:rFonts w:asciiTheme="minorHAnsi" w:hAnsiTheme="minorHAnsi"/>
          <w:sz w:val="18"/>
          <w:szCs w:val="18"/>
        </w:rPr>
        <w:t>.</w:t>
      </w:r>
    </w:p>
  </w:footnote>
  <w:footnote w:id="116">
    <w:p w14:paraId="4BD5E58E" w14:textId="2F460D05" w:rsidR="0044083E" w:rsidRPr="00E47B07" w:rsidRDefault="0044083E" w:rsidP="00E47B07">
      <w:pPr>
        <w:pStyle w:val="Textpoznpodarou"/>
        <w:jc w:val="both"/>
        <w:rPr>
          <w:rFonts w:asciiTheme="minorHAnsi" w:hAnsiTheme="minorHAnsi"/>
          <w:sz w:val="18"/>
          <w:szCs w:val="18"/>
        </w:rPr>
      </w:pPr>
      <w:r w:rsidRPr="001B3605">
        <w:rPr>
          <w:rStyle w:val="Znakapoznpodarou"/>
          <w:rFonts w:asciiTheme="minorHAnsi" w:eastAsiaTheme="majorEastAsia" w:hAnsiTheme="minorHAnsi"/>
          <w:sz w:val="18"/>
          <w:szCs w:val="18"/>
        </w:rPr>
        <w:footnoteRef/>
      </w:r>
      <w:r w:rsidRPr="001B3605">
        <w:rPr>
          <w:rFonts w:asciiTheme="minorHAnsi" w:hAnsiTheme="minorHAnsi"/>
          <w:sz w:val="18"/>
          <w:szCs w:val="18"/>
        </w:rPr>
        <w:t xml:space="preserve"> Informace o jednáních ŘV RIS3 jsou obsahem každoročních monitorovacích zpráv Národní RIS3 strategie (viz </w:t>
      </w:r>
      <w:r w:rsidRPr="001D6070">
        <w:rPr>
          <w:rFonts w:asciiTheme="minorHAnsi" w:hAnsiTheme="minorHAnsi"/>
          <w:sz w:val="18"/>
          <w:szCs w:val="18"/>
        </w:rPr>
        <w:t>kap.</w:t>
      </w:r>
      <w:r>
        <w:rPr>
          <w:rFonts w:asciiTheme="minorHAnsi" w:hAnsiTheme="minorHAnsi"/>
          <w:sz w:val="18"/>
          <w:szCs w:val="18"/>
        </w:rPr>
        <w:t> </w:t>
      </w:r>
      <w:r w:rsidRPr="00E47B07">
        <w:rPr>
          <w:rFonts w:asciiTheme="minorHAnsi" w:hAnsiTheme="minorHAnsi"/>
          <w:sz w:val="18"/>
          <w:szCs w:val="18"/>
        </w:rPr>
        <w:fldChar w:fldCharType="begin"/>
      </w:r>
      <w:r w:rsidRPr="00E47B07">
        <w:rPr>
          <w:rFonts w:asciiTheme="minorHAnsi" w:hAnsiTheme="minorHAnsi"/>
          <w:sz w:val="18"/>
          <w:szCs w:val="18"/>
        </w:rPr>
        <w:instrText xml:space="preserve"> REF _Ref521397170 \r \h  \* MERGEFORMAT </w:instrText>
      </w:r>
      <w:r w:rsidRPr="00E47B07">
        <w:rPr>
          <w:rFonts w:asciiTheme="minorHAnsi" w:hAnsiTheme="minorHAnsi"/>
          <w:sz w:val="18"/>
          <w:szCs w:val="18"/>
        </w:rPr>
      </w:r>
      <w:r w:rsidRPr="00E47B07">
        <w:rPr>
          <w:rFonts w:asciiTheme="minorHAnsi" w:hAnsiTheme="minorHAnsi"/>
          <w:sz w:val="18"/>
          <w:szCs w:val="18"/>
        </w:rPr>
        <w:fldChar w:fldCharType="separate"/>
      </w:r>
      <w:r>
        <w:rPr>
          <w:rFonts w:asciiTheme="minorHAnsi" w:hAnsiTheme="minorHAnsi"/>
          <w:sz w:val="18"/>
          <w:szCs w:val="18"/>
        </w:rPr>
        <w:t>7.4.1</w:t>
      </w:r>
      <w:r w:rsidRPr="00E47B07">
        <w:rPr>
          <w:rFonts w:asciiTheme="minorHAnsi" w:hAnsiTheme="minorHAnsi"/>
          <w:sz w:val="18"/>
          <w:szCs w:val="18"/>
        </w:rPr>
        <w:fldChar w:fldCharType="end"/>
      </w:r>
      <w:r>
        <w:rPr>
          <w:rFonts w:asciiTheme="minorHAnsi" w:hAnsiTheme="minorHAnsi"/>
          <w:sz w:val="18"/>
          <w:szCs w:val="18"/>
        </w:rPr>
        <w:t> </w:t>
      </w:r>
      <w:r w:rsidRPr="00E47B07">
        <w:rPr>
          <w:rFonts w:asciiTheme="minorHAnsi" w:hAnsiTheme="minorHAnsi"/>
          <w:sz w:val="18"/>
          <w:szCs w:val="18"/>
        </w:rPr>
        <w:fldChar w:fldCharType="begin"/>
      </w:r>
      <w:r w:rsidRPr="00E47B07">
        <w:rPr>
          <w:rFonts w:asciiTheme="minorHAnsi" w:hAnsiTheme="minorHAnsi"/>
          <w:sz w:val="18"/>
          <w:szCs w:val="18"/>
        </w:rPr>
        <w:instrText xml:space="preserve"> REF _Ref521397153 \h  \* MERGEFORMAT </w:instrText>
      </w:r>
      <w:r w:rsidRPr="00E47B07">
        <w:rPr>
          <w:rFonts w:asciiTheme="minorHAnsi" w:hAnsiTheme="minorHAnsi"/>
          <w:sz w:val="18"/>
          <w:szCs w:val="18"/>
        </w:rPr>
      </w:r>
      <w:r w:rsidRPr="00E47B07">
        <w:rPr>
          <w:rFonts w:asciiTheme="minorHAnsi" w:hAnsiTheme="minorHAnsi"/>
          <w:sz w:val="18"/>
          <w:szCs w:val="18"/>
        </w:rPr>
        <w:fldChar w:fldCharType="separate"/>
      </w:r>
      <w:r w:rsidRPr="00DE40D4">
        <w:rPr>
          <w:rFonts w:asciiTheme="minorHAnsi" w:hAnsiTheme="minorHAnsi"/>
          <w:sz w:val="18"/>
          <w:szCs w:val="18"/>
        </w:rPr>
        <w:t>Monitoring Národní RIS3 strategie</w:t>
      </w:r>
      <w:r w:rsidRPr="00E47B07">
        <w:rPr>
          <w:rFonts w:asciiTheme="minorHAnsi" w:hAnsiTheme="minorHAnsi"/>
          <w:sz w:val="18"/>
          <w:szCs w:val="18"/>
        </w:rPr>
        <w:fldChar w:fldCharType="end"/>
      </w:r>
      <w:r w:rsidRPr="00E47B07">
        <w:rPr>
          <w:rFonts w:asciiTheme="minorHAnsi" w:hAnsiTheme="minorHAnsi"/>
          <w:sz w:val="18"/>
          <w:szCs w:val="18"/>
        </w:rPr>
        <w:t>)</w:t>
      </w:r>
    </w:p>
  </w:footnote>
  <w:footnote w:id="117">
    <w:p w14:paraId="32070A27" w14:textId="462A11BF" w:rsidR="0044083E" w:rsidRPr="00D10FDD" w:rsidRDefault="0044083E">
      <w:pPr>
        <w:pStyle w:val="Textpoznpodarou"/>
        <w:rPr>
          <w:sz w:val="18"/>
          <w:szCs w:val="18"/>
        </w:rPr>
      </w:pPr>
      <w:r>
        <w:rPr>
          <w:rStyle w:val="Znakapoznpodarou"/>
        </w:rPr>
        <w:footnoteRef/>
      </w:r>
      <w:r>
        <w:t xml:space="preserve"> </w:t>
      </w:r>
      <w:r w:rsidR="00A34384">
        <w:rPr>
          <w:sz w:val="18"/>
          <w:szCs w:val="18"/>
        </w:rPr>
        <w:t>Opatření č. 11/2018 ministryně průmyslu a obchodu ze dne 18. září 2018</w:t>
      </w:r>
      <w:r>
        <w:rPr>
          <w:sz w:val="18"/>
          <w:szCs w:val="18"/>
        </w:rPr>
        <w:t xml:space="preserve">. Statut ŘV RIS3 je zveřejněn na webové adrese </w:t>
      </w:r>
      <w:hyperlink r:id="rId12" w:history="1">
        <w:r w:rsidRPr="001C260A">
          <w:rPr>
            <w:rStyle w:val="Hypertextovodkaz"/>
            <w:sz w:val="18"/>
            <w:szCs w:val="18"/>
          </w:rPr>
          <w:t>https://www.mpo.cz/cz/podnikani/ris3-strategie/</w:t>
        </w:r>
      </w:hyperlink>
      <w:r>
        <w:rPr>
          <w:sz w:val="18"/>
          <w:szCs w:val="18"/>
        </w:rPr>
        <w:t>.</w:t>
      </w:r>
    </w:p>
  </w:footnote>
  <w:footnote w:id="118">
    <w:p w14:paraId="24BD8E2A" w14:textId="28F8326B" w:rsidR="0044083E" w:rsidRDefault="0044083E">
      <w:pPr>
        <w:pStyle w:val="Textpoznpodarou"/>
      </w:pPr>
      <w:r>
        <w:rPr>
          <w:rStyle w:val="Znakapoznpodarou"/>
        </w:rPr>
        <w:footnoteRef/>
      </w:r>
      <w:r>
        <w:t xml:space="preserve"> Prakticky se jedná o řadové zaměstnance oddělení S3 strategie MPO.</w:t>
      </w:r>
    </w:p>
  </w:footnote>
  <w:footnote w:id="119">
    <w:p w14:paraId="74378892" w14:textId="77777777" w:rsidR="0044083E" w:rsidRPr="001B3605" w:rsidRDefault="0044083E" w:rsidP="00022AF9">
      <w:pPr>
        <w:pStyle w:val="Textpoznpodarou"/>
        <w:jc w:val="both"/>
        <w:rPr>
          <w:rFonts w:asciiTheme="minorHAnsi" w:hAnsiTheme="minorHAnsi"/>
          <w:sz w:val="18"/>
          <w:szCs w:val="18"/>
        </w:rPr>
      </w:pPr>
      <w:r w:rsidRPr="001B3605">
        <w:rPr>
          <w:rStyle w:val="Znakapoznpodarou"/>
          <w:rFonts w:asciiTheme="minorHAnsi" w:eastAsiaTheme="majorEastAsia" w:hAnsiTheme="minorHAnsi"/>
          <w:sz w:val="18"/>
          <w:szCs w:val="18"/>
        </w:rPr>
        <w:footnoteRef/>
      </w:r>
      <w:r w:rsidRPr="001B3605">
        <w:rPr>
          <w:rFonts w:asciiTheme="minorHAnsi" w:hAnsiTheme="minorHAnsi"/>
          <w:sz w:val="18"/>
          <w:szCs w:val="18"/>
        </w:rPr>
        <w:t xml:space="preserve"> Podrobné informace o Národních inovačních platformách a jejich jednáních jsou zveřejňovány na webové adrese: https://www.mpo.cz/cz/podnikani/ris3-strategie/narodni-inovacni-platformy/</w:t>
      </w:r>
    </w:p>
  </w:footnote>
  <w:footnote w:id="120">
    <w:p w14:paraId="6C582850" w14:textId="4639060E" w:rsidR="0044083E" w:rsidRPr="00535E30" w:rsidRDefault="0044083E" w:rsidP="006A45EB">
      <w:pPr>
        <w:pStyle w:val="Textpoznpodarou"/>
        <w:jc w:val="both"/>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Na podporu řízení implementace Národní RIS3 strategie na národní úrovni, tj. </w:t>
      </w:r>
      <w:r w:rsidRPr="001B3605">
        <w:rPr>
          <w:rFonts w:asciiTheme="minorHAnsi" w:hAnsiTheme="minorHAnsi"/>
          <w:i/>
          <w:sz w:val="18"/>
          <w:szCs w:val="18"/>
        </w:rPr>
        <w:t>mimo jiné</w:t>
      </w:r>
      <w:r w:rsidRPr="001B3605">
        <w:rPr>
          <w:rFonts w:asciiTheme="minorHAnsi" w:hAnsiTheme="minorHAnsi"/>
          <w:sz w:val="18"/>
          <w:szCs w:val="18"/>
        </w:rPr>
        <w:t xml:space="preserve"> na řízení EDP na národní úrovni a</w:t>
      </w:r>
      <w:r>
        <w:rPr>
          <w:rFonts w:asciiTheme="minorHAnsi" w:hAnsiTheme="minorHAnsi"/>
          <w:sz w:val="18"/>
          <w:szCs w:val="18"/>
        </w:rPr>
        <w:t> </w:t>
      </w:r>
      <w:r w:rsidRPr="001B3605">
        <w:rPr>
          <w:rFonts w:asciiTheme="minorHAnsi" w:hAnsiTheme="minorHAnsi"/>
          <w:sz w:val="18"/>
          <w:szCs w:val="18"/>
        </w:rPr>
        <w:t xml:space="preserve">jeho koordinaci s krajskou úrovní, je zvažován </w:t>
      </w:r>
      <w:r w:rsidRPr="001B3605">
        <w:rPr>
          <w:rFonts w:asciiTheme="minorHAnsi" w:hAnsiTheme="minorHAnsi"/>
          <w:i/>
          <w:sz w:val="18"/>
          <w:szCs w:val="18"/>
        </w:rPr>
        <w:t xml:space="preserve">systémový projekt </w:t>
      </w:r>
      <w:r w:rsidRPr="001B3605">
        <w:rPr>
          <w:rFonts w:asciiTheme="minorHAnsi" w:hAnsiTheme="minorHAnsi"/>
          <w:sz w:val="18"/>
          <w:szCs w:val="18"/>
        </w:rPr>
        <w:t xml:space="preserve">v rámci výzvy OP VVV </w:t>
      </w:r>
      <w:r w:rsidRPr="001B3605">
        <w:rPr>
          <w:rFonts w:asciiTheme="minorHAnsi" w:hAnsiTheme="minorHAnsi"/>
          <w:i/>
          <w:sz w:val="18"/>
          <w:szCs w:val="18"/>
        </w:rPr>
        <w:t>Strategické řízení VaVaI na národní úrovni</w:t>
      </w:r>
      <w:r w:rsidRPr="001B3605">
        <w:rPr>
          <w:rFonts w:asciiTheme="minorHAnsi" w:hAnsiTheme="minorHAnsi"/>
          <w:sz w:val="18"/>
          <w:szCs w:val="18"/>
        </w:rPr>
        <w:t>. Klíčové aktivity systémového projektu a aktivity realizované v rámci výzvy</w:t>
      </w:r>
      <w:r w:rsidRPr="00535E30">
        <w:rPr>
          <w:rFonts w:asciiTheme="minorHAnsi" w:hAnsiTheme="minorHAnsi"/>
          <w:sz w:val="18"/>
          <w:szCs w:val="18"/>
        </w:rPr>
        <w:t xml:space="preserve"> Smart Akcelerátor (viz kap. </w:t>
      </w:r>
      <w:r w:rsidRPr="00535E30">
        <w:rPr>
          <w:rFonts w:asciiTheme="minorHAnsi" w:hAnsiTheme="minorHAnsi"/>
          <w:sz w:val="18"/>
          <w:szCs w:val="18"/>
        </w:rPr>
        <w:fldChar w:fldCharType="begin"/>
      </w:r>
      <w:r w:rsidRPr="00535E30">
        <w:rPr>
          <w:rFonts w:asciiTheme="minorHAnsi" w:hAnsiTheme="minorHAnsi"/>
          <w:sz w:val="18"/>
          <w:szCs w:val="18"/>
        </w:rPr>
        <w:instrText xml:space="preserve"> REF _Ref521501216 \r \h </w:instrText>
      </w:r>
      <w:r w:rsidRPr="00535E30">
        <w:rPr>
          <w:rFonts w:asciiTheme="minorHAnsi" w:hAnsiTheme="minorHAnsi"/>
          <w:sz w:val="18"/>
          <w:szCs w:val="18"/>
        </w:rPr>
      </w:r>
      <w:r w:rsidRPr="00535E30">
        <w:rPr>
          <w:rFonts w:asciiTheme="minorHAnsi" w:hAnsiTheme="minorHAnsi"/>
          <w:sz w:val="18"/>
          <w:szCs w:val="18"/>
        </w:rPr>
        <w:fldChar w:fldCharType="separate"/>
      </w:r>
      <w:r>
        <w:rPr>
          <w:rFonts w:asciiTheme="minorHAnsi" w:hAnsiTheme="minorHAnsi"/>
          <w:sz w:val="18"/>
          <w:szCs w:val="18"/>
        </w:rPr>
        <w:t>7.3.3.7</w:t>
      </w:r>
      <w:r w:rsidRPr="00535E30">
        <w:rPr>
          <w:rFonts w:asciiTheme="minorHAnsi" w:hAnsiTheme="minorHAnsi"/>
          <w:sz w:val="18"/>
          <w:szCs w:val="18"/>
        </w:rPr>
        <w:fldChar w:fldCharType="end"/>
      </w:r>
      <w:r w:rsidRPr="00535E30">
        <w:rPr>
          <w:rFonts w:asciiTheme="minorHAnsi" w:hAnsiTheme="minorHAnsi"/>
          <w:sz w:val="18"/>
          <w:szCs w:val="18"/>
        </w:rPr>
        <w:t xml:space="preserve"> – „</w:t>
      </w:r>
      <w:r w:rsidRPr="00535E30">
        <w:rPr>
          <w:rFonts w:asciiTheme="minorHAnsi" w:hAnsiTheme="minorHAnsi"/>
          <w:sz w:val="18"/>
          <w:szCs w:val="18"/>
          <w:highlight w:val="yellow"/>
        </w:rPr>
        <w:fldChar w:fldCharType="begin"/>
      </w:r>
      <w:r w:rsidRPr="00535E30">
        <w:rPr>
          <w:rFonts w:asciiTheme="minorHAnsi" w:hAnsiTheme="minorHAnsi"/>
          <w:sz w:val="18"/>
          <w:szCs w:val="18"/>
          <w:highlight w:val="yellow"/>
        </w:rPr>
        <w:instrText xml:space="preserve"> REF _Ref521501172 \h  \* MERGEFORMAT </w:instrText>
      </w:r>
      <w:r w:rsidRPr="00535E30">
        <w:rPr>
          <w:rFonts w:asciiTheme="minorHAnsi" w:hAnsiTheme="minorHAnsi"/>
          <w:sz w:val="18"/>
          <w:szCs w:val="18"/>
          <w:highlight w:val="yellow"/>
        </w:rPr>
      </w:r>
      <w:r w:rsidRPr="00535E30">
        <w:rPr>
          <w:rFonts w:asciiTheme="minorHAnsi" w:hAnsiTheme="minorHAnsi"/>
          <w:sz w:val="18"/>
          <w:szCs w:val="18"/>
          <w:highlight w:val="yellow"/>
        </w:rPr>
        <w:fldChar w:fldCharType="separate"/>
      </w:r>
      <w:r w:rsidRPr="00DE40D4">
        <w:rPr>
          <w:rFonts w:asciiTheme="minorHAnsi" w:hAnsiTheme="minorHAnsi"/>
          <w:sz w:val="18"/>
          <w:szCs w:val="18"/>
        </w:rPr>
        <w:t>Smart Akcelerátor – nástroj pro rozvoj krajských inovačních systémů</w:t>
      </w:r>
      <w:r w:rsidRPr="00535E30">
        <w:rPr>
          <w:rFonts w:asciiTheme="minorHAnsi" w:hAnsiTheme="minorHAnsi"/>
          <w:sz w:val="18"/>
          <w:szCs w:val="18"/>
          <w:highlight w:val="yellow"/>
        </w:rPr>
        <w:fldChar w:fldCharType="end"/>
      </w:r>
      <w:r w:rsidRPr="00535E30">
        <w:rPr>
          <w:rFonts w:asciiTheme="minorHAnsi" w:hAnsiTheme="minorHAnsi"/>
          <w:sz w:val="18"/>
          <w:szCs w:val="18"/>
        </w:rPr>
        <w:t>“) by měly být vzájemně propojené.</w:t>
      </w:r>
    </w:p>
    <w:p w14:paraId="58CB13B2" w14:textId="2B11BA6C" w:rsidR="0044083E" w:rsidRPr="001B3605" w:rsidRDefault="0044083E">
      <w:pPr>
        <w:pStyle w:val="Textpoznpodarou"/>
        <w:rPr>
          <w:rFonts w:asciiTheme="minorHAnsi" w:hAnsiTheme="minorHAnsi"/>
          <w:sz w:val="18"/>
          <w:szCs w:val="18"/>
        </w:rPr>
      </w:pPr>
    </w:p>
  </w:footnote>
  <w:footnote w:id="121">
    <w:p w14:paraId="2E4FA6D3" w14:textId="7ACFD29D" w:rsidR="0044083E" w:rsidRPr="00DE1642" w:rsidRDefault="0044083E" w:rsidP="00DE1642">
      <w:pPr>
        <w:pStyle w:val="Textpoznpodarou"/>
        <w:jc w:val="both"/>
        <w:rPr>
          <w:sz w:val="18"/>
          <w:szCs w:val="18"/>
        </w:rPr>
      </w:pPr>
      <w:r w:rsidRPr="00DE1642">
        <w:rPr>
          <w:rStyle w:val="Znakapoznpodarou"/>
          <w:sz w:val="18"/>
          <w:szCs w:val="18"/>
        </w:rPr>
        <w:footnoteRef/>
      </w:r>
      <w:r w:rsidRPr="00DE1642">
        <w:rPr>
          <w:sz w:val="18"/>
          <w:szCs w:val="18"/>
        </w:rPr>
        <w:t xml:space="preserve"> Tuto skutečnost je nutno zohlednit především při přípravě nových (dle Národní RIS3 strategie přísněji cílených) intervencích.</w:t>
      </w:r>
    </w:p>
  </w:footnote>
  <w:footnote w:id="122">
    <w:p w14:paraId="4831C670" w14:textId="2AC7EEFF" w:rsidR="0044083E" w:rsidRPr="00E21CE4" w:rsidRDefault="0044083E" w:rsidP="003B741B">
      <w:pPr>
        <w:pStyle w:val="Textpoznpodarou"/>
        <w:jc w:val="both"/>
        <w:rPr>
          <w:b/>
        </w:rPr>
      </w:pPr>
      <w:r w:rsidRPr="003B741B">
        <w:rPr>
          <w:rStyle w:val="Znakapoznpodarou"/>
        </w:rPr>
        <w:footnoteRef/>
      </w:r>
      <w:r>
        <w:t xml:space="preserve"> </w:t>
      </w:r>
      <w:r w:rsidRPr="00FB115C">
        <w:rPr>
          <w:b/>
          <w:sz w:val="18"/>
          <w:szCs w:val="18"/>
        </w:rPr>
        <w:t>V průběhu „entrepreneurial discovery“ procesu v rámci jednotlivých NIP byla identifikována relevance generických znalostních domén (tj. KETs doplněných o dvě netechnologické znalostní domény) vůči národním prioritním aplikačním odvětvím ve smyslu potenciálu/využitelnosti znalostních domén v těchto prioritizovaných aplikačních odvětvích. Tyto identifikované relevantní vazby – DOMÉNY INTELIGENTNÍ SPECIALIZACE (tj. průniky generických znalostních domén a aplikačních odvětví) JSOU V MATICI OZNAČENY KŘÍŽKEM.</w:t>
      </w:r>
    </w:p>
  </w:footnote>
  <w:footnote w:id="123">
    <w:p w14:paraId="38969207" w14:textId="30073EE4" w:rsidR="0044083E" w:rsidRPr="00B470A1" w:rsidRDefault="0044083E" w:rsidP="003B741B">
      <w:pPr>
        <w:pStyle w:val="Textpoznpodarou"/>
        <w:jc w:val="both"/>
        <w:rPr>
          <w:sz w:val="18"/>
        </w:rPr>
      </w:pPr>
      <w:r w:rsidRPr="003B741B">
        <w:rPr>
          <w:rStyle w:val="Znakapoznpodarou"/>
          <w:sz w:val="18"/>
        </w:rPr>
        <w:footnoteRef/>
      </w:r>
      <w:r w:rsidRPr="00E21CE4">
        <w:rPr>
          <w:sz w:val="18"/>
        </w:rPr>
        <w:t xml:space="preserve"> </w:t>
      </w:r>
      <w:r>
        <w:rPr>
          <w:sz w:val="18"/>
        </w:rPr>
        <w:t>Je</w:t>
      </w:r>
      <w:r w:rsidRPr="00E21CE4">
        <w:rPr>
          <w:sz w:val="18"/>
        </w:rPr>
        <w:t>dnotlivá aplikační odvětví/témata</w:t>
      </w:r>
      <w:r>
        <w:rPr>
          <w:sz w:val="18"/>
        </w:rPr>
        <w:t xml:space="preserve"> jsou popsá</w:t>
      </w:r>
      <w:r w:rsidRPr="00B470A1">
        <w:rPr>
          <w:sz w:val="18"/>
        </w:rPr>
        <w:t xml:space="preserve">na v kap. </w:t>
      </w:r>
      <w:r w:rsidRPr="00B470A1">
        <w:rPr>
          <w:sz w:val="18"/>
        </w:rPr>
        <w:fldChar w:fldCharType="begin"/>
      </w:r>
      <w:r w:rsidRPr="00B470A1">
        <w:rPr>
          <w:sz w:val="18"/>
        </w:rPr>
        <w:instrText xml:space="preserve"> REF _Ref521663811 \r \h </w:instrText>
      </w:r>
      <w:r w:rsidRPr="00B470A1">
        <w:rPr>
          <w:sz w:val="18"/>
        </w:rPr>
      </w:r>
      <w:r w:rsidRPr="00B470A1">
        <w:rPr>
          <w:sz w:val="18"/>
        </w:rPr>
        <w:fldChar w:fldCharType="separate"/>
      </w:r>
      <w:r>
        <w:rPr>
          <w:sz w:val="18"/>
        </w:rPr>
        <w:t>7.1</w:t>
      </w:r>
      <w:r w:rsidRPr="00B470A1">
        <w:rPr>
          <w:sz w:val="18"/>
        </w:rPr>
        <w:fldChar w:fldCharType="end"/>
      </w:r>
      <w:r w:rsidRPr="00B470A1">
        <w:rPr>
          <w:sz w:val="18"/>
        </w:rPr>
        <w:t xml:space="preserve"> a </w:t>
      </w:r>
      <w:r w:rsidRPr="00B470A1">
        <w:rPr>
          <w:sz w:val="18"/>
        </w:rPr>
        <w:fldChar w:fldCharType="begin"/>
      </w:r>
      <w:r w:rsidRPr="00B470A1">
        <w:rPr>
          <w:sz w:val="18"/>
        </w:rPr>
        <w:instrText xml:space="preserve"> REF _Ref521491484 \r \h </w:instrText>
      </w:r>
      <w:r w:rsidRPr="00B470A1">
        <w:rPr>
          <w:sz w:val="18"/>
        </w:rPr>
      </w:r>
      <w:r w:rsidRPr="00B470A1">
        <w:rPr>
          <w:sz w:val="18"/>
        </w:rPr>
        <w:fldChar w:fldCharType="separate"/>
      </w:r>
      <w:r>
        <w:rPr>
          <w:sz w:val="18"/>
        </w:rPr>
        <w:t>9.2</w:t>
      </w:r>
      <w:r w:rsidRPr="00B470A1">
        <w:rPr>
          <w:sz w:val="18"/>
        </w:rPr>
        <w:fldChar w:fldCharType="end"/>
      </w:r>
      <w:r w:rsidRPr="00B470A1">
        <w:rPr>
          <w:sz w:val="18"/>
        </w:rPr>
        <w:t>.</w:t>
      </w:r>
    </w:p>
  </w:footnote>
  <w:footnote w:id="124">
    <w:p w14:paraId="036CDA22" w14:textId="557747F5" w:rsidR="0044083E" w:rsidRPr="00B470A1" w:rsidRDefault="0044083E" w:rsidP="003B741B">
      <w:pPr>
        <w:pStyle w:val="Textpoznpodarou"/>
        <w:jc w:val="both"/>
      </w:pPr>
      <w:r w:rsidRPr="00B470A1">
        <w:rPr>
          <w:rStyle w:val="Znakapoznpodarou"/>
          <w:sz w:val="18"/>
        </w:rPr>
        <w:footnoteRef/>
      </w:r>
      <w:r w:rsidRPr="00B470A1">
        <w:rPr>
          <w:sz w:val="18"/>
        </w:rPr>
        <w:t xml:space="preserve"> Relevantní průniky generických znalostních domén s aplikačním </w:t>
      </w:r>
      <w:r>
        <w:rPr>
          <w:sz w:val="18"/>
        </w:rPr>
        <w:t>odvětvím</w:t>
      </w:r>
      <w:r w:rsidRPr="00B470A1">
        <w:rPr>
          <w:sz w:val="18"/>
        </w:rPr>
        <w:t xml:space="preserve"> „Společenské výzvy“ nebyly v rámci EDP v relevantní NIP zatím identifikovány. V daný moment tudíž průniky nejsou omezeny, tj. relevantním průnikem je využitelnost kterékoliv generické znalostní domény v daném aplikačním</w:t>
      </w:r>
      <w:r>
        <w:rPr>
          <w:sz w:val="18"/>
        </w:rPr>
        <w:t xml:space="preserve"> odvětvím</w:t>
      </w:r>
      <w:r w:rsidRPr="00B470A1">
        <w:rPr>
          <w:sz w:val="18"/>
        </w:rPr>
        <w:t>.</w:t>
      </w:r>
    </w:p>
  </w:footnote>
  <w:footnote w:id="125">
    <w:p w14:paraId="01F8F7B0" w14:textId="4DE3B4BF" w:rsidR="0044083E" w:rsidRPr="00B470A1" w:rsidRDefault="0044083E" w:rsidP="003B741B">
      <w:pPr>
        <w:pStyle w:val="Textpoznpodarou"/>
        <w:jc w:val="both"/>
      </w:pPr>
      <w:r w:rsidRPr="00B470A1">
        <w:rPr>
          <w:rStyle w:val="Znakapoznpodarou"/>
        </w:rPr>
        <w:footnoteRef/>
      </w:r>
      <w:r w:rsidRPr="00B470A1">
        <w:t xml:space="preserve"> </w:t>
      </w:r>
      <w:r w:rsidRPr="00B470A1">
        <w:rPr>
          <w:sz w:val="18"/>
          <w:szCs w:val="18"/>
        </w:rPr>
        <w:t xml:space="preserve">Nová kulturní a kreativní </w:t>
      </w:r>
      <w:r w:rsidR="00D43BED">
        <w:rPr>
          <w:sz w:val="18"/>
          <w:szCs w:val="18"/>
        </w:rPr>
        <w:t>odvětví</w:t>
      </w:r>
      <w:r w:rsidRPr="00B470A1">
        <w:rPr>
          <w:sz w:val="18"/>
          <w:szCs w:val="18"/>
        </w:rPr>
        <w:t xml:space="preserve"> jsou provázány s Digitální ekonomikou a digitálním obsahem.</w:t>
      </w:r>
    </w:p>
  </w:footnote>
  <w:footnote w:id="126">
    <w:p w14:paraId="4742CA4B" w14:textId="080F815A" w:rsidR="0044083E" w:rsidRDefault="0044083E" w:rsidP="003B741B">
      <w:pPr>
        <w:pStyle w:val="Textpoznpodarou"/>
        <w:jc w:val="both"/>
      </w:pPr>
      <w:r w:rsidRPr="00B470A1">
        <w:rPr>
          <w:rStyle w:val="Znakapoznpodarou"/>
        </w:rPr>
        <w:footnoteRef/>
      </w:r>
      <w:r w:rsidRPr="00B470A1">
        <w:t xml:space="preserve"> </w:t>
      </w:r>
      <w:r w:rsidRPr="00B470A1">
        <w:rPr>
          <w:sz w:val="18"/>
          <w:szCs w:val="18"/>
        </w:rPr>
        <w:t xml:space="preserve">Generické znalostní domény jsou blíže popsány v kapitole </w:t>
      </w:r>
      <w:r w:rsidRPr="00B470A1">
        <w:rPr>
          <w:sz w:val="18"/>
          <w:szCs w:val="18"/>
          <w:highlight w:val="yellow"/>
        </w:rPr>
        <w:fldChar w:fldCharType="begin"/>
      </w:r>
      <w:r w:rsidRPr="00B470A1">
        <w:rPr>
          <w:sz w:val="18"/>
          <w:szCs w:val="18"/>
        </w:rPr>
        <w:instrText xml:space="preserve"> REF _Ref521660964 \r \h </w:instrText>
      </w:r>
      <w:r w:rsidRPr="00B470A1">
        <w:rPr>
          <w:sz w:val="18"/>
          <w:szCs w:val="18"/>
          <w:highlight w:val="yellow"/>
        </w:rPr>
      </w:r>
      <w:r w:rsidRPr="00B470A1">
        <w:rPr>
          <w:sz w:val="18"/>
          <w:szCs w:val="18"/>
          <w:highlight w:val="yellow"/>
        </w:rPr>
        <w:fldChar w:fldCharType="separate"/>
      </w:r>
      <w:r>
        <w:rPr>
          <w:sz w:val="18"/>
          <w:szCs w:val="18"/>
        </w:rPr>
        <w:t>4.2.2</w:t>
      </w:r>
      <w:r w:rsidRPr="00B470A1">
        <w:rPr>
          <w:sz w:val="18"/>
          <w:szCs w:val="18"/>
          <w:highlight w:val="yellow"/>
        </w:rPr>
        <w:fldChar w:fldCharType="end"/>
      </w:r>
      <w:r w:rsidRPr="00B470A1">
        <w:rPr>
          <w:sz w:val="18"/>
          <w:szCs w:val="18"/>
        </w:rPr>
        <w:t xml:space="preserve"> </w:t>
      </w:r>
      <w:r w:rsidRPr="00B470A1">
        <w:rPr>
          <w:sz w:val="18"/>
          <w:szCs w:val="18"/>
        </w:rPr>
        <w:fldChar w:fldCharType="begin"/>
      </w:r>
      <w:r w:rsidRPr="00B470A1">
        <w:rPr>
          <w:sz w:val="18"/>
          <w:szCs w:val="18"/>
        </w:rPr>
        <w:instrText xml:space="preserve"> REF _Ref521663753 \h  \* MERGEFORMAT </w:instrText>
      </w:r>
      <w:r w:rsidRPr="00B470A1">
        <w:rPr>
          <w:sz w:val="18"/>
          <w:szCs w:val="18"/>
        </w:rPr>
      </w:r>
      <w:r w:rsidRPr="00B470A1">
        <w:rPr>
          <w:sz w:val="18"/>
          <w:szCs w:val="18"/>
        </w:rPr>
        <w:fldChar w:fldCharType="separate"/>
      </w:r>
      <w:r w:rsidRPr="00DE40D4">
        <w:rPr>
          <w:sz w:val="18"/>
          <w:szCs w:val="18"/>
        </w:rPr>
        <w:t>Výzkumná specializace</w:t>
      </w:r>
      <w:r w:rsidRPr="00B470A1">
        <w:rPr>
          <w:sz w:val="18"/>
          <w:szCs w:val="18"/>
        </w:rPr>
        <w:fldChar w:fldCharType="end"/>
      </w:r>
      <w:r w:rsidRPr="00B470A1">
        <w:rPr>
          <w:sz w:val="18"/>
          <w:szCs w:val="18"/>
        </w:rPr>
        <w:t>.</w:t>
      </w:r>
    </w:p>
  </w:footnote>
  <w:footnote w:id="127">
    <w:p w14:paraId="6857714B" w14:textId="77777777" w:rsidR="0044083E" w:rsidRDefault="0044083E" w:rsidP="003B741B">
      <w:pPr>
        <w:pStyle w:val="Textpoznpodarou"/>
        <w:jc w:val="both"/>
        <w:rPr>
          <w:sz w:val="18"/>
          <w:szCs w:val="18"/>
        </w:rPr>
      </w:pPr>
      <w:r w:rsidRPr="003B741B">
        <w:rPr>
          <w:rStyle w:val="Znakapoznpodarou"/>
        </w:rPr>
        <w:footnoteRef/>
      </w:r>
      <w:r>
        <w:t xml:space="preserve"> </w:t>
      </w:r>
      <w:r w:rsidRPr="0042600E">
        <w:rPr>
          <w:sz w:val="18"/>
          <w:szCs w:val="18"/>
        </w:rPr>
        <w:t xml:space="preserve">KET Nanotechnologie </w:t>
      </w:r>
      <w:r>
        <w:rPr>
          <w:sz w:val="18"/>
          <w:szCs w:val="18"/>
        </w:rPr>
        <w:t xml:space="preserve">je </w:t>
      </w:r>
      <w:r w:rsidRPr="0042600E">
        <w:rPr>
          <w:sz w:val="18"/>
          <w:szCs w:val="18"/>
        </w:rPr>
        <w:t>v </w:t>
      </w:r>
      <w:r w:rsidRPr="00DF3E1A">
        <w:rPr>
          <w:sz w:val="18"/>
          <w:szCs w:val="18"/>
        </w:rPr>
        <w:t>rámci implementace a realizace RIS3</w:t>
      </w:r>
      <w:r>
        <w:rPr>
          <w:sz w:val="18"/>
          <w:szCs w:val="18"/>
        </w:rPr>
        <w:t xml:space="preserve"> </w:t>
      </w:r>
      <w:r w:rsidRPr="0042600E">
        <w:rPr>
          <w:sz w:val="18"/>
          <w:szCs w:val="18"/>
        </w:rPr>
        <w:t>průřezově sledován</w:t>
      </w:r>
      <w:r>
        <w:rPr>
          <w:sz w:val="18"/>
          <w:szCs w:val="18"/>
        </w:rPr>
        <w:t>a</w:t>
      </w:r>
      <w:r w:rsidRPr="0042600E">
        <w:rPr>
          <w:sz w:val="18"/>
          <w:szCs w:val="18"/>
        </w:rPr>
        <w:t xml:space="preserve"> a podporován</w:t>
      </w:r>
      <w:r>
        <w:rPr>
          <w:sz w:val="18"/>
          <w:szCs w:val="18"/>
        </w:rPr>
        <w:t>a a je jí z titulu její významnosti v rámci výzkumné specializace ČR věnován v  procesu EDP obzvláštní zřetel</w:t>
      </w:r>
      <w:r w:rsidRPr="00DF3E1A">
        <w:rPr>
          <w:sz w:val="18"/>
          <w:szCs w:val="18"/>
        </w:rPr>
        <w:t xml:space="preserve">. </w:t>
      </w:r>
      <w:r>
        <w:rPr>
          <w:sz w:val="18"/>
          <w:szCs w:val="18"/>
        </w:rPr>
        <w:t> Na základě procesu</w:t>
      </w:r>
      <w:r w:rsidRPr="00DF3E1A">
        <w:rPr>
          <w:sz w:val="18"/>
          <w:szCs w:val="18"/>
        </w:rPr>
        <w:t xml:space="preserve"> EDP byla </w:t>
      </w:r>
      <w:r>
        <w:rPr>
          <w:sz w:val="18"/>
          <w:szCs w:val="18"/>
        </w:rPr>
        <w:t>v oblasti Nanotechnologií podrobněji identifikována/specifikována tato perspektivní</w:t>
      </w:r>
      <w:r w:rsidRPr="00DF3E1A">
        <w:rPr>
          <w:sz w:val="18"/>
          <w:szCs w:val="18"/>
        </w:rPr>
        <w:t xml:space="preserve"> témata: </w:t>
      </w:r>
      <w:r w:rsidRPr="00E21CE4">
        <w:rPr>
          <w:sz w:val="18"/>
          <w:szCs w:val="18"/>
        </w:rPr>
        <w:t>Nanovlá</w:t>
      </w:r>
      <w:r w:rsidRPr="008F4FBF">
        <w:rPr>
          <w:sz w:val="18"/>
          <w:szCs w:val="18"/>
        </w:rPr>
        <w:t>kenn</w:t>
      </w:r>
      <w:r w:rsidRPr="00E21CE4">
        <w:rPr>
          <w:sz w:val="18"/>
          <w:szCs w:val="18"/>
          <w:lang w:val="fr-FR"/>
        </w:rPr>
        <w:t xml:space="preserve">é </w:t>
      </w:r>
      <w:r w:rsidRPr="00E21CE4">
        <w:rPr>
          <w:sz w:val="18"/>
          <w:szCs w:val="18"/>
          <w:lang w:val="it-IT"/>
        </w:rPr>
        <w:t>materi</w:t>
      </w:r>
      <w:r w:rsidRPr="00E21CE4">
        <w:rPr>
          <w:sz w:val="18"/>
          <w:szCs w:val="18"/>
        </w:rPr>
        <w:t>ály pro průmyslov</w:t>
      </w:r>
      <w:r w:rsidRPr="00E21CE4">
        <w:rPr>
          <w:sz w:val="18"/>
          <w:szCs w:val="18"/>
          <w:lang w:val="fr-FR"/>
        </w:rPr>
        <w:t xml:space="preserve">é </w:t>
      </w:r>
      <w:r w:rsidRPr="00E21CE4">
        <w:rPr>
          <w:sz w:val="18"/>
          <w:szCs w:val="18"/>
        </w:rPr>
        <w:t xml:space="preserve">aplikace (filtrace).  </w:t>
      </w:r>
      <w:r w:rsidRPr="00E21CE4">
        <w:rPr>
          <w:sz w:val="18"/>
          <w:szCs w:val="18"/>
          <w:lang w:val="it-IT"/>
        </w:rPr>
        <w:t>Nano</w:t>
      </w:r>
      <w:r w:rsidRPr="00E21CE4">
        <w:rPr>
          <w:sz w:val="18"/>
          <w:szCs w:val="18"/>
        </w:rPr>
        <w:t>částice nulamocn</w:t>
      </w:r>
      <w:r w:rsidRPr="00E21CE4">
        <w:rPr>
          <w:sz w:val="18"/>
          <w:szCs w:val="18"/>
          <w:lang w:val="fr-FR"/>
        </w:rPr>
        <w:t>é</w:t>
      </w:r>
      <w:r w:rsidRPr="00E21CE4">
        <w:rPr>
          <w:sz w:val="18"/>
          <w:szCs w:val="18"/>
        </w:rPr>
        <w:t xml:space="preserve">ho železa a jejich aplikace v technologiích sanace podzemních i povrchových vod. </w:t>
      </w:r>
      <w:r w:rsidRPr="00E21CE4">
        <w:rPr>
          <w:sz w:val="18"/>
          <w:szCs w:val="18"/>
          <w:lang w:val="it-IT"/>
        </w:rPr>
        <w:t>Filtra</w:t>
      </w:r>
      <w:r w:rsidRPr="00E21CE4">
        <w:rPr>
          <w:sz w:val="18"/>
          <w:szCs w:val="18"/>
        </w:rPr>
        <w:t xml:space="preserve">ční </w:t>
      </w:r>
      <w:r w:rsidRPr="00E21CE4">
        <w:rPr>
          <w:sz w:val="18"/>
          <w:szCs w:val="18"/>
          <w:lang w:val="it-IT"/>
        </w:rPr>
        <w:t>materi</w:t>
      </w:r>
      <w:r w:rsidRPr="00E21CE4">
        <w:rPr>
          <w:sz w:val="18"/>
          <w:szCs w:val="18"/>
        </w:rPr>
        <w:t>ály (polymerní nanovlá</w:t>
      </w:r>
      <w:r w:rsidRPr="008F4FBF">
        <w:rPr>
          <w:sz w:val="18"/>
          <w:szCs w:val="18"/>
        </w:rPr>
        <w:t>kenn</w:t>
      </w:r>
      <w:r w:rsidRPr="00E21CE4">
        <w:rPr>
          <w:sz w:val="18"/>
          <w:szCs w:val="18"/>
          <w:lang w:val="fr-FR"/>
        </w:rPr>
        <w:t>é membr</w:t>
      </w:r>
      <w:r w:rsidRPr="00E21CE4">
        <w:rPr>
          <w:sz w:val="18"/>
          <w:szCs w:val="18"/>
        </w:rPr>
        <w:t>ány) – pro technologie čištění vody a vzduchu bez chemikálií prostřednictví</w:t>
      </w:r>
      <w:r w:rsidRPr="00E21CE4">
        <w:rPr>
          <w:sz w:val="18"/>
          <w:szCs w:val="18"/>
          <w:lang w:val="fr-FR"/>
        </w:rPr>
        <w:t>m technologie membr</w:t>
      </w:r>
      <w:r w:rsidRPr="00E21CE4">
        <w:rPr>
          <w:sz w:val="18"/>
          <w:szCs w:val="18"/>
        </w:rPr>
        <w:t>ánov</w:t>
      </w:r>
      <w:r w:rsidRPr="00E21CE4">
        <w:rPr>
          <w:sz w:val="18"/>
          <w:szCs w:val="18"/>
          <w:lang w:val="fr-FR"/>
        </w:rPr>
        <w:t xml:space="preserve">é </w:t>
      </w:r>
      <w:r w:rsidRPr="00E21CE4">
        <w:rPr>
          <w:sz w:val="18"/>
          <w:szCs w:val="18"/>
          <w:lang w:val="es-ES_tradnl"/>
        </w:rPr>
        <w:t xml:space="preserve">separace. </w:t>
      </w:r>
      <w:r w:rsidRPr="00E21CE4">
        <w:rPr>
          <w:sz w:val="18"/>
          <w:szCs w:val="18"/>
        </w:rPr>
        <w:t>Fotokatalytick</w:t>
      </w:r>
      <w:r w:rsidRPr="00E21CE4">
        <w:rPr>
          <w:sz w:val="18"/>
          <w:szCs w:val="18"/>
          <w:lang w:val="fr-FR"/>
        </w:rPr>
        <w:t xml:space="preserve">é </w:t>
      </w:r>
      <w:r w:rsidRPr="00E21CE4">
        <w:rPr>
          <w:sz w:val="18"/>
          <w:szCs w:val="18"/>
        </w:rPr>
        <w:t>nátěry s nanočásticemi TiO</w:t>
      </w:r>
      <w:r w:rsidRPr="00E21CE4">
        <w:rPr>
          <w:sz w:val="18"/>
          <w:szCs w:val="18"/>
          <w:vertAlign w:val="subscript"/>
        </w:rPr>
        <w:t xml:space="preserve">2. </w:t>
      </w:r>
      <w:r w:rsidRPr="00E21CE4">
        <w:rPr>
          <w:sz w:val="18"/>
          <w:szCs w:val="18"/>
        </w:rPr>
        <w:t>Nanostrukturovan</w:t>
      </w:r>
      <w:r w:rsidRPr="00E21CE4">
        <w:rPr>
          <w:sz w:val="18"/>
          <w:szCs w:val="18"/>
          <w:lang w:val="fr-FR"/>
        </w:rPr>
        <w:t xml:space="preserve">é </w:t>
      </w:r>
      <w:r w:rsidRPr="00E21CE4">
        <w:rPr>
          <w:sz w:val="18"/>
          <w:szCs w:val="18"/>
        </w:rPr>
        <w:t>polymery, elektroaktivní polymery, termosetov</w:t>
      </w:r>
      <w:r w:rsidRPr="00E21CE4">
        <w:rPr>
          <w:sz w:val="18"/>
          <w:szCs w:val="18"/>
          <w:lang w:val="fr-FR"/>
        </w:rPr>
        <w:t xml:space="preserve">é </w:t>
      </w:r>
      <w:r w:rsidRPr="00E21CE4">
        <w:rPr>
          <w:sz w:val="18"/>
          <w:szCs w:val="18"/>
        </w:rPr>
        <w:t>i termoplastov</w:t>
      </w:r>
      <w:r w:rsidRPr="00E21CE4">
        <w:rPr>
          <w:sz w:val="18"/>
          <w:szCs w:val="18"/>
          <w:lang w:val="fr-FR"/>
        </w:rPr>
        <w:t xml:space="preserve">é </w:t>
      </w:r>
      <w:r w:rsidRPr="00E21CE4">
        <w:rPr>
          <w:sz w:val="18"/>
          <w:szCs w:val="18"/>
        </w:rPr>
        <w:t>kompozity, polymerní kompozity pro medicínu, architektura hmoty v nanoměřítku, 2D a 3D nanostruktury.</w:t>
      </w:r>
    </w:p>
    <w:p w14:paraId="7DA2371D" w14:textId="77777777" w:rsidR="0044083E" w:rsidRPr="00DF3E1A" w:rsidRDefault="0044083E" w:rsidP="003B741B">
      <w:pPr>
        <w:pStyle w:val="Textpoznpodarou"/>
        <w:jc w:val="both"/>
        <w:rPr>
          <w:b/>
        </w:rPr>
      </w:pPr>
      <w:r>
        <w:rPr>
          <w:sz w:val="18"/>
          <w:szCs w:val="18"/>
          <w:vertAlign w:val="superscript"/>
        </w:rPr>
        <w:t>7</w:t>
      </w:r>
      <w:r>
        <w:rPr>
          <w:sz w:val="18"/>
          <w:szCs w:val="18"/>
        </w:rPr>
        <w:t xml:space="preserve"> Vazba na průmysl skla, keramiky, porcelánu a stavebních hmot.</w:t>
      </w:r>
    </w:p>
  </w:footnote>
  <w:footnote w:id="128">
    <w:p w14:paraId="3FC4E272" w14:textId="18451AC8" w:rsidR="0044083E" w:rsidRPr="00632622" w:rsidRDefault="0044083E" w:rsidP="00F80142">
      <w:pPr>
        <w:pStyle w:val="Textpoznpodarou"/>
        <w:jc w:val="both"/>
        <w:rPr>
          <w:rFonts w:asciiTheme="minorHAnsi" w:hAnsiTheme="minorHAnsi"/>
          <w:sz w:val="18"/>
          <w:szCs w:val="18"/>
        </w:rPr>
      </w:pPr>
      <w:r w:rsidRPr="00632622">
        <w:rPr>
          <w:rStyle w:val="Znakapoznpodarou"/>
          <w:rFonts w:asciiTheme="minorHAnsi" w:hAnsiTheme="minorHAnsi"/>
          <w:sz w:val="18"/>
          <w:szCs w:val="18"/>
        </w:rPr>
        <w:footnoteRef/>
      </w:r>
      <w:r w:rsidRPr="00632622">
        <w:rPr>
          <w:rFonts w:asciiTheme="minorHAnsi" w:hAnsiTheme="minorHAnsi"/>
          <w:sz w:val="18"/>
          <w:szCs w:val="18"/>
        </w:rPr>
        <w:t xml:space="preserve"> Přesný finanční rozklad (popř. s vazbami na prioritní osy operačních programů nebo jednotlivé roky) viz kap. </w:t>
      </w:r>
      <w:r w:rsidRPr="00632622">
        <w:rPr>
          <w:rFonts w:asciiTheme="minorHAnsi" w:hAnsiTheme="minorHAnsi"/>
          <w:sz w:val="18"/>
          <w:szCs w:val="18"/>
        </w:rPr>
        <w:fldChar w:fldCharType="begin"/>
      </w:r>
      <w:r w:rsidRPr="00632622">
        <w:rPr>
          <w:rFonts w:asciiTheme="minorHAnsi" w:hAnsiTheme="minorHAnsi"/>
          <w:sz w:val="18"/>
          <w:szCs w:val="18"/>
        </w:rPr>
        <w:instrText xml:space="preserve"> REF _Ref521492106 \r \h  \* MERGEFORMAT </w:instrText>
      </w:r>
      <w:r w:rsidRPr="00632622">
        <w:rPr>
          <w:rFonts w:asciiTheme="minorHAnsi" w:hAnsiTheme="minorHAnsi"/>
          <w:sz w:val="18"/>
          <w:szCs w:val="18"/>
        </w:rPr>
      </w:r>
      <w:r w:rsidRPr="00632622">
        <w:rPr>
          <w:rFonts w:asciiTheme="minorHAnsi" w:hAnsiTheme="minorHAnsi"/>
          <w:sz w:val="18"/>
          <w:szCs w:val="18"/>
        </w:rPr>
        <w:fldChar w:fldCharType="separate"/>
      </w:r>
      <w:r>
        <w:rPr>
          <w:rFonts w:asciiTheme="minorHAnsi" w:hAnsiTheme="minorHAnsi"/>
          <w:sz w:val="18"/>
          <w:szCs w:val="18"/>
        </w:rPr>
        <w:t>8</w:t>
      </w:r>
      <w:r w:rsidRPr="00632622">
        <w:rPr>
          <w:rFonts w:asciiTheme="minorHAnsi" w:hAnsiTheme="minorHAnsi"/>
          <w:sz w:val="18"/>
          <w:szCs w:val="18"/>
        </w:rPr>
        <w:fldChar w:fldCharType="end"/>
      </w:r>
      <w:r w:rsidRPr="00632622">
        <w:rPr>
          <w:rFonts w:asciiTheme="minorHAnsi" w:hAnsiTheme="minorHAnsi"/>
          <w:sz w:val="18"/>
          <w:szCs w:val="18"/>
        </w:rPr>
        <w:t xml:space="preserve"> </w:t>
      </w:r>
      <w:r w:rsidRPr="00632622">
        <w:rPr>
          <w:rFonts w:asciiTheme="minorHAnsi" w:hAnsiTheme="minorHAnsi"/>
          <w:sz w:val="18"/>
          <w:szCs w:val="18"/>
          <w:highlight w:val="yellow"/>
        </w:rPr>
        <w:fldChar w:fldCharType="begin"/>
      </w:r>
      <w:r w:rsidRPr="00632622">
        <w:rPr>
          <w:rFonts w:asciiTheme="minorHAnsi" w:hAnsiTheme="minorHAnsi"/>
          <w:sz w:val="18"/>
          <w:szCs w:val="18"/>
          <w:highlight w:val="yellow"/>
        </w:rPr>
        <w:instrText xml:space="preserve"> REF _Ref521492077 \h  \* MERGEFORMAT </w:instrText>
      </w:r>
      <w:r w:rsidRPr="00632622">
        <w:rPr>
          <w:rFonts w:asciiTheme="minorHAnsi" w:hAnsiTheme="minorHAnsi"/>
          <w:sz w:val="18"/>
          <w:szCs w:val="18"/>
          <w:highlight w:val="yellow"/>
        </w:rPr>
      </w:r>
      <w:r w:rsidRPr="00632622">
        <w:rPr>
          <w:rFonts w:asciiTheme="minorHAnsi" w:hAnsiTheme="minorHAnsi"/>
          <w:sz w:val="18"/>
          <w:szCs w:val="18"/>
          <w:highlight w:val="yellow"/>
        </w:rPr>
        <w:fldChar w:fldCharType="separate"/>
      </w:r>
      <w:r w:rsidRPr="00DE40D4">
        <w:rPr>
          <w:sz w:val="18"/>
          <w:szCs w:val="18"/>
        </w:rPr>
        <w:t>Financování Národní RIS3 strategie</w:t>
      </w:r>
      <w:r w:rsidRPr="00632622">
        <w:rPr>
          <w:rFonts w:asciiTheme="minorHAnsi" w:hAnsiTheme="minorHAnsi"/>
          <w:sz w:val="18"/>
          <w:szCs w:val="18"/>
          <w:highlight w:val="yellow"/>
        </w:rPr>
        <w:fldChar w:fldCharType="end"/>
      </w:r>
      <w:r w:rsidRPr="00632622">
        <w:rPr>
          <w:rFonts w:asciiTheme="minorHAnsi" w:hAnsiTheme="minorHAnsi"/>
          <w:sz w:val="18"/>
          <w:szCs w:val="18"/>
        </w:rPr>
        <w:t>.</w:t>
      </w:r>
    </w:p>
  </w:footnote>
  <w:footnote w:id="129">
    <w:p w14:paraId="639C51FC" w14:textId="0FAAD1DF" w:rsidR="0044083E" w:rsidRPr="001B3605" w:rsidRDefault="0044083E" w:rsidP="00F80142">
      <w:pPr>
        <w:pStyle w:val="Textpoznpodarou"/>
        <w:jc w:val="both"/>
        <w:rPr>
          <w:rFonts w:asciiTheme="minorHAnsi" w:hAnsiTheme="minorHAnsi"/>
          <w:sz w:val="18"/>
          <w:szCs w:val="18"/>
        </w:rPr>
      </w:pPr>
      <w:r w:rsidRPr="00632622">
        <w:rPr>
          <w:rStyle w:val="Znakapoznpodarou"/>
          <w:rFonts w:asciiTheme="minorHAnsi" w:eastAsiaTheme="majorEastAsia" w:hAnsiTheme="minorHAnsi"/>
          <w:sz w:val="18"/>
          <w:szCs w:val="18"/>
        </w:rPr>
        <w:footnoteRef/>
      </w:r>
      <w:r w:rsidRPr="00632622">
        <w:rPr>
          <w:rFonts w:asciiTheme="minorHAnsi" w:hAnsiTheme="minorHAnsi"/>
          <w:sz w:val="18"/>
          <w:szCs w:val="18"/>
        </w:rPr>
        <w:t xml:space="preserve"> Informace o jednáních MAPS jsou obsahem každoročních monitorovacích zpráv Národní RIS3 strategie (viz kap.</w:t>
      </w:r>
      <w:r>
        <w:rPr>
          <w:rFonts w:asciiTheme="minorHAnsi" w:hAnsiTheme="minorHAnsi"/>
          <w:sz w:val="18"/>
          <w:szCs w:val="18"/>
        </w:rPr>
        <w:t> </w:t>
      </w:r>
      <w:r w:rsidRPr="00632622">
        <w:rPr>
          <w:rFonts w:asciiTheme="minorHAnsi" w:hAnsiTheme="minorHAnsi"/>
          <w:sz w:val="18"/>
          <w:szCs w:val="18"/>
        </w:rPr>
        <w:fldChar w:fldCharType="begin"/>
      </w:r>
      <w:r w:rsidRPr="00632622">
        <w:rPr>
          <w:rFonts w:asciiTheme="minorHAnsi" w:hAnsiTheme="minorHAnsi"/>
          <w:sz w:val="18"/>
          <w:szCs w:val="18"/>
        </w:rPr>
        <w:instrText xml:space="preserve"> REF _Ref521397146 \r \h  \* MERGEFORMAT </w:instrText>
      </w:r>
      <w:r w:rsidRPr="00632622">
        <w:rPr>
          <w:rFonts w:asciiTheme="minorHAnsi" w:hAnsiTheme="minorHAnsi"/>
          <w:sz w:val="18"/>
          <w:szCs w:val="18"/>
        </w:rPr>
      </w:r>
      <w:r w:rsidRPr="00632622">
        <w:rPr>
          <w:rFonts w:asciiTheme="minorHAnsi" w:hAnsiTheme="minorHAnsi"/>
          <w:sz w:val="18"/>
          <w:szCs w:val="18"/>
        </w:rPr>
        <w:fldChar w:fldCharType="separate"/>
      </w:r>
      <w:r>
        <w:rPr>
          <w:rFonts w:asciiTheme="minorHAnsi" w:hAnsiTheme="minorHAnsi"/>
          <w:sz w:val="18"/>
          <w:szCs w:val="18"/>
        </w:rPr>
        <w:t>7.4.1</w:t>
      </w:r>
      <w:r w:rsidRPr="00632622">
        <w:rPr>
          <w:rFonts w:asciiTheme="minorHAnsi" w:hAnsiTheme="minorHAnsi"/>
          <w:sz w:val="18"/>
          <w:szCs w:val="18"/>
        </w:rPr>
        <w:fldChar w:fldCharType="end"/>
      </w:r>
      <w:r w:rsidRPr="00632622">
        <w:rPr>
          <w:rFonts w:asciiTheme="minorHAnsi" w:hAnsiTheme="minorHAnsi"/>
          <w:sz w:val="18"/>
          <w:szCs w:val="18"/>
        </w:rPr>
        <w:t>.</w:t>
      </w:r>
      <w:r>
        <w:rPr>
          <w:rFonts w:asciiTheme="minorHAnsi" w:hAnsiTheme="minorHAnsi"/>
          <w:sz w:val="18"/>
          <w:szCs w:val="18"/>
        </w:rPr>
        <w:t> </w:t>
      </w:r>
      <w:r w:rsidRPr="00632622">
        <w:rPr>
          <w:rFonts w:asciiTheme="minorHAnsi" w:hAnsiTheme="minorHAnsi"/>
          <w:sz w:val="18"/>
          <w:szCs w:val="18"/>
          <w:highlight w:val="yellow"/>
        </w:rPr>
        <w:fldChar w:fldCharType="begin"/>
      </w:r>
      <w:r w:rsidRPr="00632622">
        <w:rPr>
          <w:rFonts w:asciiTheme="minorHAnsi" w:hAnsiTheme="minorHAnsi"/>
          <w:sz w:val="18"/>
          <w:szCs w:val="18"/>
          <w:highlight w:val="yellow"/>
        </w:rPr>
        <w:instrText xml:space="preserve"> REF _Ref521397146 \h  \* MERGEFORMAT </w:instrText>
      </w:r>
      <w:r w:rsidRPr="00632622">
        <w:rPr>
          <w:rFonts w:asciiTheme="minorHAnsi" w:hAnsiTheme="minorHAnsi"/>
          <w:sz w:val="18"/>
          <w:szCs w:val="18"/>
          <w:highlight w:val="yellow"/>
        </w:rPr>
      </w:r>
      <w:r w:rsidRPr="00632622">
        <w:rPr>
          <w:rFonts w:asciiTheme="minorHAnsi" w:hAnsiTheme="minorHAnsi"/>
          <w:sz w:val="18"/>
          <w:szCs w:val="18"/>
          <w:highlight w:val="yellow"/>
        </w:rPr>
        <w:fldChar w:fldCharType="separate"/>
      </w:r>
      <w:r w:rsidRPr="00DE40D4">
        <w:rPr>
          <w:sz w:val="18"/>
          <w:szCs w:val="18"/>
        </w:rPr>
        <w:t>Monitoring Národní RIS3 strategie</w:t>
      </w:r>
      <w:r w:rsidRPr="00632622">
        <w:rPr>
          <w:rFonts w:asciiTheme="minorHAnsi" w:hAnsiTheme="minorHAnsi"/>
          <w:sz w:val="18"/>
          <w:szCs w:val="18"/>
          <w:highlight w:val="yellow"/>
        </w:rPr>
        <w:fldChar w:fldCharType="end"/>
      </w:r>
      <w:r w:rsidRPr="00632622">
        <w:rPr>
          <w:rFonts w:asciiTheme="minorHAnsi" w:hAnsiTheme="minorHAnsi"/>
          <w:sz w:val="18"/>
          <w:szCs w:val="18"/>
        </w:rPr>
        <w:t>)</w:t>
      </w:r>
    </w:p>
  </w:footnote>
  <w:footnote w:id="130">
    <w:p w14:paraId="5E5BA314" w14:textId="77777777" w:rsidR="0044083E" w:rsidRDefault="0044083E" w:rsidP="004D7854">
      <w:pPr>
        <w:pStyle w:val="Textpoznpodarou"/>
        <w:jc w:val="both"/>
        <w:rPr>
          <w:sz w:val="18"/>
          <w:szCs w:val="18"/>
        </w:rPr>
      </w:pPr>
      <w:r>
        <w:rPr>
          <w:rStyle w:val="Znakapoznpodarou"/>
          <w:sz w:val="18"/>
          <w:szCs w:val="18"/>
        </w:rPr>
        <w:footnoteRef/>
      </w:r>
      <w:r>
        <w:rPr>
          <w:sz w:val="18"/>
          <w:szCs w:val="18"/>
        </w:rPr>
        <w:t xml:space="preserve"> Např. Rada pro výzkum, vývoj a inovace Královéhradeckého kraje (RVVI KHK) plní dlouhodobě roli tzv. Odborného poradního orgánu při hodnocení veřejných soutěží ve výzkumu, vývoji a inovacích vyhlašovaných Královéhradeckým krajem dle zákona č. 130/2002 Sb., o podpoře výzkumu, experimentálního vývoje a inovací, ve znění pozdějších předpisů.</w:t>
      </w:r>
    </w:p>
  </w:footnote>
  <w:footnote w:id="131">
    <w:p w14:paraId="1E082577" w14:textId="2DC9B165" w:rsidR="0044083E" w:rsidRPr="001B3605" w:rsidRDefault="0044083E" w:rsidP="00E54A3B">
      <w:pPr>
        <w:pStyle w:val="Textpoznpodarou"/>
        <w:rPr>
          <w:rFonts w:asciiTheme="minorHAnsi" w:hAnsiTheme="minorHAnsi"/>
          <w:sz w:val="18"/>
          <w:szCs w:val="18"/>
        </w:rPr>
      </w:pPr>
      <w:r w:rsidRPr="001B3605">
        <w:rPr>
          <w:rStyle w:val="Znakapoznpodarou"/>
          <w:rFonts w:asciiTheme="minorHAnsi" w:eastAsiaTheme="majorEastAsia" w:hAnsiTheme="minorHAnsi"/>
          <w:sz w:val="18"/>
          <w:szCs w:val="18"/>
        </w:rPr>
        <w:footnoteRef/>
      </w:r>
      <w:r w:rsidRPr="001B3605">
        <w:rPr>
          <w:rFonts w:asciiTheme="minorHAnsi" w:hAnsiTheme="minorHAnsi"/>
          <w:sz w:val="18"/>
          <w:szCs w:val="18"/>
        </w:rPr>
        <w:t xml:space="preserve"> Dohoda o partnerství pro programové období 2014-2020 (rev. 12/2016) [akt. 2016]; s. 164</w:t>
      </w:r>
      <w:r>
        <w:rPr>
          <w:rFonts w:asciiTheme="minorHAnsi" w:hAnsiTheme="minorHAnsi"/>
          <w:sz w:val="18"/>
          <w:szCs w:val="18"/>
        </w:rPr>
        <w:t>.</w:t>
      </w:r>
    </w:p>
  </w:footnote>
  <w:footnote w:id="132">
    <w:p w14:paraId="377EA53E" w14:textId="77777777" w:rsidR="0044083E" w:rsidRPr="001B3605" w:rsidRDefault="0044083E" w:rsidP="00A85A75">
      <w:pPr>
        <w:pStyle w:val="Textpoznpodarou"/>
        <w:jc w:val="both"/>
        <w:rPr>
          <w:rFonts w:asciiTheme="minorHAnsi" w:hAnsiTheme="minorHAnsi"/>
          <w:sz w:val="18"/>
          <w:szCs w:val="18"/>
        </w:rPr>
      </w:pPr>
      <w:r w:rsidRPr="001B3605">
        <w:rPr>
          <w:rStyle w:val="Znakapoznpodarou"/>
          <w:rFonts w:asciiTheme="minorHAnsi" w:eastAsiaTheme="majorEastAsia" w:hAnsiTheme="minorHAnsi"/>
          <w:sz w:val="18"/>
          <w:szCs w:val="18"/>
        </w:rPr>
        <w:footnoteRef/>
      </w:r>
      <w:r w:rsidRPr="001B3605">
        <w:rPr>
          <w:rFonts w:asciiTheme="minorHAnsi" w:hAnsiTheme="minorHAnsi"/>
          <w:sz w:val="18"/>
          <w:szCs w:val="18"/>
        </w:rPr>
        <w:t xml:space="preserve"> Výzva </w:t>
      </w:r>
      <w:r w:rsidRPr="001B3605">
        <w:rPr>
          <w:rFonts w:asciiTheme="minorHAnsi" w:hAnsiTheme="minorHAnsi"/>
          <w:i/>
          <w:sz w:val="18"/>
          <w:szCs w:val="18"/>
        </w:rPr>
        <w:t xml:space="preserve">Smart Akcelerátor </w:t>
      </w:r>
      <w:r w:rsidRPr="001B3605">
        <w:rPr>
          <w:rFonts w:asciiTheme="minorHAnsi" w:hAnsiTheme="minorHAnsi"/>
          <w:sz w:val="18"/>
          <w:szCs w:val="18"/>
        </w:rPr>
        <w:t>je jedním z možných nástrojů implementace RIS3 strategie na krajské úrovni. Výzva Smart Akcelerátor I. byla vyhlášení k 15. 7. 2015 a ukončena k 31. 12. 2019. V druhé polovině roku 2018 bude vyhlášena výzva Smart Akcelerátor II.</w:t>
      </w:r>
    </w:p>
  </w:footnote>
  <w:footnote w:id="133">
    <w:p w14:paraId="18F6F9B3" w14:textId="021399C1" w:rsidR="0044083E" w:rsidRPr="00494191" w:rsidRDefault="0044083E" w:rsidP="00494191">
      <w:pPr>
        <w:autoSpaceDE w:val="0"/>
        <w:autoSpaceDN w:val="0"/>
        <w:adjustRightInd w:val="0"/>
        <w:spacing w:after="0" w:line="240" w:lineRule="auto"/>
        <w:jc w:val="both"/>
        <w:rPr>
          <w:rFonts w:ascii="Calibri" w:hAnsi="Calibri" w:cs="Calibri"/>
          <w:sz w:val="18"/>
          <w:szCs w:val="18"/>
        </w:rPr>
      </w:pPr>
      <w:r>
        <w:rPr>
          <w:rStyle w:val="Znakapoznpodarou"/>
        </w:rPr>
        <w:footnoteRef/>
      </w:r>
      <w:r>
        <w:t xml:space="preserve"> </w:t>
      </w:r>
      <w:r>
        <w:rPr>
          <w:rFonts w:ascii="Calibri" w:hAnsi="Calibri" w:cs="Calibri"/>
          <w:sz w:val="18"/>
          <w:szCs w:val="18"/>
        </w:rPr>
        <w:t>ERA včetně asociovaných zemí, tj. jedná se o členské země EU a asociované země (viz článek 7 Nařízení Evropského parlamentu a Rady (EU) č. 1291/2013 k Horizontu 2020) dle seznamu aktuálního k datu vyhlášení výzvy: Island, Norsko, Albánie, Bosna a Hercegovina, Makedonie, Černá hora, Srbsko, Turecko, Izrael, Moldávie, Švýcarsko, Faerské ostrovy, Ukrajina, Tunis, Rumunsko, Arménie.</w:t>
      </w:r>
    </w:p>
  </w:footnote>
  <w:footnote w:id="134">
    <w:p w14:paraId="7ED09454" w14:textId="77777777" w:rsidR="0044083E" w:rsidRDefault="0044083E" w:rsidP="00BC07CC">
      <w:pPr>
        <w:autoSpaceDE w:val="0"/>
        <w:autoSpaceDN w:val="0"/>
        <w:adjustRightInd w:val="0"/>
        <w:spacing w:after="0" w:line="240" w:lineRule="auto"/>
        <w:jc w:val="both"/>
        <w:rPr>
          <w:rFonts w:ascii="Calibri" w:hAnsi="Calibri" w:cs="Calibri"/>
          <w:sz w:val="18"/>
          <w:szCs w:val="18"/>
        </w:rPr>
      </w:pPr>
      <w:r>
        <w:rPr>
          <w:rStyle w:val="Znakapoznpodarou"/>
        </w:rPr>
        <w:footnoteRef/>
      </w:r>
      <w:r>
        <w:t xml:space="preserve"> </w:t>
      </w:r>
      <w:r>
        <w:rPr>
          <w:rFonts w:ascii="Calibri" w:hAnsi="Calibri" w:cs="Calibri"/>
          <w:sz w:val="18"/>
          <w:szCs w:val="18"/>
        </w:rPr>
        <w:t>Jedná se o zkušený zahraniční subjekt odpovědný za implementaci konkrétního funkčního podpůrného nástroje/nástrojů,</w:t>
      </w:r>
    </w:p>
    <w:p w14:paraId="6724C5F5" w14:textId="22D75BD8" w:rsidR="0044083E" w:rsidRDefault="0044083E" w:rsidP="00BC07CC">
      <w:pPr>
        <w:pStyle w:val="Textpoznpodarou"/>
        <w:jc w:val="both"/>
      </w:pPr>
      <w:r>
        <w:rPr>
          <w:rFonts w:cs="Calibri"/>
          <w:sz w:val="18"/>
          <w:szCs w:val="18"/>
        </w:rPr>
        <w:t>který je ze strany žadatele identifikován jako „dobrá praxe“ relevantní vzhledem k potřebám krajského inovačního prostředí.</w:t>
      </w:r>
    </w:p>
  </w:footnote>
  <w:footnote w:id="135">
    <w:p w14:paraId="588999C0" w14:textId="4600C93B" w:rsidR="0044083E" w:rsidRDefault="0044083E">
      <w:pPr>
        <w:pStyle w:val="Textpoznpodarou"/>
      </w:pPr>
      <w:r>
        <w:rPr>
          <w:rStyle w:val="Znakapoznpodarou"/>
        </w:rPr>
        <w:footnoteRef/>
      </w:r>
      <w:r>
        <w:t xml:space="preserve"> </w:t>
      </w:r>
      <w:r w:rsidRPr="0016667D">
        <w:rPr>
          <w:sz w:val="18"/>
          <w:szCs w:val="18"/>
        </w:rPr>
        <w:t>https://www.mpo.cz/cz/podnikani/ris3-strategie/dokumenty/</w:t>
      </w:r>
    </w:p>
  </w:footnote>
  <w:footnote w:id="136">
    <w:p w14:paraId="70FAC690" w14:textId="1BD8CFA7" w:rsidR="0044083E" w:rsidRPr="001B3605" w:rsidRDefault="0044083E" w:rsidP="008C7CE3">
      <w:pPr>
        <w:pStyle w:val="Textpoznpodarou"/>
        <w:rPr>
          <w:rFonts w:asciiTheme="minorHAnsi" w:hAnsiTheme="minorHAnsi" w:cstheme="minorBidi"/>
          <w:sz w:val="18"/>
          <w:szCs w:val="18"/>
        </w:rPr>
      </w:pPr>
      <w:r w:rsidRPr="001B3605">
        <w:rPr>
          <w:rStyle w:val="Znakapoznpodarou"/>
          <w:rFonts w:asciiTheme="minorHAnsi" w:eastAsiaTheme="majorEastAsia" w:hAnsiTheme="minorHAnsi"/>
          <w:sz w:val="18"/>
          <w:szCs w:val="18"/>
        </w:rPr>
        <w:footnoteRef/>
      </w:r>
      <w:r w:rsidRPr="001B3605">
        <w:rPr>
          <w:rFonts w:asciiTheme="minorHAnsi" w:hAnsiTheme="minorHAnsi"/>
          <w:sz w:val="18"/>
          <w:szCs w:val="18"/>
        </w:rPr>
        <w:t xml:space="preserve"> </w:t>
      </w:r>
      <w:r w:rsidRPr="00DF010D">
        <w:rPr>
          <w:rFonts w:asciiTheme="minorHAnsi" w:hAnsiTheme="minorHAnsi"/>
          <w:i/>
          <w:sz w:val="18"/>
          <w:szCs w:val="18"/>
        </w:rPr>
        <w:t>Podklad k naplňování NP VaVaI 2016 – 2020 a k zaměření vertikalizace ESIF a NP v kontextu implementace RIS3 strategie</w:t>
      </w:r>
      <w:r w:rsidRPr="00DF010D">
        <w:rPr>
          <w:rFonts w:asciiTheme="minorHAnsi" w:hAnsiTheme="minorHAnsi"/>
          <w:sz w:val="18"/>
          <w:szCs w:val="18"/>
        </w:rPr>
        <w:t>, ÚV ČR 2016</w:t>
      </w:r>
    </w:p>
  </w:footnote>
  <w:footnote w:id="137">
    <w:p w14:paraId="5FA07002" w14:textId="77777777" w:rsidR="0044083E" w:rsidRPr="001B3605" w:rsidRDefault="0044083E" w:rsidP="008C7CE3">
      <w:pPr>
        <w:pStyle w:val="Textpoznpodarou"/>
        <w:rPr>
          <w:rFonts w:asciiTheme="minorHAnsi" w:hAnsiTheme="minorHAnsi"/>
          <w:sz w:val="18"/>
          <w:szCs w:val="18"/>
        </w:rPr>
      </w:pPr>
      <w:r w:rsidRPr="001B3605">
        <w:rPr>
          <w:rStyle w:val="Znakapoznpodarou"/>
          <w:rFonts w:asciiTheme="minorHAnsi" w:eastAsiaTheme="majorEastAsia" w:hAnsiTheme="minorHAnsi"/>
          <w:sz w:val="18"/>
          <w:szCs w:val="18"/>
        </w:rPr>
        <w:footnoteRef/>
      </w:r>
      <w:r w:rsidRPr="001B3605">
        <w:rPr>
          <w:rFonts w:asciiTheme="minorHAnsi" w:hAnsiTheme="minorHAnsi"/>
          <w:sz w:val="18"/>
          <w:szCs w:val="18"/>
        </w:rPr>
        <w:t xml:space="preserve"> Viz </w:t>
      </w:r>
      <w:r w:rsidRPr="001B3605">
        <w:rPr>
          <w:rFonts w:asciiTheme="minorHAnsi" w:hAnsiTheme="minorHAnsi"/>
          <w:i/>
          <w:sz w:val="18"/>
          <w:szCs w:val="18"/>
        </w:rPr>
        <w:t>Zpráva o realizaci Národní RIS3 strategie za rok 2017</w:t>
      </w:r>
      <w:r w:rsidRPr="001B3605">
        <w:rPr>
          <w:rFonts w:asciiTheme="minorHAnsi" w:hAnsiTheme="minorHAnsi"/>
          <w:sz w:val="18"/>
          <w:szCs w:val="18"/>
        </w:rPr>
        <w:t xml:space="preserve"> a </w:t>
      </w:r>
      <w:r w:rsidRPr="001B3605">
        <w:rPr>
          <w:rFonts w:asciiTheme="minorHAnsi" w:eastAsia="MS Mincho" w:hAnsiTheme="minorHAnsi"/>
          <w:i/>
          <w:sz w:val="18"/>
          <w:szCs w:val="18"/>
        </w:rPr>
        <w:t xml:space="preserve">Plán implementace </w:t>
      </w:r>
      <w:r w:rsidRPr="001B3605">
        <w:rPr>
          <w:rFonts w:asciiTheme="minorHAnsi" w:hAnsiTheme="minorHAnsi"/>
          <w:i/>
          <w:sz w:val="18"/>
          <w:szCs w:val="18"/>
        </w:rPr>
        <w:t>Národní RIS3 strategie na období 2018-2019</w:t>
      </w:r>
    </w:p>
  </w:footnote>
  <w:footnote w:id="138">
    <w:p w14:paraId="01EE222B" w14:textId="77777777" w:rsidR="0044083E" w:rsidRPr="001B3605" w:rsidRDefault="0044083E" w:rsidP="006F66B0">
      <w:pPr>
        <w:pStyle w:val="Textpoznpodarou"/>
        <w:jc w:val="both"/>
        <w:rPr>
          <w:rFonts w:asciiTheme="minorHAnsi" w:hAnsiTheme="minorHAnsi"/>
          <w:sz w:val="18"/>
          <w:szCs w:val="18"/>
        </w:rPr>
      </w:pPr>
      <w:r w:rsidRPr="001B3605">
        <w:rPr>
          <w:rStyle w:val="Znakapoznpodarou"/>
          <w:rFonts w:asciiTheme="minorHAnsi" w:hAnsiTheme="minorHAnsi"/>
          <w:sz w:val="18"/>
          <w:szCs w:val="18"/>
        </w:rPr>
        <w:footnoteRef/>
      </w:r>
      <w:r w:rsidRPr="001B3605">
        <w:rPr>
          <w:rFonts w:asciiTheme="minorHAnsi" w:hAnsiTheme="minorHAnsi"/>
          <w:sz w:val="18"/>
          <w:szCs w:val="18"/>
        </w:rPr>
        <w:t xml:space="preserve"> Informace relevantní pro krajskou přílohu se nemusejí omezovat na informace o vlastním kraji. </w:t>
      </w:r>
    </w:p>
  </w:footnote>
  <w:footnote w:id="139">
    <w:p w14:paraId="7B2A2AEB" w14:textId="1F10FA7C" w:rsidR="0044083E" w:rsidRPr="00B4749C" w:rsidRDefault="0044083E" w:rsidP="00E2504C">
      <w:pPr>
        <w:pStyle w:val="Textpoznpodarou"/>
        <w:jc w:val="both"/>
        <w:rPr>
          <w:rStyle w:val="Znakapoznpodarou"/>
          <w:sz w:val="18"/>
          <w:szCs w:val="18"/>
        </w:rPr>
      </w:pPr>
      <w:r w:rsidRPr="00B4749C">
        <w:rPr>
          <w:sz w:val="18"/>
          <w:szCs w:val="18"/>
          <w:vertAlign w:val="superscript"/>
        </w:rPr>
        <w:footnoteRef/>
      </w:r>
      <w:r w:rsidRPr="00B4749C">
        <w:rPr>
          <w:sz w:val="18"/>
          <w:szCs w:val="18"/>
          <w:vertAlign w:val="superscript"/>
        </w:rPr>
        <w:t xml:space="preserve"> </w:t>
      </w:r>
      <w:r w:rsidRPr="00B4749C">
        <w:rPr>
          <w:sz w:val="18"/>
          <w:szCs w:val="18"/>
        </w:rPr>
        <w:t>Úpravy přičlenění finančních prostředků na SC 1.1 a SC 1.2 OP PIK vycházejí ze 4. revize OP PIK, kterou EK schválila dne 28.</w:t>
      </w:r>
      <w:r>
        <w:rPr>
          <w:sz w:val="18"/>
          <w:szCs w:val="18"/>
        </w:rPr>
        <w:t> </w:t>
      </w:r>
      <w:r w:rsidRPr="00B4749C">
        <w:rPr>
          <w:sz w:val="18"/>
          <w:szCs w:val="18"/>
        </w:rPr>
        <w:t xml:space="preserve">5. 2018. </w:t>
      </w:r>
    </w:p>
  </w:footnote>
  <w:footnote w:id="140">
    <w:p w14:paraId="48113EED" w14:textId="77777777" w:rsidR="0044083E" w:rsidRPr="00B4749C" w:rsidRDefault="0044083E" w:rsidP="0000058C">
      <w:pPr>
        <w:pStyle w:val="Textpoznpodarou"/>
        <w:rPr>
          <w:sz w:val="18"/>
          <w:szCs w:val="18"/>
        </w:rPr>
      </w:pPr>
      <w:r w:rsidRPr="00B4749C">
        <w:rPr>
          <w:rStyle w:val="Znakapoznpodarou"/>
          <w:sz w:val="18"/>
          <w:szCs w:val="18"/>
        </w:rPr>
        <w:footnoteRef/>
      </w:r>
      <w:r w:rsidRPr="00B4749C">
        <w:rPr>
          <w:sz w:val="18"/>
          <w:szCs w:val="18"/>
        </w:rPr>
        <w:t xml:space="preserve"> Hodnoty maximálních objemů prostředků jsou uvedeny v průměrném kurzu 26 CZK / 1 EUR.  </w:t>
      </w:r>
    </w:p>
  </w:footnote>
  <w:footnote w:id="141">
    <w:p w14:paraId="44AEB303" w14:textId="77777777" w:rsidR="0044083E" w:rsidRPr="00B4749C" w:rsidRDefault="0044083E" w:rsidP="0000058C">
      <w:pPr>
        <w:pStyle w:val="Textpoznpodarou"/>
        <w:jc w:val="both"/>
        <w:rPr>
          <w:sz w:val="18"/>
          <w:szCs w:val="18"/>
        </w:rPr>
      </w:pPr>
      <w:r w:rsidRPr="00B4749C">
        <w:rPr>
          <w:rStyle w:val="Znakapoznpodarou"/>
          <w:sz w:val="18"/>
          <w:szCs w:val="18"/>
        </w:rPr>
        <w:footnoteRef/>
      </w:r>
      <w:r w:rsidRPr="00B4749C">
        <w:rPr>
          <w:sz w:val="18"/>
          <w:szCs w:val="18"/>
        </w:rPr>
        <w:t xml:space="preserve"> V tabulce je uvedena celková alokace SC 2.1 OP PIK. Pozn. k Národní RIS3 strategii se však vztahují pouze programy finančních nástrojů „Rizikový kapitál“, „Expanze“ a dotační program podpory „Poradenství“. </w:t>
      </w:r>
    </w:p>
  </w:footnote>
  <w:footnote w:id="142">
    <w:p w14:paraId="7D166409" w14:textId="2C57255B" w:rsidR="0044083E" w:rsidRPr="00C7424F" w:rsidRDefault="0044083E" w:rsidP="0000058C">
      <w:pPr>
        <w:pStyle w:val="Textpoznpodarou"/>
        <w:spacing w:after="40"/>
        <w:jc w:val="both"/>
      </w:pPr>
      <w:r w:rsidRPr="00B4749C">
        <w:rPr>
          <w:rStyle w:val="Znakapoznpodarou"/>
          <w:sz w:val="18"/>
          <w:szCs w:val="18"/>
        </w:rPr>
        <w:footnoteRef/>
      </w:r>
      <w:r w:rsidRPr="00B4749C">
        <w:rPr>
          <w:sz w:val="18"/>
          <w:szCs w:val="18"/>
        </w:rPr>
        <w:t xml:space="preserve"> V případě OP VVV platí, že Národní RIS3 strategie je ex-ante kondicionalitou pro všechny specifické cíle PO1 (SC1-SC4) a</w:t>
      </w:r>
      <w:r>
        <w:rPr>
          <w:sz w:val="18"/>
          <w:szCs w:val="18"/>
        </w:rPr>
        <w:t> </w:t>
      </w:r>
      <w:r w:rsidRPr="00B4749C">
        <w:rPr>
          <w:sz w:val="18"/>
          <w:szCs w:val="18"/>
        </w:rPr>
        <w:t>specifický cíl SC5 IP1 PO2.  Všechny ostatní specifické cíle v rámci OP VVV jsou primárně řízeny jinými strategiemi než Národní RIS3, některé specifické cíle však reálně k naplňování Národní RIS3 strategie svými intervencemi přispívají.</w:t>
      </w:r>
    </w:p>
  </w:footnote>
  <w:footnote w:id="143">
    <w:p w14:paraId="5F08A753" w14:textId="64D68A36" w:rsidR="0044083E" w:rsidRPr="008150D9" w:rsidRDefault="0044083E" w:rsidP="0000058C">
      <w:pPr>
        <w:pStyle w:val="Textpoznpodarou"/>
        <w:spacing w:after="40"/>
        <w:jc w:val="both"/>
        <w:rPr>
          <w:sz w:val="18"/>
          <w:szCs w:val="18"/>
        </w:rPr>
      </w:pPr>
      <w:r w:rsidRPr="008150D9">
        <w:rPr>
          <w:rStyle w:val="Znakapoznpodarou"/>
          <w:sz w:val="18"/>
          <w:szCs w:val="18"/>
        </w:rPr>
        <w:footnoteRef/>
      </w:r>
      <w:r w:rsidRPr="008150D9">
        <w:rPr>
          <w:sz w:val="18"/>
          <w:szCs w:val="18"/>
        </w:rPr>
        <w:t xml:space="preserve"> V případě OP VVV platí, že Národní RIS3 strategie je ex-ante kondicionalitou pro všechny specifické cíle PO1 (SC1-SC4) a</w:t>
      </w:r>
      <w:r>
        <w:rPr>
          <w:sz w:val="18"/>
          <w:szCs w:val="18"/>
        </w:rPr>
        <w:t> </w:t>
      </w:r>
      <w:r w:rsidRPr="008150D9">
        <w:rPr>
          <w:sz w:val="18"/>
          <w:szCs w:val="18"/>
        </w:rPr>
        <w:t>specifický cíl SC5 IP1 PO2.  Všechny ostatní specifické cíle v rámci OP VVV jsou primárně řízeny jinými strategiemi než Národní RIS3, některé specifické cíle však reálně k naplňování Národní RIS3 strategie svými intervencemi přispívají.</w:t>
      </w:r>
    </w:p>
  </w:footnote>
  <w:footnote w:id="144">
    <w:p w14:paraId="675AB63D" w14:textId="77777777" w:rsidR="0044083E" w:rsidRPr="00856376" w:rsidRDefault="0044083E" w:rsidP="00856376">
      <w:pPr>
        <w:spacing w:after="60" w:line="240" w:lineRule="auto"/>
        <w:jc w:val="both"/>
        <w:rPr>
          <w:rFonts w:eastAsia="MS Mincho"/>
          <w:i/>
          <w:sz w:val="18"/>
          <w:szCs w:val="18"/>
        </w:rPr>
      </w:pPr>
      <w:r w:rsidRPr="00856376">
        <w:rPr>
          <w:rStyle w:val="Znakapoznpodarou"/>
          <w:sz w:val="18"/>
          <w:szCs w:val="18"/>
        </w:rPr>
        <w:footnoteRef/>
      </w:r>
      <w:r w:rsidRPr="00856376">
        <w:rPr>
          <w:sz w:val="18"/>
          <w:szCs w:val="18"/>
        </w:rPr>
        <w:t>Hodnoty maximálních objemů prostředků dle příslušných usnesení vlády, jsou uvedeny v průměrném kurzu 26 CZK / 1 EUR.</w:t>
      </w:r>
    </w:p>
  </w:footnote>
  <w:footnote w:id="145">
    <w:p w14:paraId="4E288AE3" w14:textId="77777777" w:rsidR="0044083E" w:rsidRPr="00B73DEB" w:rsidRDefault="0044083E" w:rsidP="00856376">
      <w:pPr>
        <w:jc w:val="both"/>
        <w:rPr>
          <w:sz w:val="20"/>
          <w:szCs w:val="20"/>
        </w:rPr>
      </w:pPr>
      <w:r w:rsidRPr="00856376">
        <w:rPr>
          <w:rStyle w:val="Znakapoznpodarou"/>
          <w:sz w:val="18"/>
          <w:szCs w:val="18"/>
        </w:rPr>
        <w:footnoteRef/>
      </w:r>
      <w:r w:rsidRPr="00856376">
        <w:rPr>
          <w:sz w:val="18"/>
          <w:szCs w:val="18"/>
        </w:rPr>
        <w:t xml:space="preserve">Údaje uvedené v tabulce vycházející z usnesení vlády pro jednotlivé programy, které však nezakládají nárok na přidělení dané částky ze státního rozpočtu, neboť jeho návrh je každoročně připravován dle zákona č. 130/2002 Sb., o podpoře výzkumu, experimentálního vývoje a inovací, ve znění pozdějších předpisů. </w:t>
      </w:r>
    </w:p>
  </w:footnote>
  <w:footnote w:id="146">
    <w:p w14:paraId="2DD0357D" w14:textId="77777777" w:rsidR="0044083E" w:rsidRPr="008158BE" w:rsidRDefault="0044083E" w:rsidP="00476364">
      <w:pPr>
        <w:spacing w:after="0" w:line="240" w:lineRule="auto"/>
        <w:jc w:val="both"/>
        <w:rPr>
          <w:rFonts w:eastAsia="MS Mincho"/>
          <w:i/>
          <w:sz w:val="18"/>
          <w:szCs w:val="18"/>
        </w:rPr>
      </w:pPr>
      <w:r w:rsidRPr="008158BE">
        <w:rPr>
          <w:rStyle w:val="Znakapoznpodarou"/>
          <w:sz w:val="18"/>
          <w:szCs w:val="18"/>
        </w:rPr>
        <w:footnoteRef/>
      </w:r>
      <w:r w:rsidRPr="008158BE">
        <w:rPr>
          <w:sz w:val="18"/>
          <w:szCs w:val="18"/>
        </w:rPr>
        <w:t>Hodnoty maximálních objemů prostředků dle příslušných usnesení vlády, jsou uvedeny v průměrném kurzu 26 CZK / 1 EUR.</w:t>
      </w:r>
    </w:p>
  </w:footnote>
  <w:footnote w:id="147">
    <w:p w14:paraId="1FA892B4" w14:textId="77777777" w:rsidR="0044083E" w:rsidRPr="00F25A0C" w:rsidRDefault="0044083E" w:rsidP="002F7153">
      <w:pPr>
        <w:spacing w:after="0" w:line="240" w:lineRule="auto"/>
        <w:jc w:val="both"/>
        <w:rPr>
          <w:sz w:val="18"/>
          <w:szCs w:val="18"/>
        </w:rPr>
      </w:pPr>
      <w:r w:rsidRPr="00F25A0C">
        <w:rPr>
          <w:rStyle w:val="Znakapoznpodarou"/>
          <w:sz w:val="18"/>
          <w:szCs w:val="18"/>
        </w:rPr>
        <w:footnoteRef/>
      </w:r>
      <w:r w:rsidRPr="00F25A0C">
        <w:rPr>
          <w:sz w:val="18"/>
          <w:szCs w:val="18"/>
        </w:rPr>
        <w:t xml:space="preserve">Údaje uvedené v tabulce vycházející z usnesení vlády pro jednotlivé programy, které však nezakládají nárok na přidělení dané částky ze státního rozpočtu, neboť jeho návrh je každoročně připravován dle zákona č. 130/2002 Sb., o podpoře výzkumu, experimentálního vývoje a inovací, ve znění pozdějších předpisů. </w:t>
      </w:r>
    </w:p>
  </w:footnote>
  <w:footnote w:id="148">
    <w:p w14:paraId="23BD4004" w14:textId="77777777" w:rsidR="0044083E" w:rsidRPr="00D35C1F" w:rsidRDefault="0044083E" w:rsidP="002F7153">
      <w:pPr>
        <w:pStyle w:val="Textpoznpodarou"/>
        <w:rPr>
          <w:sz w:val="18"/>
          <w:szCs w:val="18"/>
        </w:rPr>
      </w:pPr>
      <w:r w:rsidRPr="00D35C1F">
        <w:rPr>
          <w:rStyle w:val="Znakapoznpodarou"/>
          <w:sz w:val="18"/>
          <w:szCs w:val="18"/>
        </w:rPr>
        <w:footnoteRef/>
      </w:r>
      <w:r w:rsidRPr="00D35C1F">
        <w:rPr>
          <w:sz w:val="18"/>
          <w:szCs w:val="18"/>
        </w:rPr>
        <w:t xml:space="preserve"> Národní RIS3 manažer plánuje při přípravě Národní RIS3 strategie 2021+ výrazně využít zapojení agentury CzechInvest do procesu podpory žadatelů z ČR. </w:t>
      </w:r>
    </w:p>
  </w:footnote>
  <w:footnote w:id="149">
    <w:p w14:paraId="5E8479B5" w14:textId="77777777" w:rsidR="0044083E" w:rsidRPr="0088120A" w:rsidRDefault="0044083E" w:rsidP="00DD6AC8">
      <w:pPr>
        <w:spacing w:after="0"/>
        <w:jc w:val="both"/>
        <w:rPr>
          <w:rFonts w:eastAsia="MS Mincho"/>
          <w:i/>
          <w:sz w:val="20"/>
          <w:szCs w:val="20"/>
        </w:rPr>
      </w:pPr>
      <w:r w:rsidRPr="00D35C1F">
        <w:rPr>
          <w:rStyle w:val="Znakapoznpodarou"/>
          <w:sz w:val="18"/>
          <w:szCs w:val="18"/>
        </w:rPr>
        <w:footnoteRef/>
      </w:r>
      <w:r w:rsidRPr="00D35C1F">
        <w:rPr>
          <w:sz w:val="18"/>
          <w:szCs w:val="18"/>
        </w:rPr>
        <w:t>Hodnoty indikativních financí intervencí Národní RIS3 strategie na krajské úrovni jsou uvedeny v průměrném kurzu 26 CZK / 1 EUR.</w:t>
      </w:r>
    </w:p>
  </w:footnote>
  <w:footnote w:id="150">
    <w:p w14:paraId="71654F04" w14:textId="77777777" w:rsidR="0044083E" w:rsidRPr="00C7424F" w:rsidRDefault="0044083E" w:rsidP="00DD6AC8">
      <w:pPr>
        <w:pStyle w:val="Textpoznpodarou"/>
        <w:spacing w:line="20" w:lineRule="atLeast"/>
        <w:jc w:val="both"/>
        <w:rPr>
          <w:sz w:val="16"/>
          <w:szCs w:val="16"/>
        </w:rPr>
      </w:pPr>
      <w:r w:rsidRPr="00C7424F">
        <w:rPr>
          <w:rStyle w:val="Znakapoznpodarou"/>
          <w:sz w:val="16"/>
          <w:szCs w:val="16"/>
        </w:rPr>
        <w:footnoteRef/>
      </w:r>
      <w:r w:rsidRPr="00C7424F">
        <w:rPr>
          <w:sz w:val="16"/>
          <w:szCs w:val="16"/>
        </w:rPr>
        <w:t xml:space="preserve"> </w:t>
      </w:r>
      <w:r w:rsidRPr="00DD6AC8">
        <w:rPr>
          <w:sz w:val="18"/>
          <w:szCs w:val="18"/>
        </w:rPr>
        <w:t>Informace o financování aktivit z programového období 2007 – 2013 se týkají pouze udržitelnosti projektů výzkumu a vývoje.</w:t>
      </w:r>
    </w:p>
  </w:footnote>
  <w:footnote w:id="151">
    <w:p w14:paraId="7E3C8454" w14:textId="574360C0" w:rsidR="0044083E" w:rsidRPr="00ED73BC" w:rsidRDefault="0044083E">
      <w:pPr>
        <w:pStyle w:val="Textpoznpodarou"/>
        <w:rPr>
          <w:sz w:val="18"/>
          <w:szCs w:val="18"/>
        </w:rPr>
      </w:pPr>
      <w:r w:rsidRPr="00ED73BC">
        <w:rPr>
          <w:rStyle w:val="Znakapoznpodarou"/>
          <w:sz w:val="18"/>
          <w:szCs w:val="18"/>
        </w:rPr>
        <w:footnoteRef/>
      </w:r>
      <w:r w:rsidRPr="00ED73BC">
        <w:rPr>
          <w:sz w:val="18"/>
          <w:szCs w:val="18"/>
        </w:rPr>
        <w:t xml:space="preserve"> Tento záměr bude vyžadovat zavedení adekvátních systémových prostředků monitoringu (nástupce MS 2014+ a rovněž IS VaVaI).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F9EA37" w14:textId="3E31E080" w:rsidR="0044083E" w:rsidRDefault="00663FF6" w:rsidP="00EA5222">
    <w:pPr>
      <w:pStyle w:val="Zhlav"/>
      <w:jc w:val="right"/>
    </w:pPr>
    <w:r>
      <w:t>II</w:t>
    </w:r>
    <w:r w:rsidR="00EA5222">
      <w:t>I.</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41DA67" w14:textId="285F8EA2" w:rsidR="0044083E" w:rsidRDefault="0044083E">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9D7D55" w14:textId="74EF96FE" w:rsidR="0044083E" w:rsidRDefault="0044083E">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86B1D2" w14:textId="3C33C028" w:rsidR="0044083E" w:rsidRDefault="0044083E">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C125FE" w14:textId="2CA1B32C" w:rsidR="0044083E" w:rsidRDefault="0044083E">
    <w:pPr>
      <w:pStyle w:val="Zhlav"/>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710EB4" w14:textId="52636F28" w:rsidR="0044083E" w:rsidRDefault="0044083E">
    <w:pPr>
      <w:pStyle w:val="Zhlav"/>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D0F028" w14:textId="26808CAE" w:rsidR="0044083E" w:rsidRDefault="0044083E">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B2DDA"/>
    <w:multiLevelType w:val="hybridMultilevel"/>
    <w:tmpl w:val="710C656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0D2222E"/>
    <w:multiLevelType w:val="hybridMultilevel"/>
    <w:tmpl w:val="E7EC0EE6"/>
    <w:lvl w:ilvl="0" w:tplc="04050003">
      <w:start w:val="1"/>
      <w:numFmt w:val="bullet"/>
      <w:lvlText w:val="o"/>
      <w:lvlJc w:val="left"/>
      <w:pPr>
        <w:ind w:left="2460" w:hanging="360"/>
      </w:pPr>
      <w:rPr>
        <w:rFonts w:ascii="Courier New" w:hAnsi="Courier New" w:cs="Courier New" w:hint="default"/>
      </w:rPr>
    </w:lvl>
    <w:lvl w:ilvl="1" w:tplc="04050003" w:tentative="1">
      <w:start w:val="1"/>
      <w:numFmt w:val="bullet"/>
      <w:lvlText w:val="o"/>
      <w:lvlJc w:val="left"/>
      <w:pPr>
        <w:ind w:left="3180" w:hanging="360"/>
      </w:pPr>
      <w:rPr>
        <w:rFonts w:ascii="Courier New" w:hAnsi="Courier New" w:cs="Courier New" w:hint="default"/>
      </w:rPr>
    </w:lvl>
    <w:lvl w:ilvl="2" w:tplc="04050005" w:tentative="1">
      <w:start w:val="1"/>
      <w:numFmt w:val="bullet"/>
      <w:lvlText w:val=""/>
      <w:lvlJc w:val="left"/>
      <w:pPr>
        <w:ind w:left="3900" w:hanging="360"/>
      </w:pPr>
      <w:rPr>
        <w:rFonts w:ascii="Wingdings" w:hAnsi="Wingdings" w:hint="default"/>
      </w:rPr>
    </w:lvl>
    <w:lvl w:ilvl="3" w:tplc="04050001" w:tentative="1">
      <w:start w:val="1"/>
      <w:numFmt w:val="bullet"/>
      <w:lvlText w:val=""/>
      <w:lvlJc w:val="left"/>
      <w:pPr>
        <w:ind w:left="4620" w:hanging="360"/>
      </w:pPr>
      <w:rPr>
        <w:rFonts w:ascii="Symbol" w:hAnsi="Symbol" w:hint="default"/>
      </w:rPr>
    </w:lvl>
    <w:lvl w:ilvl="4" w:tplc="04050003" w:tentative="1">
      <w:start w:val="1"/>
      <w:numFmt w:val="bullet"/>
      <w:lvlText w:val="o"/>
      <w:lvlJc w:val="left"/>
      <w:pPr>
        <w:ind w:left="5340" w:hanging="360"/>
      </w:pPr>
      <w:rPr>
        <w:rFonts w:ascii="Courier New" w:hAnsi="Courier New" w:cs="Courier New" w:hint="default"/>
      </w:rPr>
    </w:lvl>
    <w:lvl w:ilvl="5" w:tplc="04050005" w:tentative="1">
      <w:start w:val="1"/>
      <w:numFmt w:val="bullet"/>
      <w:lvlText w:val=""/>
      <w:lvlJc w:val="left"/>
      <w:pPr>
        <w:ind w:left="6060" w:hanging="360"/>
      </w:pPr>
      <w:rPr>
        <w:rFonts w:ascii="Wingdings" w:hAnsi="Wingdings" w:hint="default"/>
      </w:rPr>
    </w:lvl>
    <w:lvl w:ilvl="6" w:tplc="04050001" w:tentative="1">
      <w:start w:val="1"/>
      <w:numFmt w:val="bullet"/>
      <w:lvlText w:val=""/>
      <w:lvlJc w:val="left"/>
      <w:pPr>
        <w:ind w:left="6780" w:hanging="360"/>
      </w:pPr>
      <w:rPr>
        <w:rFonts w:ascii="Symbol" w:hAnsi="Symbol" w:hint="default"/>
      </w:rPr>
    </w:lvl>
    <w:lvl w:ilvl="7" w:tplc="04050003" w:tentative="1">
      <w:start w:val="1"/>
      <w:numFmt w:val="bullet"/>
      <w:lvlText w:val="o"/>
      <w:lvlJc w:val="left"/>
      <w:pPr>
        <w:ind w:left="7500" w:hanging="360"/>
      </w:pPr>
      <w:rPr>
        <w:rFonts w:ascii="Courier New" w:hAnsi="Courier New" w:cs="Courier New" w:hint="default"/>
      </w:rPr>
    </w:lvl>
    <w:lvl w:ilvl="8" w:tplc="04050005" w:tentative="1">
      <w:start w:val="1"/>
      <w:numFmt w:val="bullet"/>
      <w:lvlText w:val=""/>
      <w:lvlJc w:val="left"/>
      <w:pPr>
        <w:ind w:left="8220" w:hanging="360"/>
      </w:pPr>
      <w:rPr>
        <w:rFonts w:ascii="Wingdings" w:hAnsi="Wingdings" w:hint="default"/>
      </w:rPr>
    </w:lvl>
  </w:abstractNum>
  <w:abstractNum w:abstractNumId="2" w15:restartNumberingAfterBreak="0">
    <w:nsid w:val="01507D7C"/>
    <w:multiLevelType w:val="hybridMultilevel"/>
    <w:tmpl w:val="C5C0086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15:restartNumberingAfterBreak="0">
    <w:nsid w:val="01CF0882"/>
    <w:multiLevelType w:val="hybridMultilevel"/>
    <w:tmpl w:val="243EBD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3F20835"/>
    <w:multiLevelType w:val="hybridMultilevel"/>
    <w:tmpl w:val="F3E061C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03F87422"/>
    <w:multiLevelType w:val="hybridMultilevel"/>
    <w:tmpl w:val="205817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40D1B93"/>
    <w:multiLevelType w:val="multilevel"/>
    <w:tmpl w:val="E8A48D7C"/>
    <w:styleLink w:val="VariantaA-sla"/>
    <w:lvl w:ilvl="0">
      <w:start w:val="1"/>
      <w:numFmt w:val="decimal"/>
      <w:pStyle w:val="slovanseznam"/>
      <w:lvlText w:val="%1."/>
      <w:lvlJc w:val="left"/>
      <w:pPr>
        <w:ind w:left="357" w:hanging="357"/>
      </w:pPr>
      <w:rPr>
        <w:rFonts w:hint="default"/>
      </w:rPr>
    </w:lvl>
    <w:lvl w:ilvl="1">
      <w:start w:val="1"/>
      <w:numFmt w:val="decimal"/>
      <w:pStyle w:val="slovanseznam2"/>
      <w:lvlText w:val="%1.%2."/>
      <w:lvlJc w:val="left"/>
      <w:pPr>
        <w:ind w:left="851" w:hanging="494"/>
      </w:pPr>
      <w:rPr>
        <w:rFonts w:hint="default"/>
      </w:rPr>
    </w:lvl>
    <w:lvl w:ilvl="2">
      <w:start w:val="1"/>
      <w:numFmt w:val="decimal"/>
      <w:pStyle w:val="slovanseznam3"/>
      <w:lvlText w:val="%1.%2.%3."/>
      <w:lvlJc w:val="left"/>
      <w:pPr>
        <w:ind w:left="1474" w:hanging="623"/>
      </w:pPr>
      <w:rPr>
        <w:rFonts w:hint="default"/>
      </w:rPr>
    </w:lvl>
    <w:lvl w:ilvl="3">
      <w:start w:val="1"/>
      <w:numFmt w:val="decimal"/>
      <w:pStyle w:val="slovanseznam4"/>
      <w:lvlText w:val="%1.%2.%3.%4."/>
      <w:lvlJc w:val="left"/>
      <w:pPr>
        <w:tabs>
          <w:tab w:val="num" w:pos="1474"/>
        </w:tabs>
        <w:ind w:left="2268" w:hanging="794"/>
      </w:pPr>
      <w:rPr>
        <w:rFonts w:hint="default"/>
      </w:rPr>
    </w:lvl>
    <w:lvl w:ilvl="4">
      <w:start w:val="1"/>
      <w:numFmt w:val="decimal"/>
      <w:pStyle w:val="slovanseznam5"/>
      <w:lvlText w:val="%1.%2.%3.%4.%5."/>
      <w:lvlJc w:val="left"/>
      <w:pPr>
        <w:ind w:left="3232" w:hanging="964"/>
      </w:pPr>
      <w:rPr>
        <w:rFonts w:hint="default"/>
      </w:rPr>
    </w:lvl>
    <w:lvl w:ilvl="5">
      <w:start w:val="1"/>
      <w:numFmt w:val="decimal"/>
      <w:lvlText w:val="%1.%2.%3.%4.%5.%6."/>
      <w:lvlJc w:val="left"/>
      <w:pPr>
        <w:ind w:left="4366" w:hanging="1134"/>
      </w:pPr>
      <w:rPr>
        <w:rFonts w:hint="default"/>
      </w:rPr>
    </w:lvl>
    <w:lvl w:ilvl="6">
      <w:start w:val="1"/>
      <w:numFmt w:val="decimal"/>
      <w:lvlText w:val="%1.%2.%3.%4.%5.%6.%7."/>
      <w:lvlJc w:val="left"/>
      <w:pPr>
        <w:tabs>
          <w:tab w:val="num" w:pos="3232"/>
        </w:tabs>
        <w:ind w:left="4536" w:hanging="1304"/>
      </w:pPr>
      <w:rPr>
        <w:rFonts w:hint="default"/>
      </w:rPr>
    </w:lvl>
    <w:lvl w:ilvl="7">
      <w:start w:val="1"/>
      <w:numFmt w:val="decimal"/>
      <w:lvlText w:val="%1.%2.%3.%4.%5.%6.%7.%8."/>
      <w:lvlJc w:val="left"/>
      <w:pPr>
        <w:tabs>
          <w:tab w:val="num" w:pos="3232"/>
        </w:tabs>
        <w:ind w:left="4706" w:hanging="1474"/>
      </w:pPr>
      <w:rPr>
        <w:rFonts w:hint="default"/>
      </w:rPr>
    </w:lvl>
    <w:lvl w:ilvl="8">
      <w:start w:val="1"/>
      <w:numFmt w:val="decimal"/>
      <w:lvlText w:val="%1.%2.%3.%4.%5.%6.%7.%8.%9."/>
      <w:lvlJc w:val="left"/>
      <w:pPr>
        <w:ind w:left="4876" w:hanging="1644"/>
      </w:pPr>
      <w:rPr>
        <w:rFonts w:hint="default"/>
      </w:rPr>
    </w:lvl>
  </w:abstractNum>
  <w:abstractNum w:abstractNumId="7" w15:restartNumberingAfterBreak="0">
    <w:nsid w:val="04502CA8"/>
    <w:multiLevelType w:val="hybridMultilevel"/>
    <w:tmpl w:val="04D84A80"/>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58B510D"/>
    <w:multiLevelType w:val="hybridMultilevel"/>
    <w:tmpl w:val="8B780632"/>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05B762DE"/>
    <w:multiLevelType w:val="hybridMultilevel"/>
    <w:tmpl w:val="D188E7BC"/>
    <w:lvl w:ilvl="0" w:tplc="83E440FA">
      <w:start w:val="1"/>
      <w:numFmt w:val="decimal"/>
      <w:lvlText w:val="%1)"/>
      <w:lvlJc w:val="left"/>
      <w:pPr>
        <w:ind w:left="1428" w:hanging="360"/>
      </w:pPr>
      <w:rPr>
        <w:b/>
        <w:i w:val="0"/>
      </w:r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0" w15:restartNumberingAfterBreak="0">
    <w:nsid w:val="067740E5"/>
    <w:multiLevelType w:val="hybridMultilevel"/>
    <w:tmpl w:val="9E06E2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6983435"/>
    <w:multiLevelType w:val="hybridMultilevel"/>
    <w:tmpl w:val="283AC32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15:restartNumberingAfterBreak="0">
    <w:nsid w:val="06D678AE"/>
    <w:multiLevelType w:val="hybridMultilevel"/>
    <w:tmpl w:val="F4E6DBB6"/>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76B4A7B"/>
    <w:multiLevelType w:val="hybridMultilevel"/>
    <w:tmpl w:val="20EC46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83B5DC0"/>
    <w:multiLevelType w:val="hybridMultilevel"/>
    <w:tmpl w:val="D10E913A"/>
    <w:lvl w:ilvl="0" w:tplc="04050005">
      <w:start w:val="1"/>
      <w:numFmt w:val="bullet"/>
      <w:lvlText w:val=""/>
      <w:lvlJc w:val="left"/>
      <w:pPr>
        <w:ind w:left="2148" w:hanging="360"/>
      </w:pPr>
      <w:rPr>
        <w:rFonts w:ascii="Wingdings" w:hAnsi="Wingdings" w:hint="default"/>
      </w:rPr>
    </w:lvl>
    <w:lvl w:ilvl="1" w:tplc="04050005">
      <w:start w:val="1"/>
      <w:numFmt w:val="bullet"/>
      <w:lvlText w:val=""/>
      <w:lvlJc w:val="left"/>
      <w:pPr>
        <w:ind w:left="2868" w:hanging="360"/>
      </w:pPr>
      <w:rPr>
        <w:rFonts w:ascii="Wingdings" w:hAnsi="Wingdings" w:hint="default"/>
      </w:rPr>
    </w:lvl>
    <w:lvl w:ilvl="2" w:tplc="04050001">
      <w:start w:val="1"/>
      <w:numFmt w:val="bullet"/>
      <w:lvlText w:val=""/>
      <w:lvlJc w:val="left"/>
      <w:pPr>
        <w:ind w:left="3588" w:hanging="360"/>
      </w:pPr>
      <w:rPr>
        <w:rFonts w:ascii="Symbol" w:hAnsi="Symbol" w:hint="default"/>
      </w:rPr>
    </w:lvl>
    <w:lvl w:ilvl="3" w:tplc="04050001">
      <w:start w:val="1"/>
      <w:numFmt w:val="bullet"/>
      <w:lvlText w:val=""/>
      <w:lvlJc w:val="left"/>
      <w:pPr>
        <w:ind w:left="4308" w:hanging="360"/>
      </w:pPr>
      <w:rPr>
        <w:rFonts w:ascii="Symbol" w:hAnsi="Symbol" w:hint="default"/>
      </w:rPr>
    </w:lvl>
    <w:lvl w:ilvl="4" w:tplc="04050003" w:tentative="1">
      <w:start w:val="1"/>
      <w:numFmt w:val="bullet"/>
      <w:lvlText w:val="o"/>
      <w:lvlJc w:val="left"/>
      <w:pPr>
        <w:ind w:left="5028" w:hanging="360"/>
      </w:pPr>
      <w:rPr>
        <w:rFonts w:ascii="Courier New" w:hAnsi="Courier New" w:cs="Courier New" w:hint="default"/>
      </w:rPr>
    </w:lvl>
    <w:lvl w:ilvl="5" w:tplc="04050005" w:tentative="1">
      <w:start w:val="1"/>
      <w:numFmt w:val="bullet"/>
      <w:lvlText w:val=""/>
      <w:lvlJc w:val="left"/>
      <w:pPr>
        <w:ind w:left="5748" w:hanging="360"/>
      </w:pPr>
      <w:rPr>
        <w:rFonts w:ascii="Wingdings" w:hAnsi="Wingdings" w:hint="default"/>
      </w:rPr>
    </w:lvl>
    <w:lvl w:ilvl="6" w:tplc="04050001" w:tentative="1">
      <w:start w:val="1"/>
      <w:numFmt w:val="bullet"/>
      <w:lvlText w:val=""/>
      <w:lvlJc w:val="left"/>
      <w:pPr>
        <w:ind w:left="6468" w:hanging="360"/>
      </w:pPr>
      <w:rPr>
        <w:rFonts w:ascii="Symbol" w:hAnsi="Symbol" w:hint="default"/>
      </w:rPr>
    </w:lvl>
    <w:lvl w:ilvl="7" w:tplc="04050003" w:tentative="1">
      <w:start w:val="1"/>
      <w:numFmt w:val="bullet"/>
      <w:lvlText w:val="o"/>
      <w:lvlJc w:val="left"/>
      <w:pPr>
        <w:ind w:left="7188" w:hanging="360"/>
      </w:pPr>
      <w:rPr>
        <w:rFonts w:ascii="Courier New" w:hAnsi="Courier New" w:cs="Courier New" w:hint="default"/>
      </w:rPr>
    </w:lvl>
    <w:lvl w:ilvl="8" w:tplc="04050005" w:tentative="1">
      <w:start w:val="1"/>
      <w:numFmt w:val="bullet"/>
      <w:lvlText w:val=""/>
      <w:lvlJc w:val="left"/>
      <w:pPr>
        <w:ind w:left="7908" w:hanging="360"/>
      </w:pPr>
      <w:rPr>
        <w:rFonts w:ascii="Wingdings" w:hAnsi="Wingdings" w:hint="default"/>
      </w:rPr>
    </w:lvl>
  </w:abstractNum>
  <w:abstractNum w:abstractNumId="15" w15:restartNumberingAfterBreak="0">
    <w:nsid w:val="087811AD"/>
    <w:multiLevelType w:val="hybridMultilevel"/>
    <w:tmpl w:val="D46265E4"/>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087C3480"/>
    <w:multiLevelType w:val="hybridMultilevel"/>
    <w:tmpl w:val="B706D72E"/>
    <w:lvl w:ilvl="0" w:tplc="04050005">
      <w:start w:val="1"/>
      <w:numFmt w:val="bullet"/>
      <w:lvlText w:val=""/>
      <w:lvlJc w:val="left"/>
      <w:pPr>
        <w:ind w:left="2160" w:hanging="360"/>
      </w:pPr>
      <w:rPr>
        <w:rFonts w:ascii="Wingdings" w:hAnsi="Wingdings" w:hint="default"/>
      </w:rPr>
    </w:lvl>
    <w:lvl w:ilvl="1" w:tplc="04050003">
      <w:start w:val="1"/>
      <w:numFmt w:val="bullet"/>
      <w:lvlText w:val="o"/>
      <w:lvlJc w:val="left"/>
      <w:pPr>
        <w:ind w:left="2880" w:hanging="360"/>
      </w:pPr>
      <w:rPr>
        <w:rFonts w:ascii="Courier New" w:hAnsi="Courier New" w:cs="Courier New" w:hint="default"/>
      </w:rPr>
    </w:lvl>
    <w:lvl w:ilvl="2" w:tplc="04050001">
      <w:start w:val="1"/>
      <w:numFmt w:val="bullet"/>
      <w:lvlText w:val=""/>
      <w:lvlJc w:val="left"/>
      <w:pPr>
        <w:ind w:left="3600" w:hanging="360"/>
      </w:pPr>
      <w:rPr>
        <w:rFonts w:ascii="Symbol" w:hAnsi="Symbol" w:hint="default"/>
      </w:rPr>
    </w:lvl>
    <w:lvl w:ilvl="3" w:tplc="0405000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17" w15:restartNumberingAfterBreak="0">
    <w:nsid w:val="088C0E65"/>
    <w:multiLevelType w:val="hybridMultilevel"/>
    <w:tmpl w:val="D390CB3E"/>
    <w:lvl w:ilvl="0" w:tplc="04050001">
      <w:start w:val="1"/>
      <w:numFmt w:val="bullet"/>
      <w:lvlText w:val=""/>
      <w:lvlJc w:val="left"/>
      <w:pPr>
        <w:ind w:left="1440" w:hanging="360"/>
      </w:pPr>
      <w:rPr>
        <w:rFonts w:ascii="Symbol" w:hAnsi="Symbol"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8" w15:restartNumberingAfterBreak="0">
    <w:nsid w:val="090657CF"/>
    <w:multiLevelType w:val="hybridMultilevel"/>
    <w:tmpl w:val="D5C2EC0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9A23A7B"/>
    <w:multiLevelType w:val="hybridMultilevel"/>
    <w:tmpl w:val="A5C898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09BC2536"/>
    <w:multiLevelType w:val="hybridMultilevel"/>
    <w:tmpl w:val="32FC42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0A587A76"/>
    <w:multiLevelType w:val="hybridMultilevel"/>
    <w:tmpl w:val="BF4EB606"/>
    <w:lvl w:ilvl="0" w:tplc="04050001">
      <w:start w:val="1"/>
      <w:numFmt w:val="bullet"/>
      <w:lvlText w:val=""/>
      <w:lvlJc w:val="left"/>
      <w:pPr>
        <w:ind w:left="1776" w:hanging="360"/>
      </w:pPr>
      <w:rPr>
        <w:rFonts w:ascii="Symbol" w:hAnsi="Symbol" w:hint="default"/>
      </w:rPr>
    </w:lvl>
    <w:lvl w:ilvl="1" w:tplc="04050005">
      <w:start w:val="1"/>
      <w:numFmt w:val="bullet"/>
      <w:lvlText w:val=""/>
      <w:lvlJc w:val="left"/>
      <w:pPr>
        <w:ind w:left="2496" w:hanging="360"/>
      </w:pPr>
      <w:rPr>
        <w:rFonts w:ascii="Wingdings" w:hAnsi="Wingdings" w:hint="default"/>
      </w:rPr>
    </w:lvl>
    <w:lvl w:ilvl="2" w:tplc="04050005">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22" w15:restartNumberingAfterBreak="0">
    <w:nsid w:val="0B405596"/>
    <w:multiLevelType w:val="hybridMultilevel"/>
    <w:tmpl w:val="5CFC9B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0D6B010B"/>
    <w:multiLevelType w:val="hybridMultilevel"/>
    <w:tmpl w:val="6D585ABE"/>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4" w15:restartNumberingAfterBreak="0">
    <w:nsid w:val="0D6F7AA0"/>
    <w:multiLevelType w:val="hybridMultilevel"/>
    <w:tmpl w:val="4184D5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0DCD1CE5"/>
    <w:multiLevelType w:val="hybridMultilevel"/>
    <w:tmpl w:val="5AD2B7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0E394051"/>
    <w:multiLevelType w:val="hybridMultilevel"/>
    <w:tmpl w:val="5A6A05F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0EDC3FCF"/>
    <w:multiLevelType w:val="hybridMultilevel"/>
    <w:tmpl w:val="5F50EB94"/>
    <w:lvl w:ilvl="0" w:tplc="04050001">
      <w:start w:val="1"/>
      <w:numFmt w:val="bullet"/>
      <w:lvlText w:val=""/>
      <w:lvlJc w:val="left"/>
      <w:pPr>
        <w:ind w:left="1068" w:hanging="360"/>
      </w:pPr>
      <w:rPr>
        <w:rFonts w:ascii="Symbol" w:hAnsi="Symbol" w:hint="default"/>
      </w:rPr>
    </w:lvl>
    <w:lvl w:ilvl="1" w:tplc="04050001">
      <w:start w:val="1"/>
      <w:numFmt w:val="bullet"/>
      <w:lvlText w:val=""/>
      <w:lvlJc w:val="left"/>
      <w:pPr>
        <w:ind w:left="1788" w:hanging="360"/>
      </w:pPr>
      <w:rPr>
        <w:rFonts w:ascii="Symbol" w:hAnsi="Symbol" w:hint="default"/>
      </w:rPr>
    </w:lvl>
    <w:lvl w:ilvl="2" w:tplc="04050005">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8" w15:restartNumberingAfterBreak="0">
    <w:nsid w:val="0F696092"/>
    <w:multiLevelType w:val="hybridMultilevel"/>
    <w:tmpl w:val="7ED4EDF8"/>
    <w:lvl w:ilvl="0" w:tplc="04050003">
      <w:start w:val="1"/>
      <w:numFmt w:val="bullet"/>
      <w:lvlText w:val="o"/>
      <w:lvlJc w:val="left"/>
      <w:pPr>
        <w:ind w:left="1068" w:hanging="360"/>
      </w:pPr>
      <w:rPr>
        <w:rFonts w:ascii="Courier New" w:hAnsi="Courier New" w:cs="Courier New"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9" w15:restartNumberingAfterBreak="0">
    <w:nsid w:val="11017D86"/>
    <w:multiLevelType w:val="hybridMultilevel"/>
    <w:tmpl w:val="953A706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112035A3"/>
    <w:multiLevelType w:val="hybridMultilevel"/>
    <w:tmpl w:val="CAA0EC2E"/>
    <w:lvl w:ilvl="0" w:tplc="04050001">
      <w:start w:val="1"/>
      <w:numFmt w:val="bullet"/>
      <w:lvlText w:val=""/>
      <w:lvlJc w:val="left"/>
      <w:pPr>
        <w:ind w:left="1440" w:hanging="360"/>
      </w:pPr>
      <w:rPr>
        <w:rFonts w:ascii="Symbol" w:hAnsi="Symbol"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1" w15:restartNumberingAfterBreak="0">
    <w:nsid w:val="11761B9E"/>
    <w:multiLevelType w:val="hybridMultilevel"/>
    <w:tmpl w:val="6FC2CF9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23061BD"/>
    <w:multiLevelType w:val="hybridMultilevel"/>
    <w:tmpl w:val="D2CEB922"/>
    <w:lvl w:ilvl="0" w:tplc="B8BC989C">
      <w:numFmt w:val="bullet"/>
      <w:lvlText w:val="-"/>
      <w:lvlJc w:val="left"/>
      <w:pPr>
        <w:ind w:left="1068" w:hanging="360"/>
      </w:pPr>
      <w:rPr>
        <w:rFonts w:ascii="Calibri" w:eastAsia="Calibri" w:hAnsi="Calibri" w:cs="Calibr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3" w15:restartNumberingAfterBreak="0">
    <w:nsid w:val="12B26EBE"/>
    <w:multiLevelType w:val="hybridMultilevel"/>
    <w:tmpl w:val="6156A3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2F2768E"/>
    <w:multiLevelType w:val="hybridMultilevel"/>
    <w:tmpl w:val="E6805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130316F8"/>
    <w:multiLevelType w:val="multilevel"/>
    <w:tmpl w:val="3320A8B2"/>
    <w:numStyleLink w:val="VariantaB-odrky"/>
  </w:abstractNum>
  <w:abstractNum w:abstractNumId="36" w15:restartNumberingAfterBreak="0">
    <w:nsid w:val="131704A6"/>
    <w:multiLevelType w:val="hybridMultilevel"/>
    <w:tmpl w:val="0C30F972"/>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13461C37"/>
    <w:multiLevelType w:val="hybridMultilevel"/>
    <w:tmpl w:val="1B061FD0"/>
    <w:lvl w:ilvl="0" w:tplc="04050003">
      <w:start w:val="1"/>
      <w:numFmt w:val="bullet"/>
      <w:lvlText w:val="o"/>
      <w:lvlJc w:val="left"/>
      <w:pPr>
        <w:ind w:left="1428" w:hanging="360"/>
      </w:pPr>
      <w:rPr>
        <w:rFonts w:ascii="Courier New" w:hAnsi="Courier New" w:cs="Courier New" w:hint="default"/>
      </w:rPr>
    </w:lvl>
    <w:lvl w:ilvl="1" w:tplc="04050003">
      <w:start w:val="1"/>
      <w:numFmt w:val="bullet"/>
      <w:lvlText w:val="o"/>
      <w:lvlJc w:val="left"/>
      <w:pPr>
        <w:ind w:left="2148" w:hanging="360"/>
      </w:pPr>
      <w:rPr>
        <w:rFonts w:ascii="Courier New" w:hAnsi="Courier New" w:cs="Courier New" w:hint="default"/>
      </w:rPr>
    </w:lvl>
    <w:lvl w:ilvl="2" w:tplc="04050005">
      <w:start w:val="1"/>
      <w:numFmt w:val="bullet"/>
      <w:lvlText w:val=""/>
      <w:lvlJc w:val="left"/>
      <w:pPr>
        <w:ind w:left="2868" w:hanging="360"/>
      </w:pPr>
      <w:rPr>
        <w:rFonts w:ascii="Wingdings" w:hAnsi="Wingdings" w:hint="default"/>
      </w:rPr>
    </w:lvl>
    <w:lvl w:ilvl="3" w:tplc="0405000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8" w15:restartNumberingAfterBreak="0">
    <w:nsid w:val="13FB426D"/>
    <w:multiLevelType w:val="hybridMultilevel"/>
    <w:tmpl w:val="25C2EE3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9" w15:restartNumberingAfterBreak="0">
    <w:nsid w:val="14582DCA"/>
    <w:multiLevelType w:val="hybridMultilevel"/>
    <w:tmpl w:val="B8562946"/>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14CF0EB4"/>
    <w:multiLevelType w:val="hybridMultilevel"/>
    <w:tmpl w:val="A2D8E1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15103B10"/>
    <w:multiLevelType w:val="hybridMultilevel"/>
    <w:tmpl w:val="2334D0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160D1889"/>
    <w:multiLevelType w:val="hybridMultilevel"/>
    <w:tmpl w:val="062C3D42"/>
    <w:lvl w:ilvl="0" w:tplc="E690B814">
      <w:start w:val="1"/>
      <w:numFmt w:val="bullet"/>
      <w:lvlText w:val=""/>
      <w:lvlJc w:val="left"/>
      <w:pPr>
        <w:ind w:left="720" w:hanging="360"/>
      </w:pPr>
      <w:rPr>
        <w:rFonts w:ascii="Symbol" w:hAnsi="Symbol" w:hint="default"/>
        <w:sz w:val="22"/>
        <w:szCs w:val="22"/>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1615572B"/>
    <w:multiLevelType w:val="multilevel"/>
    <w:tmpl w:val="3320A8B2"/>
    <w:styleLink w:val="VariantaB-odrky"/>
    <w:lvl w:ilvl="0">
      <w:start w:val="1"/>
      <w:numFmt w:val="bullet"/>
      <w:pStyle w:val="SeznamsodrkamiB"/>
      <w:lvlText w:val="—"/>
      <w:lvlJc w:val="left"/>
      <w:pPr>
        <w:ind w:left="357" w:hanging="357"/>
      </w:pPr>
      <w:rPr>
        <w:rFonts w:ascii="Calibri" w:hAnsi="Calibri" w:hint="default"/>
        <w:sz w:val="16"/>
      </w:rPr>
    </w:lvl>
    <w:lvl w:ilvl="1">
      <w:start w:val="1"/>
      <w:numFmt w:val="bullet"/>
      <w:pStyle w:val="SeznamsodrkamiB2"/>
      <w:lvlText w:val=""/>
      <w:lvlJc w:val="left"/>
      <w:pPr>
        <w:ind w:left="714" w:hanging="357"/>
      </w:pPr>
      <w:rPr>
        <w:rFonts w:ascii="Wingdings" w:hAnsi="Wingdings" w:hint="default"/>
        <w:sz w:val="14"/>
      </w:rPr>
    </w:lvl>
    <w:lvl w:ilvl="2">
      <w:start w:val="1"/>
      <w:numFmt w:val="bullet"/>
      <w:pStyle w:val="SeznamsodrkamiB3"/>
      <w:lvlText w:val=""/>
      <w:lvlJc w:val="left"/>
      <w:pPr>
        <w:ind w:left="1071" w:hanging="357"/>
      </w:pPr>
      <w:rPr>
        <w:rFonts w:ascii="Wingdings 2" w:hAnsi="Wingdings 2" w:hint="default"/>
      </w:rPr>
    </w:lvl>
    <w:lvl w:ilvl="3">
      <w:start w:val="1"/>
      <w:numFmt w:val="bullet"/>
      <w:pStyle w:val="SeznamsodrkamiB4"/>
      <w:lvlText w:val=""/>
      <w:lvlJc w:val="left"/>
      <w:pPr>
        <w:ind w:left="1428" w:hanging="357"/>
      </w:pPr>
      <w:rPr>
        <w:rFonts w:ascii="Wingdings 2" w:hAnsi="Wingdings 2" w:hint="default"/>
      </w:rPr>
    </w:lvl>
    <w:lvl w:ilvl="4">
      <w:start w:val="1"/>
      <w:numFmt w:val="bullet"/>
      <w:pStyle w:val="SeznamsodrkamiB5"/>
      <w:lvlText w:val=""/>
      <w:lvlJc w:val="left"/>
      <w:pPr>
        <w:ind w:left="1785" w:hanging="357"/>
      </w:pPr>
      <w:rPr>
        <w:rFonts w:ascii="Wingdings 2" w:hAnsi="Wingdings 2" w:hint="default"/>
      </w:rPr>
    </w:lvl>
    <w:lvl w:ilvl="5">
      <w:start w:val="1"/>
      <w:numFmt w:val="bullet"/>
      <w:lvlText w:val=""/>
      <w:lvlJc w:val="left"/>
      <w:pPr>
        <w:ind w:left="2142" w:hanging="357"/>
      </w:pPr>
      <w:rPr>
        <w:rFonts w:ascii="Wingdings 2" w:hAnsi="Wingdings 2" w:cs="Times New Roman" w:hint="default"/>
      </w:rPr>
    </w:lvl>
    <w:lvl w:ilvl="6">
      <w:start w:val="1"/>
      <w:numFmt w:val="bullet"/>
      <w:lvlText w:val=""/>
      <w:lvlJc w:val="left"/>
      <w:pPr>
        <w:ind w:left="2499" w:hanging="357"/>
      </w:pPr>
      <w:rPr>
        <w:rFonts w:ascii="Wingdings 2" w:hAnsi="Wingdings 2" w:cs="Times New Roman" w:hint="default"/>
      </w:rPr>
    </w:lvl>
    <w:lvl w:ilvl="7">
      <w:start w:val="1"/>
      <w:numFmt w:val="bullet"/>
      <w:lvlText w:val=""/>
      <w:lvlJc w:val="left"/>
      <w:pPr>
        <w:ind w:left="2856" w:hanging="357"/>
      </w:pPr>
      <w:rPr>
        <w:rFonts w:ascii="Wingdings 2" w:hAnsi="Wingdings 2" w:cs="Times New Roman" w:hint="default"/>
      </w:rPr>
    </w:lvl>
    <w:lvl w:ilvl="8">
      <w:start w:val="1"/>
      <w:numFmt w:val="bullet"/>
      <w:lvlText w:val=""/>
      <w:lvlJc w:val="left"/>
      <w:pPr>
        <w:ind w:left="3213" w:hanging="357"/>
      </w:pPr>
      <w:rPr>
        <w:rFonts w:ascii="Wingdings 2" w:hAnsi="Wingdings 2" w:cs="Times New Roman" w:hint="default"/>
      </w:rPr>
    </w:lvl>
  </w:abstractNum>
  <w:abstractNum w:abstractNumId="44" w15:restartNumberingAfterBreak="0">
    <w:nsid w:val="162A7868"/>
    <w:multiLevelType w:val="hybridMultilevel"/>
    <w:tmpl w:val="F6DE22CE"/>
    <w:lvl w:ilvl="0" w:tplc="7EA27D9C">
      <w:start w:val="1"/>
      <w:numFmt w:val="decimal"/>
      <w:lvlText w:val="%1."/>
      <w:lvlJc w:val="center"/>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164869FC"/>
    <w:multiLevelType w:val="hybridMultilevel"/>
    <w:tmpl w:val="50787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1730523B"/>
    <w:multiLevelType w:val="hybridMultilevel"/>
    <w:tmpl w:val="B14C40D6"/>
    <w:lvl w:ilvl="0" w:tplc="04050003">
      <w:start w:val="1"/>
      <w:numFmt w:val="bullet"/>
      <w:lvlText w:val="o"/>
      <w:lvlJc w:val="left"/>
      <w:pPr>
        <w:ind w:left="1776" w:hanging="360"/>
      </w:pPr>
      <w:rPr>
        <w:rFonts w:ascii="Courier New" w:hAnsi="Courier New" w:cs="Courier New" w:hint="default"/>
      </w:rPr>
    </w:lvl>
    <w:lvl w:ilvl="1" w:tplc="04050003">
      <w:start w:val="1"/>
      <w:numFmt w:val="bullet"/>
      <w:lvlText w:val="o"/>
      <w:lvlJc w:val="left"/>
      <w:pPr>
        <w:ind w:left="2496" w:hanging="360"/>
      </w:pPr>
      <w:rPr>
        <w:rFonts w:ascii="Courier New" w:hAnsi="Courier New" w:cs="Courier New" w:hint="default"/>
      </w:rPr>
    </w:lvl>
    <w:lvl w:ilvl="2" w:tplc="04050005">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47" w15:restartNumberingAfterBreak="0">
    <w:nsid w:val="17C04F2B"/>
    <w:multiLevelType w:val="hybridMultilevel"/>
    <w:tmpl w:val="E9E494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18936C85"/>
    <w:multiLevelType w:val="hybridMultilevel"/>
    <w:tmpl w:val="5842733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 w15:restartNumberingAfterBreak="0">
    <w:nsid w:val="18E41165"/>
    <w:multiLevelType w:val="hybridMultilevel"/>
    <w:tmpl w:val="6784D074"/>
    <w:lvl w:ilvl="0" w:tplc="04050001">
      <w:start w:val="1"/>
      <w:numFmt w:val="bullet"/>
      <w:lvlText w:val=""/>
      <w:lvlJc w:val="left"/>
      <w:pPr>
        <w:ind w:left="1440" w:hanging="360"/>
      </w:pPr>
      <w:rPr>
        <w:rFonts w:ascii="Symbol" w:hAnsi="Symbol"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50" w15:restartNumberingAfterBreak="0">
    <w:nsid w:val="18FD5FE0"/>
    <w:multiLevelType w:val="hybridMultilevel"/>
    <w:tmpl w:val="9934EAAE"/>
    <w:lvl w:ilvl="0" w:tplc="04050001">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51" w15:restartNumberingAfterBreak="0">
    <w:nsid w:val="19017484"/>
    <w:multiLevelType w:val="hybridMultilevel"/>
    <w:tmpl w:val="5C963F44"/>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52" w15:restartNumberingAfterBreak="0">
    <w:nsid w:val="191872DA"/>
    <w:multiLevelType w:val="multilevel"/>
    <w:tmpl w:val="E8A48D7C"/>
    <w:numStyleLink w:val="VariantaA-sla"/>
  </w:abstractNum>
  <w:abstractNum w:abstractNumId="53" w15:restartNumberingAfterBreak="0">
    <w:nsid w:val="19F75B79"/>
    <w:multiLevelType w:val="hybridMultilevel"/>
    <w:tmpl w:val="8E721EB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4" w15:restartNumberingAfterBreak="0">
    <w:nsid w:val="1BA0111F"/>
    <w:multiLevelType w:val="hybridMultilevel"/>
    <w:tmpl w:val="1750D81A"/>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1C09484A"/>
    <w:multiLevelType w:val="hybridMultilevel"/>
    <w:tmpl w:val="0E400F2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6" w15:restartNumberingAfterBreak="0">
    <w:nsid w:val="1C191060"/>
    <w:multiLevelType w:val="hybridMultilevel"/>
    <w:tmpl w:val="B3425CA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1D2B243D"/>
    <w:multiLevelType w:val="hybridMultilevel"/>
    <w:tmpl w:val="C0BC5E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1D4F110E"/>
    <w:multiLevelType w:val="hybridMultilevel"/>
    <w:tmpl w:val="7D7692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1DE57E3D"/>
    <w:multiLevelType w:val="hybridMultilevel"/>
    <w:tmpl w:val="57329F5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1DFC07AA"/>
    <w:multiLevelType w:val="hybridMultilevel"/>
    <w:tmpl w:val="830E480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1" w15:restartNumberingAfterBreak="0">
    <w:nsid w:val="1E72216C"/>
    <w:multiLevelType w:val="hybridMultilevel"/>
    <w:tmpl w:val="AF5E159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1E9A3FEA"/>
    <w:multiLevelType w:val="hybridMultilevel"/>
    <w:tmpl w:val="7A384514"/>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3" w15:restartNumberingAfterBreak="0">
    <w:nsid w:val="1EA9749C"/>
    <w:multiLevelType w:val="hybridMultilevel"/>
    <w:tmpl w:val="C2AA686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1EAC68E9"/>
    <w:multiLevelType w:val="hybridMultilevel"/>
    <w:tmpl w:val="F82E926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1F0E09C7"/>
    <w:multiLevelType w:val="hybridMultilevel"/>
    <w:tmpl w:val="9D2E5516"/>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 w15:restartNumberingAfterBreak="0">
    <w:nsid w:val="1F2E531B"/>
    <w:multiLevelType w:val="hybridMultilevel"/>
    <w:tmpl w:val="16B47CA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7" w15:restartNumberingAfterBreak="0">
    <w:nsid w:val="1F3A24E1"/>
    <w:multiLevelType w:val="hybridMultilevel"/>
    <w:tmpl w:val="293C5C9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8" w15:restartNumberingAfterBreak="0">
    <w:nsid w:val="1F50008E"/>
    <w:multiLevelType w:val="hybridMultilevel"/>
    <w:tmpl w:val="0E680B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208953A2"/>
    <w:multiLevelType w:val="hybridMultilevel"/>
    <w:tmpl w:val="85D6F936"/>
    <w:lvl w:ilvl="0" w:tplc="04050001">
      <w:start w:val="1"/>
      <w:numFmt w:val="bullet"/>
      <w:lvlText w:val=""/>
      <w:lvlJc w:val="left"/>
      <w:pPr>
        <w:ind w:left="708" w:hanging="360"/>
      </w:pPr>
      <w:rPr>
        <w:rFonts w:ascii="Symbol" w:hAnsi="Symbol" w:hint="default"/>
      </w:rPr>
    </w:lvl>
    <w:lvl w:ilvl="1" w:tplc="04050003">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70" w15:restartNumberingAfterBreak="0">
    <w:nsid w:val="2156294A"/>
    <w:multiLevelType w:val="hybridMultilevel"/>
    <w:tmpl w:val="5582E8B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218D43BA"/>
    <w:multiLevelType w:val="hybridMultilevel"/>
    <w:tmpl w:val="0F0E02F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21FE46AB"/>
    <w:multiLevelType w:val="hybridMultilevel"/>
    <w:tmpl w:val="8DB8318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3" w15:restartNumberingAfterBreak="0">
    <w:nsid w:val="22001026"/>
    <w:multiLevelType w:val="hybridMultilevel"/>
    <w:tmpl w:val="5A10B02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4" w15:restartNumberingAfterBreak="0">
    <w:nsid w:val="23371ACC"/>
    <w:multiLevelType w:val="hybridMultilevel"/>
    <w:tmpl w:val="5D94585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238F4AAF"/>
    <w:multiLevelType w:val="hybridMultilevel"/>
    <w:tmpl w:val="C99A970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 w15:restartNumberingAfterBreak="0">
    <w:nsid w:val="250D0F11"/>
    <w:multiLevelType w:val="hybridMultilevel"/>
    <w:tmpl w:val="73BEC7A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7" w15:restartNumberingAfterBreak="0">
    <w:nsid w:val="25514014"/>
    <w:multiLevelType w:val="hybridMultilevel"/>
    <w:tmpl w:val="E6A4A4F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258F1745"/>
    <w:multiLevelType w:val="hybridMultilevel"/>
    <w:tmpl w:val="BA8C1980"/>
    <w:lvl w:ilvl="0" w:tplc="04050001">
      <w:start w:val="1"/>
      <w:numFmt w:val="bullet"/>
      <w:lvlText w:val=""/>
      <w:lvlJc w:val="left"/>
      <w:pPr>
        <w:ind w:left="1440" w:hanging="360"/>
      </w:pPr>
      <w:rPr>
        <w:rFonts w:ascii="Symbol" w:hAnsi="Symbol"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79" w15:restartNumberingAfterBreak="0">
    <w:nsid w:val="264E27F2"/>
    <w:multiLevelType w:val="hybridMultilevel"/>
    <w:tmpl w:val="96FA85C6"/>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265836B5"/>
    <w:multiLevelType w:val="hybridMultilevel"/>
    <w:tmpl w:val="F4E2079C"/>
    <w:lvl w:ilvl="0" w:tplc="04050001">
      <w:start w:val="1"/>
      <w:numFmt w:val="bullet"/>
      <w:lvlText w:val=""/>
      <w:lvlJc w:val="left"/>
      <w:pPr>
        <w:ind w:left="1080" w:hanging="720"/>
      </w:pPr>
      <w:rPr>
        <w:rFonts w:ascii="Symbol" w:hAnsi="Symbol" w:hint="default"/>
      </w:rPr>
    </w:lvl>
    <w:lvl w:ilvl="1" w:tplc="04050019">
      <w:start w:val="1"/>
      <w:numFmt w:val="lowerLetter"/>
      <w:lvlText w:val="%2."/>
      <w:lvlJc w:val="left"/>
      <w:pPr>
        <w:ind w:left="1440" w:hanging="360"/>
      </w:pPr>
      <w:rPr>
        <w:rFonts w:cs="Times New Roman"/>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abstractNum w:abstractNumId="81" w15:restartNumberingAfterBreak="0">
    <w:nsid w:val="276226C8"/>
    <w:multiLevelType w:val="hybridMultilevel"/>
    <w:tmpl w:val="3C90C5A2"/>
    <w:lvl w:ilvl="0" w:tplc="B8BC989C">
      <w:numFmt w:val="bullet"/>
      <w:lvlText w:val="-"/>
      <w:lvlJc w:val="left"/>
      <w:pPr>
        <w:ind w:left="1068" w:hanging="360"/>
      </w:pPr>
      <w:rPr>
        <w:rFonts w:ascii="Calibri" w:eastAsiaTheme="minorHAnsi" w:hAnsi="Calibri" w:cs="Calibri"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82" w15:restartNumberingAfterBreak="0">
    <w:nsid w:val="286D2984"/>
    <w:multiLevelType w:val="hybridMultilevel"/>
    <w:tmpl w:val="E1343858"/>
    <w:lvl w:ilvl="0" w:tplc="04050003">
      <w:start w:val="1"/>
      <w:numFmt w:val="bullet"/>
      <w:lvlText w:val="o"/>
      <w:lvlJc w:val="left"/>
      <w:pPr>
        <w:ind w:left="1440" w:hanging="360"/>
      </w:pPr>
      <w:rPr>
        <w:rFonts w:ascii="Courier New" w:hAnsi="Courier New" w:cs="Courier New"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83" w15:restartNumberingAfterBreak="0">
    <w:nsid w:val="289A5EA2"/>
    <w:multiLevelType w:val="multilevel"/>
    <w:tmpl w:val="E8BAE50A"/>
    <w:numStyleLink w:val="VariantaA-odrky"/>
  </w:abstractNum>
  <w:abstractNum w:abstractNumId="84" w15:restartNumberingAfterBreak="0">
    <w:nsid w:val="2902718D"/>
    <w:multiLevelType w:val="hybridMultilevel"/>
    <w:tmpl w:val="B06A5B9E"/>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292B151F"/>
    <w:multiLevelType w:val="hybridMultilevel"/>
    <w:tmpl w:val="F38CFF7A"/>
    <w:lvl w:ilvl="0" w:tplc="857C5F18">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6" w15:restartNumberingAfterBreak="0">
    <w:nsid w:val="29710F57"/>
    <w:multiLevelType w:val="hybridMultilevel"/>
    <w:tmpl w:val="557CDB4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7" w15:restartNumberingAfterBreak="0">
    <w:nsid w:val="2A054729"/>
    <w:multiLevelType w:val="hybridMultilevel"/>
    <w:tmpl w:val="55B43318"/>
    <w:lvl w:ilvl="0" w:tplc="04090001">
      <w:start w:val="1"/>
      <w:numFmt w:val="bullet"/>
      <w:lvlText w:val=""/>
      <w:lvlJc w:val="left"/>
      <w:pPr>
        <w:ind w:left="6" w:hanging="360"/>
      </w:pPr>
      <w:rPr>
        <w:rFonts w:ascii="Symbol" w:hAnsi="Symbol" w:hint="default"/>
      </w:rPr>
    </w:lvl>
    <w:lvl w:ilvl="1" w:tplc="04090003" w:tentative="1">
      <w:start w:val="1"/>
      <w:numFmt w:val="bullet"/>
      <w:lvlText w:val="o"/>
      <w:lvlJc w:val="left"/>
      <w:pPr>
        <w:ind w:left="726" w:hanging="360"/>
      </w:pPr>
      <w:rPr>
        <w:rFonts w:ascii="Courier New" w:hAnsi="Courier New" w:hint="default"/>
      </w:rPr>
    </w:lvl>
    <w:lvl w:ilvl="2" w:tplc="04090005" w:tentative="1">
      <w:start w:val="1"/>
      <w:numFmt w:val="bullet"/>
      <w:lvlText w:val=""/>
      <w:lvlJc w:val="left"/>
      <w:pPr>
        <w:ind w:left="1446" w:hanging="360"/>
      </w:pPr>
      <w:rPr>
        <w:rFonts w:ascii="Wingdings" w:hAnsi="Wingdings" w:hint="default"/>
      </w:rPr>
    </w:lvl>
    <w:lvl w:ilvl="3" w:tplc="04090001" w:tentative="1">
      <w:start w:val="1"/>
      <w:numFmt w:val="bullet"/>
      <w:lvlText w:val=""/>
      <w:lvlJc w:val="left"/>
      <w:pPr>
        <w:ind w:left="2166" w:hanging="360"/>
      </w:pPr>
      <w:rPr>
        <w:rFonts w:ascii="Symbol" w:hAnsi="Symbol" w:hint="default"/>
      </w:rPr>
    </w:lvl>
    <w:lvl w:ilvl="4" w:tplc="04090003" w:tentative="1">
      <w:start w:val="1"/>
      <w:numFmt w:val="bullet"/>
      <w:lvlText w:val="o"/>
      <w:lvlJc w:val="left"/>
      <w:pPr>
        <w:ind w:left="2886" w:hanging="360"/>
      </w:pPr>
      <w:rPr>
        <w:rFonts w:ascii="Courier New" w:hAnsi="Courier New" w:hint="default"/>
      </w:rPr>
    </w:lvl>
    <w:lvl w:ilvl="5" w:tplc="04090005" w:tentative="1">
      <w:start w:val="1"/>
      <w:numFmt w:val="bullet"/>
      <w:lvlText w:val=""/>
      <w:lvlJc w:val="left"/>
      <w:pPr>
        <w:ind w:left="3606" w:hanging="360"/>
      </w:pPr>
      <w:rPr>
        <w:rFonts w:ascii="Wingdings" w:hAnsi="Wingdings" w:hint="default"/>
      </w:rPr>
    </w:lvl>
    <w:lvl w:ilvl="6" w:tplc="04090001" w:tentative="1">
      <w:start w:val="1"/>
      <w:numFmt w:val="bullet"/>
      <w:lvlText w:val=""/>
      <w:lvlJc w:val="left"/>
      <w:pPr>
        <w:ind w:left="4326" w:hanging="360"/>
      </w:pPr>
      <w:rPr>
        <w:rFonts w:ascii="Symbol" w:hAnsi="Symbol" w:hint="default"/>
      </w:rPr>
    </w:lvl>
    <w:lvl w:ilvl="7" w:tplc="04090003" w:tentative="1">
      <w:start w:val="1"/>
      <w:numFmt w:val="bullet"/>
      <w:lvlText w:val="o"/>
      <w:lvlJc w:val="left"/>
      <w:pPr>
        <w:ind w:left="5046" w:hanging="360"/>
      </w:pPr>
      <w:rPr>
        <w:rFonts w:ascii="Courier New" w:hAnsi="Courier New" w:hint="default"/>
      </w:rPr>
    </w:lvl>
    <w:lvl w:ilvl="8" w:tplc="04090005" w:tentative="1">
      <w:start w:val="1"/>
      <w:numFmt w:val="bullet"/>
      <w:lvlText w:val=""/>
      <w:lvlJc w:val="left"/>
      <w:pPr>
        <w:ind w:left="5766" w:hanging="360"/>
      </w:pPr>
      <w:rPr>
        <w:rFonts w:ascii="Wingdings" w:hAnsi="Wingdings" w:hint="default"/>
      </w:rPr>
    </w:lvl>
  </w:abstractNum>
  <w:abstractNum w:abstractNumId="88" w15:restartNumberingAfterBreak="0">
    <w:nsid w:val="2AE84698"/>
    <w:multiLevelType w:val="hybridMultilevel"/>
    <w:tmpl w:val="13A62414"/>
    <w:lvl w:ilvl="0" w:tplc="04050003">
      <w:start w:val="1"/>
      <w:numFmt w:val="bullet"/>
      <w:lvlText w:val="o"/>
      <w:lvlJc w:val="left"/>
      <w:pPr>
        <w:ind w:left="1068" w:hanging="360"/>
      </w:pPr>
      <w:rPr>
        <w:rFonts w:ascii="Courier New" w:hAnsi="Courier New" w:cs="Courier New"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89" w15:restartNumberingAfterBreak="0">
    <w:nsid w:val="2C3D4FC3"/>
    <w:multiLevelType w:val="hybridMultilevel"/>
    <w:tmpl w:val="41A262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2CF0252C"/>
    <w:multiLevelType w:val="hybridMultilevel"/>
    <w:tmpl w:val="8690B2FC"/>
    <w:lvl w:ilvl="0" w:tplc="04050003">
      <w:start w:val="1"/>
      <w:numFmt w:val="bullet"/>
      <w:lvlText w:val="o"/>
      <w:lvlJc w:val="left"/>
      <w:pPr>
        <w:ind w:left="1434" w:hanging="360"/>
      </w:pPr>
      <w:rPr>
        <w:rFonts w:ascii="Courier New" w:hAnsi="Courier New" w:cs="Courier New" w:hint="default"/>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hint="default"/>
      </w:rPr>
    </w:lvl>
    <w:lvl w:ilvl="3" w:tplc="04050001" w:tentative="1">
      <w:start w:val="1"/>
      <w:numFmt w:val="bullet"/>
      <w:lvlText w:val=""/>
      <w:lvlJc w:val="left"/>
      <w:pPr>
        <w:ind w:left="3594" w:hanging="360"/>
      </w:pPr>
      <w:rPr>
        <w:rFonts w:ascii="Symbol" w:hAnsi="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hint="default"/>
      </w:rPr>
    </w:lvl>
    <w:lvl w:ilvl="6" w:tplc="04050001" w:tentative="1">
      <w:start w:val="1"/>
      <w:numFmt w:val="bullet"/>
      <w:lvlText w:val=""/>
      <w:lvlJc w:val="left"/>
      <w:pPr>
        <w:ind w:left="5754" w:hanging="360"/>
      </w:pPr>
      <w:rPr>
        <w:rFonts w:ascii="Symbol" w:hAnsi="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hint="default"/>
      </w:rPr>
    </w:lvl>
  </w:abstractNum>
  <w:abstractNum w:abstractNumId="91" w15:restartNumberingAfterBreak="0">
    <w:nsid w:val="2CF8550B"/>
    <w:multiLevelType w:val="hybridMultilevel"/>
    <w:tmpl w:val="879AAB46"/>
    <w:lvl w:ilvl="0" w:tplc="04050001">
      <w:start w:val="1"/>
      <w:numFmt w:val="bullet"/>
      <w:lvlText w:val=""/>
      <w:lvlJc w:val="left"/>
      <w:pPr>
        <w:ind w:left="1065" w:hanging="705"/>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2D415093"/>
    <w:multiLevelType w:val="hybridMultilevel"/>
    <w:tmpl w:val="BAB06BB6"/>
    <w:lvl w:ilvl="0" w:tplc="04050001">
      <w:start w:val="1"/>
      <w:numFmt w:val="bullet"/>
      <w:lvlText w:val=""/>
      <w:lvlJc w:val="left"/>
      <w:pPr>
        <w:ind w:left="708" w:hanging="360"/>
      </w:pPr>
      <w:rPr>
        <w:rFonts w:ascii="Symbol" w:hAnsi="Symbol" w:hint="default"/>
      </w:rPr>
    </w:lvl>
    <w:lvl w:ilvl="1" w:tplc="04050003">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93" w15:restartNumberingAfterBreak="0">
    <w:nsid w:val="2D820E88"/>
    <w:multiLevelType w:val="hybridMultilevel"/>
    <w:tmpl w:val="5224B456"/>
    <w:lvl w:ilvl="0" w:tplc="04050013">
      <w:start w:val="1"/>
      <w:numFmt w:val="upperRoman"/>
      <w:lvlText w:val="%1."/>
      <w:lvlJc w:val="righ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4" w15:restartNumberingAfterBreak="0">
    <w:nsid w:val="2DC1086F"/>
    <w:multiLevelType w:val="hybridMultilevel"/>
    <w:tmpl w:val="8206A96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15:restartNumberingAfterBreak="0">
    <w:nsid w:val="30916A54"/>
    <w:multiLevelType w:val="hybridMultilevel"/>
    <w:tmpl w:val="D7B6E440"/>
    <w:lvl w:ilvl="0" w:tplc="04050001">
      <w:start w:val="1"/>
      <w:numFmt w:val="bullet"/>
      <w:lvlText w:val=""/>
      <w:lvlJc w:val="left"/>
      <w:pPr>
        <w:ind w:left="1440" w:hanging="360"/>
      </w:pPr>
      <w:rPr>
        <w:rFonts w:ascii="Symbol" w:hAnsi="Symbol"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96" w15:restartNumberingAfterBreak="0">
    <w:nsid w:val="30F02727"/>
    <w:multiLevelType w:val="hybridMultilevel"/>
    <w:tmpl w:val="5AB67358"/>
    <w:lvl w:ilvl="0" w:tplc="04050001">
      <w:start w:val="1"/>
      <w:numFmt w:val="bullet"/>
      <w:lvlText w:val=""/>
      <w:lvlJc w:val="left"/>
      <w:pPr>
        <w:ind w:left="708" w:hanging="360"/>
      </w:pPr>
      <w:rPr>
        <w:rFonts w:ascii="Symbol" w:hAnsi="Symbol" w:hint="default"/>
      </w:rPr>
    </w:lvl>
    <w:lvl w:ilvl="1" w:tplc="04050003">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97" w15:restartNumberingAfterBreak="0">
    <w:nsid w:val="31320A7C"/>
    <w:multiLevelType w:val="hybridMultilevel"/>
    <w:tmpl w:val="E4D41F1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8" w15:restartNumberingAfterBreak="0">
    <w:nsid w:val="314F5193"/>
    <w:multiLevelType w:val="hybridMultilevel"/>
    <w:tmpl w:val="94F28B94"/>
    <w:lvl w:ilvl="0" w:tplc="04050001">
      <w:start w:val="1"/>
      <w:numFmt w:val="bullet"/>
      <w:lvlText w:val=""/>
      <w:lvlJc w:val="left"/>
      <w:pPr>
        <w:ind w:left="708" w:hanging="360"/>
      </w:pPr>
      <w:rPr>
        <w:rFonts w:ascii="Symbol" w:hAnsi="Symbol" w:hint="default"/>
      </w:rPr>
    </w:lvl>
    <w:lvl w:ilvl="1" w:tplc="04050003">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99" w15:restartNumberingAfterBreak="0">
    <w:nsid w:val="32372738"/>
    <w:multiLevelType w:val="hybridMultilevel"/>
    <w:tmpl w:val="1730102E"/>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0" w15:restartNumberingAfterBreak="0">
    <w:nsid w:val="32BC06C7"/>
    <w:multiLevelType w:val="hybridMultilevel"/>
    <w:tmpl w:val="704A23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15:restartNumberingAfterBreak="0">
    <w:nsid w:val="330E6838"/>
    <w:multiLevelType w:val="hybridMultilevel"/>
    <w:tmpl w:val="ABE02AD0"/>
    <w:lvl w:ilvl="0" w:tplc="FAFADE3E">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2" w15:restartNumberingAfterBreak="0">
    <w:nsid w:val="33126885"/>
    <w:multiLevelType w:val="hybridMultilevel"/>
    <w:tmpl w:val="C9FC7714"/>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334F29D7"/>
    <w:multiLevelType w:val="hybridMultilevel"/>
    <w:tmpl w:val="C890C288"/>
    <w:lvl w:ilvl="0" w:tplc="04050005">
      <w:start w:val="1"/>
      <w:numFmt w:val="bullet"/>
      <w:lvlText w:val=""/>
      <w:lvlJc w:val="left"/>
      <w:pPr>
        <w:ind w:left="501" w:hanging="360"/>
      </w:pPr>
      <w:rPr>
        <w:rFonts w:ascii="Wingdings" w:hAnsi="Wingdings" w:hint="default"/>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abstractNum w:abstractNumId="104" w15:restartNumberingAfterBreak="0">
    <w:nsid w:val="33C83F1C"/>
    <w:multiLevelType w:val="hybridMultilevel"/>
    <w:tmpl w:val="9B0CC414"/>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05" w15:restartNumberingAfterBreak="0">
    <w:nsid w:val="342F357A"/>
    <w:multiLevelType w:val="hybridMultilevel"/>
    <w:tmpl w:val="AE04516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34457170"/>
    <w:multiLevelType w:val="hybridMultilevel"/>
    <w:tmpl w:val="57A26BD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348F0C19"/>
    <w:multiLevelType w:val="hybridMultilevel"/>
    <w:tmpl w:val="B6B6D6C6"/>
    <w:lvl w:ilvl="0" w:tplc="04050001">
      <w:start w:val="1"/>
      <w:numFmt w:val="bullet"/>
      <w:lvlText w:val=""/>
      <w:lvlJc w:val="left"/>
      <w:pPr>
        <w:ind w:left="888" w:hanging="360"/>
      </w:pPr>
      <w:rPr>
        <w:rFonts w:ascii="Symbol" w:hAnsi="Symbol" w:hint="default"/>
      </w:rPr>
    </w:lvl>
    <w:lvl w:ilvl="1" w:tplc="04050003">
      <w:start w:val="1"/>
      <w:numFmt w:val="bullet"/>
      <w:lvlText w:val="o"/>
      <w:lvlJc w:val="left"/>
      <w:pPr>
        <w:ind w:left="1608" w:hanging="360"/>
      </w:pPr>
      <w:rPr>
        <w:rFonts w:ascii="Courier New" w:hAnsi="Courier New" w:cs="Courier New" w:hint="default"/>
      </w:rPr>
    </w:lvl>
    <w:lvl w:ilvl="2" w:tplc="04050005" w:tentative="1">
      <w:start w:val="1"/>
      <w:numFmt w:val="bullet"/>
      <w:lvlText w:val=""/>
      <w:lvlJc w:val="left"/>
      <w:pPr>
        <w:ind w:left="2328" w:hanging="360"/>
      </w:pPr>
      <w:rPr>
        <w:rFonts w:ascii="Wingdings" w:hAnsi="Wingdings" w:hint="default"/>
      </w:rPr>
    </w:lvl>
    <w:lvl w:ilvl="3" w:tplc="04050001" w:tentative="1">
      <w:start w:val="1"/>
      <w:numFmt w:val="bullet"/>
      <w:lvlText w:val=""/>
      <w:lvlJc w:val="left"/>
      <w:pPr>
        <w:ind w:left="3048" w:hanging="360"/>
      </w:pPr>
      <w:rPr>
        <w:rFonts w:ascii="Symbol" w:hAnsi="Symbol" w:hint="default"/>
      </w:rPr>
    </w:lvl>
    <w:lvl w:ilvl="4" w:tplc="04050003" w:tentative="1">
      <w:start w:val="1"/>
      <w:numFmt w:val="bullet"/>
      <w:lvlText w:val="o"/>
      <w:lvlJc w:val="left"/>
      <w:pPr>
        <w:ind w:left="3768" w:hanging="360"/>
      </w:pPr>
      <w:rPr>
        <w:rFonts w:ascii="Courier New" w:hAnsi="Courier New" w:cs="Courier New" w:hint="default"/>
      </w:rPr>
    </w:lvl>
    <w:lvl w:ilvl="5" w:tplc="04050005" w:tentative="1">
      <w:start w:val="1"/>
      <w:numFmt w:val="bullet"/>
      <w:lvlText w:val=""/>
      <w:lvlJc w:val="left"/>
      <w:pPr>
        <w:ind w:left="4488" w:hanging="360"/>
      </w:pPr>
      <w:rPr>
        <w:rFonts w:ascii="Wingdings" w:hAnsi="Wingdings" w:hint="default"/>
      </w:rPr>
    </w:lvl>
    <w:lvl w:ilvl="6" w:tplc="04050001" w:tentative="1">
      <w:start w:val="1"/>
      <w:numFmt w:val="bullet"/>
      <w:lvlText w:val=""/>
      <w:lvlJc w:val="left"/>
      <w:pPr>
        <w:ind w:left="5208" w:hanging="360"/>
      </w:pPr>
      <w:rPr>
        <w:rFonts w:ascii="Symbol" w:hAnsi="Symbol" w:hint="default"/>
      </w:rPr>
    </w:lvl>
    <w:lvl w:ilvl="7" w:tplc="04050003" w:tentative="1">
      <w:start w:val="1"/>
      <w:numFmt w:val="bullet"/>
      <w:lvlText w:val="o"/>
      <w:lvlJc w:val="left"/>
      <w:pPr>
        <w:ind w:left="5928" w:hanging="360"/>
      </w:pPr>
      <w:rPr>
        <w:rFonts w:ascii="Courier New" w:hAnsi="Courier New" w:cs="Courier New" w:hint="default"/>
      </w:rPr>
    </w:lvl>
    <w:lvl w:ilvl="8" w:tplc="04050005" w:tentative="1">
      <w:start w:val="1"/>
      <w:numFmt w:val="bullet"/>
      <w:lvlText w:val=""/>
      <w:lvlJc w:val="left"/>
      <w:pPr>
        <w:ind w:left="6648" w:hanging="360"/>
      </w:pPr>
      <w:rPr>
        <w:rFonts w:ascii="Wingdings" w:hAnsi="Wingdings" w:hint="default"/>
      </w:rPr>
    </w:lvl>
  </w:abstractNum>
  <w:abstractNum w:abstractNumId="108" w15:restartNumberingAfterBreak="0">
    <w:nsid w:val="36702E74"/>
    <w:multiLevelType w:val="hybridMultilevel"/>
    <w:tmpl w:val="9530C918"/>
    <w:lvl w:ilvl="0" w:tplc="04050001">
      <w:start w:val="1"/>
      <w:numFmt w:val="bullet"/>
      <w:lvlText w:val=""/>
      <w:lvlJc w:val="left"/>
      <w:pPr>
        <w:ind w:left="708" w:hanging="360"/>
      </w:pPr>
      <w:rPr>
        <w:rFonts w:ascii="Symbol" w:hAnsi="Symbol" w:hint="default"/>
      </w:rPr>
    </w:lvl>
    <w:lvl w:ilvl="1" w:tplc="04050003">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109" w15:restartNumberingAfterBreak="0">
    <w:nsid w:val="377D7430"/>
    <w:multiLevelType w:val="hybridMultilevel"/>
    <w:tmpl w:val="317E1A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3793483D"/>
    <w:multiLevelType w:val="hybridMultilevel"/>
    <w:tmpl w:val="00BEF7E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1" w15:restartNumberingAfterBreak="0">
    <w:nsid w:val="37B73989"/>
    <w:multiLevelType w:val="hybridMultilevel"/>
    <w:tmpl w:val="F9D4FC6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37D3691D"/>
    <w:multiLevelType w:val="hybridMultilevel"/>
    <w:tmpl w:val="1C4002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3" w15:restartNumberingAfterBreak="0">
    <w:nsid w:val="382810BD"/>
    <w:multiLevelType w:val="hybridMultilevel"/>
    <w:tmpl w:val="89028C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38321BBE"/>
    <w:multiLevelType w:val="hybridMultilevel"/>
    <w:tmpl w:val="1A824DD6"/>
    <w:lvl w:ilvl="0" w:tplc="C3D08B28">
      <w:start w:val="1"/>
      <w:numFmt w:val="bullet"/>
      <w:lvlText w:val=""/>
      <w:lvlJc w:val="left"/>
      <w:pPr>
        <w:ind w:left="737" w:hanging="377"/>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abstractNum w:abstractNumId="115" w15:restartNumberingAfterBreak="0">
    <w:nsid w:val="391639E4"/>
    <w:multiLevelType w:val="hybridMultilevel"/>
    <w:tmpl w:val="850EF4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3BEC158D"/>
    <w:multiLevelType w:val="hybridMultilevel"/>
    <w:tmpl w:val="CB562C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3BFF7701"/>
    <w:multiLevelType w:val="hybridMultilevel"/>
    <w:tmpl w:val="63DED0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3C281CA0"/>
    <w:multiLevelType w:val="hybridMultilevel"/>
    <w:tmpl w:val="BA7CE17A"/>
    <w:lvl w:ilvl="0" w:tplc="04050001">
      <w:start w:val="1"/>
      <w:numFmt w:val="bullet"/>
      <w:lvlText w:val=""/>
      <w:lvlJc w:val="left"/>
      <w:pPr>
        <w:ind w:left="888" w:hanging="360"/>
      </w:pPr>
      <w:rPr>
        <w:rFonts w:ascii="Symbol" w:hAnsi="Symbol" w:hint="default"/>
      </w:rPr>
    </w:lvl>
    <w:lvl w:ilvl="1" w:tplc="04050003">
      <w:start w:val="1"/>
      <w:numFmt w:val="bullet"/>
      <w:lvlText w:val="o"/>
      <w:lvlJc w:val="left"/>
      <w:pPr>
        <w:ind w:left="1608" w:hanging="360"/>
      </w:pPr>
      <w:rPr>
        <w:rFonts w:ascii="Courier New" w:hAnsi="Courier New" w:cs="Courier New" w:hint="default"/>
      </w:rPr>
    </w:lvl>
    <w:lvl w:ilvl="2" w:tplc="04050005" w:tentative="1">
      <w:start w:val="1"/>
      <w:numFmt w:val="bullet"/>
      <w:lvlText w:val=""/>
      <w:lvlJc w:val="left"/>
      <w:pPr>
        <w:ind w:left="2328" w:hanging="360"/>
      </w:pPr>
      <w:rPr>
        <w:rFonts w:ascii="Wingdings" w:hAnsi="Wingdings" w:hint="default"/>
      </w:rPr>
    </w:lvl>
    <w:lvl w:ilvl="3" w:tplc="04050001" w:tentative="1">
      <w:start w:val="1"/>
      <w:numFmt w:val="bullet"/>
      <w:lvlText w:val=""/>
      <w:lvlJc w:val="left"/>
      <w:pPr>
        <w:ind w:left="3048" w:hanging="360"/>
      </w:pPr>
      <w:rPr>
        <w:rFonts w:ascii="Symbol" w:hAnsi="Symbol" w:hint="default"/>
      </w:rPr>
    </w:lvl>
    <w:lvl w:ilvl="4" w:tplc="04050003" w:tentative="1">
      <w:start w:val="1"/>
      <w:numFmt w:val="bullet"/>
      <w:lvlText w:val="o"/>
      <w:lvlJc w:val="left"/>
      <w:pPr>
        <w:ind w:left="3768" w:hanging="360"/>
      </w:pPr>
      <w:rPr>
        <w:rFonts w:ascii="Courier New" w:hAnsi="Courier New" w:cs="Courier New" w:hint="default"/>
      </w:rPr>
    </w:lvl>
    <w:lvl w:ilvl="5" w:tplc="04050005" w:tentative="1">
      <w:start w:val="1"/>
      <w:numFmt w:val="bullet"/>
      <w:lvlText w:val=""/>
      <w:lvlJc w:val="left"/>
      <w:pPr>
        <w:ind w:left="4488" w:hanging="360"/>
      </w:pPr>
      <w:rPr>
        <w:rFonts w:ascii="Wingdings" w:hAnsi="Wingdings" w:hint="default"/>
      </w:rPr>
    </w:lvl>
    <w:lvl w:ilvl="6" w:tplc="04050001" w:tentative="1">
      <w:start w:val="1"/>
      <w:numFmt w:val="bullet"/>
      <w:lvlText w:val=""/>
      <w:lvlJc w:val="left"/>
      <w:pPr>
        <w:ind w:left="5208" w:hanging="360"/>
      </w:pPr>
      <w:rPr>
        <w:rFonts w:ascii="Symbol" w:hAnsi="Symbol" w:hint="default"/>
      </w:rPr>
    </w:lvl>
    <w:lvl w:ilvl="7" w:tplc="04050003" w:tentative="1">
      <w:start w:val="1"/>
      <w:numFmt w:val="bullet"/>
      <w:lvlText w:val="o"/>
      <w:lvlJc w:val="left"/>
      <w:pPr>
        <w:ind w:left="5928" w:hanging="360"/>
      </w:pPr>
      <w:rPr>
        <w:rFonts w:ascii="Courier New" w:hAnsi="Courier New" w:cs="Courier New" w:hint="default"/>
      </w:rPr>
    </w:lvl>
    <w:lvl w:ilvl="8" w:tplc="04050005" w:tentative="1">
      <w:start w:val="1"/>
      <w:numFmt w:val="bullet"/>
      <w:lvlText w:val=""/>
      <w:lvlJc w:val="left"/>
      <w:pPr>
        <w:ind w:left="6648" w:hanging="360"/>
      </w:pPr>
      <w:rPr>
        <w:rFonts w:ascii="Wingdings" w:hAnsi="Wingdings" w:hint="default"/>
      </w:rPr>
    </w:lvl>
  </w:abstractNum>
  <w:abstractNum w:abstractNumId="119" w15:restartNumberingAfterBreak="0">
    <w:nsid w:val="3C5F4EEB"/>
    <w:multiLevelType w:val="hybridMultilevel"/>
    <w:tmpl w:val="8376DDF0"/>
    <w:lvl w:ilvl="0" w:tplc="04050001">
      <w:start w:val="1"/>
      <w:numFmt w:val="bullet"/>
      <w:lvlText w:val=""/>
      <w:lvlJc w:val="left"/>
      <w:pPr>
        <w:ind w:left="660" w:hanging="360"/>
      </w:pPr>
      <w:rPr>
        <w:rFonts w:ascii="Symbol" w:hAnsi="Symbol" w:hint="default"/>
      </w:rPr>
    </w:lvl>
    <w:lvl w:ilvl="1" w:tplc="04050003">
      <w:start w:val="1"/>
      <w:numFmt w:val="bullet"/>
      <w:lvlText w:val="o"/>
      <w:lvlJc w:val="left"/>
      <w:pPr>
        <w:ind w:left="1380" w:hanging="360"/>
      </w:pPr>
      <w:rPr>
        <w:rFonts w:ascii="Courier New" w:hAnsi="Courier New" w:cs="Courier New" w:hint="default"/>
      </w:rPr>
    </w:lvl>
    <w:lvl w:ilvl="2" w:tplc="04050005" w:tentative="1">
      <w:start w:val="1"/>
      <w:numFmt w:val="bullet"/>
      <w:lvlText w:val=""/>
      <w:lvlJc w:val="left"/>
      <w:pPr>
        <w:ind w:left="2100" w:hanging="360"/>
      </w:pPr>
      <w:rPr>
        <w:rFonts w:ascii="Wingdings" w:hAnsi="Wingdings" w:hint="default"/>
      </w:rPr>
    </w:lvl>
    <w:lvl w:ilvl="3" w:tplc="04050001" w:tentative="1">
      <w:start w:val="1"/>
      <w:numFmt w:val="bullet"/>
      <w:lvlText w:val=""/>
      <w:lvlJc w:val="left"/>
      <w:pPr>
        <w:ind w:left="2820" w:hanging="360"/>
      </w:pPr>
      <w:rPr>
        <w:rFonts w:ascii="Symbol" w:hAnsi="Symbol" w:hint="default"/>
      </w:rPr>
    </w:lvl>
    <w:lvl w:ilvl="4" w:tplc="04050003" w:tentative="1">
      <w:start w:val="1"/>
      <w:numFmt w:val="bullet"/>
      <w:lvlText w:val="o"/>
      <w:lvlJc w:val="left"/>
      <w:pPr>
        <w:ind w:left="3540" w:hanging="360"/>
      </w:pPr>
      <w:rPr>
        <w:rFonts w:ascii="Courier New" w:hAnsi="Courier New" w:cs="Courier New" w:hint="default"/>
      </w:rPr>
    </w:lvl>
    <w:lvl w:ilvl="5" w:tplc="04050005" w:tentative="1">
      <w:start w:val="1"/>
      <w:numFmt w:val="bullet"/>
      <w:lvlText w:val=""/>
      <w:lvlJc w:val="left"/>
      <w:pPr>
        <w:ind w:left="4260" w:hanging="360"/>
      </w:pPr>
      <w:rPr>
        <w:rFonts w:ascii="Wingdings" w:hAnsi="Wingdings" w:hint="default"/>
      </w:rPr>
    </w:lvl>
    <w:lvl w:ilvl="6" w:tplc="04050001" w:tentative="1">
      <w:start w:val="1"/>
      <w:numFmt w:val="bullet"/>
      <w:lvlText w:val=""/>
      <w:lvlJc w:val="left"/>
      <w:pPr>
        <w:ind w:left="4980" w:hanging="360"/>
      </w:pPr>
      <w:rPr>
        <w:rFonts w:ascii="Symbol" w:hAnsi="Symbol" w:hint="default"/>
      </w:rPr>
    </w:lvl>
    <w:lvl w:ilvl="7" w:tplc="04050003" w:tentative="1">
      <w:start w:val="1"/>
      <w:numFmt w:val="bullet"/>
      <w:lvlText w:val="o"/>
      <w:lvlJc w:val="left"/>
      <w:pPr>
        <w:ind w:left="5700" w:hanging="360"/>
      </w:pPr>
      <w:rPr>
        <w:rFonts w:ascii="Courier New" w:hAnsi="Courier New" w:cs="Courier New" w:hint="default"/>
      </w:rPr>
    </w:lvl>
    <w:lvl w:ilvl="8" w:tplc="04050005" w:tentative="1">
      <w:start w:val="1"/>
      <w:numFmt w:val="bullet"/>
      <w:lvlText w:val=""/>
      <w:lvlJc w:val="left"/>
      <w:pPr>
        <w:ind w:left="6420" w:hanging="360"/>
      </w:pPr>
      <w:rPr>
        <w:rFonts w:ascii="Wingdings" w:hAnsi="Wingdings" w:hint="default"/>
      </w:rPr>
    </w:lvl>
  </w:abstractNum>
  <w:abstractNum w:abstractNumId="120" w15:restartNumberingAfterBreak="0">
    <w:nsid w:val="3C9D16C5"/>
    <w:multiLevelType w:val="hybridMultilevel"/>
    <w:tmpl w:val="70CA7546"/>
    <w:lvl w:ilvl="0" w:tplc="04050003">
      <w:start w:val="1"/>
      <w:numFmt w:val="bullet"/>
      <w:lvlText w:val="o"/>
      <w:lvlJc w:val="left"/>
      <w:pPr>
        <w:ind w:left="1440" w:hanging="360"/>
      </w:pPr>
      <w:rPr>
        <w:rFonts w:ascii="Courier New" w:hAnsi="Courier New" w:cs="Courier New"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1" w15:restartNumberingAfterBreak="0">
    <w:nsid w:val="3E5B64E4"/>
    <w:multiLevelType w:val="hybridMultilevel"/>
    <w:tmpl w:val="1BB41108"/>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2" w15:restartNumberingAfterBreak="0">
    <w:nsid w:val="3F4049A0"/>
    <w:multiLevelType w:val="hybridMultilevel"/>
    <w:tmpl w:val="6C44CAE6"/>
    <w:lvl w:ilvl="0" w:tplc="04050001">
      <w:start w:val="1"/>
      <w:numFmt w:val="bullet"/>
      <w:lvlText w:val=""/>
      <w:lvlJc w:val="left"/>
      <w:pPr>
        <w:ind w:left="773" w:hanging="360"/>
      </w:pPr>
      <w:rPr>
        <w:rFonts w:ascii="Symbol" w:hAnsi="Symbol" w:hint="default"/>
      </w:rPr>
    </w:lvl>
    <w:lvl w:ilvl="1" w:tplc="04050003" w:tentative="1">
      <w:start w:val="1"/>
      <w:numFmt w:val="bullet"/>
      <w:lvlText w:val="o"/>
      <w:lvlJc w:val="left"/>
      <w:pPr>
        <w:ind w:left="1493" w:hanging="360"/>
      </w:pPr>
      <w:rPr>
        <w:rFonts w:ascii="Courier New" w:hAnsi="Courier New" w:cs="Courier New" w:hint="default"/>
      </w:rPr>
    </w:lvl>
    <w:lvl w:ilvl="2" w:tplc="04050005" w:tentative="1">
      <w:start w:val="1"/>
      <w:numFmt w:val="bullet"/>
      <w:lvlText w:val=""/>
      <w:lvlJc w:val="left"/>
      <w:pPr>
        <w:ind w:left="2213" w:hanging="360"/>
      </w:pPr>
      <w:rPr>
        <w:rFonts w:ascii="Wingdings" w:hAnsi="Wingdings" w:hint="default"/>
      </w:rPr>
    </w:lvl>
    <w:lvl w:ilvl="3" w:tplc="04050001" w:tentative="1">
      <w:start w:val="1"/>
      <w:numFmt w:val="bullet"/>
      <w:lvlText w:val=""/>
      <w:lvlJc w:val="left"/>
      <w:pPr>
        <w:ind w:left="2933" w:hanging="360"/>
      </w:pPr>
      <w:rPr>
        <w:rFonts w:ascii="Symbol" w:hAnsi="Symbol" w:hint="default"/>
      </w:rPr>
    </w:lvl>
    <w:lvl w:ilvl="4" w:tplc="04050003" w:tentative="1">
      <w:start w:val="1"/>
      <w:numFmt w:val="bullet"/>
      <w:lvlText w:val="o"/>
      <w:lvlJc w:val="left"/>
      <w:pPr>
        <w:ind w:left="3653" w:hanging="360"/>
      </w:pPr>
      <w:rPr>
        <w:rFonts w:ascii="Courier New" w:hAnsi="Courier New" w:cs="Courier New" w:hint="default"/>
      </w:rPr>
    </w:lvl>
    <w:lvl w:ilvl="5" w:tplc="04050005" w:tentative="1">
      <w:start w:val="1"/>
      <w:numFmt w:val="bullet"/>
      <w:lvlText w:val=""/>
      <w:lvlJc w:val="left"/>
      <w:pPr>
        <w:ind w:left="4373" w:hanging="360"/>
      </w:pPr>
      <w:rPr>
        <w:rFonts w:ascii="Wingdings" w:hAnsi="Wingdings" w:hint="default"/>
      </w:rPr>
    </w:lvl>
    <w:lvl w:ilvl="6" w:tplc="04050001" w:tentative="1">
      <w:start w:val="1"/>
      <w:numFmt w:val="bullet"/>
      <w:lvlText w:val=""/>
      <w:lvlJc w:val="left"/>
      <w:pPr>
        <w:ind w:left="5093" w:hanging="360"/>
      </w:pPr>
      <w:rPr>
        <w:rFonts w:ascii="Symbol" w:hAnsi="Symbol" w:hint="default"/>
      </w:rPr>
    </w:lvl>
    <w:lvl w:ilvl="7" w:tplc="04050003" w:tentative="1">
      <w:start w:val="1"/>
      <w:numFmt w:val="bullet"/>
      <w:lvlText w:val="o"/>
      <w:lvlJc w:val="left"/>
      <w:pPr>
        <w:ind w:left="5813" w:hanging="360"/>
      </w:pPr>
      <w:rPr>
        <w:rFonts w:ascii="Courier New" w:hAnsi="Courier New" w:cs="Courier New" w:hint="default"/>
      </w:rPr>
    </w:lvl>
    <w:lvl w:ilvl="8" w:tplc="04050005" w:tentative="1">
      <w:start w:val="1"/>
      <w:numFmt w:val="bullet"/>
      <w:lvlText w:val=""/>
      <w:lvlJc w:val="left"/>
      <w:pPr>
        <w:ind w:left="6533" w:hanging="360"/>
      </w:pPr>
      <w:rPr>
        <w:rFonts w:ascii="Wingdings" w:hAnsi="Wingdings" w:hint="default"/>
      </w:rPr>
    </w:lvl>
  </w:abstractNum>
  <w:abstractNum w:abstractNumId="123" w15:restartNumberingAfterBreak="0">
    <w:nsid w:val="3F705D92"/>
    <w:multiLevelType w:val="hybridMultilevel"/>
    <w:tmpl w:val="C8CCB438"/>
    <w:lvl w:ilvl="0" w:tplc="04050001">
      <w:start w:val="1"/>
      <w:numFmt w:val="bullet"/>
      <w:lvlText w:val=""/>
      <w:lvlJc w:val="left"/>
      <w:pPr>
        <w:ind w:left="1416" w:hanging="360"/>
      </w:pPr>
      <w:rPr>
        <w:rFonts w:ascii="Symbol" w:hAnsi="Symbol" w:hint="default"/>
      </w:rPr>
    </w:lvl>
    <w:lvl w:ilvl="1" w:tplc="04050005">
      <w:start w:val="1"/>
      <w:numFmt w:val="bullet"/>
      <w:lvlText w:val=""/>
      <w:lvlJc w:val="left"/>
      <w:pPr>
        <w:ind w:left="2136" w:hanging="360"/>
      </w:pPr>
      <w:rPr>
        <w:rFonts w:ascii="Wingdings" w:hAnsi="Wingdings" w:hint="default"/>
      </w:rPr>
    </w:lvl>
    <w:lvl w:ilvl="2" w:tplc="04050005">
      <w:start w:val="1"/>
      <w:numFmt w:val="bullet"/>
      <w:lvlText w:val=""/>
      <w:lvlJc w:val="left"/>
      <w:pPr>
        <w:ind w:left="2856" w:hanging="360"/>
      </w:pPr>
      <w:rPr>
        <w:rFonts w:ascii="Wingdings" w:hAnsi="Wingdings" w:hint="default"/>
      </w:rPr>
    </w:lvl>
    <w:lvl w:ilvl="3" w:tplc="04050001">
      <w:start w:val="1"/>
      <w:numFmt w:val="bullet"/>
      <w:lvlText w:val=""/>
      <w:lvlJc w:val="left"/>
      <w:pPr>
        <w:ind w:left="3576" w:hanging="360"/>
      </w:pPr>
      <w:rPr>
        <w:rFonts w:ascii="Symbol" w:hAnsi="Symbol" w:hint="default"/>
      </w:rPr>
    </w:lvl>
    <w:lvl w:ilvl="4" w:tplc="04050003" w:tentative="1">
      <w:start w:val="1"/>
      <w:numFmt w:val="bullet"/>
      <w:lvlText w:val="o"/>
      <w:lvlJc w:val="left"/>
      <w:pPr>
        <w:ind w:left="4296" w:hanging="360"/>
      </w:pPr>
      <w:rPr>
        <w:rFonts w:ascii="Courier New" w:hAnsi="Courier New" w:cs="Courier New" w:hint="default"/>
      </w:rPr>
    </w:lvl>
    <w:lvl w:ilvl="5" w:tplc="04050005" w:tentative="1">
      <w:start w:val="1"/>
      <w:numFmt w:val="bullet"/>
      <w:lvlText w:val=""/>
      <w:lvlJc w:val="left"/>
      <w:pPr>
        <w:ind w:left="5016" w:hanging="360"/>
      </w:pPr>
      <w:rPr>
        <w:rFonts w:ascii="Wingdings" w:hAnsi="Wingdings" w:hint="default"/>
      </w:rPr>
    </w:lvl>
    <w:lvl w:ilvl="6" w:tplc="04050001" w:tentative="1">
      <w:start w:val="1"/>
      <w:numFmt w:val="bullet"/>
      <w:lvlText w:val=""/>
      <w:lvlJc w:val="left"/>
      <w:pPr>
        <w:ind w:left="5736" w:hanging="360"/>
      </w:pPr>
      <w:rPr>
        <w:rFonts w:ascii="Symbol" w:hAnsi="Symbol" w:hint="default"/>
      </w:rPr>
    </w:lvl>
    <w:lvl w:ilvl="7" w:tplc="04050003" w:tentative="1">
      <w:start w:val="1"/>
      <w:numFmt w:val="bullet"/>
      <w:lvlText w:val="o"/>
      <w:lvlJc w:val="left"/>
      <w:pPr>
        <w:ind w:left="6456" w:hanging="360"/>
      </w:pPr>
      <w:rPr>
        <w:rFonts w:ascii="Courier New" w:hAnsi="Courier New" w:cs="Courier New" w:hint="default"/>
      </w:rPr>
    </w:lvl>
    <w:lvl w:ilvl="8" w:tplc="04050005" w:tentative="1">
      <w:start w:val="1"/>
      <w:numFmt w:val="bullet"/>
      <w:lvlText w:val=""/>
      <w:lvlJc w:val="left"/>
      <w:pPr>
        <w:ind w:left="7176" w:hanging="360"/>
      </w:pPr>
      <w:rPr>
        <w:rFonts w:ascii="Wingdings" w:hAnsi="Wingdings" w:hint="default"/>
      </w:rPr>
    </w:lvl>
  </w:abstractNum>
  <w:abstractNum w:abstractNumId="124" w15:restartNumberingAfterBreak="0">
    <w:nsid w:val="42A74723"/>
    <w:multiLevelType w:val="hybridMultilevel"/>
    <w:tmpl w:val="881048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42C244A8"/>
    <w:multiLevelType w:val="hybridMultilevel"/>
    <w:tmpl w:val="7D965770"/>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6" w15:restartNumberingAfterBreak="0">
    <w:nsid w:val="437E6B0F"/>
    <w:multiLevelType w:val="hybridMultilevel"/>
    <w:tmpl w:val="C09240F2"/>
    <w:lvl w:ilvl="0" w:tplc="0896D030">
      <w:start w:val="1"/>
      <w:numFmt w:val="bullet"/>
      <w:lvlText w:val=""/>
      <w:lvlJc w:val="left"/>
      <w:pPr>
        <w:ind w:left="360" w:hanging="360"/>
      </w:pPr>
      <w:rPr>
        <w:rFonts w:ascii="Symbol" w:hAnsi="Symbol" w:hint="default"/>
        <w:sz w:val="22"/>
        <w:szCs w:val="22"/>
      </w:rPr>
    </w:lvl>
    <w:lvl w:ilvl="1" w:tplc="BDDE87B0">
      <w:start w:val="1"/>
      <w:numFmt w:val="bullet"/>
      <w:lvlText w:val="-"/>
      <w:lvlJc w:val="left"/>
      <w:pPr>
        <w:ind w:left="1080" w:hanging="360"/>
      </w:pPr>
      <w:rPr>
        <w:rFonts w:ascii="Arial" w:hAnsi="Arial" w:hint="default"/>
        <w:sz w:val="22"/>
        <w:szCs w:val="22"/>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7" w15:restartNumberingAfterBreak="0">
    <w:nsid w:val="43F01542"/>
    <w:multiLevelType w:val="hybridMultilevel"/>
    <w:tmpl w:val="C012FB5C"/>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8" w15:restartNumberingAfterBreak="0">
    <w:nsid w:val="44535A06"/>
    <w:multiLevelType w:val="hybridMultilevel"/>
    <w:tmpl w:val="AB02E5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45144C90"/>
    <w:multiLevelType w:val="hybridMultilevel"/>
    <w:tmpl w:val="D132128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0" w15:restartNumberingAfterBreak="0">
    <w:nsid w:val="454C2CF7"/>
    <w:multiLevelType w:val="hybridMultilevel"/>
    <w:tmpl w:val="859086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1" w15:restartNumberingAfterBreak="0">
    <w:nsid w:val="4622484B"/>
    <w:multiLevelType w:val="hybridMultilevel"/>
    <w:tmpl w:val="6940356A"/>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2" w15:restartNumberingAfterBreak="0">
    <w:nsid w:val="4632205E"/>
    <w:multiLevelType w:val="hybridMultilevel"/>
    <w:tmpl w:val="26F27526"/>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33" w15:restartNumberingAfterBreak="0">
    <w:nsid w:val="46B71AA1"/>
    <w:multiLevelType w:val="hybridMultilevel"/>
    <w:tmpl w:val="8EEEA9DE"/>
    <w:lvl w:ilvl="0" w:tplc="04050003">
      <w:start w:val="1"/>
      <w:numFmt w:val="bullet"/>
      <w:lvlText w:val="o"/>
      <w:lvlJc w:val="left"/>
      <w:pPr>
        <w:ind w:left="1440" w:hanging="360"/>
      </w:pPr>
      <w:rPr>
        <w:rFonts w:ascii="Courier New" w:hAnsi="Courier New" w:cs="Courier New"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34" w15:restartNumberingAfterBreak="0">
    <w:nsid w:val="470D768D"/>
    <w:multiLevelType w:val="hybridMultilevel"/>
    <w:tmpl w:val="99B6555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5" w15:restartNumberingAfterBreak="0">
    <w:nsid w:val="4749767A"/>
    <w:multiLevelType w:val="hybridMultilevel"/>
    <w:tmpl w:val="D1DA139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36" w15:restartNumberingAfterBreak="0">
    <w:nsid w:val="48176FF2"/>
    <w:multiLevelType w:val="hybridMultilevel"/>
    <w:tmpl w:val="32E04980"/>
    <w:lvl w:ilvl="0" w:tplc="04050001">
      <w:start w:val="1"/>
      <w:numFmt w:val="bullet"/>
      <w:lvlText w:val=""/>
      <w:lvlJc w:val="left"/>
      <w:pPr>
        <w:ind w:left="765" w:hanging="720"/>
      </w:pPr>
      <w:rPr>
        <w:rFonts w:ascii="Symbol" w:hAnsi="Symbol" w:hint="default"/>
      </w:rPr>
    </w:lvl>
    <w:lvl w:ilvl="1" w:tplc="04050019" w:tentative="1">
      <w:start w:val="1"/>
      <w:numFmt w:val="lowerLetter"/>
      <w:lvlText w:val="%2."/>
      <w:lvlJc w:val="left"/>
      <w:pPr>
        <w:ind w:left="1125" w:hanging="360"/>
      </w:pPr>
      <w:rPr>
        <w:rFonts w:cs="Times New Roman"/>
      </w:rPr>
    </w:lvl>
    <w:lvl w:ilvl="2" w:tplc="0405001B" w:tentative="1">
      <w:start w:val="1"/>
      <w:numFmt w:val="lowerRoman"/>
      <w:lvlText w:val="%3."/>
      <w:lvlJc w:val="right"/>
      <w:pPr>
        <w:ind w:left="1845" w:hanging="180"/>
      </w:pPr>
      <w:rPr>
        <w:rFonts w:cs="Times New Roman"/>
      </w:rPr>
    </w:lvl>
    <w:lvl w:ilvl="3" w:tplc="0405000F" w:tentative="1">
      <w:start w:val="1"/>
      <w:numFmt w:val="decimal"/>
      <w:lvlText w:val="%4."/>
      <w:lvlJc w:val="left"/>
      <w:pPr>
        <w:ind w:left="2565" w:hanging="360"/>
      </w:pPr>
      <w:rPr>
        <w:rFonts w:cs="Times New Roman"/>
      </w:rPr>
    </w:lvl>
    <w:lvl w:ilvl="4" w:tplc="04050019" w:tentative="1">
      <w:start w:val="1"/>
      <w:numFmt w:val="lowerLetter"/>
      <w:lvlText w:val="%5."/>
      <w:lvlJc w:val="left"/>
      <w:pPr>
        <w:ind w:left="3285" w:hanging="360"/>
      </w:pPr>
      <w:rPr>
        <w:rFonts w:cs="Times New Roman"/>
      </w:rPr>
    </w:lvl>
    <w:lvl w:ilvl="5" w:tplc="0405001B" w:tentative="1">
      <w:start w:val="1"/>
      <w:numFmt w:val="lowerRoman"/>
      <w:lvlText w:val="%6."/>
      <w:lvlJc w:val="right"/>
      <w:pPr>
        <w:ind w:left="4005" w:hanging="180"/>
      </w:pPr>
      <w:rPr>
        <w:rFonts w:cs="Times New Roman"/>
      </w:rPr>
    </w:lvl>
    <w:lvl w:ilvl="6" w:tplc="0405000F" w:tentative="1">
      <w:start w:val="1"/>
      <w:numFmt w:val="decimal"/>
      <w:lvlText w:val="%7."/>
      <w:lvlJc w:val="left"/>
      <w:pPr>
        <w:ind w:left="4725" w:hanging="360"/>
      </w:pPr>
      <w:rPr>
        <w:rFonts w:cs="Times New Roman"/>
      </w:rPr>
    </w:lvl>
    <w:lvl w:ilvl="7" w:tplc="04050019" w:tentative="1">
      <w:start w:val="1"/>
      <w:numFmt w:val="lowerLetter"/>
      <w:lvlText w:val="%8."/>
      <w:lvlJc w:val="left"/>
      <w:pPr>
        <w:ind w:left="5445" w:hanging="360"/>
      </w:pPr>
      <w:rPr>
        <w:rFonts w:cs="Times New Roman"/>
      </w:rPr>
    </w:lvl>
    <w:lvl w:ilvl="8" w:tplc="0405001B" w:tentative="1">
      <w:start w:val="1"/>
      <w:numFmt w:val="lowerRoman"/>
      <w:lvlText w:val="%9."/>
      <w:lvlJc w:val="right"/>
      <w:pPr>
        <w:ind w:left="6165" w:hanging="180"/>
      </w:pPr>
      <w:rPr>
        <w:rFonts w:cs="Times New Roman"/>
      </w:rPr>
    </w:lvl>
  </w:abstractNum>
  <w:abstractNum w:abstractNumId="137" w15:restartNumberingAfterBreak="0">
    <w:nsid w:val="48326549"/>
    <w:multiLevelType w:val="hybridMultilevel"/>
    <w:tmpl w:val="C6ECED06"/>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38" w15:restartNumberingAfterBreak="0">
    <w:nsid w:val="4838613D"/>
    <w:multiLevelType w:val="hybridMultilevel"/>
    <w:tmpl w:val="480A369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9" w15:restartNumberingAfterBreak="0">
    <w:nsid w:val="49022094"/>
    <w:multiLevelType w:val="hybridMultilevel"/>
    <w:tmpl w:val="DEE6BC2E"/>
    <w:lvl w:ilvl="0" w:tplc="04050001">
      <w:start w:val="1"/>
      <w:numFmt w:val="bullet"/>
      <w:lvlText w:val=""/>
      <w:lvlJc w:val="left"/>
      <w:pPr>
        <w:ind w:left="708" w:hanging="360"/>
      </w:pPr>
      <w:rPr>
        <w:rFonts w:ascii="Symbol" w:hAnsi="Symbol" w:hint="default"/>
      </w:rPr>
    </w:lvl>
    <w:lvl w:ilvl="1" w:tplc="04050003">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140" w15:restartNumberingAfterBreak="0">
    <w:nsid w:val="49FD26A3"/>
    <w:multiLevelType w:val="hybridMultilevel"/>
    <w:tmpl w:val="DD6630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4A3A67C7"/>
    <w:multiLevelType w:val="hybridMultilevel"/>
    <w:tmpl w:val="3AA6540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2" w15:restartNumberingAfterBreak="0">
    <w:nsid w:val="4A574067"/>
    <w:multiLevelType w:val="hybridMultilevel"/>
    <w:tmpl w:val="DD3CD1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3" w15:restartNumberingAfterBreak="0">
    <w:nsid w:val="4ACB0498"/>
    <w:multiLevelType w:val="hybridMultilevel"/>
    <w:tmpl w:val="DB083B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4AF71E78"/>
    <w:multiLevelType w:val="hybridMultilevel"/>
    <w:tmpl w:val="0C881924"/>
    <w:lvl w:ilvl="0" w:tplc="04050001">
      <w:start w:val="1"/>
      <w:numFmt w:val="bullet"/>
      <w:lvlText w:val=""/>
      <w:lvlJc w:val="left"/>
      <w:pPr>
        <w:ind w:left="708" w:hanging="360"/>
      </w:pPr>
      <w:rPr>
        <w:rFonts w:ascii="Symbol" w:hAnsi="Symbol" w:hint="default"/>
      </w:rPr>
    </w:lvl>
    <w:lvl w:ilvl="1" w:tplc="04050003">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145" w15:restartNumberingAfterBreak="0">
    <w:nsid w:val="4BD57A60"/>
    <w:multiLevelType w:val="hybridMultilevel"/>
    <w:tmpl w:val="EA1A807E"/>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6" w15:restartNumberingAfterBreak="0">
    <w:nsid w:val="4BE379CF"/>
    <w:multiLevelType w:val="hybridMultilevel"/>
    <w:tmpl w:val="0186D8B0"/>
    <w:lvl w:ilvl="0" w:tplc="04050003">
      <w:start w:val="1"/>
      <w:numFmt w:val="bullet"/>
      <w:lvlText w:val="o"/>
      <w:lvlJc w:val="left"/>
      <w:pPr>
        <w:ind w:left="1404" w:hanging="360"/>
      </w:pPr>
      <w:rPr>
        <w:rFonts w:ascii="Courier New" w:hAnsi="Courier New" w:cs="Courier New" w:hint="default"/>
      </w:rPr>
    </w:lvl>
    <w:lvl w:ilvl="1" w:tplc="04050003">
      <w:start w:val="1"/>
      <w:numFmt w:val="bullet"/>
      <w:lvlText w:val="o"/>
      <w:lvlJc w:val="left"/>
      <w:pPr>
        <w:ind w:left="2124" w:hanging="360"/>
      </w:pPr>
      <w:rPr>
        <w:rFonts w:ascii="Courier New" w:hAnsi="Courier New" w:cs="Courier New" w:hint="default"/>
      </w:rPr>
    </w:lvl>
    <w:lvl w:ilvl="2" w:tplc="04050005">
      <w:start w:val="1"/>
      <w:numFmt w:val="bullet"/>
      <w:lvlText w:val=""/>
      <w:lvlJc w:val="left"/>
      <w:pPr>
        <w:ind w:left="2844" w:hanging="360"/>
      </w:pPr>
      <w:rPr>
        <w:rFonts w:ascii="Wingdings" w:hAnsi="Wingdings" w:hint="default"/>
      </w:rPr>
    </w:lvl>
    <w:lvl w:ilvl="3" w:tplc="04050001" w:tentative="1">
      <w:start w:val="1"/>
      <w:numFmt w:val="bullet"/>
      <w:lvlText w:val=""/>
      <w:lvlJc w:val="left"/>
      <w:pPr>
        <w:ind w:left="3564" w:hanging="360"/>
      </w:pPr>
      <w:rPr>
        <w:rFonts w:ascii="Symbol" w:hAnsi="Symbol" w:hint="default"/>
      </w:rPr>
    </w:lvl>
    <w:lvl w:ilvl="4" w:tplc="04050003" w:tentative="1">
      <w:start w:val="1"/>
      <w:numFmt w:val="bullet"/>
      <w:lvlText w:val="o"/>
      <w:lvlJc w:val="left"/>
      <w:pPr>
        <w:ind w:left="4284" w:hanging="360"/>
      </w:pPr>
      <w:rPr>
        <w:rFonts w:ascii="Courier New" w:hAnsi="Courier New" w:cs="Courier New" w:hint="default"/>
      </w:rPr>
    </w:lvl>
    <w:lvl w:ilvl="5" w:tplc="04050005" w:tentative="1">
      <w:start w:val="1"/>
      <w:numFmt w:val="bullet"/>
      <w:lvlText w:val=""/>
      <w:lvlJc w:val="left"/>
      <w:pPr>
        <w:ind w:left="5004" w:hanging="360"/>
      </w:pPr>
      <w:rPr>
        <w:rFonts w:ascii="Wingdings" w:hAnsi="Wingdings" w:hint="default"/>
      </w:rPr>
    </w:lvl>
    <w:lvl w:ilvl="6" w:tplc="04050001" w:tentative="1">
      <w:start w:val="1"/>
      <w:numFmt w:val="bullet"/>
      <w:lvlText w:val=""/>
      <w:lvlJc w:val="left"/>
      <w:pPr>
        <w:ind w:left="5724" w:hanging="360"/>
      </w:pPr>
      <w:rPr>
        <w:rFonts w:ascii="Symbol" w:hAnsi="Symbol" w:hint="default"/>
      </w:rPr>
    </w:lvl>
    <w:lvl w:ilvl="7" w:tplc="04050003" w:tentative="1">
      <w:start w:val="1"/>
      <w:numFmt w:val="bullet"/>
      <w:lvlText w:val="o"/>
      <w:lvlJc w:val="left"/>
      <w:pPr>
        <w:ind w:left="6444" w:hanging="360"/>
      </w:pPr>
      <w:rPr>
        <w:rFonts w:ascii="Courier New" w:hAnsi="Courier New" w:cs="Courier New" w:hint="default"/>
      </w:rPr>
    </w:lvl>
    <w:lvl w:ilvl="8" w:tplc="04050005" w:tentative="1">
      <w:start w:val="1"/>
      <w:numFmt w:val="bullet"/>
      <w:lvlText w:val=""/>
      <w:lvlJc w:val="left"/>
      <w:pPr>
        <w:ind w:left="7164" w:hanging="360"/>
      </w:pPr>
      <w:rPr>
        <w:rFonts w:ascii="Wingdings" w:hAnsi="Wingdings" w:hint="default"/>
      </w:rPr>
    </w:lvl>
  </w:abstractNum>
  <w:abstractNum w:abstractNumId="147" w15:restartNumberingAfterBreak="0">
    <w:nsid w:val="4BF53106"/>
    <w:multiLevelType w:val="hybridMultilevel"/>
    <w:tmpl w:val="3B164DC0"/>
    <w:lvl w:ilvl="0" w:tplc="43C67E14">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48" w15:restartNumberingAfterBreak="0">
    <w:nsid w:val="4C7C752A"/>
    <w:multiLevelType w:val="hybridMultilevel"/>
    <w:tmpl w:val="5150F91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9" w15:restartNumberingAfterBreak="0">
    <w:nsid w:val="4E0E35C1"/>
    <w:multiLevelType w:val="hybridMultilevel"/>
    <w:tmpl w:val="CF5A65F2"/>
    <w:lvl w:ilvl="0" w:tplc="F962C554">
      <w:start w:val="1"/>
      <w:numFmt w:val="decimal"/>
      <w:lvlText w:val="%1."/>
      <w:lvlJc w:val="left"/>
      <w:pPr>
        <w:ind w:left="780" w:hanging="4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0" w15:restartNumberingAfterBreak="0">
    <w:nsid w:val="4E5B3A94"/>
    <w:multiLevelType w:val="hybridMultilevel"/>
    <w:tmpl w:val="BC2C8B2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15:restartNumberingAfterBreak="0">
    <w:nsid w:val="4F4543A1"/>
    <w:multiLevelType w:val="hybridMultilevel"/>
    <w:tmpl w:val="637C1E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4F89775E"/>
    <w:multiLevelType w:val="multilevel"/>
    <w:tmpl w:val="0D8ABE32"/>
    <w:styleLink w:val="VariantaB-sla"/>
    <w:lvl w:ilvl="0">
      <w:start w:val="1"/>
      <w:numFmt w:val="decimal"/>
      <w:pStyle w:val="slovanseznamB"/>
      <w:lvlText w:val="%1)"/>
      <w:lvlJc w:val="left"/>
      <w:pPr>
        <w:ind w:left="360" w:hanging="360"/>
      </w:pPr>
      <w:rPr>
        <w:rFonts w:hint="default"/>
      </w:rPr>
    </w:lvl>
    <w:lvl w:ilvl="1">
      <w:start w:val="1"/>
      <w:numFmt w:val="lowerLetter"/>
      <w:pStyle w:val="slovanseznamB2"/>
      <w:lvlText w:val="%2)"/>
      <w:lvlJc w:val="left"/>
      <w:pPr>
        <w:ind w:left="720" w:hanging="360"/>
      </w:pPr>
      <w:rPr>
        <w:rFonts w:hint="default"/>
      </w:rPr>
    </w:lvl>
    <w:lvl w:ilvl="2">
      <w:start w:val="1"/>
      <w:numFmt w:val="lowerRoman"/>
      <w:pStyle w:val="slovanseznamB3"/>
      <w:lvlText w:val="%3)"/>
      <w:lvlJc w:val="left"/>
      <w:pPr>
        <w:ind w:left="1080" w:hanging="360"/>
      </w:pPr>
      <w:rPr>
        <w:rFonts w:hint="default"/>
      </w:rPr>
    </w:lvl>
    <w:lvl w:ilvl="3">
      <w:start w:val="1"/>
      <w:numFmt w:val="decimal"/>
      <w:pStyle w:val="slovanseznamB4"/>
      <w:lvlText w:val="(%4)"/>
      <w:lvlJc w:val="left"/>
      <w:pPr>
        <w:ind w:left="1440" w:hanging="360"/>
      </w:pPr>
      <w:rPr>
        <w:rFonts w:hint="default"/>
      </w:rPr>
    </w:lvl>
    <w:lvl w:ilvl="4">
      <w:start w:val="1"/>
      <w:numFmt w:val="lowerLetter"/>
      <w:pStyle w:val="slovanseznamB5"/>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3" w15:restartNumberingAfterBreak="0">
    <w:nsid w:val="4FA8164E"/>
    <w:multiLevelType w:val="hybridMultilevel"/>
    <w:tmpl w:val="C59A452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4" w15:restartNumberingAfterBreak="0">
    <w:nsid w:val="50C8512D"/>
    <w:multiLevelType w:val="hybridMultilevel"/>
    <w:tmpl w:val="E53CDADE"/>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51335985"/>
    <w:multiLevelType w:val="hybridMultilevel"/>
    <w:tmpl w:val="2FA2CF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515B5FB5"/>
    <w:multiLevelType w:val="hybridMultilevel"/>
    <w:tmpl w:val="DC08A4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52567BE1"/>
    <w:multiLevelType w:val="hybridMultilevel"/>
    <w:tmpl w:val="766EB9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8" w15:restartNumberingAfterBreak="0">
    <w:nsid w:val="53CC09F7"/>
    <w:multiLevelType w:val="hybridMultilevel"/>
    <w:tmpl w:val="DB3C310C"/>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59" w15:restartNumberingAfterBreak="0">
    <w:nsid w:val="54091E78"/>
    <w:multiLevelType w:val="hybridMultilevel"/>
    <w:tmpl w:val="E142308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0" w15:restartNumberingAfterBreak="0">
    <w:nsid w:val="553F0EB6"/>
    <w:multiLevelType w:val="hybridMultilevel"/>
    <w:tmpl w:val="136ED82E"/>
    <w:lvl w:ilvl="0" w:tplc="04050001">
      <w:start w:val="1"/>
      <w:numFmt w:val="bullet"/>
      <w:lvlText w:val=""/>
      <w:lvlJc w:val="left"/>
      <w:pPr>
        <w:ind w:left="708" w:hanging="360"/>
      </w:pPr>
      <w:rPr>
        <w:rFonts w:ascii="Symbol" w:hAnsi="Symbol" w:hint="default"/>
      </w:rPr>
    </w:lvl>
    <w:lvl w:ilvl="1" w:tplc="04050003">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161" w15:restartNumberingAfterBreak="0">
    <w:nsid w:val="56332C3D"/>
    <w:multiLevelType w:val="hybridMultilevel"/>
    <w:tmpl w:val="A12E0BCC"/>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62" w15:restartNumberingAfterBreak="0">
    <w:nsid w:val="56762A9A"/>
    <w:multiLevelType w:val="hybridMultilevel"/>
    <w:tmpl w:val="44F00988"/>
    <w:lvl w:ilvl="0" w:tplc="04050001">
      <w:start w:val="1"/>
      <w:numFmt w:val="bullet"/>
      <w:lvlText w:val=""/>
      <w:lvlJc w:val="left"/>
      <w:pPr>
        <w:ind w:left="360" w:hanging="360"/>
      </w:pPr>
      <w:rPr>
        <w:rFonts w:ascii="Symbol" w:hAnsi="Symbol" w:hint="default"/>
      </w:rPr>
    </w:lvl>
    <w:lvl w:ilvl="1" w:tplc="04050001">
      <w:start w:val="1"/>
      <w:numFmt w:val="bullet"/>
      <w:lvlText w:val=""/>
      <w:lvlJc w:val="left"/>
      <w:pPr>
        <w:ind w:left="1080" w:hanging="360"/>
      </w:pPr>
      <w:rPr>
        <w:rFonts w:ascii="Symbol" w:hAnsi="Symbol"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3" w15:restartNumberingAfterBreak="0">
    <w:nsid w:val="57AA4E7A"/>
    <w:multiLevelType w:val="multilevel"/>
    <w:tmpl w:val="04050025"/>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lvl>
    <w:lvl w:ilvl="2">
      <w:start w:val="1"/>
      <w:numFmt w:val="decimal"/>
      <w:pStyle w:val="Nadpis3"/>
      <w:lvlText w:val="%1.%2.%3"/>
      <w:lvlJc w:val="left"/>
      <w:pPr>
        <w:ind w:left="6533"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64" w15:restartNumberingAfterBreak="0">
    <w:nsid w:val="58A321E4"/>
    <w:multiLevelType w:val="multilevel"/>
    <w:tmpl w:val="E8BAE50A"/>
    <w:styleLink w:val="VariantaA-odrky"/>
    <w:lvl w:ilvl="0">
      <w:start w:val="1"/>
      <w:numFmt w:val="bullet"/>
      <w:pStyle w:val="Seznamsodrkami"/>
      <w:lvlText w:val=""/>
      <w:lvlJc w:val="left"/>
      <w:pPr>
        <w:ind w:left="357" w:hanging="357"/>
      </w:pPr>
      <w:rPr>
        <w:rFonts w:ascii="Wingdings" w:hAnsi="Wingdings" w:hint="default"/>
        <w:sz w:val="16"/>
      </w:rPr>
    </w:lvl>
    <w:lvl w:ilvl="1">
      <w:start w:val="1"/>
      <w:numFmt w:val="bullet"/>
      <w:pStyle w:val="Seznamsodrkami2"/>
      <w:lvlText w:val=""/>
      <w:lvlJc w:val="left"/>
      <w:pPr>
        <w:ind w:left="714" w:hanging="357"/>
      </w:pPr>
      <w:rPr>
        <w:rFonts w:ascii="Wingdings" w:hAnsi="Wingdings" w:hint="default"/>
        <w:sz w:val="14"/>
      </w:rPr>
    </w:lvl>
    <w:lvl w:ilvl="2">
      <w:start w:val="1"/>
      <w:numFmt w:val="bullet"/>
      <w:pStyle w:val="Seznamsodrkami3"/>
      <w:lvlText w:val=""/>
      <w:lvlJc w:val="left"/>
      <w:pPr>
        <w:ind w:left="1071" w:hanging="357"/>
      </w:pPr>
      <w:rPr>
        <w:rFonts w:ascii="Wingdings" w:hAnsi="Wingdings" w:hint="default"/>
        <w:sz w:val="10"/>
      </w:rPr>
    </w:lvl>
    <w:lvl w:ilvl="3">
      <w:start w:val="1"/>
      <w:numFmt w:val="bullet"/>
      <w:pStyle w:val="Seznamsodrkami4"/>
      <w:lvlText w:val=""/>
      <w:lvlJc w:val="left"/>
      <w:pPr>
        <w:ind w:left="1428" w:hanging="357"/>
      </w:pPr>
      <w:rPr>
        <w:rFonts w:ascii="Wingdings" w:hAnsi="Wingdings" w:hint="default"/>
        <w:sz w:val="10"/>
      </w:rPr>
    </w:lvl>
    <w:lvl w:ilvl="4">
      <w:start w:val="1"/>
      <w:numFmt w:val="bullet"/>
      <w:pStyle w:val="Seznamsodrkami5"/>
      <w:lvlText w:val=""/>
      <w:lvlJc w:val="left"/>
      <w:pPr>
        <w:ind w:left="1785" w:hanging="357"/>
      </w:pPr>
      <w:rPr>
        <w:rFonts w:ascii="Wingdings" w:hAnsi="Wingdings" w:hint="default"/>
        <w:sz w:val="10"/>
      </w:rPr>
    </w:lvl>
    <w:lvl w:ilvl="5">
      <w:start w:val="1"/>
      <w:numFmt w:val="bullet"/>
      <w:lvlText w:val=""/>
      <w:lvlJc w:val="left"/>
      <w:pPr>
        <w:ind w:left="2142" w:hanging="357"/>
      </w:pPr>
      <w:rPr>
        <w:rFonts w:ascii="Wingdings" w:hAnsi="Wingdings" w:hint="default"/>
        <w:sz w:val="10"/>
      </w:rPr>
    </w:lvl>
    <w:lvl w:ilvl="6">
      <w:start w:val="1"/>
      <w:numFmt w:val="bullet"/>
      <w:lvlText w:val=""/>
      <w:lvlJc w:val="left"/>
      <w:pPr>
        <w:ind w:left="2499" w:hanging="357"/>
      </w:pPr>
      <w:rPr>
        <w:rFonts w:ascii="Wingdings" w:hAnsi="Wingdings" w:hint="default"/>
        <w:sz w:val="10"/>
      </w:rPr>
    </w:lvl>
    <w:lvl w:ilvl="7">
      <w:start w:val="1"/>
      <w:numFmt w:val="bullet"/>
      <w:lvlText w:val=""/>
      <w:lvlJc w:val="left"/>
      <w:pPr>
        <w:ind w:left="2856" w:hanging="357"/>
      </w:pPr>
      <w:rPr>
        <w:rFonts w:ascii="Wingdings" w:hAnsi="Wingdings" w:hint="default"/>
        <w:sz w:val="10"/>
      </w:rPr>
    </w:lvl>
    <w:lvl w:ilvl="8">
      <w:start w:val="1"/>
      <w:numFmt w:val="bullet"/>
      <w:lvlText w:val=""/>
      <w:lvlJc w:val="left"/>
      <w:pPr>
        <w:ind w:left="3213" w:hanging="357"/>
      </w:pPr>
      <w:rPr>
        <w:rFonts w:ascii="Wingdings" w:hAnsi="Wingdings" w:hint="default"/>
        <w:color w:val="000000" w:themeColor="text1"/>
        <w:sz w:val="10"/>
      </w:rPr>
    </w:lvl>
  </w:abstractNum>
  <w:abstractNum w:abstractNumId="165" w15:restartNumberingAfterBreak="0">
    <w:nsid w:val="58AC7D6E"/>
    <w:multiLevelType w:val="hybridMultilevel"/>
    <w:tmpl w:val="B394B43A"/>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6" w15:restartNumberingAfterBreak="0">
    <w:nsid w:val="59234F05"/>
    <w:multiLevelType w:val="hybridMultilevel"/>
    <w:tmpl w:val="073CF8F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67" w15:restartNumberingAfterBreak="0">
    <w:nsid w:val="59560440"/>
    <w:multiLevelType w:val="hybridMultilevel"/>
    <w:tmpl w:val="5A887B62"/>
    <w:lvl w:ilvl="0" w:tplc="92EA8442">
      <w:numFmt w:val="bullet"/>
      <w:lvlText w:val="-"/>
      <w:lvlJc w:val="left"/>
      <w:pPr>
        <w:ind w:left="720" w:hanging="360"/>
      </w:pPr>
      <w:rPr>
        <w:rFonts w:ascii="Arial Narrow" w:eastAsiaTheme="minorHAnsi" w:hAnsi="Arial Narrow"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8" w15:restartNumberingAfterBreak="0">
    <w:nsid w:val="5A2B5C49"/>
    <w:multiLevelType w:val="hybridMultilevel"/>
    <w:tmpl w:val="47F042B0"/>
    <w:lvl w:ilvl="0" w:tplc="04050001">
      <w:start w:val="1"/>
      <w:numFmt w:val="bullet"/>
      <w:lvlText w:val=""/>
      <w:lvlJc w:val="left"/>
      <w:pPr>
        <w:ind w:left="1065" w:hanging="705"/>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9" w15:restartNumberingAfterBreak="0">
    <w:nsid w:val="5A93104A"/>
    <w:multiLevelType w:val="hybridMultilevel"/>
    <w:tmpl w:val="18444D6C"/>
    <w:lvl w:ilvl="0" w:tplc="04050003">
      <w:start w:val="1"/>
      <w:numFmt w:val="bullet"/>
      <w:lvlText w:val="o"/>
      <w:lvlJc w:val="left"/>
      <w:pPr>
        <w:ind w:left="1404" w:hanging="360"/>
      </w:pPr>
      <w:rPr>
        <w:rFonts w:ascii="Courier New" w:hAnsi="Courier New" w:cs="Courier New" w:hint="default"/>
      </w:rPr>
    </w:lvl>
    <w:lvl w:ilvl="1" w:tplc="04050005">
      <w:start w:val="1"/>
      <w:numFmt w:val="bullet"/>
      <w:lvlText w:val=""/>
      <w:lvlJc w:val="left"/>
      <w:pPr>
        <w:ind w:left="2124" w:hanging="360"/>
      </w:pPr>
      <w:rPr>
        <w:rFonts w:ascii="Wingdings" w:hAnsi="Wingdings" w:hint="default"/>
      </w:rPr>
    </w:lvl>
    <w:lvl w:ilvl="2" w:tplc="04050005">
      <w:start w:val="1"/>
      <w:numFmt w:val="bullet"/>
      <w:lvlText w:val=""/>
      <w:lvlJc w:val="left"/>
      <w:pPr>
        <w:ind w:left="2844" w:hanging="360"/>
      </w:pPr>
      <w:rPr>
        <w:rFonts w:ascii="Wingdings" w:hAnsi="Wingdings" w:hint="default"/>
      </w:rPr>
    </w:lvl>
    <w:lvl w:ilvl="3" w:tplc="04050001" w:tentative="1">
      <w:start w:val="1"/>
      <w:numFmt w:val="bullet"/>
      <w:lvlText w:val=""/>
      <w:lvlJc w:val="left"/>
      <w:pPr>
        <w:ind w:left="3564" w:hanging="360"/>
      </w:pPr>
      <w:rPr>
        <w:rFonts w:ascii="Symbol" w:hAnsi="Symbol" w:hint="default"/>
      </w:rPr>
    </w:lvl>
    <w:lvl w:ilvl="4" w:tplc="04050003" w:tentative="1">
      <w:start w:val="1"/>
      <w:numFmt w:val="bullet"/>
      <w:lvlText w:val="o"/>
      <w:lvlJc w:val="left"/>
      <w:pPr>
        <w:ind w:left="4284" w:hanging="360"/>
      </w:pPr>
      <w:rPr>
        <w:rFonts w:ascii="Courier New" w:hAnsi="Courier New" w:cs="Courier New" w:hint="default"/>
      </w:rPr>
    </w:lvl>
    <w:lvl w:ilvl="5" w:tplc="04050005" w:tentative="1">
      <w:start w:val="1"/>
      <w:numFmt w:val="bullet"/>
      <w:lvlText w:val=""/>
      <w:lvlJc w:val="left"/>
      <w:pPr>
        <w:ind w:left="5004" w:hanging="360"/>
      </w:pPr>
      <w:rPr>
        <w:rFonts w:ascii="Wingdings" w:hAnsi="Wingdings" w:hint="default"/>
      </w:rPr>
    </w:lvl>
    <w:lvl w:ilvl="6" w:tplc="04050001" w:tentative="1">
      <w:start w:val="1"/>
      <w:numFmt w:val="bullet"/>
      <w:lvlText w:val=""/>
      <w:lvlJc w:val="left"/>
      <w:pPr>
        <w:ind w:left="5724" w:hanging="360"/>
      </w:pPr>
      <w:rPr>
        <w:rFonts w:ascii="Symbol" w:hAnsi="Symbol" w:hint="default"/>
      </w:rPr>
    </w:lvl>
    <w:lvl w:ilvl="7" w:tplc="04050003" w:tentative="1">
      <w:start w:val="1"/>
      <w:numFmt w:val="bullet"/>
      <w:lvlText w:val="o"/>
      <w:lvlJc w:val="left"/>
      <w:pPr>
        <w:ind w:left="6444" w:hanging="360"/>
      </w:pPr>
      <w:rPr>
        <w:rFonts w:ascii="Courier New" w:hAnsi="Courier New" w:cs="Courier New" w:hint="default"/>
      </w:rPr>
    </w:lvl>
    <w:lvl w:ilvl="8" w:tplc="04050005" w:tentative="1">
      <w:start w:val="1"/>
      <w:numFmt w:val="bullet"/>
      <w:lvlText w:val=""/>
      <w:lvlJc w:val="left"/>
      <w:pPr>
        <w:ind w:left="7164" w:hanging="360"/>
      </w:pPr>
      <w:rPr>
        <w:rFonts w:ascii="Wingdings" w:hAnsi="Wingdings" w:hint="default"/>
      </w:rPr>
    </w:lvl>
  </w:abstractNum>
  <w:abstractNum w:abstractNumId="170" w15:restartNumberingAfterBreak="0">
    <w:nsid w:val="5AF35F43"/>
    <w:multiLevelType w:val="multilevel"/>
    <w:tmpl w:val="0D8ABE32"/>
    <w:numStyleLink w:val="VariantaB-sla"/>
  </w:abstractNum>
  <w:abstractNum w:abstractNumId="171" w15:restartNumberingAfterBreak="0">
    <w:nsid w:val="5B144AB4"/>
    <w:multiLevelType w:val="hybridMultilevel"/>
    <w:tmpl w:val="5A0261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2" w15:restartNumberingAfterBreak="0">
    <w:nsid w:val="5B533ED1"/>
    <w:multiLevelType w:val="hybridMultilevel"/>
    <w:tmpl w:val="34B2FD68"/>
    <w:lvl w:ilvl="0" w:tplc="48ECE1D6">
      <w:start w:val="1"/>
      <w:numFmt w:val="bullet"/>
      <w:lvlText w:val=""/>
      <w:lvlJc w:val="left"/>
      <w:pPr>
        <w:tabs>
          <w:tab w:val="num" w:pos="360"/>
        </w:tabs>
        <w:ind w:left="360" w:hanging="360"/>
      </w:pPr>
      <w:rPr>
        <w:rFonts w:ascii="Symbol" w:hAnsi="Symbol" w:hint="default"/>
        <w:color w:val="auto"/>
      </w:rPr>
    </w:lvl>
    <w:lvl w:ilvl="1" w:tplc="04050003">
      <w:start w:val="1"/>
      <w:numFmt w:val="bullet"/>
      <w:lvlText w:val="o"/>
      <w:lvlJc w:val="left"/>
      <w:pPr>
        <w:tabs>
          <w:tab w:val="num" w:pos="1213"/>
        </w:tabs>
        <w:ind w:left="1213" w:hanging="360"/>
      </w:pPr>
      <w:rPr>
        <w:rFonts w:ascii="Courier New" w:hAnsi="Courier New" w:cs="Courier New" w:hint="default"/>
      </w:rPr>
    </w:lvl>
    <w:lvl w:ilvl="2" w:tplc="04050005">
      <w:start w:val="1"/>
      <w:numFmt w:val="bullet"/>
      <w:lvlText w:val=""/>
      <w:lvlJc w:val="left"/>
      <w:pPr>
        <w:tabs>
          <w:tab w:val="num" w:pos="1933"/>
        </w:tabs>
        <w:ind w:left="1933" w:hanging="360"/>
      </w:pPr>
      <w:rPr>
        <w:rFonts w:ascii="Wingdings" w:hAnsi="Wingdings" w:hint="default"/>
      </w:rPr>
    </w:lvl>
    <w:lvl w:ilvl="3" w:tplc="04050001">
      <w:start w:val="1"/>
      <w:numFmt w:val="bullet"/>
      <w:lvlText w:val=""/>
      <w:lvlJc w:val="left"/>
      <w:pPr>
        <w:tabs>
          <w:tab w:val="num" w:pos="2653"/>
        </w:tabs>
        <w:ind w:left="2653" w:hanging="360"/>
      </w:pPr>
      <w:rPr>
        <w:rFonts w:ascii="Symbol" w:hAnsi="Symbol" w:hint="default"/>
      </w:rPr>
    </w:lvl>
    <w:lvl w:ilvl="4" w:tplc="04050003">
      <w:start w:val="1"/>
      <w:numFmt w:val="bullet"/>
      <w:lvlText w:val="o"/>
      <w:lvlJc w:val="left"/>
      <w:pPr>
        <w:tabs>
          <w:tab w:val="num" w:pos="3373"/>
        </w:tabs>
        <w:ind w:left="3373" w:hanging="360"/>
      </w:pPr>
      <w:rPr>
        <w:rFonts w:ascii="Courier New" w:hAnsi="Courier New" w:cs="Courier New" w:hint="default"/>
      </w:rPr>
    </w:lvl>
    <w:lvl w:ilvl="5" w:tplc="04050005">
      <w:start w:val="1"/>
      <w:numFmt w:val="bullet"/>
      <w:lvlText w:val=""/>
      <w:lvlJc w:val="left"/>
      <w:pPr>
        <w:tabs>
          <w:tab w:val="num" w:pos="4093"/>
        </w:tabs>
        <w:ind w:left="4093" w:hanging="360"/>
      </w:pPr>
      <w:rPr>
        <w:rFonts w:ascii="Wingdings" w:hAnsi="Wingdings" w:hint="default"/>
      </w:rPr>
    </w:lvl>
    <w:lvl w:ilvl="6" w:tplc="04050001">
      <w:start w:val="1"/>
      <w:numFmt w:val="bullet"/>
      <w:lvlText w:val=""/>
      <w:lvlJc w:val="left"/>
      <w:pPr>
        <w:tabs>
          <w:tab w:val="num" w:pos="4813"/>
        </w:tabs>
        <w:ind w:left="4813" w:hanging="360"/>
      </w:pPr>
      <w:rPr>
        <w:rFonts w:ascii="Symbol" w:hAnsi="Symbol" w:hint="default"/>
      </w:rPr>
    </w:lvl>
    <w:lvl w:ilvl="7" w:tplc="04050003">
      <w:start w:val="1"/>
      <w:numFmt w:val="bullet"/>
      <w:lvlText w:val="o"/>
      <w:lvlJc w:val="left"/>
      <w:pPr>
        <w:tabs>
          <w:tab w:val="num" w:pos="5533"/>
        </w:tabs>
        <w:ind w:left="5533" w:hanging="360"/>
      </w:pPr>
      <w:rPr>
        <w:rFonts w:ascii="Courier New" w:hAnsi="Courier New" w:cs="Courier New" w:hint="default"/>
      </w:rPr>
    </w:lvl>
    <w:lvl w:ilvl="8" w:tplc="04050005">
      <w:start w:val="1"/>
      <w:numFmt w:val="bullet"/>
      <w:lvlText w:val=""/>
      <w:lvlJc w:val="left"/>
      <w:pPr>
        <w:tabs>
          <w:tab w:val="num" w:pos="6253"/>
        </w:tabs>
        <w:ind w:left="6253" w:hanging="360"/>
      </w:pPr>
      <w:rPr>
        <w:rFonts w:ascii="Wingdings" w:hAnsi="Wingdings" w:hint="default"/>
      </w:rPr>
    </w:lvl>
  </w:abstractNum>
  <w:abstractNum w:abstractNumId="173" w15:restartNumberingAfterBreak="0">
    <w:nsid w:val="5BB91E24"/>
    <w:multiLevelType w:val="hybridMultilevel"/>
    <w:tmpl w:val="F1865DB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4" w15:restartNumberingAfterBreak="0">
    <w:nsid w:val="5BFD478E"/>
    <w:multiLevelType w:val="hybridMultilevel"/>
    <w:tmpl w:val="90C2F622"/>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5" w15:restartNumberingAfterBreak="0">
    <w:nsid w:val="5CEF73D5"/>
    <w:multiLevelType w:val="hybridMultilevel"/>
    <w:tmpl w:val="EB9A23A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76" w15:restartNumberingAfterBreak="0">
    <w:nsid w:val="5E2A4CC9"/>
    <w:multiLevelType w:val="hybridMultilevel"/>
    <w:tmpl w:val="22A0C71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7" w15:restartNumberingAfterBreak="0">
    <w:nsid w:val="5E884D81"/>
    <w:multiLevelType w:val="hybridMultilevel"/>
    <w:tmpl w:val="4492F632"/>
    <w:lvl w:ilvl="0" w:tplc="3D74F8C4">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8" w15:restartNumberingAfterBreak="0">
    <w:nsid w:val="5F0937D0"/>
    <w:multiLevelType w:val="hybridMultilevel"/>
    <w:tmpl w:val="991E94E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9" w15:restartNumberingAfterBreak="0">
    <w:nsid w:val="5F993750"/>
    <w:multiLevelType w:val="hybridMultilevel"/>
    <w:tmpl w:val="6F046746"/>
    <w:lvl w:ilvl="0" w:tplc="04050001">
      <w:start w:val="1"/>
      <w:numFmt w:val="bullet"/>
      <w:lvlText w:val=""/>
      <w:lvlJc w:val="left"/>
      <w:pPr>
        <w:ind w:left="1065" w:hanging="705"/>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0" w15:restartNumberingAfterBreak="0">
    <w:nsid w:val="5FB57B28"/>
    <w:multiLevelType w:val="hybridMultilevel"/>
    <w:tmpl w:val="06BCC8D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1" w15:restartNumberingAfterBreak="0">
    <w:nsid w:val="616A588C"/>
    <w:multiLevelType w:val="hybridMultilevel"/>
    <w:tmpl w:val="336AC0EA"/>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2" w15:restartNumberingAfterBreak="0">
    <w:nsid w:val="617512DD"/>
    <w:multiLevelType w:val="hybridMultilevel"/>
    <w:tmpl w:val="D94CE47E"/>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3" w15:restartNumberingAfterBreak="0">
    <w:nsid w:val="63267106"/>
    <w:multiLevelType w:val="hybridMultilevel"/>
    <w:tmpl w:val="849AAE24"/>
    <w:lvl w:ilvl="0" w:tplc="04050005">
      <w:start w:val="1"/>
      <w:numFmt w:val="bullet"/>
      <w:lvlText w:val=""/>
      <w:lvlJc w:val="left"/>
      <w:pPr>
        <w:ind w:left="2138" w:hanging="360"/>
      </w:pPr>
      <w:rPr>
        <w:rFonts w:ascii="Wingdings" w:hAnsi="Wingdings" w:hint="default"/>
      </w:rPr>
    </w:lvl>
    <w:lvl w:ilvl="1" w:tplc="04050003">
      <w:start w:val="1"/>
      <w:numFmt w:val="bullet"/>
      <w:lvlText w:val="o"/>
      <w:lvlJc w:val="left"/>
      <w:pPr>
        <w:ind w:left="2858" w:hanging="360"/>
      </w:pPr>
      <w:rPr>
        <w:rFonts w:ascii="Courier New" w:hAnsi="Courier New" w:cs="Courier New" w:hint="default"/>
      </w:rPr>
    </w:lvl>
    <w:lvl w:ilvl="2" w:tplc="04050005">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84" w15:restartNumberingAfterBreak="0">
    <w:nsid w:val="634B0AE2"/>
    <w:multiLevelType w:val="hybridMultilevel"/>
    <w:tmpl w:val="859E642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5" w15:restartNumberingAfterBreak="0">
    <w:nsid w:val="640135CC"/>
    <w:multiLevelType w:val="hybridMultilevel"/>
    <w:tmpl w:val="C40A31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6" w15:restartNumberingAfterBreak="0">
    <w:nsid w:val="645C5FDE"/>
    <w:multiLevelType w:val="hybridMultilevel"/>
    <w:tmpl w:val="0E0081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7" w15:restartNumberingAfterBreak="0">
    <w:nsid w:val="64821E1E"/>
    <w:multiLevelType w:val="hybridMultilevel"/>
    <w:tmpl w:val="3EB86356"/>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8" w15:restartNumberingAfterBreak="0">
    <w:nsid w:val="64FE3A77"/>
    <w:multiLevelType w:val="hybridMultilevel"/>
    <w:tmpl w:val="60B46D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9" w15:restartNumberingAfterBreak="0">
    <w:nsid w:val="66F76CE2"/>
    <w:multiLevelType w:val="hybridMultilevel"/>
    <w:tmpl w:val="C728C7D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0" w15:restartNumberingAfterBreak="0">
    <w:nsid w:val="67F14B44"/>
    <w:multiLevelType w:val="hybridMultilevel"/>
    <w:tmpl w:val="863AF0E4"/>
    <w:lvl w:ilvl="0" w:tplc="04050003">
      <w:start w:val="1"/>
      <w:numFmt w:val="bullet"/>
      <w:lvlText w:val="o"/>
      <w:lvlJc w:val="left"/>
      <w:pPr>
        <w:ind w:left="1068" w:hanging="360"/>
      </w:pPr>
      <w:rPr>
        <w:rFonts w:ascii="Courier New" w:hAnsi="Courier New" w:cs="Courier New"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191" w15:restartNumberingAfterBreak="0">
    <w:nsid w:val="68457BB5"/>
    <w:multiLevelType w:val="hybridMultilevel"/>
    <w:tmpl w:val="258E24EE"/>
    <w:lvl w:ilvl="0" w:tplc="04050001">
      <w:start w:val="1"/>
      <w:numFmt w:val="bullet"/>
      <w:lvlText w:val=""/>
      <w:lvlJc w:val="left"/>
      <w:pPr>
        <w:ind w:left="708" w:hanging="360"/>
      </w:pPr>
      <w:rPr>
        <w:rFonts w:ascii="Symbol" w:hAnsi="Symbol" w:hint="default"/>
      </w:rPr>
    </w:lvl>
    <w:lvl w:ilvl="1" w:tplc="04050003">
      <w:start w:val="1"/>
      <w:numFmt w:val="bullet"/>
      <w:lvlText w:val="o"/>
      <w:lvlJc w:val="left"/>
      <w:pPr>
        <w:ind w:left="1428" w:hanging="360"/>
      </w:pPr>
      <w:rPr>
        <w:rFonts w:ascii="Courier New" w:hAnsi="Courier New" w:cs="Courier New" w:hint="default"/>
      </w:rPr>
    </w:lvl>
    <w:lvl w:ilvl="2" w:tplc="04050005" w:tentative="1">
      <w:start w:val="1"/>
      <w:numFmt w:val="bullet"/>
      <w:lvlText w:val=""/>
      <w:lvlJc w:val="left"/>
      <w:pPr>
        <w:ind w:left="2148" w:hanging="360"/>
      </w:pPr>
      <w:rPr>
        <w:rFonts w:ascii="Wingdings" w:hAnsi="Wingdings" w:hint="default"/>
      </w:rPr>
    </w:lvl>
    <w:lvl w:ilvl="3" w:tplc="04050001" w:tentative="1">
      <w:start w:val="1"/>
      <w:numFmt w:val="bullet"/>
      <w:lvlText w:val=""/>
      <w:lvlJc w:val="left"/>
      <w:pPr>
        <w:ind w:left="2868" w:hanging="360"/>
      </w:pPr>
      <w:rPr>
        <w:rFonts w:ascii="Symbol" w:hAnsi="Symbol" w:hint="default"/>
      </w:rPr>
    </w:lvl>
    <w:lvl w:ilvl="4" w:tplc="04050003" w:tentative="1">
      <w:start w:val="1"/>
      <w:numFmt w:val="bullet"/>
      <w:lvlText w:val="o"/>
      <w:lvlJc w:val="left"/>
      <w:pPr>
        <w:ind w:left="3588" w:hanging="360"/>
      </w:pPr>
      <w:rPr>
        <w:rFonts w:ascii="Courier New" w:hAnsi="Courier New" w:cs="Courier New" w:hint="default"/>
      </w:rPr>
    </w:lvl>
    <w:lvl w:ilvl="5" w:tplc="04050005" w:tentative="1">
      <w:start w:val="1"/>
      <w:numFmt w:val="bullet"/>
      <w:lvlText w:val=""/>
      <w:lvlJc w:val="left"/>
      <w:pPr>
        <w:ind w:left="4308" w:hanging="360"/>
      </w:pPr>
      <w:rPr>
        <w:rFonts w:ascii="Wingdings" w:hAnsi="Wingdings" w:hint="default"/>
      </w:rPr>
    </w:lvl>
    <w:lvl w:ilvl="6" w:tplc="04050001" w:tentative="1">
      <w:start w:val="1"/>
      <w:numFmt w:val="bullet"/>
      <w:lvlText w:val=""/>
      <w:lvlJc w:val="left"/>
      <w:pPr>
        <w:ind w:left="5028" w:hanging="360"/>
      </w:pPr>
      <w:rPr>
        <w:rFonts w:ascii="Symbol" w:hAnsi="Symbol" w:hint="default"/>
      </w:rPr>
    </w:lvl>
    <w:lvl w:ilvl="7" w:tplc="04050003" w:tentative="1">
      <w:start w:val="1"/>
      <w:numFmt w:val="bullet"/>
      <w:lvlText w:val="o"/>
      <w:lvlJc w:val="left"/>
      <w:pPr>
        <w:ind w:left="5748" w:hanging="360"/>
      </w:pPr>
      <w:rPr>
        <w:rFonts w:ascii="Courier New" w:hAnsi="Courier New" w:cs="Courier New" w:hint="default"/>
      </w:rPr>
    </w:lvl>
    <w:lvl w:ilvl="8" w:tplc="04050005" w:tentative="1">
      <w:start w:val="1"/>
      <w:numFmt w:val="bullet"/>
      <w:lvlText w:val=""/>
      <w:lvlJc w:val="left"/>
      <w:pPr>
        <w:ind w:left="6468" w:hanging="360"/>
      </w:pPr>
      <w:rPr>
        <w:rFonts w:ascii="Wingdings" w:hAnsi="Wingdings" w:hint="default"/>
      </w:rPr>
    </w:lvl>
  </w:abstractNum>
  <w:abstractNum w:abstractNumId="192" w15:restartNumberingAfterBreak="0">
    <w:nsid w:val="68B52EA3"/>
    <w:multiLevelType w:val="hybridMultilevel"/>
    <w:tmpl w:val="AAC4A82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3" w15:restartNumberingAfterBreak="0">
    <w:nsid w:val="69DA2096"/>
    <w:multiLevelType w:val="hybridMultilevel"/>
    <w:tmpl w:val="67ACCB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4" w15:restartNumberingAfterBreak="0">
    <w:nsid w:val="6A3F4F5E"/>
    <w:multiLevelType w:val="hybridMultilevel"/>
    <w:tmpl w:val="3EE06C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5" w15:restartNumberingAfterBreak="0">
    <w:nsid w:val="6B6562F0"/>
    <w:multiLevelType w:val="hybridMultilevel"/>
    <w:tmpl w:val="3CD07342"/>
    <w:lvl w:ilvl="0" w:tplc="04050003">
      <w:start w:val="1"/>
      <w:numFmt w:val="bullet"/>
      <w:lvlText w:val="o"/>
      <w:lvlJc w:val="left"/>
      <w:pPr>
        <w:ind w:left="1428" w:hanging="360"/>
      </w:pPr>
      <w:rPr>
        <w:rFonts w:ascii="Courier New" w:hAnsi="Courier New" w:cs="Courier New" w:hint="default"/>
      </w:rPr>
    </w:lvl>
    <w:lvl w:ilvl="1" w:tplc="04050003">
      <w:start w:val="1"/>
      <w:numFmt w:val="bullet"/>
      <w:lvlText w:val="o"/>
      <w:lvlJc w:val="left"/>
      <w:pPr>
        <w:ind w:left="2148" w:hanging="360"/>
      </w:pPr>
      <w:rPr>
        <w:rFonts w:ascii="Courier New" w:hAnsi="Courier New" w:cs="Courier New" w:hint="default"/>
      </w:rPr>
    </w:lvl>
    <w:lvl w:ilvl="2" w:tplc="04050005">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96" w15:restartNumberingAfterBreak="0">
    <w:nsid w:val="6BE21C1D"/>
    <w:multiLevelType w:val="hybridMultilevel"/>
    <w:tmpl w:val="5C5A85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7" w15:restartNumberingAfterBreak="0">
    <w:nsid w:val="6D692DF6"/>
    <w:multiLevelType w:val="hybridMultilevel"/>
    <w:tmpl w:val="C13CCDA0"/>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8" w15:restartNumberingAfterBreak="0">
    <w:nsid w:val="6E712EEB"/>
    <w:multiLevelType w:val="hybridMultilevel"/>
    <w:tmpl w:val="61C2E4A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9" w15:restartNumberingAfterBreak="0">
    <w:nsid w:val="709D1358"/>
    <w:multiLevelType w:val="hybridMultilevel"/>
    <w:tmpl w:val="2522069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0" w15:restartNumberingAfterBreak="0">
    <w:nsid w:val="71121FC5"/>
    <w:multiLevelType w:val="hybridMultilevel"/>
    <w:tmpl w:val="13CCE03A"/>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1" w15:restartNumberingAfterBreak="0">
    <w:nsid w:val="716A34A2"/>
    <w:multiLevelType w:val="hybridMultilevel"/>
    <w:tmpl w:val="DCD43B1C"/>
    <w:lvl w:ilvl="0" w:tplc="04050003">
      <w:start w:val="1"/>
      <w:numFmt w:val="bullet"/>
      <w:lvlText w:val="o"/>
      <w:lvlJc w:val="left"/>
      <w:pPr>
        <w:ind w:left="1416" w:hanging="360"/>
      </w:pPr>
      <w:rPr>
        <w:rFonts w:ascii="Courier New" w:hAnsi="Courier New" w:cs="Courier New" w:hint="default"/>
      </w:rPr>
    </w:lvl>
    <w:lvl w:ilvl="1" w:tplc="04050003">
      <w:start w:val="1"/>
      <w:numFmt w:val="bullet"/>
      <w:lvlText w:val="o"/>
      <w:lvlJc w:val="left"/>
      <w:pPr>
        <w:ind w:left="2136" w:hanging="360"/>
      </w:pPr>
      <w:rPr>
        <w:rFonts w:ascii="Courier New" w:hAnsi="Courier New" w:cs="Courier New" w:hint="default"/>
      </w:rPr>
    </w:lvl>
    <w:lvl w:ilvl="2" w:tplc="04050005">
      <w:start w:val="1"/>
      <w:numFmt w:val="bullet"/>
      <w:lvlText w:val=""/>
      <w:lvlJc w:val="left"/>
      <w:pPr>
        <w:ind w:left="2856" w:hanging="360"/>
      </w:pPr>
      <w:rPr>
        <w:rFonts w:ascii="Wingdings" w:hAnsi="Wingdings" w:hint="default"/>
      </w:rPr>
    </w:lvl>
    <w:lvl w:ilvl="3" w:tplc="04050001" w:tentative="1">
      <w:start w:val="1"/>
      <w:numFmt w:val="bullet"/>
      <w:lvlText w:val=""/>
      <w:lvlJc w:val="left"/>
      <w:pPr>
        <w:ind w:left="3576" w:hanging="360"/>
      </w:pPr>
      <w:rPr>
        <w:rFonts w:ascii="Symbol" w:hAnsi="Symbol" w:hint="default"/>
      </w:rPr>
    </w:lvl>
    <w:lvl w:ilvl="4" w:tplc="04050003" w:tentative="1">
      <w:start w:val="1"/>
      <w:numFmt w:val="bullet"/>
      <w:lvlText w:val="o"/>
      <w:lvlJc w:val="left"/>
      <w:pPr>
        <w:ind w:left="4296" w:hanging="360"/>
      </w:pPr>
      <w:rPr>
        <w:rFonts w:ascii="Courier New" w:hAnsi="Courier New" w:cs="Courier New" w:hint="default"/>
      </w:rPr>
    </w:lvl>
    <w:lvl w:ilvl="5" w:tplc="04050005" w:tentative="1">
      <w:start w:val="1"/>
      <w:numFmt w:val="bullet"/>
      <w:lvlText w:val=""/>
      <w:lvlJc w:val="left"/>
      <w:pPr>
        <w:ind w:left="5016" w:hanging="360"/>
      </w:pPr>
      <w:rPr>
        <w:rFonts w:ascii="Wingdings" w:hAnsi="Wingdings" w:hint="default"/>
      </w:rPr>
    </w:lvl>
    <w:lvl w:ilvl="6" w:tplc="04050001" w:tentative="1">
      <w:start w:val="1"/>
      <w:numFmt w:val="bullet"/>
      <w:lvlText w:val=""/>
      <w:lvlJc w:val="left"/>
      <w:pPr>
        <w:ind w:left="5736" w:hanging="360"/>
      </w:pPr>
      <w:rPr>
        <w:rFonts w:ascii="Symbol" w:hAnsi="Symbol" w:hint="default"/>
      </w:rPr>
    </w:lvl>
    <w:lvl w:ilvl="7" w:tplc="04050003" w:tentative="1">
      <w:start w:val="1"/>
      <w:numFmt w:val="bullet"/>
      <w:lvlText w:val="o"/>
      <w:lvlJc w:val="left"/>
      <w:pPr>
        <w:ind w:left="6456" w:hanging="360"/>
      </w:pPr>
      <w:rPr>
        <w:rFonts w:ascii="Courier New" w:hAnsi="Courier New" w:cs="Courier New" w:hint="default"/>
      </w:rPr>
    </w:lvl>
    <w:lvl w:ilvl="8" w:tplc="04050005" w:tentative="1">
      <w:start w:val="1"/>
      <w:numFmt w:val="bullet"/>
      <w:lvlText w:val=""/>
      <w:lvlJc w:val="left"/>
      <w:pPr>
        <w:ind w:left="7176" w:hanging="360"/>
      </w:pPr>
      <w:rPr>
        <w:rFonts w:ascii="Wingdings" w:hAnsi="Wingdings" w:hint="default"/>
      </w:rPr>
    </w:lvl>
  </w:abstractNum>
  <w:abstractNum w:abstractNumId="202" w15:restartNumberingAfterBreak="0">
    <w:nsid w:val="71976E2E"/>
    <w:multiLevelType w:val="hybridMultilevel"/>
    <w:tmpl w:val="4F42EFD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3" w15:restartNumberingAfterBreak="0">
    <w:nsid w:val="71CF6AFF"/>
    <w:multiLevelType w:val="hybridMultilevel"/>
    <w:tmpl w:val="94587646"/>
    <w:lvl w:ilvl="0" w:tplc="04050003">
      <w:start w:val="1"/>
      <w:numFmt w:val="bullet"/>
      <w:lvlText w:val="o"/>
      <w:lvlJc w:val="left"/>
      <w:pPr>
        <w:ind w:left="1776" w:hanging="360"/>
      </w:pPr>
      <w:rPr>
        <w:rFonts w:ascii="Courier New" w:hAnsi="Courier New" w:cs="Courier New" w:hint="default"/>
      </w:rPr>
    </w:lvl>
    <w:lvl w:ilvl="1" w:tplc="04050003">
      <w:start w:val="1"/>
      <w:numFmt w:val="bullet"/>
      <w:lvlText w:val="o"/>
      <w:lvlJc w:val="left"/>
      <w:pPr>
        <w:ind w:left="2496" w:hanging="360"/>
      </w:pPr>
      <w:rPr>
        <w:rFonts w:ascii="Courier New" w:hAnsi="Courier New" w:cs="Courier New" w:hint="default"/>
      </w:rPr>
    </w:lvl>
    <w:lvl w:ilvl="2" w:tplc="04050005">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204" w15:restartNumberingAfterBreak="0">
    <w:nsid w:val="72F2782C"/>
    <w:multiLevelType w:val="hybridMultilevel"/>
    <w:tmpl w:val="FB6022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5" w15:restartNumberingAfterBreak="0">
    <w:nsid w:val="73542E03"/>
    <w:multiLevelType w:val="hybridMultilevel"/>
    <w:tmpl w:val="2FC8577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6" w15:restartNumberingAfterBreak="0">
    <w:nsid w:val="741F136B"/>
    <w:multiLevelType w:val="hybridMultilevel"/>
    <w:tmpl w:val="16365540"/>
    <w:lvl w:ilvl="0" w:tplc="E690B814">
      <w:start w:val="1"/>
      <w:numFmt w:val="bullet"/>
      <w:lvlText w:val=""/>
      <w:lvlJc w:val="left"/>
      <w:pPr>
        <w:ind w:left="720" w:hanging="360"/>
      </w:pPr>
      <w:rPr>
        <w:rFonts w:ascii="Symbol" w:hAnsi="Symbol" w:hint="default"/>
        <w:sz w:val="22"/>
        <w:szCs w:val="22"/>
      </w:rPr>
    </w:lvl>
    <w:lvl w:ilvl="1" w:tplc="6BA4E3FC">
      <w:start w:val="2010"/>
      <w:numFmt w:val="bullet"/>
      <w:lvlText w:val="-"/>
      <w:lvlJc w:val="left"/>
      <w:pPr>
        <w:ind w:left="1440" w:hanging="360"/>
      </w:pPr>
      <w:rPr>
        <w:rFonts w:ascii="Calibri" w:eastAsia="Calibri" w:hAnsi="Calibri"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7" w15:restartNumberingAfterBreak="0">
    <w:nsid w:val="74401F12"/>
    <w:multiLevelType w:val="hybridMultilevel"/>
    <w:tmpl w:val="41AA8EE2"/>
    <w:lvl w:ilvl="0" w:tplc="04050003">
      <w:start w:val="1"/>
      <w:numFmt w:val="bullet"/>
      <w:lvlText w:val="o"/>
      <w:lvlJc w:val="left"/>
      <w:pPr>
        <w:ind w:left="1440" w:hanging="360"/>
      </w:pPr>
      <w:rPr>
        <w:rFonts w:ascii="Courier New" w:hAnsi="Courier New" w:cs="Courier New"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08" w15:restartNumberingAfterBreak="0">
    <w:nsid w:val="74623501"/>
    <w:multiLevelType w:val="hybridMultilevel"/>
    <w:tmpl w:val="5596D464"/>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9" w15:restartNumberingAfterBreak="0">
    <w:nsid w:val="746F0475"/>
    <w:multiLevelType w:val="hybridMultilevel"/>
    <w:tmpl w:val="D87A56C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0" w15:restartNumberingAfterBreak="0">
    <w:nsid w:val="75730106"/>
    <w:multiLevelType w:val="hybridMultilevel"/>
    <w:tmpl w:val="D1E849E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1" w15:restartNumberingAfterBreak="0">
    <w:nsid w:val="75FB7901"/>
    <w:multiLevelType w:val="hybridMultilevel"/>
    <w:tmpl w:val="9612CAF4"/>
    <w:lvl w:ilvl="0" w:tplc="6BA4E3FC">
      <w:start w:val="2010"/>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2" w15:restartNumberingAfterBreak="0">
    <w:nsid w:val="761E38D0"/>
    <w:multiLevelType w:val="hybridMultilevel"/>
    <w:tmpl w:val="9F1C5BE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3" w15:restartNumberingAfterBreak="0">
    <w:nsid w:val="76420BDF"/>
    <w:multiLevelType w:val="hybridMultilevel"/>
    <w:tmpl w:val="0028432A"/>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4" w15:restartNumberingAfterBreak="0">
    <w:nsid w:val="76E21A31"/>
    <w:multiLevelType w:val="hybridMultilevel"/>
    <w:tmpl w:val="EC9A731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5" w15:restartNumberingAfterBreak="0">
    <w:nsid w:val="76E44F75"/>
    <w:multiLevelType w:val="hybridMultilevel"/>
    <w:tmpl w:val="0102117C"/>
    <w:lvl w:ilvl="0" w:tplc="04050001">
      <w:start w:val="1"/>
      <w:numFmt w:val="bullet"/>
      <w:lvlText w:val=""/>
      <w:lvlJc w:val="left"/>
      <w:pPr>
        <w:ind w:left="1065" w:hanging="705"/>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6" w15:restartNumberingAfterBreak="0">
    <w:nsid w:val="776F2CA8"/>
    <w:multiLevelType w:val="hybridMultilevel"/>
    <w:tmpl w:val="CDEC558C"/>
    <w:lvl w:ilvl="0" w:tplc="04050003">
      <w:start w:val="1"/>
      <w:numFmt w:val="bullet"/>
      <w:lvlText w:val="o"/>
      <w:lvlJc w:val="left"/>
      <w:pPr>
        <w:ind w:left="1068" w:hanging="360"/>
      </w:pPr>
      <w:rPr>
        <w:rFonts w:ascii="Courier New" w:hAnsi="Courier New" w:cs="Courier New"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217" w15:restartNumberingAfterBreak="0">
    <w:nsid w:val="77CD360A"/>
    <w:multiLevelType w:val="hybridMultilevel"/>
    <w:tmpl w:val="882C70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8" w15:restartNumberingAfterBreak="0">
    <w:nsid w:val="786751EB"/>
    <w:multiLevelType w:val="hybridMultilevel"/>
    <w:tmpl w:val="D74C1AF6"/>
    <w:lvl w:ilvl="0" w:tplc="04050003">
      <w:start w:val="1"/>
      <w:numFmt w:val="bullet"/>
      <w:lvlText w:val="o"/>
      <w:lvlJc w:val="left"/>
      <w:pPr>
        <w:ind w:left="1428" w:hanging="360"/>
      </w:pPr>
      <w:rPr>
        <w:rFonts w:ascii="Courier New" w:hAnsi="Courier New" w:cs="Courier New" w:hint="default"/>
      </w:rPr>
    </w:lvl>
    <w:lvl w:ilvl="1" w:tplc="04050005">
      <w:start w:val="1"/>
      <w:numFmt w:val="bullet"/>
      <w:lvlText w:val=""/>
      <w:lvlJc w:val="left"/>
      <w:pPr>
        <w:ind w:left="2148" w:hanging="360"/>
      </w:pPr>
      <w:rPr>
        <w:rFonts w:ascii="Wingdings" w:hAnsi="Wingdings" w:hint="default"/>
      </w:rPr>
    </w:lvl>
    <w:lvl w:ilvl="2" w:tplc="04050005">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19" w15:restartNumberingAfterBreak="0">
    <w:nsid w:val="78C85B42"/>
    <w:multiLevelType w:val="hybridMultilevel"/>
    <w:tmpl w:val="4166725A"/>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0" w15:restartNumberingAfterBreak="0">
    <w:nsid w:val="79271522"/>
    <w:multiLevelType w:val="hybridMultilevel"/>
    <w:tmpl w:val="B5D2AEC4"/>
    <w:lvl w:ilvl="0" w:tplc="04050003">
      <w:start w:val="1"/>
      <w:numFmt w:val="bullet"/>
      <w:lvlText w:val="o"/>
      <w:lvlJc w:val="left"/>
      <w:pPr>
        <w:ind w:left="1440" w:hanging="360"/>
      </w:pPr>
      <w:rPr>
        <w:rFonts w:ascii="Courier New" w:hAnsi="Courier New" w:cs="Courier New" w:hint="default"/>
      </w:rPr>
    </w:lvl>
    <w:lvl w:ilvl="1" w:tplc="04050001">
      <w:start w:val="1"/>
      <w:numFmt w:val="bullet"/>
      <w:lvlText w:val=""/>
      <w:lvlJc w:val="left"/>
      <w:pPr>
        <w:ind w:left="2160" w:hanging="360"/>
      </w:pPr>
      <w:rPr>
        <w:rFonts w:ascii="Symbol" w:hAnsi="Symbol"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21" w15:restartNumberingAfterBreak="0">
    <w:nsid w:val="794236E4"/>
    <w:multiLevelType w:val="hybridMultilevel"/>
    <w:tmpl w:val="61F201D6"/>
    <w:lvl w:ilvl="0" w:tplc="04050003">
      <w:start w:val="1"/>
      <w:numFmt w:val="bullet"/>
      <w:lvlText w:val="o"/>
      <w:lvlJc w:val="left"/>
      <w:pPr>
        <w:ind w:left="1068" w:hanging="360"/>
      </w:pPr>
      <w:rPr>
        <w:rFonts w:ascii="Courier New" w:hAnsi="Courier New" w:cs="Courier New"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22" w15:restartNumberingAfterBreak="0">
    <w:nsid w:val="798B1905"/>
    <w:multiLevelType w:val="hybridMultilevel"/>
    <w:tmpl w:val="FEB8781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3" w15:restartNumberingAfterBreak="0">
    <w:nsid w:val="79C12B16"/>
    <w:multiLevelType w:val="hybridMultilevel"/>
    <w:tmpl w:val="6EECAE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24" w15:restartNumberingAfterBreak="0">
    <w:nsid w:val="79E04903"/>
    <w:multiLevelType w:val="hybridMultilevel"/>
    <w:tmpl w:val="90604B8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5" w15:restartNumberingAfterBreak="0">
    <w:nsid w:val="7B1F22EC"/>
    <w:multiLevelType w:val="hybridMultilevel"/>
    <w:tmpl w:val="FBF234A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6" w15:restartNumberingAfterBreak="0">
    <w:nsid w:val="7B7641DF"/>
    <w:multiLevelType w:val="hybridMultilevel"/>
    <w:tmpl w:val="B0427F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7" w15:restartNumberingAfterBreak="0">
    <w:nsid w:val="7C7E3068"/>
    <w:multiLevelType w:val="hybridMultilevel"/>
    <w:tmpl w:val="7D2CA1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8" w15:restartNumberingAfterBreak="0">
    <w:nsid w:val="7CCF5C5C"/>
    <w:multiLevelType w:val="hybridMultilevel"/>
    <w:tmpl w:val="EE189C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9" w15:restartNumberingAfterBreak="0">
    <w:nsid w:val="7D307EED"/>
    <w:multiLevelType w:val="hybridMultilevel"/>
    <w:tmpl w:val="42F4123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0" w15:restartNumberingAfterBreak="0">
    <w:nsid w:val="7DCC4422"/>
    <w:multiLevelType w:val="hybridMultilevel"/>
    <w:tmpl w:val="204C8992"/>
    <w:lvl w:ilvl="0" w:tplc="B8BC989C">
      <w:numFmt w:val="bullet"/>
      <w:lvlText w:val="-"/>
      <w:lvlJc w:val="left"/>
      <w:pPr>
        <w:ind w:left="1068" w:hanging="360"/>
      </w:pPr>
      <w:rPr>
        <w:rFonts w:ascii="Calibri" w:eastAsia="Times New Roman" w:hAnsi="Calibri" w:hint="default"/>
      </w:rPr>
    </w:lvl>
    <w:lvl w:ilvl="1" w:tplc="04050003" w:tentative="1">
      <w:start w:val="1"/>
      <w:numFmt w:val="bullet"/>
      <w:lvlText w:val="o"/>
      <w:lvlJc w:val="left"/>
      <w:pPr>
        <w:ind w:left="1788" w:hanging="360"/>
      </w:pPr>
      <w:rPr>
        <w:rFonts w:ascii="Courier New" w:hAnsi="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31" w15:restartNumberingAfterBreak="0">
    <w:nsid w:val="7E364377"/>
    <w:multiLevelType w:val="hybridMultilevel"/>
    <w:tmpl w:val="FE8CFC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2" w15:restartNumberingAfterBreak="0">
    <w:nsid w:val="7E6C43F6"/>
    <w:multiLevelType w:val="hybridMultilevel"/>
    <w:tmpl w:val="1326163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3"/>
  </w:num>
  <w:num w:numId="2">
    <w:abstractNumId w:val="164"/>
  </w:num>
  <w:num w:numId="3">
    <w:abstractNumId w:val="152"/>
  </w:num>
  <w:num w:numId="4">
    <w:abstractNumId w:val="6"/>
  </w:num>
  <w:num w:numId="5">
    <w:abstractNumId w:val="170"/>
  </w:num>
  <w:num w:numId="6">
    <w:abstractNumId w:val="83"/>
  </w:num>
  <w:num w:numId="7">
    <w:abstractNumId w:val="52"/>
  </w:num>
  <w:num w:numId="8">
    <w:abstractNumId w:val="35"/>
  </w:num>
  <w:num w:numId="9">
    <w:abstractNumId w:val="163"/>
  </w:num>
  <w:num w:numId="10">
    <w:abstractNumId w:val="117"/>
  </w:num>
  <w:num w:numId="11">
    <w:abstractNumId w:val="128"/>
  </w:num>
  <w:num w:numId="12">
    <w:abstractNumId w:val="226"/>
  </w:num>
  <w:num w:numId="13">
    <w:abstractNumId w:val="68"/>
  </w:num>
  <w:num w:numId="14">
    <w:abstractNumId w:val="209"/>
  </w:num>
  <w:num w:numId="15">
    <w:abstractNumId w:val="143"/>
  </w:num>
  <w:num w:numId="16">
    <w:abstractNumId w:val="5"/>
  </w:num>
  <w:num w:numId="17">
    <w:abstractNumId w:val="126"/>
  </w:num>
  <w:num w:numId="18">
    <w:abstractNumId w:val="66"/>
  </w:num>
  <w:num w:numId="19">
    <w:abstractNumId w:val="20"/>
  </w:num>
  <w:num w:numId="20">
    <w:abstractNumId w:val="206"/>
  </w:num>
  <w:num w:numId="21">
    <w:abstractNumId w:val="42"/>
  </w:num>
  <w:num w:numId="22">
    <w:abstractNumId w:val="132"/>
  </w:num>
  <w:num w:numId="23">
    <w:abstractNumId w:val="112"/>
  </w:num>
  <w:num w:numId="24">
    <w:abstractNumId w:val="211"/>
  </w:num>
  <w:num w:numId="25">
    <w:abstractNumId w:val="60"/>
  </w:num>
  <w:num w:numId="26">
    <w:abstractNumId w:val="200"/>
  </w:num>
  <w:num w:numId="27">
    <w:abstractNumId w:val="127"/>
  </w:num>
  <w:num w:numId="28">
    <w:abstractNumId w:val="199"/>
  </w:num>
  <w:num w:numId="29">
    <w:abstractNumId w:val="72"/>
  </w:num>
  <w:num w:numId="30">
    <w:abstractNumId w:val="187"/>
  </w:num>
  <w:num w:numId="31">
    <w:abstractNumId w:val="62"/>
  </w:num>
  <w:num w:numId="32">
    <w:abstractNumId w:val="148"/>
  </w:num>
  <w:num w:numId="33">
    <w:abstractNumId w:val="217"/>
  </w:num>
  <w:num w:numId="34">
    <w:abstractNumId w:val="85"/>
  </w:num>
  <w:num w:numId="35">
    <w:abstractNumId w:val="167"/>
  </w:num>
  <w:num w:numId="36">
    <w:abstractNumId w:val="33"/>
  </w:num>
  <w:num w:numId="37">
    <w:abstractNumId w:val="224"/>
  </w:num>
  <w:num w:numId="38">
    <w:abstractNumId w:val="73"/>
  </w:num>
  <w:num w:numId="39">
    <w:abstractNumId w:val="202"/>
  </w:num>
  <w:num w:numId="40">
    <w:abstractNumId w:val="38"/>
  </w:num>
  <w:num w:numId="41">
    <w:abstractNumId w:val="129"/>
  </w:num>
  <w:num w:numId="42">
    <w:abstractNumId w:val="75"/>
  </w:num>
  <w:num w:numId="43">
    <w:abstractNumId w:val="214"/>
  </w:num>
  <w:num w:numId="44">
    <w:abstractNumId w:val="138"/>
  </w:num>
  <w:num w:numId="45">
    <w:abstractNumId w:val="55"/>
  </w:num>
  <w:num w:numId="46">
    <w:abstractNumId w:val="184"/>
  </w:num>
  <w:num w:numId="47">
    <w:abstractNumId w:val="103"/>
  </w:num>
  <w:num w:numId="48">
    <w:abstractNumId w:val="29"/>
  </w:num>
  <w:num w:numId="49">
    <w:abstractNumId w:val="59"/>
  </w:num>
  <w:num w:numId="50">
    <w:abstractNumId w:val="77"/>
  </w:num>
  <w:num w:numId="51">
    <w:abstractNumId w:val="130"/>
  </w:num>
  <w:num w:numId="52">
    <w:abstractNumId w:val="87"/>
  </w:num>
  <w:num w:numId="53">
    <w:abstractNumId w:val="34"/>
  </w:num>
  <w:num w:numId="54">
    <w:abstractNumId w:val="225"/>
  </w:num>
  <w:num w:numId="55">
    <w:abstractNumId w:val="8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35"/>
  </w:num>
  <w:num w:numId="58">
    <w:abstractNumId w:val="86"/>
  </w:num>
  <w:num w:numId="59">
    <w:abstractNumId w:val="53"/>
  </w:num>
  <w:num w:numId="60">
    <w:abstractNumId w:val="189"/>
  </w:num>
  <w:num w:numId="61">
    <w:abstractNumId w:val="1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50"/>
  </w:num>
  <w:num w:numId="63">
    <w:abstractNumId w:val="76"/>
  </w:num>
  <w:num w:numId="64">
    <w:abstractNumId w:val="2"/>
  </w:num>
  <w:num w:numId="65">
    <w:abstractNumId w:val="223"/>
  </w:num>
  <w:num w:numId="66">
    <w:abstractNumId w:val="19"/>
  </w:num>
  <w:num w:numId="67">
    <w:abstractNumId w:val="81"/>
  </w:num>
  <w:num w:numId="68">
    <w:abstractNumId w:val="230"/>
  </w:num>
  <w:num w:numId="69">
    <w:abstractNumId w:val="32"/>
  </w:num>
  <w:num w:numId="70">
    <w:abstractNumId w:val="80"/>
  </w:num>
  <w:num w:numId="71">
    <w:abstractNumId w:val="93"/>
  </w:num>
  <w:num w:numId="72">
    <w:abstractNumId w:val="180"/>
  </w:num>
  <w:num w:numId="73">
    <w:abstractNumId w:val="205"/>
  </w:num>
  <w:num w:numId="74">
    <w:abstractNumId w:val="136"/>
  </w:num>
  <w:num w:numId="75">
    <w:abstractNumId w:val="40"/>
  </w:num>
  <w:num w:numId="76">
    <w:abstractNumId w:val="177"/>
  </w:num>
  <w:num w:numId="77">
    <w:abstractNumId w:val="185"/>
  </w:num>
  <w:num w:numId="78">
    <w:abstractNumId w:val="151"/>
  </w:num>
  <w:num w:numId="79">
    <w:abstractNumId w:val="109"/>
  </w:num>
  <w:num w:numId="80">
    <w:abstractNumId w:val="156"/>
  </w:num>
  <w:num w:numId="81">
    <w:abstractNumId w:val="186"/>
  </w:num>
  <w:num w:numId="82">
    <w:abstractNumId w:val="178"/>
  </w:num>
  <w:num w:numId="83">
    <w:abstractNumId w:val="134"/>
  </w:num>
  <w:num w:numId="84">
    <w:abstractNumId w:val="141"/>
  </w:num>
  <w:num w:numId="85">
    <w:abstractNumId w:val="122"/>
  </w:num>
  <w:num w:numId="86">
    <w:abstractNumId w:val="25"/>
  </w:num>
  <w:num w:numId="87">
    <w:abstractNumId w:val="57"/>
  </w:num>
  <w:num w:numId="88">
    <w:abstractNumId w:val="228"/>
  </w:num>
  <w:num w:numId="89">
    <w:abstractNumId w:val="116"/>
  </w:num>
  <w:num w:numId="90">
    <w:abstractNumId w:val="24"/>
  </w:num>
  <w:num w:numId="91">
    <w:abstractNumId w:val="140"/>
  </w:num>
  <w:num w:numId="92">
    <w:abstractNumId w:val="142"/>
  </w:num>
  <w:num w:numId="93">
    <w:abstractNumId w:val="172"/>
  </w:num>
  <w:num w:numId="94">
    <w:abstractNumId w:val="101"/>
  </w:num>
  <w:num w:numId="95">
    <w:abstractNumId w:val="41"/>
  </w:num>
  <w:num w:numId="96">
    <w:abstractNumId w:val="183"/>
  </w:num>
  <w:num w:numId="97">
    <w:abstractNumId w:val="147"/>
  </w:num>
  <w:num w:numId="98">
    <w:abstractNumId w:val="89"/>
  </w:num>
  <w:num w:numId="99">
    <w:abstractNumId w:val="196"/>
  </w:num>
  <w:num w:numId="100">
    <w:abstractNumId w:val="137"/>
  </w:num>
  <w:num w:numId="101">
    <w:abstractNumId w:val="44"/>
  </w:num>
  <w:num w:numId="102">
    <w:abstractNumId w:val="47"/>
  </w:num>
  <w:num w:numId="103">
    <w:abstractNumId w:val="79"/>
  </w:num>
  <w:num w:numId="104">
    <w:abstractNumId w:val="150"/>
  </w:num>
  <w:num w:numId="105">
    <w:abstractNumId w:val="13"/>
  </w:num>
  <w:num w:numId="106">
    <w:abstractNumId w:val="210"/>
  </w:num>
  <w:num w:numId="107">
    <w:abstractNumId w:val="191"/>
  </w:num>
  <w:num w:numId="108">
    <w:abstractNumId w:val="0"/>
  </w:num>
  <w:num w:numId="109">
    <w:abstractNumId w:val="74"/>
  </w:num>
  <w:num w:numId="110">
    <w:abstractNumId w:val="3"/>
  </w:num>
  <w:num w:numId="111">
    <w:abstractNumId w:val="119"/>
  </w:num>
  <w:num w:numId="112">
    <w:abstractNumId w:val="106"/>
  </w:num>
  <w:num w:numId="113">
    <w:abstractNumId w:val="118"/>
  </w:num>
  <w:num w:numId="114">
    <w:abstractNumId w:val="107"/>
  </w:num>
  <w:num w:numId="115">
    <w:abstractNumId w:val="39"/>
  </w:num>
  <w:num w:numId="116">
    <w:abstractNumId w:val="198"/>
  </w:num>
  <w:num w:numId="117">
    <w:abstractNumId w:val="92"/>
  </w:num>
  <w:num w:numId="118">
    <w:abstractNumId w:val="139"/>
  </w:num>
  <w:num w:numId="119">
    <w:abstractNumId w:val="192"/>
  </w:num>
  <w:num w:numId="120">
    <w:abstractNumId w:val="144"/>
  </w:num>
  <w:num w:numId="121">
    <w:abstractNumId w:val="69"/>
  </w:num>
  <w:num w:numId="122">
    <w:abstractNumId w:val="108"/>
  </w:num>
  <w:num w:numId="123">
    <w:abstractNumId w:val="160"/>
  </w:num>
  <w:num w:numId="124">
    <w:abstractNumId w:val="161"/>
  </w:num>
  <w:num w:numId="125">
    <w:abstractNumId w:val="181"/>
  </w:num>
  <w:num w:numId="126">
    <w:abstractNumId w:val="111"/>
  </w:num>
  <w:num w:numId="127">
    <w:abstractNumId w:val="94"/>
  </w:num>
  <w:num w:numId="128">
    <w:abstractNumId w:val="64"/>
  </w:num>
  <w:num w:numId="129">
    <w:abstractNumId w:val="15"/>
  </w:num>
  <w:num w:numId="130">
    <w:abstractNumId w:val="58"/>
  </w:num>
  <w:num w:numId="131">
    <w:abstractNumId w:val="197"/>
  </w:num>
  <w:num w:numId="132">
    <w:abstractNumId w:val="222"/>
  </w:num>
  <w:num w:numId="133">
    <w:abstractNumId w:val="71"/>
  </w:num>
  <w:num w:numId="134">
    <w:abstractNumId w:val="63"/>
  </w:num>
  <w:num w:numId="135">
    <w:abstractNumId w:val="1"/>
  </w:num>
  <w:num w:numId="136">
    <w:abstractNumId w:val="213"/>
  </w:num>
  <w:num w:numId="137">
    <w:abstractNumId w:val="115"/>
  </w:num>
  <w:num w:numId="138">
    <w:abstractNumId w:val="227"/>
  </w:num>
  <w:num w:numId="139">
    <w:abstractNumId w:val="104"/>
  </w:num>
  <w:num w:numId="140">
    <w:abstractNumId w:val="194"/>
  </w:num>
  <w:num w:numId="141">
    <w:abstractNumId w:val="201"/>
  </w:num>
  <w:num w:numId="142">
    <w:abstractNumId w:val="123"/>
  </w:num>
  <w:num w:numId="143">
    <w:abstractNumId w:val="37"/>
  </w:num>
  <w:num w:numId="144">
    <w:abstractNumId w:val="14"/>
  </w:num>
  <w:num w:numId="145">
    <w:abstractNumId w:val="16"/>
  </w:num>
  <w:num w:numId="146">
    <w:abstractNumId w:val="46"/>
  </w:num>
  <w:num w:numId="147">
    <w:abstractNumId w:val="146"/>
  </w:num>
  <w:num w:numId="148">
    <w:abstractNumId w:val="169"/>
  </w:num>
  <w:num w:numId="149">
    <w:abstractNumId w:val="195"/>
  </w:num>
  <w:num w:numId="150">
    <w:abstractNumId w:val="218"/>
  </w:num>
  <w:num w:numId="151">
    <w:abstractNumId w:val="28"/>
  </w:num>
  <w:num w:numId="152">
    <w:abstractNumId w:val="203"/>
  </w:num>
  <w:num w:numId="153">
    <w:abstractNumId w:val="21"/>
  </w:num>
  <w:num w:numId="154">
    <w:abstractNumId w:val="36"/>
  </w:num>
  <w:num w:numId="155">
    <w:abstractNumId w:val="105"/>
  </w:num>
  <w:num w:numId="156">
    <w:abstractNumId w:val="61"/>
  </w:num>
  <w:num w:numId="157">
    <w:abstractNumId w:val="96"/>
  </w:num>
  <w:num w:numId="158">
    <w:abstractNumId w:val="98"/>
  </w:num>
  <w:num w:numId="159">
    <w:abstractNumId w:val="99"/>
  </w:num>
  <w:num w:numId="160">
    <w:abstractNumId w:val="159"/>
  </w:num>
  <w:num w:numId="161">
    <w:abstractNumId w:val="182"/>
  </w:num>
  <w:num w:numId="162">
    <w:abstractNumId w:val="188"/>
  </w:num>
  <w:num w:numId="163">
    <w:abstractNumId w:val="31"/>
  </w:num>
  <w:num w:numId="164">
    <w:abstractNumId w:val="26"/>
  </w:num>
  <w:num w:numId="165">
    <w:abstractNumId w:val="18"/>
  </w:num>
  <w:num w:numId="166">
    <w:abstractNumId w:val="70"/>
  </w:num>
  <w:num w:numId="167">
    <w:abstractNumId w:val="232"/>
  </w:num>
  <w:num w:numId="168">
    <w:abstractNumId w:val="171"/>
  </w:num>
  <w:num w:numId="169">
    <w:abstractNumId w:val="145"/>
  </w:num>
  <w:num w:numId="170">
    <w:abstractNumId w:val="65"/>
  </w:num>
  <w:num w:numId="171">
    <w:abstractNumId w:val="162"/>
  </w:num>
  <w:num w:numId="172">
    <w:abstractNumId w:val="131"/>
  </w:num>
  <w:num w:numId="173">
    <w:abstractNumId w:val="12"/>
  </w:num>
  <w:num w:numId="174">
    <w:abstractNumId w:val="30"/>
  </w:num>
  <w:num w:numId="175">
    <w:abstractNumId w:val="220"/>
  </w:num>
  <w:num w:numId="176">
    <w:abstractNumId w:val="17"/>
  </w:num>
  <w:num w:numId="177">
    <w:abstractNumId w:val="133"/>
  </w:num>
  <w:num w:numId="178">
    <w:abstractNumId w:val="78"/>
  </w:num>
  <w:num w:numId="179">
    <w:abstractNumId w:val="120"/>
  </w:num>
  <w:num w:numId="180">
    <w:abstractNumId w:val="82"/>
  </w:num>
  <w:num w:numId="181">
    <w:abstractNumId w:val="27"/>
  </w:num>
  <w:num w:numId="182">
    <w:abstractNumId w:val="95"/>
  </w:num>
  <w:num w:numId="183">
    <w:abstractNumId w:val="207"/>
  </w:num>
  <w:num w:numId="184">
    <w:abstractNumId w:val="49"/>
  </w:num>
  <w:num w:numId="185">
    <w:abstractNumId w:val="84"/>
  </w:num>
  <w:num w:numId="186">
    <w:abstractNumId w:val="215"/>
  </w:num>
  <w:num w:numId="187">
    <w:abstractNumId w:val="179"/>
  </w:num>
  <w:num w:numId="188">
    <w:abstractNumId w:val="91"/>
  </w:num>
  <w:num w:numId="189">
    <w:abstractNumId w:val="168"/>
  </w:num>
  <w:num w:numId="190">
    <w:abstractNumId w:val="9"/>
  </w:num>
  <w:num w:numId="191">
    <w:abstractNumId w:val="165"/>
  </w:num>
  <w:num w:numId="192">
    <w:abstractNumId w:val="173"/>
  </w:num>
  <w:num w:numId="193">
    <w:abstractNumId w:val="56"/>
  </w:num>
  <w:num w:numId="194">
    <w:abstractNumId w:val="23"/>
  </w:num>
  <w:num w:numId="195">
    <w:abstractNumId w:val="10"/>
  </w:num>
  <w:num w:numId="196">
    <w:abstractNumId w:val="174"/>
  </w:num>
  <w:num w:numId="197">
    <w:abstractNumId w:val="125"/>
  </w:num>
  <w:num w:numId="198">
    <w:abstractNumId w:val="124"/>
  </w:num>
  <w:num w:numId="199">
    <w:abstractNumId w:val="100"/>
  </w:num>
  <w:num w:numId="200">
    <w:abstractNumId w:val="193"/>
  </w:num>
  <w:num w:numId="201">
    <w:abstractNumId w:val="113"/>
  </w:num>
  <w:num w:numId="202">
    <w:abstractNumId w:val="221"/>
  </w:num>
  <w:num w:numId="203">
    <w:abstractNumId w:val="90"/>
  </w:num>
  <w:num w:numId="204">
    <w:abstractNumId w:val="54"/>
  </w:num>
  <w:num w:numId="205">
    <w:abstractNumId w:val="229"/>
  </w:num>
  <w:num w:numId="206">
    <w:abstractNumId w:val="219"/>
  </w:num>
  <w:num w:numId="207">
    <w:abstractNumId w:val="121"/>
  </w:num>
  <w:num w:numId="208">
    <w:abstractNumId w:val="48"/>
  </w:num>
  <w:num w:numId="209">
    <w:abstractNumId w:val="7"/>
  </w:num>
  <w:num w:numId="210">
    <w:abstractNumId w:val="102"/>
  </w:num>
  <w:num w:numId="211">
    <w:abstractNumId w:val="154"/>
  </w:num>
  <w:num w:numId="212">
    <w:abstractNumId w:val="208"/>
  </w:num>
  <w:num w:numId="213">
    <w:abstractNumId w:val="8"/>
  </w:num>
  <w:num w:numId="214">
    <w:abstractNumId w:val="67"/>
  </w:num>
  <w:num w:numId="215">
    <w:abstractNumId w:val="110"/>
  </w:num>
  <w:num w:numId="216">
    <w:abstractNumId w:val="176"/>
  </w:num>
  <w:num w:numId="217">
    <w:abstractNumId w:val="4"/>
  </w:num>
  <w:num w:numId="218">
    <w:abstractNumId w:val="11"/>
  </w:num>
  <w:num w:numId="219">
    <w:abstractNumId w:val="97"/>
  </w:num>
  <w:num w:numId="220">
    <w:abstractNumId w:val="212"/>
  </w:num>
  <w:num w:numId="221">
    <w:abstractNumId w:val="51"/>
  </w:num>
  <w:num w:numId="222">
    <w:abstractNumId w:val="216"/>
  </w:num>
  <w:num w:numId="223">
    <w:abstractNumId w:val="88"/>
  </w:num>
  <w:num w:numId="224">
    <w:abstractNumId w:val="190"/>
  </w:num>
  <w:num w:numId="225">
    <w:abstractNumId w:val="153"/>
  </w:num>
  <w:num w:numId="226">
    <w:abstractNumId w:val="149"/>
  </w:num>
  <w:num w:numId="227">
    <w:abstractNumId w:val="231"/>
  </w:num>
  <w:num w:numId="228">
    <w:abstractNumId w:val="157"/>
  </w:num>
  <w:num w:numId="229">
    <w:abstractNumId w:val="158"/>
  </w:num>
  <w:num w:numId="230">
    <w:abstractNumId w:val="155"/>
  </w:num>
  <w:num w:numId="231">
    <w:abstractNumId w:val="204"/>
  </w:num>
  <w:num w:numId="232">
    <w:abstractNumId w:val="22"/>
  </w:num>
  <w:num w:numId="233">
    <w:abstractNumId w:val="175"/>
  </w:num>
  <w:num w:numId="234">
    <w:abstractNumId w:val="45"/>
  </w:num>
  <w:num w:numId="235">
    <w:abstractNumId w:val="126"/>
  </w:num>
  <w:num w:numId="236">
    <w:abstractNumId w:val="66"/>
  </w:num>
  <w:num w:numId="237">
    <w:abstractNumId w:val="42"/>
  </w:num>
  <w:num w:numId="238">
    <w:abstractNumId w:val="206"/>
  </w:num>
  <w:numIdMacAtCleanup w:val="2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defaultTabStop w:val="708"/>
  <w:hyphenationZone w:val="425"/>
  <w:characterSpacingControl w:val="doNotCompress"/>
  <w:hdrShapeDefaults>
    <o:shapedefaults v:ext="edit" spidmax="16385"/>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0A5D"/>
    <w:rsid w:val="0000058C"/>
    <w:rsid w:val="000007B4"/>
    <w:rsid w:val="00001396"/>
    <w:rsid w:val="00002432"/>
    <w:rsid w:val="00002AA1"/>
    <w:rsid w:val="00004C01"/>
    <w:rsid w:val="00006600"/>
    <w:rsid w:val="00007050"/>
    <w:rsid w:val="00010DFD"/>
    <w:rsid w:val="000116E6"/>
    <w:rsid w:val="00011F30"/>
    <w:rsid w:val="000141B4"/>
    <w:rsid w:val="00014E05"/>
    <w:rsid w:val="00015306"/>
    <w:rsid w:val="00016109"/>
    <w:rsid w:val="00016207"/>
    <w:rsid w:val="000162EB"/>
    <w:rsid w:val="000216FA"/>
    <w:rsid w:val="00022AF9"/>
    <w:rsid w:val="000236D5"/>
    <w:rsid w:val="00024A7B"/>
    <w:rsid w:val="00026301"/>
    <w:rsid w:val="0002674B"/>
    <w:rsid w:val="0003130E"/>
    <w:rsid w:val="00031559"/>
    <w:rsid w:val="00031FF7"/>
    <w:rsid w:val="00032666"/>
    <w:rsid w:val="00033DAC"/>
    <w:rsid w:val="00035092"/>
    <w:rsid w:val="0004162E"/>
    <w:rsid w:val="00041F9F"/>
    <w:rsid w:val="00043C37"/>
    <w:rsid w:val="0004407B"/>
    <w:rsid w:val="0004786B"/>
    <w:rsid w:val="00051A2F"/>
    <w:rsid w:val="000524B9"/>
    <w:rsid w:val="0005359A"/>
    <w:rsid w:val="00054BF8"/>
    <w:rsid w:val="00055CF2"/>
    <w:rsid w:val="000570B9"/>
    <w:rsid w:val="0005738D"/>
    <w:rsid w:val="00061BC7"/>
    <w:rsid w:val="00061E77"/>
    <w:rsid w:val="00062109"/>
    <w:rsid w:val="00063405"/>
    <w:rsid w:val="000637C0"/>
    <w:rsid w:val="00063B45"/>
    <w:rsid w:val="000649EE"/>
    <w:rsid w:val="000654C9"/>
    <w:rsid w:val="00065C4C"/>
    <w:rsid w:val="00070CE2"/>
    <w:rsid w:val="000734EE"/>
    <w:rsid w:val="00073DF7"/>
    <w:rsid w:val="00073E31"/>
    <w:rsid w:val="00073FBF"/>
    <w:rsid w:val="00074BD9"/>
    <w:rsid w:val="000750F8"/>
    <w:rsid w:val="000771FD"/>
    <w:rsid w:val="000809B9"/>
    <w:rsid w:val="000833C9"/>
    <w:rsid w:val="000833D4"/>
    <w:rsid w:val="0008358B"/>
    <w:rsid w:val="00084BF4"/>
    <w:rsid w:val="000857AC"/>
    <w:rsid w:val="0008647C"/>
    <w:rsid w:val="00087157"/>
    <w:rsid w:val="00087EC7"/>
    <w:rsid w:val="000900CA"/>
    <w:rsid w:val="00090B40"/>
    <w:rsid w:val="00090D02"/>
    <w:rsid w:val="000920B6"/>
    <w:rsid w:val="00092616"/>
    <w:rsid w:val="000945EC"/>
    <w:rsid w:val="00095279"/>
    <w:rsid w:val="000955D2"/>
    <w:rsid w:val="00095822"/>
    <w:rsid w:val="00095A0A"/>
    <w:rsid w:val="00096B10"/>
    <w:rsid w:val="000A042F"/>
    <w:rsid w:val="000A0976"/>
    <w:rsid w:val="000A0C84"/>
    <w:rsid w:val="000A22B0"/>
    <w:rsid w:val="000A4266"/>
    <w:rsid w:val="000B1B3D"/>
    <w:rsid w:val="000B367B"/>
    <w:rsid w:val="000B3FBC"/>
    <w:rsid w:val="000B422A"/>
    <w:rsid w:val="000B4406"/>
    <w:rsid w:val="000B5042"/>
    <w:rsid w:val="000B78CB"/>
    <w:rsid w:val="000B7939"/>
    <w:rsid w:val="000B7BAF"/>
    <w:rsid w:val="000C0D38"/>
    <w:rsid w:val="000C2EFF"/>
    <w:rsid w:val="000C3DA3"/>
    <w:rsid w:val="000C4CAF"/>
    <w:rsid w:val="000C5CAD"/>
    <w:rsid w:val="000C5D96"/>
    <w:rsid w:val="000C5E3C"/>
    <w:rsid w:val="000C6A06"/>
    <w:rsid w:val="000D10DA"/>
    <w:rsid w:val="000D1762"/>
    <w:rsid w:val="000D224D"/>
    <w:rsid w:val="000D3497"/>
    <w:rsid w:val="000D36A3"/>
    <w:rsid w:val="000D4011"/>
    <w:rsid w:val="000D4B48"/>
    <w:rsid w:val="000E11F5"/>
    <w:rsid w:val="000E4A27"/>
    <w:rsid w:val="000E5163"/>
    <w:rsid w:val="000E574A"/>
    <w:rsid w:val="000E65AA"/>
    <w:rsid w:val="000F07B1"/>
    <w:rsid w:val="000F0E01"/>
    <w:rsid w:val="000F1BFA"/>
    <w:rsid w:val="000F23EE"/>
    <w:rsid w:val="000F2893"/>
    <w:rsid w:val="000F33D2"/>
    <w:rsid w:val="000F39EF"/>
    <w:rsid w:val="000F5014"/>
    <w:rsid w:val="000F57DE"/>
    <w:rsid w:val="00101104"/>
    <w:rsid w:val="00101501"/>
    <w:rsid w:val="00103A70"/>
    <w:rsid w:val="00103F7E"/>
    <w:rsid w:val="001040C2"/>
    <w:rsid w:val="00104DCE"/>
    <w:rsid w:val="00104E23"/>
    <w:rsid w:val="00104EA3"/>
    <w:rsid w:val="00105192"/>
    <w:rsid w:val="00105677"/>
    <w:rsid w:val="001109D9"/>
    <w:rsid w:val="00112286"/>
    <w:rsid w:val="001145B1"/>
    <w:rsid w:val="00114B27"/>
    <w:rsid w:val="00115C6C"/>
    <w:rsid w:val="00115D2C"/>
    <w:rsid w:val="00117C76"/>
    <w:rsid w:val="001203BD"/>
    <w:rsid w:val="00120A77"/>
    <w:rsid w:val="001212EA"/>
    <w:rsid w:val="00121485"/>
    <w:rsid w:val="001228AF"/>
    <w:rsid w:val="00122DA9"/>
    <w:rsid w:val="00123318"/>
    <w:rsid w:val="00124CC6"/>
    <w:rsid w:val="00125794"/>
    <w:rsid w:val="0012642D"/>
    <w:rsid w:val="001268AA"/>
    <w:rsid w:val="00127070"/>
    <w:rsid w:val="0013001A"/>
    <w:rsid w:val="001307A2"/>
    <w:rsid w:val="00131A18"/>
    <w:rsid w:val="00131EA5"/>
    <w:rsid w:val="00132BCD"/>
    <w:rsid w:val="00133DBF"/>
    <w:rsid w:val="00135D42"/>
    <w:rsid w:val="00136B10"/>
    <w:rsid w:val="0014021D"/>
    <w:rsid w:val="0014077F"/>
    <w:rsid w:val="001408D0"/>
    <w:rsid w:val="00140EC8"/>
    <w:rsid w:val="001429E9"/>
    <w:rsid w:val="00144E47"/>
    <w:rsid w:val="00146198"/>
    <w:rsid w:val="00146E26"/>
    <w:rsid w:val="001515E2"/>
    <w:rsid w:val="00151F3B"/>
    <w:rsid w:val="001528AF"/>
    <w:rsid w:val="00152A84"/>
    <w:rsid w:val="00152D9D"/>
    <w:rsid w:val="00154207"/>
    <w:rsid w:val="001566E0"/>
    <w:rsid w:val="00160155"/>
    <w:rsid w:val="00161092"/>
    <w:rsid w:val="001613BD"/>
    <w:rsid w:val="00161B83"/>
    <w:rsid w:val="00162150"/>
    <w:rsid w:val="0016265C"/>
    <w:rsid w:val="0016373F"/>
    <w:rsid w:val="00164DBD"/>
    <w:rsid w:val="0016667D"/>
    <w:rsid w:val="001669F2"/>
    <w:rsid w:val="00166B52"/>
    <w:rsid w:val="00167331"/>
    <w:rsid w:val="001712EE"/>
    <w:rsid w:val="00172C18"/>
    <w:rsid w:val="001731F5"/>
    <w:rsid w:val="00174867"/>
    <w:rsid w:val="00176B38"/>
    <w:rsid w:val="00177F69"/>
    <w:rsid w:val="0018051B"/>
    <w:rsid w:val="001809E2"/>
    <w:rsid w:val="0018111A"/>
    <w:rsid w:val="00181BE2"/>
    <w:rsid w:val="00181EF5"/>
    <w:rsid w:val="0018235F"/>
    <w:rsid w:val="00182F87"/>
    <w:rsid w:val="00184AFF"/>
    <w:rsid w:val="00185153"/>
    <w:rsid w:val="001870BC"/>
    <w:rsid w:val="001871EB"/>
    <w:rsid w:val="0019167D"/>
    <w:rsid w:val="00191F16"/>
    <w:rsid w:val="00192493"/>
    <w:rsid w:val="001927B1"/>
    <w:rsid w:val="001928A1"/>
    <w:rsid w:val="0019394D"/>
    <w:rsid w:val="00194AAA"/>
    <w:rsid w:val="00195A48"/>
    <w:rsid w:val="001967AF"/>
    <w:rsid w:val="00196F3D"/>
    <w:rsid w:val="00197FE7"/>
    <w:rsid w:val="001A0B5A"/>
    <w:rsid w:val="001A63DF"/>
    <w:rsid w:val="001A6A35"/>
    <w:rsid w:val="001A713D"/>
    <w:rsid w:val="001B034E"/>
    <w:rsid w:val="001B04B4"/>
    <w:rsid w:val="001B1E4A"/>
    <w:rsid w:val="001B2164"/>
    <w:rsid w:val="001B256A"/>
    <w:rsid w:val="001B26DB"/>
    <w:rsid w:val="001B3605"/>
    <w:rsid w:val="001B3B6D"/>
    <w:rsid w:val="001B529B"/>
    <w:rsid w:val="001B5CD0"/>
    <w:rsid w:val="001B5FB7"/>
    <w:rsid w:val="001B648E"/>
    <w:rsid w:val="001B7962"/>
    <w:rsid w:val="001B7E11"/>
    <w:rsid w:val="001B7E70"/>
    <w:rsid w:val="001C2AC9"/>
    <w:rsid w:val="001C3AF3"/>
    <w:rsid w:val="001C3D84"/>
    <w:rsid w:val="001C4052"/>
    <w:rsid w:val="001C44EE"/>
    <w:rsid w:val="001C4FBA"/>
    <w:rsid w:val="001C5D7E"/>
    <w:rsid w:val="001C605C"/>
    <w:rsid w:val="001C61AD"/>
    <w:rsid w:val="001D092B"/>
    <w:rsid w:val="001D23D0"/>
    <w:rsid w:val="001D27C0"/>
    <w:rsid w:val="001D46C7"/>
    <w:rsid w:val="001D4B99"/>
    <w:rsid w:val="001D5289"/>
    <w:rsid w:val="001D54BE"/>
    <w:rsid w:val="001D5A36"/>
    <w:rsid w:val="001D6070"/>
    <w:rsid w:val="001D6562"/>
    <w:rsid w:val="001D6BC7"/>
    <w:rsid w:val="001D784B"/>
    <w:rsid w:val="001D7D84"/>
    <w:rsid w:val="001E007C"/>
    <w:rsid w:val="001E09C7"/>
    <w:rsid w:val="001E145C"/>
    <w:rsid w:val="001E17FA"/>
    <w:rsid w:val="001E6F07"/>
    <w:rsid w:val="001E74C3"/>
    <w:rsid w:val="001E78BF"/>
    <w:rsid w:val="001F080F"/>
    <w:rsid w:val="001F0A4A"/>
    <w:rsid w:val="001F1DD6"/>
    <w:rsid w:val="001F2441"/>
    <w:rsid w:val="001F2DA1"/>
    <w:rsid w:val="001F4A7A"/>
    <w:rsid w:val="001F5FD7"/>
    <w:rsid w:val="001F6937"/>
    <w:rsid w:val="001F7D24"/>
    <w:rsid w:val="002001BF"/>
    <w:rsid w:val="00201175"/>
    <w:rsid w:val="002013F3"/>
    <w:rsid w:val="00202DB3"/>
    <w:rsid w:val="00202E7F"/>
    <w:rsid w:val="00204766"/>
    <w:rsid w:val="00204E12"/>
    <w:rsid w:val="0020559D"/>
    <w:rsid w:val="00206027"/>
    <w:rsid w:val="00206A6B"/>
    <w:rsid w:val="002103CA"/>
    <w:rsid w:val="00211516"/>
    <w:rsid w:val="00211C32"/>
    <w:rsid w:val="00212E56"/>
    <w:rsid w:val="00212EB3"/>
    <w:rsid w:val="00213109"/>
    <w:rsid w:val="00213F31"/>
    <w:rsid w:val="0021450C"/>
    <w:rsid w:val="00215435"/>
    <w:rsid w:val="00215B88"/>
    <w:rsid w:val="002165F0"/>
    <w:rsid w:val="00216691"/>
    <w:rsid w:val="00217377"/>
    <w:rsid w:val="00217D5C"/>
    <w:rsid w:val="00220DE3"/>
    <w:rsid w:val="00222392"/>
    <w:rsid w:val="00222E9F"/>
    <w:rsid w:val="002234EC"/>
    <w:rsid w:val="00227801"/>
    <w:rsid w:val="002315AB"/>
    <w:rsid w:val="00233ACF"/>
    <w:rsid w:val="00241EDE"/>
    <w:rsid w:val="0024226F"/>
    <w:rsid w:val="00244B04"/>
    <w:rsid w:val="0024534E"/>
    <w:rsid w:val="0024552B"/>
    <w:rsid w:val="00246127"/>
    <w:rsid w:val="00247174"/>
    <w:rsid w:val="002471C6"/>
    <w:rsid w:val="00250C13"/>
    <w:rsid w:val="00252492"/>
    <w:rsid w:val="0025290D"/>
    <w:rsid w:val="00254B22"/>
    <w:rsid w:val="00256088"/>
    <w:rsid w:val="00256AAF"/>
    <w:rsid w:val="00257357"/>
    <w:rsid w:val="00260372"/>
    <w:rsid w:val="00260E43"/>
    <w:rsid w:val="002616DA"/>
    <w:rsid w:val="00262DAF"/>
    <w:rsid w:val="00263E57"/>
    <w:rsid w:val="00264AAB"/>
    <w:rsid w:val="00264F32"/>
    <w:rsid w:val="0027067C"/>
    <w:rsid w:val="00270775"/>
    <w:rsid w:val="002707E1"/>
    <w:rsid w:val="00271FF6"/>
    <w:rsid w:val="0027280B"/>
    <w:rsid w:val="00272D57"/>
    <w:rsid w:val="00274462"/>
    <w:rsid w:val="00275EB7"/>
    <w:rsid w:val="002767CC"/>
    <w:rsid w:val="00277782"/>
    <w:rsid w:val="00277D5E"/>
    <w:rsid w:val="00280543"/>
    <w:rsid w:val="00280838"/>
    <w:rsid w:val="00281379"/>
    <w:rsid w:val="00281DC2"/>
    <w:rsid w:val="00281EC2"/>
    <w:rsid w:val="002826AA"/>
    <w:rsid w:val="00282D09"/>
    <w:rsid w:val="00283C64"/>
    <w:rsid w:val="00283F47"/>
    <w:rsid w:val="00284134"/>
    <w:rsid w:val="002843E2"/>
    <w:rsid w:val="00285736"/>
    <w:rsid w:val="00285AED"/>
    <w:rsid w:val="00285B74"/>
    <w:rsid w:val="00286318"/>
    <w:rsid w:val="00286E45"/>
    <w:rsid w:val="002876D5"/>
    <w:rsid w:val="0029157F"/>
    <w:rsid w:val="0029212D"/>
    <w:rsid w:val="00292F2B"/>
    <w:rsid w:val="002933A7"/>
    <w:rsid w:val="00293CCC"/>
    <w:rsid w:val="00294AF2"/>
    <w:rsid w:val="002951D1"/>
    <w:rsid w:val="00295272"/>
    <w:rsid w:val="002953F2"/>
    <w:rsid w:val="002A07FC"/>
    <w:rsid w:val="002A2819"/>
    <w:rsid w:val="002A2A12"/>
    <w:rsid w:val="002A3E41"/>
    <w:rsid w:val="002A4EE0"/>
    <w:rsid w:val="002A5AF0"/>
    <w:rsid w:val="002A6999"/>
    <w:rsid w:val="002A6B2B"/>
    <w:rsid w:val="002A7F4C"/>
    <w:rsid w:val="002B0101"/>
    <w:rsid w:val="002B0351"/>
    <w:rsid w:val="002B064C"/>
    <w:rsid w:val="002B2E0E"/>
    <w:rsid w:val="002B2E10"/>
    <w:rsid w:val="002B34C9"/>
    <w:rsid w:val="002B36F3"/>
    <w:rsid w:val="002B776D"/>
    <w:rsid w:val="002C0707"/>
    <w:rsid w:val="002C1AE3"/>
    <w:rsid w:val="002C33A1"/>
    <w:rsid w:val="002C519A"/>
    <w:rsid w:val="002C527A"/>
    <w:rsid w:val="002D0047"/>
    <w:rsid w:val="002D01B4"/>
    <w:rsid w:val="002D2CF8"/>
    <w:rsid w:val="002D33C8"/>
    <w:rsid w:val="002D3E06"/>
    <w:rsid w:val="002D4809"/>
    <w:rsid w:val="002D49EE"/>
    <w:rsid w:val="002E062A"/>
    <w:rsid w:val="002E0A5D"/>
    <w:rsid w:val="002E0BB5"/>
    <w:rsid w:val="002E10BD"/>
    <w:rsid w:val="002E1CA2"/>
    <w:rsid w:val="002E2442"/>
    <w:rsid w:val="002E3334"/>
    <w:rsid w:val="002E33CB"/>
    <w:rsid w:val="002E3D01"/>
    <w:rsid w:val="002E4A7D"/>
    <w:rsid w:val="002E54BF"/>
    <w:rsid w:val="002E5870"/>
    <w:rsid w:val="002E6087"/>
    <w:rsid w:val="002E7072"/>
    <w:rsid w:val="002E71F0"/>
    <w:rsid w:val="002F0014"/>
    <w:rsid w:val="002F0A74"/>
    <w:rsid w:val="002F0E8C"/>
    <w:rsid w:val="002F2992"/>
    <w:rsid w:val="002F7153"/>
    <w:rsid w:val="002F71A8"/>
    <w:rsid w:val="002F77CA"/>
    <w:rsid w:val="003009B4"/>
    <w:rsid w:val="00301D7C"/>
    <w:rsid w:val="00303B05"/>
    <w:rsid w:val="00303D56"/>
    <w:rsid w:val="00305943"/>
    <w:rsid w:val="00307C99"/>
    <w:rsid w:val="003103DE"/>
    <w:rsid w:val="00310FA0"/>
    <w:rsid w:val="00312375"/>
    <w:rsid w:val="003130D7"/>
    <w:rsid w:val="00313429"/>
    <w:rsid w:val="003154D9"/>
    <w:rsid w:val="00317393"/>
    <w:rsid w:val="00320481"/>
    <w:rsid w:val="0032068A"/>
    <w:rsid w:val="003206CD"/>
    <w:rsid w:val="0032220E"/>
    <w:rsid w:val="00322285"/>
    <w:rsid w:val="00324509"/>
    <w:rsid w:val="003250CB"/>
    <w:rsid w:val="00326BF6"/>
    <w:rsid w:val="00326C4C"/>
    <w:rsid w:val="00326FBC"/>
    <w:rsid w:val="003319EA"/>
    <w:rsid w:val="00332709"/>
    <w:rsid w:val="003332BD"/>
    <w:rsid w:val="00333660"/>
    <w:rsid w:val="00333C67"/>
    <w:rsid w:val="00333E83"/>
    <w:rsid w:val="00336002"/>
    <w:rsid w:val="00336216"/>
    <w:rsid w:val="00336A41"/>
    <w:rsid w:val="00336E97"/>
    <w:rsid w:val="00340522"/>
    <w:rsid w:val="00340E4D"/>
    <w:rsid w:val="00340F6A"/>
    <w:rsid w:val="00342489"/>
    <w:rsid w:val="00344670"/>
    <w:rsid w:val="00345D19"/>
    <w:rsid w:val="00346EFC"/>
    <w:rsid w:val="00350DDE"/>
    <w:rsid w:val="00351B55"/>
    <w:rsid w:val="0035206A"/>
    <w:rsid w:val="00352C58"/>
    <w:rsid w:val="00353331"/>
    <w:rsid w:val="00355139"/>
    <w:rsid w:val="00357521"/>
    <w:rsid w:val="00360A8B"/>
    <w:rsid w:val="00360C13"/>
    <w:rsid w:val="003623FF"/>
    <w:rsid w:val="003628E1"/>
    <w:rsid w:val="00363201"/>
    <w:rsid w:val="00363CC4"/>
    <w:rsid w:val="0036580A"/>
    <w:rsid w:val="003664D4"/>
    <w:rsid w:val="00366827"/>
    <w:rsid w:val="00366B2E"/>
    <w:rsid w:val="00367622"/>
    <w:rsid w:val="00370DF8"/>
    <w:rsid w:val="00372E45"/>
    <w:rsid w:val="00374DE2"/>
    <w:rsid w:val="003754BC"/>
    <w:rsid w:val="0037707E"/>
    <w:rsid w:val="003802C0"/>
    <w:rsid w:val="00381DD3"/>
    <w:rsid w:val="0038245E"/>
    <w:rsid w:val="0038543B"/>
    <w:rsid w:val="0038674E"/>
    <w:rsid w:val="00387543"/>
    <w:rsid w:val="0039063C"/>
    <w:rsid w:val="003924F8"/>
    <w:rsid w:val="00393329"/>
    <w:rsid w:val="0039391D"/>
    <w:rsid w:val="00393CA4"/>
    <w:rsid w:val="00394F62"/>
    <w:rsid w:val="00397585"/>
    <w:rsid w:val="00397B76"/>
    <w:rsid w:val="003A0B2E"/>
    <w:rsid w:val="003A1704"/>
    <w:rsid w:val="003A24EC"/>
    <w:rsid w:val="003A338E"/>
    <w:rsid w:val="003A39B3"/>
    <w:rsid w:val="003A3E7E"/>
    <w:rsid w:val="003A4637"/>
    <w:rsid w:val="003A46A8"/>
    <w:rsid w:val="003A51AA"/>
    <w:rsid w:val="003A542A"/>
    <w:rsid w:val="003B0F5C"/>
    <w:rsid w:val="003B14F1"/>
    <w:rsid w:val="003B1B80"/>
    <w:rsid w:val="003B3350"/>
    <w:rsid w:val="003B3BF0"/>
    <w:rsid w:val="003B565A"/>
    <w:rsid w:val="003B741B"/>
    <w:rsid w:val="003C0FE8"/>
    <w:rsid w:val="003C14F3"/>
    <w:rsid w:val="003C1B59"/>
    <w:rsid w:val="003C2CB3"/>
    <w:rsid w:val="003C34B6"/>
    <w:rsid w:val="003C384F"/>
    <w:rsid w:val="003C6D28"/>
    <w:rsid w:val="003C6D44"/>
    <w:rsid w:val="003C70D1"/>
    <w:rsid w:val="003D00A1"/>
    <w:rsid w:val="003D00A2"/>
    <w:rsid w:val="003D0416"/>
    <w:rsid w:val="003D1B07"/>
    <w:rsid w:val="003D234A"/>
    <w:rsid w:val="003D2F37"/>
    <w:rsid w:val="003D34B0"/>
    <w:rsid w:val="003D4218"/>
    <w:rsid w:val="003D6772"/>
    <w:rsid w:val="003E1CEF"/>
    <w:rsid w:val="003E2E6D"/>
    <w:rsid w:val="003E3137"/>
    <w:rsid w:val="003E361C"/>
    <w:rsid w:val="003E534B"/>
    <w:rsid w:val="003E5764"/>
    <w:rsid w:val="003E6479"/>
    <w:rsid w:val="003E7B59"/>
    <w:rsid w:val="003F15C6"/>
    <w:rsid w:val="003F18C9"/>
    <w:rsid w:val="003F5D0F"/>
    <w:rsid w:val="003F5FD8"/>
    <w:rsid w:val="003F5FFC"/>
    <w:rsid w:val="003F73D0"/>
    <w:rsid w:val="0040221F"/>
    <w:rsid w:val="00402C7E"/>
    <w:rsid w:val="00403990"/>
    <w:rsid w:val="00403EA7"/>
    <w:rsid w:val="00411828"/>
    <w:rsid w:val="004119D0"/>
    <w:rsid w:val="00412A18"/>
    <w:rsid w:val="0041427F"/>
    <w:rsid w:val="0041561A"/>
    <w:rsid w:val="00417F34"/>
    <w:rsid w:val="00417F84"/>
    <w:rsid w:val="00421679"/>
    <w:rsid w:val="00422D2C"/>
    <w:rsid w:val="00423604"/>
    <w:rsid w:val="00423DD2"/>
    <w:rsid w:val="00425875"/>
    <w:rsid w:val="00425FDA"/>
    <w:rsid w:val="004270EC"/>
    <w:rsid w:val="004305E3"/>
    <w:rsid w:val="004325CB"/>
    <w:rsid w:val="00434199"/>
    <w:rsid w:val="00434ECD"/>
    <w:rsid w:val="00435C24"/>
    <w:rsid w:val="004362F4"/>
    <w:rsid w:val="004373E4"/>
    <w:rsid w:val="0044083E"/>
    <w:rsid w:val="0044099C"/>
    <w:rsid w:val="00440C64"/>
    <w:rsid w:val="00442173"/>
    <w:rsid w:val="004421D8"/>
    <w:rsid w:val="00443699"/>
    <w:rsid w:val="00443FB4"/>
    <w:rsid w:val="004455D6"/>
    <w:rsid w:val="00446CA8"/>
    <w:rsid w:val="00447C35"/>
    <w:rsid w:val="004509E5"/>
    <w:rsid w:val="004527C7"/>
    <w:rsid w:val="004537D6"/>
    <w:rsid w:val="00454D50"/>
    <w:rsid w:val="004550E7"/>
    <w:rsid w:val="0045709E"/>
    <w:rsid w:val="0045755B"/>
    <w:rsid w:val="00457BEC"/>
    <w:rsid w:val="004602F5"/>
    <w:rsid w:val="004609FF"/>
    <w:rsid w:val="004619F6"/>
    <w:rsid w:val="00461E68"/>
    <w:rsid w:val="0046300C"/>
    <w:rsid w:val="00465BB7"/>
    <w:rsid w:val="00466EE0"/>
    <w:rsid w:val="0047078D"/>
    <w:rsid w:val="004722C6"/>
    <w:rsid w:val="00474DBA"/>
    <w:rsid w:val="00475A2C"/>
    <w:rsid w:val="00476364"/>
    <w:rsid w:val="0048072F"/>
    <w:rsid w:val="00480B4B"/>
    <w:rsid w:val="0048209C"/>
    <w:rsid w:val="0048223A"/>
    <w:rsid w:val="0048282B"/>
    <w:rsid w:val="00483031"/>
    <w:rsid w:val="00483585"/>
    <w:rsid w:val="00483609"/>
    <w:rsid w:val="004854E2"/>
    <w:rsid w:val="00485FF7"/>
    <w:rsid w:val="00486FB9"/>
    <w:rsid w:val="0049078D"/>
    <w:rsid w:val="004924F7"/>
    <w:rsid w:val="00494191"/>
    <w:rsid w:val="00494858"/>
    <w:rsid w:val="0049520A"/>
    <w:rsid w:val="00495C8A"/>
    <w:rsid w:val="004962EA"/>
    <w:rsid w:val="00496F82"/>
    <w:rsid w:val="00497283"/>
    <w:rsid w:val="00497DE3"/>
    <w:rsid w:val="004A01EE"/>
    <w:rsid w:val="004A0E68"/>
    <w:rsid w:val="004A234C"/>
    <w:rsid w:val="004A2749"/>
    <w:rsid w:val="004A2903"/>
    <w:rsid w:val="004A29A4"/>
    <w:rsid w:val="004A30D5"/>
    <w:rsid w:val="004A357F"/>
    <w:rsid w:val="004A6346"/>
    <w:rsid w:val="004A6928"/>
    <w:rsid w:val="004A6BE5"/>
    <w:rsid w:val="004A7180"/>
    <w:rsid w:val="004A7C19"/>
    <w:rsid w:val="004B226D"/>
    <w:rsid w:val="004B262D"/>
    <w:rsid w:val="004B4A5D"/>
    <w:rsid w:val="004B61F7"/>
    <w:rsid w:val="004B62EC"/>
    <w:rsid w:val="004B6DDB"/>
    <w:rsid w:val="004B7118"/>
    <w:rsid w:val="004B7F7E"/>
    <w:rsid w:val="004C05B4"/>
    <w:rsid w:val="004C212A"/>
    <w:rsid w:val="004C2906"/>
    <w:rsid w:val="004C39C8"/>
    <w:rsid w:val="004C5838"/>
    <w:rsid w:val="004C6650"/>
    <w:rsid w:val="004C684E"/>
    <w:rsid w:val="004C7500"/>
    <w:rsid w:val="004C78E6"/>
    <w:rsid w:val="004C7F15"/>
    <w:rsid w:val="004C7FC4"/>
    <w:rsid w:val="004D01D9"/>
    <w:rsid w:val="004D050D"/>
    <w:rsid w:val="004D16E8"/>
    <w:rsid w:val="004D25F3"/>
    <w:rsid w:val="004D2CED"/>
    <w:rsid w:val="004D40A5"/>
    <w:rsid w:val="004D4F5E"/>
    <w:rsid w:val="004D7854"/>
    <w:rsid w:val="004E1665"/>
    <w:rsid w:val="004E3022"/>
    <w:rsid w:val="004E4AA8"/>
    <w:rsid w:val="004E5398"/>
    <w:rsid w:val="004E551A"/>
    <w:rsid w:val="004E57FB"/>
    <w:rsid w:val="004E74AD"/>
    <w:rsid w:val="004F2296"/>
    <w:rsid w:val="004F3AF2"/>
    <w:rsid w:val="004F413B"/>
    <w:rsid w:val="004F4F58"/>
    <w:rsid w:val="004F78FF"/>
    <w:rsid w:val="00500232"/>
    <w:rsid w:val="00500312"/>
    <w:rsid w:val="005004D5"/>
    <w:rsid w:val="005004E0"/>
    <w:rsid w:val="005009D2"/>
    <w:rsid w:val="00504668"/>
    <w:rsid w:val="00505C03"/>
    <w:rsid w:val="00507D83"/>
    <w:rsid w:val="00510423"/>
    <w:rsid w:val="00510749"/>
    <w:rsid w:val="00510996"/>
    <w:rsid w:val="00511552"/>
    <w:rsid w:val="005130B0"/>
    <w:rsid w:val="005130C2"/>
    <w:rsid w:val="005132A0"/>
    <w:rsid w:val="005178EB"/>
    <w:rsid w:val="00523A32"/>
    <w:rsid w:val="00524846"/>
    <w:rsid w:val="00526441"/>
    <w:rsid w:val="00526D82"/>
    <w:rsid w:val="00527AC3"/>
    <w:rsid w:val="00527FA3"/>
    <w:rsid w:val="00530692"/>
    <w:rsid w:val="005330F9"/>
    <w:rsid w:val="00533540"/>
    <w:rsid w:val="00534061"/>
    <w:rsid w:val="00534B94"/>
    <w:rsid w:val="00535E30"/>
    <w:rsid w:val="00535E93"/>
    <w:rsid w:val="0053607D"/>
    <w:rsid w:val="005363CE"/>
    <w:rsid w:val="005373A1"/>
    <w:rsid w:val="00537F19"/>
    <w:rsid w:val="00540B24"/>
    <w:rsid w:val="0054172F"/>
    <w:rsid w:val="00543C1B"/>
    <w:rsid w:val="00544D41"/>
    <w:rsid w:val="00544F55"/>
    <w:rsid w:val="0054545C"/>
    <w:rsid w:val="005455E1"/>
    <w:rsid w:val="00547C46"/>
    <w:rsid w:val="005502BD"/>
    <w:rsid w:val="00553BB4"/>
    <w:rsid w:val="005565C2"/>
    <w:rsid w:val="00556787"/>
    <w:rsid w:val="0055798D"/>
    <w:rsid w:val="005614E4"/>
    <w:rsid w:val="00561A2E"/>
    <w:rsid w:val="005623E0"/>
    <w:rsid w:val="005629D1"/>
    <w:rsid w:val="00562FCE"/>
    <w:rsid w:val="00563362"/>
    <w:rsid w:val="005641F9"/>
    <w:rsid w:val="005649CA"/>
    <w:rsid w:val="0056610A"/>
    <w:rsid w:val="005661E1"/>
    <w:rsid w:val="00566A27"/>
    <w:rsid w:val="005671C9"/>
    <w:rsid w:val="00567C00"/>
    <w:rsid w:val="00572190"/>
    <w:rsid w:val="0057235F"/>
    <w:rsid w:val="00573693"/>
    <w:rsid w:val="00575DEC"/>
    <w:rsid w:val="00575E3A"/>
    <w:rsid w:val="00580DC1"/>
    <w:rsid w:val="00580DE3"/>
    <w:rsid w:val="00581D16"/>
    <w:rsid w:val="00581EC2"/>
    <w:rsid w:val="0058287E"/>
    <w:rsid w:val="005836FA"/>
    <w:rsid w:val="00583CEC"/>
    <w:rsid w:val="00584141"/>
    <w:rsid w:val="00585463"/>
    <w:rsid w:val="00585AF6"/>
    <w:rsid w:val="0058626C"/>
    <w:rsid w:val="0058641E"/>
    <w:rsid w:val="00586436"/>
    <w:rsid w:val="0058674C"/>
    <w:rsid w:val="00587436"/>
    <w:rsid w:val="005909E1"/>
    <w:rsid w:val="00590CA9"/>
    <w:rsid w:val="00592BB9"/>
    <w:rsid w:val="00593838"/>
    <w:rsid w:val="00594C70"/>
    <w:rsid w:val="00596635"/>
    <w:rsid w:val="005A00F7"/>
    <w:rsid w:val="005A08EC"/>
    <w:rsid w:val="005A1060"/>
    <w:rsid w:val="005A1FA3"/>
    <w:rsid w:val="005A2479"/>
    <w:rsid w:val="005A258B"/>
    <w:rsid w:val="005A2820"/>
    <w:rsid w:val="005A2C0D"/>
    <w:rsid w:val="005A2D1F"/>
    <w:rsid w:val="005A6527"/>
    <w:rsid w:val="005A7C8D"/>
    <w:rsid w:val="005B04D5"/>
    <w:rsid w:val="005B20D2"/>
    <w:rsid w:val="005B2963"/>
    <w:rsid w:val="005B305A"/>
    <w:rsid w:val="005B307F"/>
    <w:rsid w:val="005B4D90"/>
    <w:rsid w:val="005B5061"/>
    <w:rsid w:val="005B5540"/>
    <w:rsid w:val="005B5A24"/>
    <w:rsid w:val="005B619F"/>
    <w:rsid w:val="005B784D"/>
    <w:rsid w:val="005B7E83"/>
    <w:rsid w:val="005C089E"/>
    <w:rsid w:val="005C1662"/>
    <w:rsid w:val="005C2560"/>
    <w:rsid w:val="005C2F38"/>
    <w:rsid w:val="005C2FFB"/>
    <w:rsid w:val="005C3299"/>
    <w:rsid w:val="005C3D04"/>
    <w:rsid w:val="005C3FDA"/>
    <w:rsid w:val="005C42D4"/>
    <w:rsid w:val="005C4B50"/>
    <w:rsid w:val="005C4E4A"/>
    <w:rsid w:val="005C5745"/>
    <w:rsid w:val="005C6C5C"/>
    <w:rsid w:val="005C739C"/>
    <w:rsid w:val="005C7F1D"/>
    <w:rsid w:val="005D51F5"/>
    <w:rsid w:val="005D57D4"/>
    <w:rsid w:val="005D62A3"/>
    <w:rsid w:val="005D7434"/>
    <w:rsid w:val="005E0DBD"/>
    <w:rsid w:val="005E1ED5"/>
    <w:rsid w:val="005E35C0"/>
    <w:rsid w:val="005E4EE9"/>
    <w:rsid w:val="005E5696"/>
    <w:rsid w:val="005E62BB"/>
    <w:rsid w:val="005E7978"/>
    <w:rsid w:val="005F0731"/>
    <w:rsid w:val="005F0E5F"/>
    <w:rsid w:val="005F3B84"/>
    <w:rsid w:val="005F458F"/>
    <w:rsid w:val="005F5180"/>
    <w:rsid w:val="005F6567"/>
    <w:rsid w:val="005F6871"/>
    <w:rsid w:val="005F7585"/>
    <w:rsid w:val="005F762C"/>
    <w:rsid w:val="006029C6"/>
    <w:rsid w:val="006039F2"/>
    <w:rsid w:val="00605759"/>
    <w:rsid w:val="00607F45"/>
    <w:rsid w:val="00610C9A"/>
    <w:rsid w:val="00610EED"/>
    <w:rsid w:val="00610FF0"/>
    <w:rsid w:val="006113AA"/>
    <w:rsid w:val="00611791"/>
    <w:rsid w:val="00612235"/>
    <w:rsid w:val="00613E17"/>
    <w:rsid w:val="0061477F"/>
    <w:rsid w:val="0061597B"/>
    <w:rsid w:val="0061760B"/>
    <w:rsid w:val="00617914"/>
    <w:rsid w:val="00620ACD"/>
    <w:rsid w:val="00621A82"/>
    <w:rsid w:val="006233C1"/>
    <w:rsid w:val="00623C90"/>
    <w:rsid w:val="006243C9"/>
    <w:rsid w:val="00625BE7"/>
    <w:rsid w:val="00626A69"/>
    <w:rsid w:val="00626B81"/>
    <w:rsid w:val="00630E10"/>
    <w:rsid w:val="00632622"/>
    <w:rsid w:val="00633D16"/>
    <w:rsid w:val="00636F30"/>
    <w:rsid w:val="0063762C"/>
    <w:rsid w:val="00637BC4"/>
    <w:rsid w:val="00640D88"/>
    <w:rsid w:val="00640FC1"/>
    <w:rsid w:val="00641034"/>
    <w:rsid w:val="00642F1A"/>
    <w:rsid w:val="00643826"/>
    <w:rsid w:val="00644113"/>
    <w:rsid w:val="00645363"/>
    <w:rsid w:val="00645E65"/>
    <w:rsid w:val="00645F31"/>
    <w:rsid w:val="006475EB"/>
    <w:rsid w:val="0065054B"/>
    <w:rsid w:val="00650C6C"/>
    <w:rsid w:val="006515E3"/>
    <w:rsid w:val="00652FE6"/>
    <w:rsid w:val="006536D0"/>
    <w:rsid w:val="00654F60"/>
    <w:rsid w:val="00656CA5"/>
    <w:rsid w:val="00661277"/>
    <w:rsid w:val="006625FF"/>
    <w:rsid w:val="006634B6"/>
    <w:rsid w:val="006634ED"/>
    <w:rsid w:val="00663BED"/>
    <w:rsid w:val="00663C90"/>
    <w:rsid w:val="00663FF6"/>
    <w:rsid w:val="00664CCF"/>
    <w:rsid w:val="00664D94"/>
    <w:rsid w:val="00664F84"/>
    <w:rsid w:val="00665116"/>
    <w:rsid w:val="00667898"/>
    <w:rsid w:val="00667E6E"/>
    <w:rsid w:val="00670357"/>
    <w:rsid w:val="00671EF8"/>
    <w:rsid w:val="00671F72"/>
    <w:rsid w:val="00672CEE"/>
    <w:rsid w:val="00673DF3"/>
    <w:rsid w:val="0067591A"/>
    <w:rsid w:val="00676342"/>
    <w:rsid w:val="00677AD6"/>
    <w:rsid w:val="00677FE0"/>
    <w:rsid w:val="00681DED"/>
    <w:rsid w:val="006821E6"/>
    <w:rsid w:val="00682E97"/>
    <w:rsid w:val="00685F2A"/>
    <w:rsid w:val="00686753"/>
    <w:rsid w:val="00687202"/>
    <w:rsid w:val="00687951"/>
    <w:rsid w:val="00687F37"/>
    <w:rsid w:val="00690782"/>
    <w:rsid w:val="00692227"/>
    <w:rsid w:val="00695246"/>
    <w:rsid w:val="006972D9"/>
    <w:rsid w:val="006A12BD"/>
    <w:rsid w:val="006A17DA"/>
    <w:rsid w:val="006A19EB"/>
    <w:rsid w:val="006A2C4F"/>
    <w:rsid w:val="006A3C5C"/>
    <w:rsid w:val="006A3C6E"/>
    <w:rsid w:val="006A45EB"/>
    <w:rsid w:val="006A5804"/>
    <w:rsid w:val="006A5A52"/>
    <w:rsid w:val="006A6DD4"/>
    <w:rsid w:val="006A6FFF"/>
    <w:rsid w:val="006B20A5"/>
    <w:rsid w:val="006B24E2"/>
    <w:rsid w:val="006B2EE2"/>
    <w:rsid w:val="006B31A1"/>
    <w:rsid w:val="006B38CD"/>
    <w:rsid w:val="006B41FF"/>
    <w:rsid w:val="006B45CC"/>
    <w:rsid w:val="006B5694"/>
    <w:rsid w:val="006B5EEE"/>
    <w:rsid w:val="006B64A5"/>
    <w:rsid w:val="006B6C9B"/>
    <w:rsid w:val="006B6E0F"/>
    <w:rsid w:val="006B7028"/>
    <w:rsid w:val="006B7397"/>
    <w:rsid w:val="006C0E63"/>
    <w:rsid w:val="006C3FAD"/>
    <w:rsid w:val="006C4B53"/>
    <w:rsid w:val="006C67B0"/>
    <w:rsid w:val="006D04EF"/>
    <w:rsid w:val="006D0806"/>
    <w:rsid w:val="006D0A08"/>
    <w:rsid w:val="006D16F4"/>
    <w:rsid w:val="006D1CFF"/>
    <w:rsid w:val="006D22A1"/>
    <w:rsid w:val="006D3CE9"/>
    <w:rsid w:val="006D44F0"/>
    <w:rsid w:val="006D4620"/>
    <w:rsid w:val="006D58C5"/>
    <w:rsid w:val="006E0438"/>
    <w:rsid w:val="006E145C"/>
    <w:rsid w:val="006E151C"/>
    <w:rsid w:val="006E218D"/>
    <w:rsid w:val="006E2797"/>
    <w:rsid w:val="006E2E94"/>
    <w:rsid w:val="006E2FB0"/>
    <w:rsid w:val="006E2FFF"/>
    <w:rsid w:val="006E3CC5"/>
    <w:rsid w:val="006E6688"/>
    <w:rsid w:val="006E69D2"/>
    <w:rsid w:val="006E6F21"/>
    <w:rsid w:val="006F0BCD"/>
    <w:rsid w:val="006F127F"/>
    <w:rsid w:val="006F151D"/>
    <w:rsid w:val="006F19D4"/>
    <w:rsid w:val="006F1AFC"/>
    <w:rsid w:val="006F1B59"/>
    <w:rsid w:val="006F3178"/>
    <w:rsid w:val="006F3F7B"/>
    <w:rsid w:val="006F48ED"/>
    <w:rsid w:val="006F4EBE"/>
    <w:rsid w:val="006F534A"/>
    <w:rsid w:val="006F64EE"/>
    <w:rsid w:val="006F66B0"/>
    <w:rsid w:val="006F66FC"/>
    <w:rsid w:val="0070053B"/>
    <w:rsid w:val="00700729"/>
    <w:rsid w:val="00700798"/>
    <w:rsid w:val="00700E66"/>
    <w:rsid w:val="007029F3"/>
    <w:rsid w:val="0070365E"/>
    <w:rsid w:val="007043D8"/>
    <w:rsid w:val="007048C1"/>
    <w:rsid w:val="00704A63"/>
    <w:rsid w:val="00704E27"/>
    <w:rsid w:val="007051C3"/>
    <w:rsid w:val="0070556E"/>
    <w:rsid w:val="007078B4"/>
    <w:rsid w:val="00707A39"/>
    <w:rsid w:val="00707EA2"/>
    <w:rsid w:val="007102D2"/>
    <w:rsid w:val="007110B8"/>
    <w:rsid w:val="00711FA7"/>
    <w:rsid w:val="00712848"/>
    <w:rsid w:val="00713698"/>
    <w:rsid w:val="00713948"/>
    <w:rsid w:val="0071416C"/>
    <w:rsid w:val="007149F6"/>
    <w:rsid w:val="00716B65"/>
    <w:rsid w:val="0071779D"/>
    <w:rsid w:val="00717E25"/>
    <w:rsid w:val="00721587"/>
    <w:rsid w:val="00721FDE"/>
    <w:rsid w:val="0072208B"/>
    <w:rsid w:val="00724B87"/>
    <w:rsid w:val="007266F0"/>
    <w:rsid w:val="00726761"/>
    <w:rsid w:val="00726F0D"/>
    <w:rsid w:val="007271B7"/>
    <w:rsid w:val="00730492"/>
    <w:rsid w:val="007324E1"/>
    <w:rsid w:val="0073260C"/>
    <w:rsid w:val="00733497"/>
    <w:rsid w:val="00733AD1"/>
    <w:rsid w:val="00736C9F"/>
    <w:rsid w:val="0073713D"/>
    <w:rsid w:val="00740B71"/>
    <w:rsid w:val="00740D74"/>
    <w:rsid w:val="00741C59"/>
    <w:rsid w:val="00742151"/>
    <w:rsid w:val="00742D5D"/>
    <w:rsid w:val="00744C76"/>
    <w:rsid w:val="00745303"/>
    <w:rsid w:val="00745892"/>
    <w:rsid w:val="0074683B"/>
    <w:rsid w:val="007468CD"/>
    <w:rsid w:val="00750561"/>
    <w:rsid w:val="007505F8"/>
    <w:rsid w:val="00750F63"/>
    <w:rsid w:val="00752227"/>
    <w:rsid w:val="00753857"/>
    <w:rsid w:val="00753A27"/>
    <w:rsid w:val="007560C5"/>
    <w:rsid w:val="007560FB"/>
    <w:rsid w:val="007601C9"/>
    <w:rsid w:val="0076180C"/>
    <w:rsid w:val="007637A7"/>
    <w:rsid w:val="007641AA"/>
    <w:rsid w:val="00764ABB"/>
    <w:rsid w:val="00765131"/>
    <w:rsid w:val="007662E1"/>
    <w:rsid w:val="00766C5D"/>
    <w:rsid w:val="00772296"/>
    <w:rsid w:val="007731B6"/>
    <w:rsid w:val="007736C3"/>
    <w:rsid w:val="007745AC"/>
    <w:rsid w:val="00774723"/>
    <w:rsid w:val="007747A9"/>
    <w:rsid w:val="00774810"/>
    <w:rsid w:val="00774875"/>
    <w:rsid w:val="007762EA"/>
    <w:rsid w:val="00776C68"/>
    <w:rsid w:val="0077705C"/>
    <w:rsid w:val="00777B2A"/>
    <w:rsid w:val="00780010"/>
    <w:rsid w:val="007822BC"/>
    <w:rsid w:val="00782616"/>
    <w:rsid w:val="00782737"/>
    <w:rsid w:val="00782928"/>
    <w:rsid w:val="0078326D"/>
    <w:rsid w:val="00783DB6"/>
    <w:rsid w:val="00784F4F"/>
    <w:rsid w:val="00785C33"/>
    <w:rsid w:val="00785E56"/>
    <w:rsid w:val="00790A0A"/>
    <w:rsid w:val="00790C59"/>
    <w:rsid w:val="007912A3"/>
    <w:rsid w:val="00791956"/>
    <w:rsid w:val="007919B8"/>
    <w:rsid w:val="00792611"/>
    <w:rsid w:val="0079342A"/>
    <w:rsid w:val="00794A8C"/>
    <w:rsid w:val="0079514A"/>
    <w:rsid w:val="00795280"/>
    <w:rsid w:val="007A20A1"/>
    <w:rsid w:val="007A23B0"/>
    <w:rsid w:val="007A2486"/>
    <w:rsid w:val="007A42C8"/>
    <w:rsid w:val="007A511E"/>
    <w:rsid w:val="007A5B52"/>
    <w:rsid w:val="007A63E4"/>
    <w:rsid w:val="007A74EB"/>
    <w:rsid w:val="007A7D9D"/>
    <w:rsid w:val="007B087F"/>
    <w:rsid w:val="007B1CB2"/>
    <w:rsid w:val="007B1E7B"/>
    <w:rsid w:val="007B21BA"/>
    <w:rsid w:val="007B268E"/>
    <w:rsid w:val="007B45B1"/>
    <w:rsid w:val="007B4949"/>
    <w:rsid w:val="007B71FE"/>
    <w:rsid w:val="007B72F9"/>
    <w:rsid w:val="007C03EB"/>
    <w:rsid w:val="007C04E0"/>
    <w:rsid w:val="007C0584"/>
    <w:rsid w:val="007C0D33"/>
    <w:rsid w:val="007C17DD"/>
    <w:rsid w:val="007C4662"/>
    <w:rsid w:val="007C4C0B"/>
    <w:rsid w:val="007C5715"/>
    <w:rsid w:val="007C5FEF"/>
    <w:rsid w:val="007C674D"/>
    <w:rsid w:val="007C784D"/>
    <w:rsid w:val="007C7F28"/>
    <w:rsid w:val="007D00E5"/>
    <w:rsid w:val="007D1783"/>
    <w:rsid w:val="007D28EA"/>
    <w:rsid w:val="007D3E8A"/>
    <w:rsid w:val="007D4318"/>
    <w:rsid w:val="007D4B1B"/>
    <w:rsid w:val="007D5D9B"/>
    <w:rsid w:val="007D71C0"/>
    <w:rsid w:val="007D758B"/>
    <w:rsid w:val="007E0944"/>
    <w:rsid w:val="007E0A6E"/>
    <w:rsid w:val="007E0B97"/>
    <w:rsid w:val="007E1626"/>
    <w:rsid w:val="007E1909"/>
    <w:rsid w:val="007E2C91"/>
    <w:rsid w:val="007E32BC"/>
    <w:rsid w:val="007E5091"/>
    <w:rsid w:val="007E51B6"/>
    <w:rsid w:val="007E740A"/>
    <w:rsid w:val="007E7738"/>
    <w:rsid w:val="007F08BD"/>
    <w:rsid w:val="007F0BC6"/>
    <w:rsid w:val="007F2964"/>
    <w:rsid w:val="007F5A68"/>
    <w:rsid w:val="007F5F68"/>
    <w:rsid w:val="0080064B"/>
    <w:rsid w:val="008009BB"/>
    <w:rsid w:val="008023C8"/>
    <w:rsid w:val="00802F74"/>
    <w:rsid w:val="00803128"/>
    <w:rsid w:val="00804858"/>
    <w:rsid w:val="00805187"/>
    <w:rsid w:val="008073EA"/>
    <w:rsid w:val="00807D67"/>
    <w:rsid w:val="00810825"/>
    <w:rsid w:val="008109E9"/>
    <w:rsid w:val="008150D9"/>
    <w:rsid w:val="008158BE"/>
    <w:rsid w:val="00815F3B"/>
    <w:rsid w:val="00816784"/>
    <w:rsid w:val="0081763E"/>
    <w:rsid w:val="00820D1D"/>
    <w:rsid w:val="00822470"/>
    <w:rsid w:val="0082270E"/>
    <w:rsid w:val="00822F2B"/>
    <w:rsid w:val="00823DDD"/>
    <w:rsid w:val="00823F6D"/>
    <w:rsid w:val="00823FA5"/>
    <w:rsid w:val="008245D8"/>
    <w:rsid w:val="008248AD"/>
    <w:rsid w:val="00824FE6"/>
    <w:rsid w:val="00826C49"/>
    <w:rsid w:val="00827F07"/>
    <w:rsid w:val="00831374"/>
    <w:rsid w:val="00831533"/>
    <w:rsid w:val="00831559"/>
    <w:rsid w:val="00832381"/>
    <w:rsid w:val="008326CD"/>
    <w:rsid w:val="00832B76"/>
    <w:rsid w:val="00832CA3"/>
    <w:rsid w:val="00833181"/>
    <w:rsid w:val="00833E3D"/>
    <w:rsid w:val="008343A5"/>
    <w:rsid w:val="00834965"/>
    <w:rsid w:val="00836537"/>
    <w:rsid w:val="008372DA"/>
    <w:rsid w:val="00840521"/>
    <w:rsid w:val="00842781"/>
    <w:rsid w:val="0084539C"/>
    <w:rsid w:val="00845702"/>
    <w:rsid w:val="00845D64"/>
    <w:rsid w:val="00850A7E"/>
    <w:rsid w:val="00851455"/>
    <w:rsid w:val="00851F42"/>
    <w:rsid w:val="00853043"/>
    <w:rsid w:val="0085382B"/>
    <w:rsid w:val="00855226"/>
    <w:rsid w:val="00856376"/>
    <w:rsid w:val="0085695D"/>
    <w:rsid w:val="00857580"/>
    <w:rsid w:val="008603E4"/>
    <w:rsid w:val="00860F23"/>
    <w:rsid w:val="008610BA"/>
    <w:rsid w:val="00861318"/>
    <w:rsid w:val="00862BF9"/>
    <w:rsid w:val="0086364D"/>
    <w:rsid w:val="008638B0"/>
    <w:rsid w:val="00864748"/>
    <w:rsid w:val="00865238"/>
    <w:rsid w:val="008661AC"/>
    <w:rsid w:val="008667BF"/>
    <w:rsid w:val="0086785D"/>
    <w:rsid w:val="00871101"/>
    <w:rsid w:val="0087358F"/>
    <w:rsid w:val="00873CD1"/>
    <w:rsid w:val="0087520A"/>
    <w:rsid w:val="008756DD"/>
    <w:rsid w:val="00875D0F"/>
    <w:rsid w:val="00877238"/>
    <w:rsid w:val="00881B5E"/>
    <w:rsid w:val="00881F2C"/>
    <w:rsid w:val="0088298D"/>
    <w:rsid w:val="008833A8"/>
    <w:rsid w:val="008857B9"/>
    <w:rsid w:val="00885E1E"/>
    <w:rsid w:val="008861D3"/>
    <w:rsid w:val="0088654D"/>
    <w:rsid w:val="00887951"/>
    <w:rsid w:val="00891BBA"/>
    <w:rsid w:val="0089243D"/>
    <w:rsid w:val="00892552"/>
    <w:rsid w:val="0089451E"/>
    <w:rsid w:val="00895314"/>
    <w:rsid w:val="00895645"/>
    <w:rsid w:val="00895CEF"/>
    <w:rsid w:val="00895E1B"/>
    <w:rsid w:val="00896BB7"/>
    <w:rsid w:val="008A161D"/>
    <w:rsid w:val="008A2864"/>
    <w:rsid w:val="008A28E1"/>
    <w:rsid w:val="008A2BB4"/>
    <w:rsid w:val="008A4D09"/>
    <w:rsid w:val="008A5757"/>
    <w:rsid w:val="008A7466"/>
    <w:rsid w:val="008A74A1"/>
    <w:rsid w:val="008A7938"/>
    <w:rsid w:val="008A7E26"/>
    <w:rsid w:val="008B0E2A"/>
    <w:rsid w:val="008B2D2A"/>
    <w:rsid w:val="008B2F01"/>
    <w:rsid w:val="008B3307"/>
    <w:rsid w:val="008B44A0"/>
    <w:rsid w:val="008B4ABF"/>
    <w:rsid w:val="008B5482"/>
    <w:rsid w:val="008B7055"/>
    <w:rsid w:val="008C0CDE"/>
    <w:rsid w:val="008C0F18"/>
    <w:rsid w:val="008C2EB6"/>
    <w:rsid w:val="008C3782"/>
    <w:rsid w:val="008C3A92"/>
    <w:rsid w:val="008C47F8"/>
    <w:rsid w:val="008C5E90"/>
    <w:rsid w:val="008C61A8"/>
    <w:rsid w:val="008C7CE3"/>
    <w:rsid w:val="008C7E04"/>
    <w:rsid w:val="008D03C3"/>
    <w:rsid w:val="008D1285"/>
    <w:rsid w:val="008D3022"/>
    <w:rsid w:val="008D3633"/>
    <w:rsid w:val="008D4A32"/>
    <w:rsid w:val="008D593A"/>
    <w:rsid w:val="008D5CBA"/>
    <w:rsid w:val="008D5E66"/>
    <w:rsid w:val="008D77C5"/>
    <w:rsid w:val="008E058D"/>
    <w:rsid w:val="008E0EB7"/>
    <w:rsid w:val="008E1281"/>
    <w:rsid w:val="008E1ED9"/>
    <w:rsid w:val="008E1F47"/>
    <w:rsid w:val="008E3DF9"/>
    <w:rsid w:val="008E59DC"/>
    <w:rsid w:val="008E772C"/>
    <w:rsid w:val="008E7760"/>
    <w:rsid w:val="008E7E40"/>
    <w:rsid w:val="008F0529"/>
    <w:rsid w:val="008F0957"/>
    <w:rsid w:val="008F1992"/>
    <w:rsid w:val="008F1D25"/>
    <w:rsid w:val="008F3F78"/>
    <w:rsid w:val="008F4075"/>
    <w:rsid w:val="008F469A"/>
    <w:rsid w:val="008F4EF4"/>
    <w:rsid w:val="008F4FBF"/>
    <w:rsid w:val="008F641A"/>
    <w:rsid w:val="008F74A0"/>
    <w:rsid w:val="008F7EB6"/>
    <w:rsid w:val="00904C06"/>
    <w:rsid w:val="009051FB"/>
    <w:rsid w:val="00905874"/>
    <w:rsid w:val="00906BE8"/>
    <w:rsid w:val="00906DD0"/>
    <w:rsid w:val="00913E11"/>
    <w:rsid w:val="00914399"/>
    <w:rsid w:val="009146CC"/>
    <w:rsid w:val="00914797"/>
    <w:rsid w:val="0091750E"/>
    <w:rsid w:val="00920BBE"/>
    <w:rsid w:val="0092153E"/>
    <w:rsid w:val="00922001"/>
    <w:rsid w:val="00922C17"/>
    <w:rsid w:val="00923775"/>
    <w:rsid w:val="00924EDC"/>
    <w:rsid w:val="00927A3F"/>
    <w:rsid w:val="009311B7"/>
    <w:rsid w:val="00932123"/>
    <w:rsid w:val="00932F31"/>
    <w:rsid w:val="009344B5"/>
    <w:rsid w:val="009359D1"/>
    <w:rsid w:val="00935A2D"/>
    <w:rsid w:val="00936360"/>
    <w:rsid w:val="009412DF"/>
    <w:rsid w:val="00942DDD"/>
    <w:rsid w:val="009457A6"/>
    <w:rsid w:val="0095019A"/>
    <w:rsid w:val="00950CA7"/>
    <w:rsid w:val="0095140A"/>
    <w:rsid w:val="009516A6"/>
    <w:rsid w:val="009516A8"/>
    <w:rsid w:val="009517DA"/>
    <w:rsid w:val="00953B10"/>
    <w:rsid w:val="009576DA"/>
    <w:rsid w:val="0095779A"/>
    <w:rsid w:val="00961E93"/>
    <w:rsid w:val="009622BA"/>
    <w:rsid w:val="00963074"/>
    <w:rsid w:val="00965857"/>
    <w:rsid w:val="0096598F"/>
    <w:rsid w:val="00965D7A"/>
    <w:rsid w:val="00966963"/>
    <w:rsid w:val="0096722A"/>
    <w:rsid w:val="00967ECF"/>
    <w:rsid w:val="00970A75"/>
    <w:rsid w:val="00970EF7"/>
    <w:rsid w:val="0097283E"/>
    <w:rsid w:val="0097329C"/>
    <w:rsid w:val="0097340C"/>
    <w:rsid w:val="009740D8"/>
    <w:rsid w:val="00975385"/>
    <w:rsid w:val="0097558D"/>
    <w:rsid w:val="00976753"/>
    <w:rsid w:val="00976D8A"/>
    <w:rsid w:val="0097705C"/>
    <w:rsid w:val="00977ACC"/>
    <w:rsid w:val="00977C84"/>
    <w:rsid w:val="009839E4"/>
    <w:rsid w:val="00983EC1"/>
    <w:rsid w:val="00985FF8"/>
    <w:rsid w:val="00991370"/>
    <w:rsid w:val="0099171B"/>
    <w:rsid w:val="009917F8"/>
    <w:rsid w:val="00991E14"/>
    <w:rsid w:val="00991E77"/>
    <w:rsid w:val="009921C2"/>
    <w:rsid w:val="009932B5"/>
    <w:rsid w:val="00993964"/>
    <w:rsid w:val="00995949"/>
    <w:rsid w:val="00996100"/>
    <w:rsid w:val="009964E1"/>
    <w:rsid w:val="009972EF"/>
    <w:rsid w:val="0099774D"/>
    <w:rsid w:val="00997C48"/>
    <w:rsid w:val="00997F75"/>
    <w:rsid w:val="009A0AA9"/>
    <w:rsid w:val="009A1978"/>
    <w:rsid w:val="009A4DA0"/>
    <w:rsid w:val="009A5408"/>
    <w:rsid w:val="009A6F4F"/>
    <w:rsid w:val="009B0425"/>
    <w:rsid w:val="009B0629"/>
    <w:rsid w:val="009B1394"/>
    <w:rsid w:val="009B1823"/>
    <w:rsid w:val="009B269E"/>
    <w:rsid w:val="009B378E"/>
    <w:rsid w:val="009B3DB3"/>
    <w:rsid w:val="009B44CC"/>
    <w:rsid w:val="009B4CC0"/>
    <w:rsid w:val="009B531F"/>
    <w:rsid w:val="009B55D7"/>
    <w:rsid w:val="009B6CE0"/>
    <w:rsid w:val="009B7102"/>
    <w:rsid w:val="009C06F9"/>
    <w:rsid w:val="009C1CF8"/>
    <w:rsid w:val="009C28C7"/>
    <w:rsid w:val="009C3336"/>
    <w:rsid w:val="009C3CB5"/>
    <w:rsid w:val="009C41F4"/>
    <w:rsid w:val="009C58D3"/>
    <w:rsid w:val="009C6CA0"/>
    <w:rsid w:val="009C6F95"/>
    <w:rsid w:val="009D04EA"/>
    <w:rsid w:val="009D0575"/>
    <w:rsid w:val="009D08F2"/>
    <w:rsid w:val="009D209E"/>
    <w:rsid w:val="009D225E"/>
    <w:rsid w:val="009D2FE4"/>
    <w:rsid w:val="009D3284"/>
    <w:rsid w:val="009D34DA"/>
    <w:rsid w:val="009D43A1"/>
    <w:rsid w:val="009D6733"/>
    <w:rsid w:val="009D6DCB"/>
    <w:rsid w:val="009D70F7"/>
    <w:rsid w:val="009E105B"/>
    <w:rsid w:val="009E1480"/>
    <w:rsid w:val="009E1EBD"/>
    <w:rsid w:val="009E1F96"/>
    <w:rsid w:val="009E248D"/>
    <w:rsid w:val="009E2772"/>
    <w:rsid w:val="009E308F"/>
    <w:rsid w:val="009E45DE"/>
    <w:rsid w:val="009E604A"/>
    <w:rsid w:val="009E7A33"/>
    <w:rsid w:val="009F02E7"/>
    <w:rsid w:val="009F1516"/>
    <w:rsid w:val="009F166D"/>
    <w:rsid w:val="009F176F"/>
    <w:rsid w:val="009F2F26"/>
    <w:rsid w:val="009F393D"/>
    <w:rsid w:val="009F3C05"/>
    <w:rsid w:val="009F6141"/>
    <w:rsid w:val="009F6252"/>
    <w:rsid w:val="009F78BB"/>
    <w:rsid w:val="009F7F46"/>
    <w:rsid w:val="00A000BF"/>
    <w:rsid w:val="00A027BA"/>
    <w:rsid w:val="00A02A4B"/>
    <w:rsid w:val="00A04337"/>
    <w:rsid w:val="00A0553F"/>
    <w:rsid w:val="00A0587E"/>
    <w:rsid w:val="00A05E66"/>
    <w:rsid w:val="00A07887"/>
    <w:rsid w:val="00A1057F"/>
    <w:rsid w:val="00A117BA"/>
    <w:rsid w:val="00A131AD"/>
    <w:rsid w:val="00A14BA8"/>
    <w:rsid w:val="00A15A03"/>
    <w:rsid w:val="00A15BEF"/>
    <w:rsid w:val="00A171B1"/>
    <w:rsid w:val="00A219CB"/>
    <w:rsid w:val="00A252C2"/>
    <w:rsid w:val="00A25C60"/>
    <w:rsid w:val="00A25E1C"/>
    <w:rsid w:val="00A26C14"/>
    <w:rsid w:val="00A275BC"/>
    <w:rsid w:val="00A311F5"/>
    <w:rsid w:val="00A3295D"/>
    <w:rsid w:val="00A33B1D"/>
    <w:rsid w:val="00A33C9B"/>
    <w:rsid w:val="00A34066"/>
    <w:rsid w:val="00A34384"/>
    <w:rsid w:val="00A35561"/>
    <w:rsid w:val="00A360A5"/>
    <w:rsid w:val="00A36829"/>
    <w:rsid w:val="00A379AE"/>
    <w:rsid w:val="00A4011D"/>
    <w:rsid w:val="00A40BFB"/>
    <w:rsid w:val="00A414C6"/>
    <w:rsid w:val="00A416BC"/>
    <w:rsid w:val="00A41C0F"/>
    <w:rsid w:val="00A41C51"/>
    <w:rsid w:val="00A4355C"/>
    <w:rsid w:val="00A440FB"/>
    <w:rsid w:val="00A44185"/>
    <w:rsid w:val="00A44A0C"/>
    <w:rsid w:val="00A44D7D"/>
    <w:rsid w:val="00A464B4"/>
    <w:rsid w:val="00A4669B"/>
    <w:rsid w:val="00A4671B"/>
    <w:rsid w:val="00A46EFF"/>
    <w:rsid w:val="00A472E2"/>
    <w:rsid w:val="00A4731C"/>
    <w:rsid w:val="00A47FB1"/>
    <w:rsid w:val="00A508E4"/>
    <w:rsid w:val="00A54546"/>
    <w:rsid w:val="00A54CAE"/>
    <w:rsid w:val="00A56631"/>
    <w:rsid w:val="00A57B7F"/>
    <w:rsid w:val="00A63D6B"/>
    <w:rsid w:val="00A6414D"/>
    <w:rsid w:val="00A6534A"/>
    <w:rsid w:val="00A6540A"/>
    <w:rsid w:val="00A657BD"/>
    <w:rsid w:val="00A66AF1"/>
    <w:rsid w:val="00A753B5"/>
    <w:rsid w:val="00A75A70"/>
    <w:rsid w:val="00A76A0B"/>
    <w:rsid w:val="00A80B34"/>
    <w:rsid w:val="00A80DE5"/>
    <w:rsid w:val="00A810C2"/>
    <w:rsid w:val="00A82FE4"/>
    <w:rsid w:val="00A84507"/>
    <w:rsid w:val="00A84B52"/>
    <w:rsid w:val="00A84F2D"/>
    <w:rsid w:val="00A85567"/>
    <w:rsid w:val="00A856C4"/>
    <w:rsid w:val="00A85A75"/>
    <w:rsid w:val="00A8660F"/>
    <w:rsid w:val="00A8724A"/>
    <w:rsid w:val="00A8735F"/>
    <w:rsid w:val="00A90F63"/>
    <w:rsid w:val="00A91EF4"/>
    <w:rsid w:val="00A91F5A"/>
    <w:rsid w:val="00A92499"/>
    <w:rsid w:val="00A9296A"/>
    <w:rsid w:val="00A935B0"/>
    <w:rsid w:val="00A9499B"/>
    <w:rsid w:val="00A95C48"/>
    <w:rsid w:val="00A95F01"/>
    <w:rsid w:val="00A97438"/>
    <w:rsid w:val="00AA0C17"/>
    <w:rsid w:val="00AA350C"/>
    <w:rsid w:val="00AA3921"/>
    <w:rsid w:val="00AA5CFA"/>
    <w:rsid w:val="00AA703C"/>
    <w:rsid w:val="00AA7056"/>
    <w:rsid w:val="00AA7D68"/>
    <w:rsid w:val="00AA7E3E"/>
    <w:rsid w:val="00AB0797"/>
    <w:rsid w:val="00AB0DB0"/>
    <w:rsid w:val="00AB21B2"/>
    <w:rsid w:val="00AB24EC"/>
    <w:rsid w:val="00AB3011"/>
    <w:rsid w:val="00AB31C6"/>
    <w:rsid w:val="00AB37FC"/>
    <w:rsid w:val="00AB4FE2"/>
    <w:rsid w:val="00AB523B"/>
    <w:rsid w:val="00AB59CE"/>
    <w:rsid w:val="00AB69CF"/>
    <w:rsid w:val="00AB730E"/>
    <w:rsid w:val="00AC07C0"/>
    <w:rsid w:val="00AC0DED"/>
    <w:rsid w:val="00AC125C"/>
    <w:rsid w:val="00AC3D64"/>
    <w:rsid w:val="00AC3E83"/>
    <w:rsid w:val="00AC47F8"/>
    <w:rsid w:val="00AC50BB"/>
    <w:rsid w:val="00AC5319"/>
    <w:rsid w:val="00AC5AAF"/>
    <w:rsid w:val="00AC5F47"/>
    <w:rsid w:val="00AC645B"/>
    <w:rsid w:val="00AC7862"/>
    <w:rsid w:val="00AD0A96"/>
    <w:rsid w:val="00AD17D5"/>
    <w:rsid w:val="00AD4E64"/>
    <w:rsid w:val="00AD4E78"/>
    <w:rsid w:val="00AD59D6"/>
    <w:rsid w:val="00AD61CD"/>
    <w:rsid w:val="00AD6B5E"/>
    <w:rsid w:val="00AD75B5"/>
    <w:rsid w:val="00AD7E40"/>
    <w:rsid w:val="00AE0539"/>
    <w:rsid w:val="00AE1D62"/>
    <w:rsid w:val="00AE3427"/>
    <w:rsid w:val="00AE3629"/>
    <w:rsid w:val="00AE3D32"/>
    <w:rsid w:val="00AE4456"/>
    <w:rsid w:val="00AE4BCD"/>
    <w:rsid w:val="00AE6A70"/>
    <w:rsid w:val="00AE7610"/>
    <w:rsid w:val="00AF018C"/>
    <w:rsid w:val="00AF062D"/>
    <w:rsid w:val="00AF0676"/>
    <w:rsid w:val="00AF1322"/>
    <w:rsid w:val="00AF20A7"/>
    <w:rsid w:val="00AF221B"/>
    <w:rsid w:val="00AF345E"/>
    <w:rsid w:val="00AF440D"/>
    <w:rsid w:val="00AF5C86"/>
    <w:rsid w:val="00AF6925"/>
    <w:rsid w:val="00B00205"/>
    <w:rsid w:val="00B0028E"/>
    <w:rsid w:val="00B034E9"/>
    <w:rsid w:val="00B03881"/>
    <w:rsid w:val="00B047D4"/>
    <w:rsid w:val="00B1080E"/>
    <w:rsid w:val="00B1477A"/>
    <w:rsid w:val="00B15677"/>
    <w:rsid w:val="00B15D40"/>
    <w:rsid w:val="00B16652"/>
    <w:rsid w:val="00B1670B"/>
    <w:rsid w:val="00B17C79"/>
    <w:rsid w:val="00B20886"/>
    <w:rsid w:val="00B20908"/>
    <w:rsid w:val="00B20993"/>
    <w:rsid w:val="00B2124C"/>
    <w:rsid w:val="00B22F11"/>
    <w:rsid w:val="00B236C4"/>
    <w:rsid w:val="00B238B6"/>
    <w:rsid w:val="00B2479C"/>
    <w:rsid w:val="00B247BC"/>
    <w:rsid w:val="00B24DE2"/>
    <w:rsid w:val="00B26A5C"/>
    <w:rsid w:val="00B26B0E"/>
    <w:rsid w:val="00B30BE9"/>
    <w:rsid w:val="00B3323B"/>
    <w:rsid w:val="00B34AD7"/>
    <w:rsid w:val="00B34B66"/>
    <w:rsid w:val="00B3535F"/>
    <w:rsid w:val="00B35745"/>
    <w:rsid w:val="00B35D5F"/>
    <w:rsid w:val="00B35FCB"/>
    <w:rsid w:val="00B36AE6"/>
    <w:rsid w:val="00B36EF3"/>
    <w:rsid w:val="00B377B2"/>
    <w:rsid w:val="00B37999"/>
    <w:rsid w:val="00B424C7"/>
    <w:rsid w:val="00B42E96"/>
    <w:rsid w:val="00B42F3A"/>
    <w:rsid w:val="00B469BA"/>
    <w:rsid w:val="00B470A1"/>
    <w:rsid w:val="00B47274"/>
    <w:rsid w:val="00B4749C"/>
    <w:rsid w:val="00B47EB4"/>
    <w:rsid w:val="00B50EE6"/>
    <w:rsid w:val="00B52185"/>
    <w:rsid w:val="00B54618"/>
    <w:rsid w:val="00B54776"/>
    <w:rsid w:val="00B563C2"/>
    <w:rsid w:val="00B5645E"/>
    <w:rsid w:val="00B57365"/>
    <w:rsid w:val="00B5765E"/>
    <w:rsid w:val="00B57C44"/>
    <w:rsid w:val="00B60664"/>
    <w:rsid w:val="00B6238B"/>
    <w:rsid w:val="00B62976"/>
    <w:rsid w:val="00B635BD"/>
    <w:rsid w:val="00B639AB"/>
    <w:rsid w:val="00B653A9"/>
    <w:rsid w:val="00B660F0"/>
    <w:rsid w:val="00B66EAF"/>
    <w:rsid w:val="00B67EDE"/>
    <w:rsid w:val="00B70C6D"/>
    <w:rsid w:val="00B70C86"/>
    <w:rsid w:val="00B70F7D"/>
    <w:rsid w:val="00B72453"/>
    <w:rsid w:val="00B7306E"/>
    <w:rsid w:val="00B74200"/>
    <w:rsid w:val="00B74B5A"/>
    <w:rsid w:val="00B76E78"/>
    <w:rsid w:val="00B7715B"/>
    <w:rsid w:val="00B80FAE"/>
    <w:rsid w:val="00B811A5"/>
    <w:rsid w:val="00B8126F"/>
    <w:rsid w:val="00B836EA"/>
    <w:rsid w:val="00B84155"/>
    <w:rsid w:val="00B8693D"/>
    <w:rsid w:val="00B86E5C"/>
    <w:rsid w:val="00B8713D"/>
    <w:rsid w:val="00B9017F"/>
    <w:rsid w:val="00B92210"/>
    <w:rsid w:val="00B92AF5"/>
    <w:rsid w:val="00B948CF"/>
    <w:rsid w:val="00B96ED8"/>
    <w:rsid w:val="00B9753A"/>
    <w:rsid w:val="00BA075B"/>
    <w:rsid w:val="00BA0E7A"/>
    <w:rsid w:val="00BA179E"/>
    <w:rsid w:val="00BA4A8F"/>
    <w:rsid w:val="00BA4F8E"/>
    <w:rsid w:val="00BA56ED"/>
    <w:rsid w:val="00BA59B2"/>
    <w:rsid w:val="00BA61EB"/>
    <w:rsid w:val="00BA6A89"/>
    <w:rsid w:val="00BA7F32"/>
    <w:rsid w:val="00BB017A"/>
    <w:rsid w:val="00BB0F8A"/>
    <w:rsid w:val="00BB136A"/>
    <w:rsid w:val="00BB154C"/>
    <w:rsid w:val="00BB1BC9"/>
    <w:rsid w:val="00BB296D"/>
    <w:rsid w:val="00BB3C0F"/>
    <w:rsid w:val="00BB415C"/>
    <w:rsid w:val="00BB41A6"/>
    <w:rsid w:val="00BB41D4"/>
    <w:rsid w:val="00BB4241"/>
    <w:rsid w:val="00BB479C"/>
    <w:rsid w:val="00BB63B3"/>
    <w:rsid w:val="00BC07CC"/>
    <w:rsid w:val="00BC0A21"/>
    <w:rsid w:val="00BC4720"/>
    <w:rsid w:val="00BC54A9"/>
    <w:rsid w:val="00BC5838"/>
    <w:rsid w:val="00BD0A8A"/>
    <w:rsid w:val="00BD0AEA"/>
    <w:rsid w:val="00BD0E4B"/>
    <w:rsid w:val="00BD355D"/>
    <w:rsid w:val="00BD4B25"/>
    <w:rsid w:val="00BD5CC3"/>
    <w:rsid w:val="00BD740C"/>
    <w:rsid w:val="00BD75A2"/>
    <w:rsid w:val="00BD79B0"/>
    <w:rsid w:val="00BE0E1E"/>
    <w:rsid w:val="00BE1158"/>
    <w:rsid w:val="00BE40D8"/>
    <w:rsid w:val="00BE42F0"/>
    <w:rsid w:val="00BE65D6"/>
    <w:rsid w:val="00BE6DBA"/>
    <w:rsid w:val="00BF0915"/>
    <w:rsid w:val="00BF09D7"/>
    <w:rsid w:val="00BF12FE"/>
    <w:rsid w:val="00BF1546"/>
    <w:rsid w:val="00BF1662"/>
    <w:rsid w:val="00BF332B"/>
    <w:rsid w:val="00BF34EA"/>
    <w:rsid w:val="00BF444F"/>
    <w:rsid w:val="00BF499C"/>
    <w:rsid w:val="00BF55BC"/>
    <w:rsid w:val="00BF6339"/>
    <w:rsid w:val="00BF6859"/>
    <w:rsid w:val="00BF6A94"/>
    <w:rsid w:val="00C000B3"/>
    <w:rsid w:val="00C01E87"/>
    <w:rsid w:val="00C03D1E"/>
    <w:rsid w:val="00C04011"/>
    <w:rsid w:val="00C04BED"/>
    <w:rsid w:val="00C05AD7"/>
    <w:rsid w:val="00C06360"/>
    <w:rsid w:val="00C11FE0"/>
    <w:rsid w:val="00C12383"/>
    <w:rsid w:val="00C125E4"/>
    <w:rsid w:val="00C12928"/>
    <w:rsid w:val="00C12F89"/>
    <w:rsid w:val="00C146E9"/>
    <w:rsid w:val="00C16D81"/>
    <w:rsid w:val="00C16F5D"/>
    <w:rsid w:val="00C2017A"/>
    <w:rsid w:val="00C2026B"/>
    <w:rsid w:val="00C20470"/>
    <w:rsid w:val="00C20D1B"/>
    <w:rsid w:val="00C22867"/>
    <w:rsid w:val="00C22F37"/>
    <w:rsid w:val="00C2337E"/>
    <w:rsid w:val="00C253D0"/>
    <w:rsid w:val="00C25C93"/>
    <w:rsid w:val="00C263FE"/>
    <w:rsid w:val="00C27541"/>
    <w:rsid w:val="00C27903"/>
    <w:rsid w:val="00C30B73"/>
    <w:rsid w:val="00C30DC5"/>
    <w:rsid w:val="00C31F1C"/>
    <w:rsid w:val="00C3254A"/>
    <w:rsid w:val="00C329A6"/>
    <w:rsid w:val="00C34B2F"/>
    <w:rsid w:val="00C361E8"/>
    <w:rsid w:val="00C3628B"/>
    <w:rsid w:val="00C36BA0"/>
    <w:rsid w:val="00C3766E"/>
    <w:rsid w:val="00C376FF"/>
    <w:rsid w:val="00C3772C"/>
    <w:rsid w:val="00C403B6"/>
    <w:rsid w:val="00C41582"/>
    <w:rsid w:val="00C417B3"/>
    <w:rsid w:val="00C42402"/>
    <w:rsid w:val="00C44E12"/>
    <w:rsid w:val="00C45ABB"/>
    <w:rsid w:val="00C4641B"/>
    <w:rsid w:val="00C466BF"/>
    <w:rsid w:val="00C466D4"/>
    <w:rsid w:val="00C4720A"/>
    <w:rsid w:val="00C47E1D"/>
    <w:rsid w:val="00C47FA5"/>
    <w:rsid w:val="00C5111B"/>
    <w:rsid w:val="00C51938"/>
    <w:rsid w:val="00C52102"/>
    <w:rsid w:val="00C54AAA"/>
    <w:rsid w:val="00C54F92"/>
    <w:rsid w:val="00C54F97"/>
    <w:rsid w:val="00C56251"/>
    <w:rsid w:val="00C5635B"/>
    <w:rsid w:val="00C5725F"/>
    <w:rsid w:val="00C60479"/>
    <w:rsid w:val="00C6065A"/>
    <w:rsid w:val="00C60DAA"/>
    <w:rsid w:val="00C6142F"/>
    <w:rsid w:val="00C616EA"/>
    <w:rsid w:val="00C62D41"/>
    <w:rsid w:val="00C634E6"/>
    <w:rsid w:val="00C6690E"/>
    <w:rsid w:val="00C67B8B"/>
    <w:rsid w:val="00C67C8C"/>
    <w:rsid w:val="00C703C5"/>
    <w:rsid w:val="00C70A96"/>
    <w:rsid w:val="00C70DF9"/>
    <w:rsid w:val="00C72920"/>
    <w:rsid w:val="00C72D90"/>
    <w:rsid w:val="00C804A8"/>
    <w:rsid w:val="00C805F2"/>
    <w:rsid w:val="00C81110"/>
    <w:rsid w:val="00C83300"/>
    <w:rsid w:val="00C8331B"/>
    <w:rsid w:val="00C833C0"/>
    <w:rsid w:val="00C83DE3"/>
    <w:rsid w:val="00C84DA3"/>
    <w:rsid w:val="00C84ED1"/>
    <w:rsid w:val="00C85D5E"/>
    <w:rsid w:val="00C861EB"/>
    <w:rsid w:val="00C878DA"/>
    <w:rsid w:val="00C93248"/>
    <w:rsid w:val="00C96E1F"/>
    <w:rsid w:val="00C96EFE"/>
    <w:rsid w:val="00CA2B66"/>
    <w:rsid w:val="00CA3392"/>
    <w:rsid w:val="00CA3E6C"/>
    <w:rsid w:val="00CA55E9"/>
    <w:rsid w:val="00CA59A8"/>
    <w:rsid w:val="00CB16C8"/>
    <w:rsid w:val="00CB236D"/>
    <w:rsid w:val="00CB2727"/>
    <w:rsid w:val="00CB3DD4"/>
    <w:rsid w:val="00CB46E5"/>
    <w:rsid w:val="00CB482E"/>
    <w:rsid w:val="00CB4B6A"/>
    <w:rsid w:val="00CB4C04"/>
    <w:rsid w:val="00CB51EA"/>
    <w:rsid w:val="00CB7943"/>
    <w:rsid w:val="00CC0A79"/>
    <w:rsid w:val="00CC3066"/>
    <w:rsid w:val="00CC3141"/>
    <w:rsid w:val="00CC43AB"/>
    <w:rsid w:val="00CC43C1"/>
    <w:rsid w:val="00CC4A50"/>
    <w:rsid w:val="00CC4E37"/>
    <w:rsid w:val="00CC5E40"/>
    <w:rsid w:val="00CC6436"/>
    <w:rsid w:val="00CC733A"/>
    <w:rsid w:val="00CC7B6C"/>
    <w:rsid w:val="00CD017B"/>
    <w:rsid w:val="00CD0501"/>
    <w:rsid w:val="00CD105B"/>
    <w:rsid w:val="00CD248E"/>
    <w:rsid w:val="00CD2983"/>
    <w:rsid w:val="00CD2AAE"/>
    <w:rsid w:val="00CD3397"/>
    <w:rsid w:val="00CD38BB"/>
    <w:rsid w:val="00CD6E27"/>
    <w:rsid w:val="00CD6EFC"/>
    <w:rsid w:val="00CD72A9"/>
    <w:rsid w:val="00CE34E3"/>
    <w:rsid w:val="00CE3D8D"/>
    <w:rsid w:val="00CE6970"/>
    <w:rsid w:val="00CF0EA7"/>
    <w:rsid w:val="00CF2290"/>
    <w:rsid w:val="00CF23EF"/>
    <w:rsid w:val="00CF28C2"/>
    <w:rsid w:val="00CF3FEB"/>
    <w:rsid w:val="00CF451E"/>
    <w:rsid w:val="00CF55A0"/>
    <w:rsid w:val="00CF6330"/>
    <w:rsid w:val="00D005C9"/>
    <w:rsid w:val="00D01CF2"/>
    <w:rsid w:val="00D04A1B"/>
    <w:rsid w:val="00D04CA0"/>
    <w:rsid w:val="00D04E40"/>
    <w:rsid w:val="00D06664"/>
    <w:rsid w:val="00D06694"/>
    <w:rsid w:val="00D10C8E"/>
    <w:rsid w:val="00D10FDD"/>
    <w:rsid w:val="00D115C1"/>
    <w:rsid w:val="00D118C6"/>
    <w:rsid w:val="00D1309A"/>
    <w:rsid w:val="00D144BF"/>
    <w:rsid w:val="00D1569F"/>
    <w:rsid w:val="00D16DB7"/>
    <w:rsid w:val="00D16EF6"/>
    <w:rsid w:val="00D2036E"/>
    <w:rsid w:val="00D2084B"/>
    <w:rsid w:val="00D20B1E"/>
    <w:rsid w:val="00D21B5F"/>
    <w:rsid w:val="00D22462"/>
    <w:rsid w:val="00D229F4"/>
    <w:rsid w:val="00D22F9F"/>
    <w:rsid w:val="00D230AC"/>
    <w:rsid w:val="00D23119"/>
    <w:rsid w:val="00D239FB"/>
    <w:rsid w:val="00D276F5"/>
    <w:rsid w:val="00D30F8B"/>
    <w:rsid w:val="00D31D08"/>
    <w:rsid w:val="00D3239E"/>
    <w:rsid w:val="00D32489"/>
    <w:rsid w:val="00D32E27"/>
    <w:rsid w:val="00D3349E"/>
    <w:rsid w:val="00D334C1"/>
    <w:rsid w:val="00D343D7"/>
    <w:rsid w:val="00D3529A"/>
    <w:rsid w:val="00D35C1F"/>
    <w:rsid w:val="00D35E26"/>
    <w:rsid w:val="00D360B4"/>
    <w:rsid w:val="00D36E8F"/>
    <w:rsid w:val="00D40C37"/>
    <w:rsid w:val="00D41807"/>
    <w:rsid w:val="00D4344E"/>
    <w:rsid w:val="00D43BED"/>
    <w:rsid w:val="00D44098"/>
    <w:rsid w:val="00D453A7"/>
    <w:rsid w:val="00D454B0"/>
    <w:rsid w:val="00D47B1C"/>
    <w:rsid w:val="00D50446"/>
    <w:rsid w:val="00D51365"/>
    <w:rsid w:val="00D51F4A"/>
    <w:rsid w:val="00D53DDB"/>
    <w:rsid w:val="00D55448"/>
    <w:rsid w:val="00D55CD5"/>
    <w:rsid w:val="00D56DB5"/>
    <w:rsid w:val="00D60143"/>
    <w:rsid w:val="00D6137C"/>
    <w:rsid w:val="00D6149E"/>
    <w:rsid w:val="00D61619"/>
    <w:rsid w:val="00D629A3"/>
    <w:rsid w:val="00D64BA6"/>
    <w:rsid w:val="00D65DDD"/>
    <w:rsid w:val="00D662FB"/>
    <w:rsid w:val="00D669E4"/>
    <w:rsid w:val="00D72551"/>
    <w:rsid w:val="00D73CB8"/>
    <w:rsid w:val="00D74020"/>
    <w:rsid w:val="00D743E0"/>
    <w:rsid w:val="00D7534C"/>
    <w:rsid w:val="00D7576C"/>
    <w:rsid w:val="00D770E2"/>
    <w:rsid w:val="00D77AB4"/>
    <w:rsid w:val="00D80B2A"/>
    <w:rsid w:val="00D81FDC"/>
    <w:rsid w:val="00D8311F"/>
    <w:rsid w:val="00D843DC"/>
    <w:rsid w:val="00D85D83"/>
    <w:rsid w:val="00D877A0"/>
    <w:rsid w:val="00D87B8A"/>
    <w:rsid w:val="00D87ED6"/>
    <w:rsid w:val="00D9192C"/>
    <w:rsid w:val="00D91E1F"/>
    <w:rsid w:val="00D92E82"/>
    <w:rsid w:val="00D93A14"/>
    <w:rsid w:val="00D95BB6"/>
    <w:rsid w:val="00D97405"/>
    <w:rsid w:val="00D974C5"/>
    <w:rsid w:val="00DA0061"/>
    <w:rsid w:val="00DA00C6"/>
    <w:rsid w:val="00DA0A93"/>
    <w:rsid w:val="00DA238C"/>
    <w:rsid w:val="00DA6894"/>
    <w:rsid w:val="00DA6B0C"/>
    <w:rsid w:val="00DA6E1B"/>
    <w:rsid w:val="00DA7591"/>
    <w:rsid w:val="00DA7FC5"/>
    <w:rsid w:val="00DB00C8"/>
    <w:rsid w:val="00DB1247"/>
    <w:rsid w:val="00DB1248"/>
    <w:rsid w:val="00DB380B"/>
    <w:rsid w:val="00DB4384"/>
    <w:rsid w:val="00DB5E8C"/>
    <w:rsid w:val="00DB63DF"/>
    <w:rsid w:val="00DB7048"/>
    <w:rsid w:val="00DC036B"/>
    <w:rsid w:val="00DC248F"/>
    <w:rsid w:val="00DC2729"/>
    <w:rsid w:val="00DC4202"/>
    <w:rsid w:val="00DC4286"/>
    <w:rsid w:val="00DC4B87"/>
    <w:rsid w:val="00DC5F15"/>
    <w:rsid w:val="00DD01D5"/>
    <w:rsid w:val="00DD3634"/>
    <w:rsid w:val="00DD3814"/>
    <w:rsid w:val="00DD4D09"/>
    <w:rsid w:val="00DD546B"/>
    <w:rsid w:val="00DD646A"/>
    <w:rsid w:val="00DD6AC8"/>
    <w:rsid w:val="00DD7B0C"/>
    <w:rsid w:val="00DE1642"/>
    <w:rsid w:val="00DE19DE"/>
    <w:rsid w:val="00DE2D30"/>
    <w:rsid w:val="00DE2FCC"/>
    <w:rsid w:val="00DE36F2"/>
    <w:rsid w:val="00DE3F12"/>
    <w:rsid w:val="00DE40D4"/>
    <w:rsid w:val="00DE49BF"/>
    <w:rsid w:val="00DE4B82"/>
    <w:rsid w:val="00DE79D6"/>
    <w:rsid w:val="00DF010D"/>
    <w:rsid w:val="00DF17CB"/>
    <w:rsid w:val="00DF3437"/>
    <w:rsid w:val="00DF3796"/>
    <w:rsid w:val="00DF71AB"/>
    <w:rsid w:val="00DF7574"/>
    <w:rsid w:val="00E0018F"/>
    <w:rsid w:val="00E032FD"/>
    <w:rsid w:val="00E06AD6"/>
    <w:rsid w:val="00E10158"/>
    <w:rsid w:val="00E112EE"/>
    <w:rsid w:val="00E1134F"/>
    <w:rsid w:val="00E11E24"/>
    <w:rsid w:val="00E13779"/>
    <w:rsid w:val="00E1628E"/>
    <w:rsid w:val="00E16AD7"/>
    <w:rsid w:val="00E16D5A"/>
    <w:rsid w:val="00E17E27"/>
    <w:rsid w:val="00E17E92"/>
    <w:rsid w:val="00E20E9E"/>
    <w:rsid w:val="00E221C5"/>
    <w:rsid w:val="00E23863"/>
    <w:rsid w:val="00E23CB6"/>
    <w:rsid w:val="00E245EA"/>
    <w:rsid w:val="00E2504C"/>
    <w:rsid w:val="00E2527C"/>
    <w:rsid w:val="00E25F90"/>
    <w:rsid w:val="00E26592"/>
    <w:rsid w:val="00E27B58"/>
    <w:rsid w:val="00E32798"/>
    <w:rsid w:val="00E32FA2"/>
    <w:rsid w:val="00E33387"/>
    <w:rsid w:val="00E33BA2"/>
    <w:rsid w:val="00E33BFF"/>
    <w:rsid w:val="00E3619D"/>
    <w:rsid w:val="00E362B4"/>
    <w:rsid w:val="00E369B8"/>
    <w:rsid w:val="00E40ECF"/>
    <w:rsid w:val="00E414BD"/>
    <w:rsid w:val="00E42AE8"/>
    <w:rsid w:val="00E42ECD"/>
    <w:rsid w:val="00E45FEB"/>
    <w:rsid w:val="00E4671C"/>
    <w:rsid w:val="00E47B07"/>
    <w:rsid w:val="00E51C91"/>
    <w:rsid w:val="00E520F1"/>
    <w:rsid w:val="00E5290C"/>
    <w:rsid w:val="00E52CF8"/>
    <w:rsid w:val="00E54A3B"/>
    <w:rsid w:val="00E55878"/>
    <w:rsid w:val="00E57814"/>
    <w:rsid w:val="00E61157"/>
    <w:rsid w:val="00E63F72"/>
    <w:rsid w:val="00E64416"/>
    <w:rsid w:val="00E64D50"/>
    <w:rsid w:val="00E64EA6"/>
    <w:rsid w:val="00E66441"/>
    <w:rsid w:val="00E667C1"/>
    <w:rsid w:val="00E7087F"/>
    <w:rsid w:val="00E71584"/>
    <w:rsid w:val="00E71CEA"/>
    <w:rsid w:val="00E71F96"/>
    <w:rsid w:val="00E72AEC"/>
    <w:rsid w:val="00E7344A"/>
    <w:rsid w:val="00E73788"/>
    <w:rsid w:val="00E74997"/>
    <w:rsid w:val="00E766E1"/>
    <w:rsid w:val="00E76F0E"/>
    <w:rsid w:val="00E807DD"/>
    <w:rsid w:val="00E81235"/>
    <w:rsid w:val="00E81E72"/>
    <w:rsid w:val="00E82EAE"/>
    <w:rsid w:val="00E85EAA"/>
    <w:rsid w:val="00E861FB"/>
    <w:rsid w:val="00E874C6"/>
    <w:rsid w:val="00E939F3"/>
    <w:rsid w:val="00E94E71"/>
    <w:rsid w:val="00E97CE1"/>
    <w:rsid w:val="00E97DBE"/>
    <w:rsid w:val="00EA0311"/>
    <w:rsid w:val="00EA1882"/>
    <w:rsid w:val="00EA25DD"/>
    <w:rsid w:val="00EA32FF"/>
    <w:rsid w:val="00EA360C"/>
    <w:rsid w:val="00EA3846"/>
    <w:rsid w:val="00EA5222"/>
    <w:rsid w:val="00EA5ADD"/>
    <w:rsid w:val="00EA5EB9"/>
    <w:rsid w:val="00EA6E31"/>
    <w:rsid w:val="00EB0104"/>
    <w:rsid w:val="00EB11FD"/>
    <w:rsid w:val="00EB23B2"/>
    <w:rsid w:val="00EB2503"/>
    <w:rsid w:val="00EB38E9"/>
    <w:rsid w:val="00EB6EBA"/>
    <w:rsid w:val="00EB72B0"/>
    <w:rsid w:val="00EC0B64"/>
    <w:rsid w:val="00EC0D1E"/>
    <w:rsid w:val="00EC24CA"/>
    <w:rsid w:val="00EC2977"/>
    <w:rsid w:val="00EC37BB"/>
    <w:rsid w:val="00EC37E4"/>
    <w:rsid w:val="00EC3F88"/>
    <w:rsid w:val="00EC484A"/>
    <w:rsid w:val="00EC4C01"/>
    <w:rsid w:val="00EC4CC0"/>
    <w:rsid w:val="00EC4DD2"/>
    <w:rsid w:val="00EC53FD"/>
    <w:rsid w:val="00EC5434"/>
    <w:rsid w:val="00EC65AA"/>
    <w:rsid w:val="00ED04D9"/>
    <w:rsid w:val="00ED067C"/>
    <w:rsid w:val="00ED36D8"/>
    <w:rsid w:val="00ED3876"/>
    <w:rsid w:val="00ED3B03"/>
    <w:rsid w:val="00ED4456"/>
    <w:rsid w:val="00ED4C46"/>
    <w:rsid w:val="00ED655B"/>
    <w:rsid w:val="00ED6BBB"/>
    <w:rsid w:val="00ED73BC"/>
    <w:rsid w:val="00ED76B5"/>
    <w:rsid w:val="00EE10F6"/>
    <w:rsid w:val="00EE14AA"/>
    <w:rsid w:val="00EE4873"/>
    <w:rsid w:val="00EE5273"/>
    <w:rsid w:val="00EE57BC"/>
    <w:rsid w:val="00EE66EE"/>
    <w:rsid w:val="00EE6BD7"/>
    <w:rsid w:val="00EE7301"/>
    <w:rsid w:val="00EE7C52"/>
    <w:rsid w:val="00EF1C29"/>
    <w:rsid w:val="00EF2D9A"/>
    <w:rsid w:val="00EF4A38"/>
    <w:rsid w:val="00EF697B"/>
    <w:rsid w:val="00EF6E9C"/>
    <w:rsid w:val="00EF7B18"/>
    <w:rsid w:val="00F0049E"/>
    <w:rsid w:val="00F04B14"/>
    <w:rsid w:val="00F0689D"/>
    <w:rsid w:val="00F0721C"/>
    <w:rsid w:val="00F0791A"/>
    <w:rsid w:val="00F112B7"/>
    <w:rsid w:val="00F13347"/>
    <w:rsid w:val="00F147E5"/>
    <w:rsid w:val="00F1651D"/>
    <w:rsid w:val="00F1753D"/>
    <w:rsid w:val="00F202CE"/>
    <w:rsid w:val="00F2105F"/>
    <w:rsid w:val="00F211B3"/>
    <w:rsid w:val="00F23425"/>
    <w:rsid w:val="00F25A0C"/>
    <w:rsid w:val="00F26033"/>
    <w:rsid w:val="00F26AA7"/>
    <w:rsid w:val="00F310A5"/>
    <w:rsid w:val="00F3170E"/>
    <w:rsid w:val="00F319FA"/>
    <w:rsid w:val="00F32E27"/>
    <w:rsid w:val="00F333DA"/>
    <w:rsid w:val="00F35159"/>
    <w:rsid w:val="00F35932"/>
    <w:rsid w:val="00F407AD"/>
    <w:rsid w:val="00F4510E"/>
    <w:rsid w:val="00F45D47"/>
    <w:rsid w:val="00F45FDB"/>
    <w:rsid w:val="00F5060A"/>
    <w:rsid w:val="00F5078C"/>
    <w:rsid w:val="00F50A44"/>
    <w:rsid w:val="00F51B5E"/>
    <w:rsid w:val="00F52275"/>
    <w:rsid w:val="00F53B36"/>
    <w:rsid w:val="00F541F2"/>
    <w:rsid w:val="00F571ED"/>
    <w:rsid w:val="00F6014C"/>
    <w:rsid w:val="00F61D1C"/>
    <w:rsid w:val="00F62493"/>
    <w:rsid w:val="00F62979"/>
    <w:rsid w:val="00F63991"/>
    <w:rsid w:val="00F7107B"/>
    <w:rsid w:val="00F71FBD"/>
    <w:rsid w:val="00F75F20"/>
    <w:rsid w:val="00F76481"/>
    <w:rsid w:val="00F76546"/>
    <w:rsid w:val="00F7676B"/>
    <w:rsid w:val="00F80142"/>
    <w:rsid w:val="00F81244"/>
    <w:rsid w:val="00F81A24"/>
    <w:rsid w:val="00F81AA3"/>
    <w:rsid w:val="00F82727"/>
    <w:rsid w:val="00F83E80"/>
    <w:rsid w:val="00F83FB6"/>
    <w:rsid w:val="00F84537"/>
    <w:rsid w:val="00F84E06"/>
    <w:rsid w:val="00F869F6"/>
    <w:rsid w:val="00F904B4"/>
    <w:rsid w:val="00F91475"/>
    <w:rsid w:val="00F9423A"/>
    <w:rsid w:val="00F94E97"/>
    <w:rsid w:val="00F95914"/>
    <w:rsid w:val="00F96BFD"/>
    <w:rsid w:val="00F97BDF"/>
    <w:rsid w:val="00FA3002"/>
    <w:rsid w:val="00FA4C07"/>
    <w:rsid w:val="00FA59B2"/>
    <w:rsid w:val="00FA5A15"/>
    <w:rsid w:val="00FA6F35"/>
    <w:rsid w:val="00FA7724"/>
    <w:rsid w:val="00FA7ED1"/>
    <w:rsid w:val="00FB01B5"/>
    <w:rsid w:val="00FB0973"/>
    <w:rsid w:val="00FB0D59"/>
    <w:rsid w:val="00FB115C"/>
    <w:rsid w:val="00FB54F4"/>
    <w:rsid w:val="00FB5580"/>
    <w:rsid w:val="00FB6AE9"/>
    <w:rsid w:val="00FB6D80"/>
    <w:rsid w:val="00FB7092"/>
    <w:rsid w:val="00FB759D"/>
    <w:rsid w:val="00FC04FE"/>
    <w:rsid w:val="00FC1E1B"/>
    <w:rsid w:val="00FC41B2"/>
    <w:rsid w:val="00FC4838"/>
    <w:rsid w:val="00FC565C"/>
    <w:rsid w:val="00FC5FC9"/>
    <w:rsid w:val="00FC6863"/>
    <w:rsid w:val="00FC7A43"/>
    <w:rsid w:val="00FC7B4F"/>
    <w:rsid w:val="00FD03D9"/>
    <w:rsid w:val="00FD1D3A"/>
    <w:rsid w:val="00FD2CE8"/>
    <w:rsid w:val="00FD3FA5"/>
    <w:rsid w:val="00FD4900"/>
    <w:rsid w:val="00FD4B9E"/>
    <w:rsid w:val="00FD57E6"/>
    <w:rsid w:val="00FD5B9F"/>
    <w:rsid w:val="00FD71A2"/>
    <w:rsid w:val="00FD7389"/>
    <w:rsid w:val="00FD7614"/>
    <w:rsid w:val="00FD7D0B"/>
    <w:rsid w:val="00FE157E"/>
    <w:rsid w:val="00FE16BF"/>
    <w:rsid w:val="00FE1B2F"/>
    <w:rsid w:val="00FE1F2E"/>
    <w:rsid w:val="00FE6BBC"/>
    <w:rsid w:val="00FF1814"/>
    <w:rsid w:val="00FF24A4"/>
    <w:rsid w:val="00FF2748"/>
    <w:rsid w:val="00FF2FE9"/>
    <w:rsid w:val="00FF389C"/>
    <w:rsid w:val="00FF6774"/>
    <w:rsid w:val="00FF6DDF"/>
    <w:rsid w:val="00FF78B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1553847E"/>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qFormat="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qFormat="1"/>
    <w:lsdException w:name="List Number" w:uiPriority="15" w:qFormat="1"/>
    <w:lsdException w:name="List 2" w:semiHidden="1" w:unhideWhenUsed="1"/>
    <w:lsdException w:name="List 3" w:semiHidden="1" w:unhideWhenUsed="1"/>
    <w:lsdException w:name="List 4" w:semiHidden="1" w:unhideWhenUsed="1"/>
    <w:lsdException w:name="List 5" w:semiHidden="1" w:unhideWhenUsed="1"/>
    <w:lsdException w:name="List Bullet 2" w:qFormat="1"/>
    <w:lsdException w:name="List Bullet 3" w:semiHidden="1" w:unhideWhenUsed="1" w:qFormat="1"/>
    <w:lsdException w:name="List Bullet 4" w:semiHidden="1" w:unhideWhenUsed="1" w:qFormat="1"/>
    <w:lsdException w:name="List Bullet 5" w:semiHidden="1" w:unhideWhenUsed="1" w:qFormat="1"/>
    <w:lsdException w:name="List Number 2" w:uiPriority="15" w:qFormat="1"/>
    <w:lsdException w:name="List Number 3" w:uiPriority="15" w:qFormat="1"/>
    <w:lsdException w:name="List Number 4" w:uiPriority="15" w:qFormat="1"/>
    <w:lsdException w:name="List Number 5" w:uiPriority="15" w:qFormat="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semiHidden="1" w:unhideWhenUsed="1" w:qFormat="1"/>
    <w:lsdException w:name="Bibliography" w:semiHidden="1" w:uiPriority="38"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FA7ED1"/>
    <w:pPr>
      <w:spacing w:after="160" w:line="293" w:lineRule="auto"/>
    </w:pPr>
  </w:style>
  <w:style w:type="paragraph" w:styleId="Nadpis1">
    <w:name w:val="heading 1"/>
    <w:basedOn w:val="Normln"/>
    <w:next w:val="Normln"/>
    <w:link w:val="Nadpis1Char"/>
    <w:uiPriority w:val="7"/>
    <w:qFormat/>
    <w:rsid w:val="00FA7ED1"/>
    <w:pPr>
      <w:keepNext/>
      <w:keepLines/>
      <w:numPr>
        <w:numId w:val="9"/>
      </w:numPr>
      <w:spacing w:before="160" w:after="0"/>
      <w:outlineLvl w:val="0"/>
    </w:pPr>
    <w:rPr>
      <w:rFonts w:asciiTheme="majorHAnsi" w:eastAsiaTheme="majorEastAsia" w:hAnsiTheme="majorHAnsi" w:cstheme="majorBidi"/>
      <w:b/>
      <w:color w:val="004B8D"/>
      <w:sz w:val="32"/>
      <w:szCs w:val="32"/>
    </w:rPr>
  </w:style>
  <w:style w:type="paragraph" w:styleId="Nadpis2">
    <w:name w:val="heading 2"/>
    <w:basedOn w:val="Normln"/>
    <w:next w:val="Normln"/>
    <w:link w:val="Nadpis2Char"/>
    <w:uiPriority w:val="9"/>
    <w:unhideWhenUsed/>
    <w:qFormat/>
    <w:rsid w:val="00FA7ED1"/>
    <w:pPr>
      <w:keepNext/>
      <w:keepLines/>
      <w:numPr>
        <w:ilvl w:val="1"/>
        <w:numId w:val="9"/>
      </w:numPr>
      <w:spacing w:before="80" w:after="0"/>
      <w:outlineLvl w:val="1"/>
    </w:pPr>
    <w:rPr>
      <w:rFonts w:asciiTheme="majorHAnsi" w:eastAsiaTheme="majorEastAsia" w:hAnsiTheme="majorHAnsi" w:cstheme="majorBidi"/>
      <w:b/>
      <w:color w:val="004B8D"/>
      <w:sz w:val="26"/>
      <w:szCs w:val="26"/>
    </w:rPr>
  </w:style>
  <w:style w:type="paragraph" w:styleId="Nadpis3">
    <w:name w:val="heading 3"/>
    <w:basedOn w:val="Normln"/>
    <w:next w:val="Normln"/>
    <w:link w:val="Nadpis3Char"/>
    <w:uiPriority w:val="7"/>
    <w:unhideWhenUsed/>
    <w:qFormat/>
    <w:rsid w:val="00FA7ED1"/>
    <w:pPr>
      <w:keepNext/>
      <w:keepLines/>
      <w:numPr>
        <w:ilvl w:val="2"/>
        <w:numId w:val="9"/>
      </w:numPr>
      <w:spacing w:before="40" w:after="0"/>
      <w:ind w:left="720"/>
      <w:outlineLvl w:val="2"/>
    </w:pPr>
    <w:rPr>
      <w:rFonts w:eastAsiaTheme="majorEastAsia" w:cstheme="majorBidi"/>
      <w:b/>
      <w:color w:val="004B8D"/>
      <w:sz w:val="24"/>
      <w:szCs w:val="24"/>
    </w:rPr>
  </w:style>
  <w:style w:type="paragraph" w:styleId="Nadpis4">
    <w:name w:val="heading 4"/>
    <w:basedOn w:val="Normln"/>
    <w:next w:val="Normln"/>
    <w:link w:val="Nadpis4Char"/>
    <w:uiPriority w:val="7"/>
    <w:unhideWhenUsed/>
    <w:qFormat/>
    <w:rsid w:val="00FA7ED1"/>
    <w:pPr>
      <w:keepNext/>
      <w:keepLines/>
      <w:numPr>
        <w:ilvl w:val="3"/>
        <w:numId w:val="9"/>
      </w:numPr>
      <w:spacing w:before="40" w:after="0"/>
      <w:outlineLvl w:val="3"/>
    </w:pPr>
    <w:rPr>
      <w:rFonts w:asciiTheme="majorHAnsi" w:eastAsiaTheme="majorEastAsia" w:hAnsiTheme="majorHAnsi" w:cstheme="majorBidi"/>
      <w:iCs/>
      <w:color w:val="004B8D"/>
      <w:sz w:val="24"/>
    </w:rPr>
  </w:style>
  <w:style w:type="paragraph" w:styleId="Nadpis5">
    <w:name w:val="heading 5"/>
    <w:basedOn w:val="Normln"/>
    <w:next w:val="Normln"/>
    <w:link w:val="Nadpis5Char"/>
    <w:uiPriority w:val="7"/>
    <w:unhideWhenUsed/>
    <w:qFormat/>
    <w:rsid w:val="00C6690E"/>
    <w:pPr>
      <w:keepNext/>
      <w:keepLines/>
      <w:numPr>
        <w:ilvl w:val="4"/>
        <w:numId w:val="9"/>
      </w:numPr>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7"/>
    <w:unhideWhenUsed/>
    <w:qFormat/>
    <w:rsid w:val="00C6690E"/>
    <w:pPr>
      <w:keepNext/>
      <w:keepLines/>
      <w:numPr>
        <w:ilvl w:val="5"/>
        <w:numId w:val="9"/>
      </w:numPr>
      <w:spacing w:before="40" w:after="0"/>
      <w:outlineLvl w:val="5"/>
    </w:pPr>
    <w:rPr>
      <w:rFonts w:asciiTheme="majorHAnsi" w:eastAsiaTheme="majorEastAsia" w:hAnsiTheme="majorHAnsi" w:cstheme="majorBidi"/>
      <w:i/>
    </w:rPr>
  </w:style>
  <w:style w:type="paragraph" w:styleId="Nadpis7">
    <w:name w:val="heading 7"/>
    <w:basedOn w:val="Normln"/>
    <w:next w:val="Normln"/>
    <w:link w:val="Nadpis7Char"/>
    <w:uiPriority w:val="7"/>
    <w:unhideWhenUsed/>
    <w:qFormat/>
    <w:rsid w:val="00C6690E"/>
    <w:pPr>
      <w:keepNext/>
      <w:keepLines/>
      <w:numPr>
        <w:ilvl w:val="6"/>
        <w:numId w:val="9"/>
      </w:numPr>
      <w:spacing w:before="40" w:after="0"/>
      <w:outlineLvl w:val="6"/>
    </w:pPr>
    <w:rPr>
      <w:rFonts w:asciiTheme="majorHAnsi" w:eastAsiaTheme="majorEastAsia" w:hAnsiTheme="majorHAnsi" w:cstheme="majorBidi"/>
      <w:iCs/>
    </w:rPr>
  </w:style>
  <w:style w:type="paragraph" w:styleId="Nadpis8">
    <w:name w:val="heading 8"/>
    <w:basedOn w:val="Normln"/>
    <w:next w:val="Normln"/>
    <w:link w:val="Nadpis8Char"/>
    <w:uiPriority w:val="7"/>
    <w:unhideWhenUsed/>
    <w:qFormat/>
    <w:rsid w:val="00A95C48"/>
    <w:pPr>
      <w:keepNext/>
      <w:keepLines/>
      <w:numPr>
        <w:ilvl w:val="7"/>
        <w:numId w:val="9"/>
      </w:numPr>
      <w:spacing w:before="40" w:after="0"/>
      <w:outlineLvl w:val="7"/>
    </w:pPr>
    <w:rPr>
      <w:rFonts w:asciiTheme="majorHAnsi" w:eastAsiaTheme="majorEastAsia" w:hAnsiTheme="majorHAnsi" w:cstheme="majorBidi"/>
      <w:b/>
      <w:color w:val="272727" w:themeColor="text1" w:themeTint="D8"/>
      <w:szCs w:val="21"/>
    </w:rPr>
  </w:style>
  <w:style w:type="paragraph" w:styleId="Nadpis9">
    <w:name w:val="heading 9"/>
    <w:basedOn w:val="Normln"/>
    <w:next w:val="Normln"/>
    <w:link w:val="Nadpis9Char"/>
    <w:uiPriority w:val="7"/>
    <w:unhideWhenUsed/>
    <w:qFormat/>
    <w:rsid w:val="00A95C48"/>
    <w:pPr>
      <w:keepNext/>
      <w:keepLines/>
      <w:numPr>
        <w:ilvl w:val="8"/>
        <w:numId w:val="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Nad,Odstavec_muj,Název grafu,nad 1"/>
    <w:basedOn w:val="Normln"/>
    <w:link w:val="OdstavecseseznamemChar"/>
    <w:uiPriority w:val="34"/>
    <w:unhideWhenUsed/>
    <w:qFormat/>
    <w:rsid w:val="009F7F46"/>
    <w:pPr>
      <w:ind w:left="720"/>
      <w:contextualSpacing/>
    </w:pPr>
  </w:style>
  <w:style w:type="numbering" w:customStyle="1" w:styleId="VariantaB-odrky">
    <w:name w:val="Varianta B - odrážky"/>
    <w:uiPriority w:val="99"/>
    <w:rsid w:val="007102D2"/>
    <w:pPr>
      <w:numPr>
        <w:numId w:val="1"/>
      </w:numPr>
    </w:pPr>
  </w:style>
  <w:style w:type="character" w:customStyle="1" w:styleId="Nadpis1Char">
    <w:name w:val="Nadpis 1 Char"/>
    <w:basedOn w:val="Standardnpsmoodstavce"/>
    <w:link w:val="Nadpis1"/>
    <w:uiPriority w:val="7"/>
    <w:rsid w:val="00FA7ED1"/>
    <w:rPr>
      <w:rFonts w:asciiTheme="majorHAnsi" w:eastAsiaTheme="majorEastAsia" w:hAnsiTheme="majorHAnsi" w:cstheme="majorBidi"/>
      <w:b/>
      <w:color w:val="004B8D"/>
      <w:sz w:val="32"/>
      <w:szCs w:val="32"/>
    </w:rPr>
  </w:style>
  <w:style w:type="numbering" w:customStyle="1" w:styleId="VariantaA-odrky">
    <w:name w:val="Varianta A - odrážky"/>
    <w:uiPriority w:val="99"/>
    <w:rsid w:val="00262DAF"/>
    <w:pPr>
      <w:numPr>
        <w:numId w:val="2"/>
      </w:numPr>
    </w:pPr>
  </w:style>
  <w:style w:type="character" w:customStyle="1" w:styleId="Nadpis2Char">
    <w:name w:val="Nadpis 2 Char"/>
    <w:basedOn w:val="Standardnpsmoodstavce"/>
    <w:link w:val="Nadpis2"/>
    <w:uiPriority w:val="9"/>
    <w:rsid w:val="00FA7ED1"/>
    <w:rPr>
      <w:rFonts w:asciiTheme="majorHAnsi" w:eastAsiaTheme="majorEastAsia" w:hAnsiTheme="majorHAnsi" w:cstheme="majorBidi"/>
      <w:b/>
      <w:color w:val="004B8D"/>
      <w:sz w:val="26"/>
      <w:szCs w:val="26"/>
    </w:rPr>
  </w:style>
  <w:style w:type="numbering" w:customStyle="1" w:styleId="VariantaA-sla">
    <w:name w:val="Varianta A - čísla"/>
    <w:uiPriority w:val="99"/>
    <w:rsid w:val="00B50EE6"/>
    <w:pPr>
      <w:numPr>
        <w:numId w:val="4"/>
      </w:numPr>
    </w:pPr>
  </w:style>
  <w:style w:type="numbering" w:customStyle="1" w:styleId="VariantaB-sla">
    <w:name w:val="Varianta B - čísla"/>
    <w:uiPriority w:val="99"/>
    <w:rsid w:val="009F7F46"/>
    <w:pPr>
      <w:numPr>
        <w:numId w:val="3"/>
      </w:numPr>
    </w:pPr>
  </w:style>
  <w:style w:type="character" w:customStyle="1" w:styleId="Nadpis3Char">
    <w:name w:val="Nadpis 3 Char"/>
    <w:basedOn w:val="Standardnpsmoodstavce"/>
    <w:link w:val="Nadpis3"/>
    <w:uiPriority w:val="7"/>
    <w:rsid w:val="00FA7ED1"/>
    <w:rPr>
      <w:rFonts w:eastAsiaTheme="majorEastAsia" w:cstheme="majorBidi"/>
      <w:b/>
      <w:color w:val="004B8D"/>
      <w:sz w:val="24"/>
      <w:szCs w:val="24"/>
    </w:rPr>
  </w:style>
  <w:style w:type="character" w:customStyle="1" w:styleId="Nadpis4Char">
    <w:name w:val="Nadpis 4 Char"/>
    <w:basedOn w:val="Standardnpsmoodstavce"/>
    <w:link w:val="Nadpis4"/>
    <w:uiPriority w:val="7"/>
    <w:rsid w:val="00FA7ED1"/>
    <w:rPr>
      <w:rFonts w:asciiTheme="majorHAnsi" w:eastAsiaTheme="majorEastAsia" w:hAnsiTheme="majorHAnsi" w:cstheme="majorBidi"/>
      <w:iCs/>
      <w:color w:val="004B8D"/>
      <w:sz w:val="24"/>
    </w:rPr>
  </w:style>
  <w:style w:type="character" w:customStyle="1" w:styleId="Nadpis5Char">
    <w:name w:val="Nadpis 5 Char"/>
    <w:basedOn w:val="Standardnpsmoodstavce"/>
    <w:link w:val="Nadpis5"/>
    <w:uiPriority w:val="7"/>
    <w:rsid w:val="003250CB"/>
    <w:rPr>
      <w:rFonts w:asciiTheme="majorHAnsi" w:eastAsiaTheme="majorEastAsia" w:hAnsiTheme="majorHAnsi" w:cstheme="majorBidi"/>
      <w:b/>
    </w:rPr>
  </w:style>
  <w:style w:type="character" w:customStyle="1" w:styleId="Nadpis6Char">
    <w:name w:val="Nadpis 6 Char"/>
    <w:basedOn w:val="Standardnpsmoodstavce"/>
    <w:link w:val="Nadpis6"/>
    <w:uiPriority w:val="7"/>
    <w:rsid w:val="003250CB"/>
    <w:rPr>
      <w:rFonts w:asciiTheme="majorHAnsi" w:eastAsiaTheme="majorEastAsia" w:hAnsiTheme="majorHAnsi" w:cstheme="majorBidi"/>
      <w:i/>
    </w:rPr>
  </w:style>
  <w:style w:type="character" w:customStyle="1" w:styleId="Nadpis7Char">
    <w:name w:val="Nadpis 7 Char"/>
    <w:basedOn w:val="Standardnpsmoodstavce"/>
    <w:link w:val="Nadpis7"/>
    <w:uiPriority w:val="7"/>
    <w:rsid w:val="003250CB"/>
    <w:rPr>
      <w:rFonts w:asciiTheme="majorHAnsi" w:eastAsiaTheme="majorEastAsia" w:hAnsiTheme="majorHAnsi" w:cstheme="majorBidi"/>
      <w:iCs/>
    </w:rPr>
  </w:style>
  <w:style w:type="character" w:customStyle="1" w:styleId="Nadpis8Char">
    <w:name w:val="Nadpis 8 Char"/>
    <w:basedOn w:val="Standardnpsmoodstavce"/>
    <w:link w:val="Nadpis8"/>
    <w:uiPriority w:val="7"/>
    <w:rsid w:val="003250CB"/>
    <w:rPr>
      <w:rFonts w:asciiTheme="majorHAnsi" w:eastAsiaTheme="majorEastAsia" w:hAnsiTheme="majorHAnsi" w:cstheme="majorBidi"/>
      <w:b/>
      <w:color w:val="272727" w:themeColor="text1" w:themeTint="D8"/>
      <w:szCs w:val="21"/>
    </w:rPr>
  </w:style>
  <w:style w:type="character" w:customStyle="1" w:styleId="Nadpis9Char">
    <w:name w:val="Nadpis 9 Char"/>
    <w:basedOn w:val="Standardnpsmoodstavce"/>
    <w:link w:val="Nadpis9"/>
    <w:uiPriority w:val="7"/>
    <w:rsid w:val="003250CB"/>
    <w:rPr>
      <w:rFonts w:asciiTheme="majorHAnsi" w:eastAsiaTheme="majorEastAsia" w:hAnsiTheme="majorHAnsi" w:cstheme="majorBidi"/>
      <w:i/>
      <w:iCs/>
      <w:color w:val="272727" w:themeColor="text1" w:themeTint="D8"/>
      <w:sz w:val="21"/>
      <w:szCs w:val="21"/>
    </w:rPr>
  </w:style>
  <w:style w:type="paragraph" w:styleId="Nzev">
    <w:name w:val="Title"/>
    <w:basedOn w:val="Normln"/>
    <w:next w:val="Normln"/>
    <w:link w:val="NzevChar"/>
    <w:uiPriority w:val="4"/>
    <w:qFormat/>
    <w:rsid w:val="00A63D6B"/>
    <w:pPr>
      <w:keepNext/>
      <w:keepLines/>
      <w:spacing w:after="0" w:line="240" w:lineRule="auto"/>
      <w:contextualSpacing/>
    </w:pPr>
    <w:rPr>
      <w:rFonts w:asciiTheme="majorHAnsi" w:eastAsiaTheme="majorEastAsia" w:hAnsiTheme="majorHAnsi" w:cstheme="majorBidi"/>
      <w:spacing w:val="-10"/>
      <w:kern w:val="28"/>
      <w:sz w:val="48"/>
      <w:szCs w:val="56"/>
    </w:rPr>
  </w:style>
  <w:style w:type="character" w:customStyle="1" w:styleId="NzevChar">
    <w:name w:val="Název Char"/>
    <w:basedOn w:val="Standardnpsmoodstavce"/>
    <w:link w:val="Nzev"/>
    <w:uiPriority w:val="4"/>
    <w:rsid w:val="003250CB"/>
    <w:rPr>
      <w:rFonts w:asciiTheme="majorHAnsi" w:eastAsiaTheme="majorEastAsia" w:hAnsiTheme="majorHAnsi" w:cstheme="majorBidi"/>
      <w:color w:val="000000" w:themeColor="text1"/>
      <w:spacing w:val="-10"/>
      <w:kern w:val="28"/>
      <w:sz w:val="48"/>
      <w:szCs w:val="56"/>
    </w:rPr>
  </w:style>
  <w:style w:type="character" w:styleId="Zdraznnintenzivn">
    <w:name w:val="Intense Emphasis"/>
    <w:basedOn w:val="Standardnpsmoodstavce"/>
    <w:uiPriority w:val="21"/>
    <w:qFormat/>
    <w:rsid w:val="00EE6BD7"/>
    <w:rPr>
      <w:b/>
      <w:i/>
      <w:iCs/>
      <w:color w:val="000000" w:themeColor="text1"/>
    </w:rPr>
  </w:style>
  <w:style w:type="paragraph" w:styleId="Vrazncitt">
    <w:name w:val="Intense Quote"/>
    <w:basedOn w:val="Normln"/>
    <w:next w:val="Normln"/>
    <w:link w:val="VrazncittChar"/>
    <w:uiPriority w:val="28"/>
    <w:qFormat/>
    <w:rsid w:val="00713948"/>
    <w:pPr>
      <w:keepLines/>
      <w:pBdr>
        <w:top w:val="single" w:sz="4" w:space="10" w:color="000000" w:themeColor="text1"/>
        <w:bottom w:val="single" w:sz="4" w:space="10" w:color="000000" w:themeColor="text1"/>
      </w:pBdr>
      <w:spacing w:before="240" w:after="240"/>
      <w:ind w:left="357" w:right="357"/>
    </w:pPr>
    <w:rPr>
      <w:i/>
      <w:iCs/>
    </w:rPr>
  </w:style>
  <w:style w:type="character" w:customStyle="1" w:styleId="VrazncittChar">
    <w:name w:val="Výrazný citát Char"/>
    <w:basedOn w:val="Standardnpsmoodstavce"/>
    <w:link w:val="Vrazncitt"/>
    <w:uiPriority w:val="28"/>
    <w:rsid w:val="00713948"/>
    <w:rPr>
      <w:i/>
      <w:iCs/>
      <w:color w:val="000000" w:themeColor="text1"/>
    </w:rPr>
  </w:style>
  <w:style w:type="character" w:styleId="Odkazintenzivn">
    <w:name w:val="Intense Reference"/>
    <w:basedOn w:val="Standardnpsmoodstavce"/>
    <w:uiPriority w:val="24"/>
    <w:qFormat/>
    <w:rsid w:val="0039063C"/>
    <w:rPr>
      <w:b/>
      <w:bCs/>
      <w:smallCaps/>
      <w:color w:val="000000" w:themeColor="text1"/>
      <w:spacing w:val="5"/>
    </w:rPr>
  </w:style>
  <w:style w:type="paragraph" w:styleId="slovanseznam">
    <w:name w:val="List Number"/>
    <w:aliases w:val="Číslovaný seznam A"/>
    <w:basedOn w:val="Normln"/>
    <w:uiPriority w:val="15"/>
    <w:qFormat/>
    <w:rsid w:val="001B1E4A"/>
    <w:pPr>
      <w:numPr>
        <w:numId w:val="7"/>
      </w:numPr>
      <w:spacing w:after="0"/>
    </w:pPr>
  </w:style>
  <w:style w:type="paragraph" w:styleId="slovanseznam2">
    <w:name w:val="List Number 2"/>
    <w:aliases w:val="Číslovaný seznam A 2"/>
    <w:basedOn w:val="Normln"/>
    <w:uiPriority w:val="15"/>
    <w:qFormat/>
    <w:rsid w:val="001B1E4A"/>
    <w:pPr>
      <w:numPr>
        <w:ilvl w:val="1"/>
        <w:numId w:val="7"/>
      </w:numPr>
      <w:spacing w:after="0"/>
      <w:contextualSpacing/>
    </w:pPr>
  </w:style>
  <w:style w:type="paragraph" w:styleId="slovanseznam3">
    <w:name w:val="List Number 3"/>
    <w:aliases w:val="Číslovaný seznam A 3"/>
    <w:basedOn w:val="Normln"/>
    <w:uiPriority w:val="15"/>
    <w:qFormat/>
    <w:rsid w:val="001B1E4A"/>
    <w:pPr>
      <w:numPr>
        <w:ilvl w:val="2"/>
        <w:numId w:val="7"/>
      </w:numPr>
      <w:spacing w:after="0"/>
      <w:contextualSpacing/>
    </w:pPr>
  </w:style>
  <w:style w:type="paragraph" w:styleId="slovanseznam4">
    <w:name w:val="List Number 4"/>
    <w:aliases w:val="Číslovaný seznam A 4"/>
    <w:basedOn w:val="Normln"/>
    <w:uiPriority w:val="15"/>
    <w:qFormat/>
    <w:rsid w:val="001B1E4A"/>
    <w:pPr>
      <w:numPr>
        <w:ilvl w:val="3"/>
        <w:numId w:val="7"/>
      </w:numPr>
      <w:spacing w:after="0"/>
      <w:contextualSpacing/>
    </w:pPr>
  </w:style>
  <w:style w:type="paragraph" w:styleId="slovanseznam5">
    <w:name w:val="List Number 5"/>
    <w:aliases w:val="Číslovaný seznam A 5"/>
    <w:basedOn w:val="Normln"/>
    <w:uiPriority w:val="15"/>
    <w:qFormat/>
    <w:rsid w:val="001B1E4A"/>
    <w:pPr>
      <w:numPr>
        <w:ilvl w:val="4"/>
        <w:numId w:val="7"/>
      </w:numPr>
      <w:spacing w:after="0"/>
      <w:contextualSpacing/>
    </w:pPr>
  </w:style>
  <w:style w:type="paragraph" w:customStyle="1" w:styleId="slovanseznamB">
    <w:name w:val="Číslovaný seznam B"/>
    <w:basedOn w:val="Normln"/>
    <w:uiPriority w:val="16"/>
    <w:qFormat/>
    <w:rsid w:val="009F7F46"/>
    <w:pPr>
      <w:numPr>
        <w:numId w:val="5"/>
      </w:numPr>
      <w:spacing w:after="0"/>
    </w:pPr>
  </w:style>
  <w:style w:type="paragraph" w:customStyle="1" w:styleId="slovanseznamB2">
    <w:name w:val="Číslovaný seznam B 2"/>
    <w:basedOn w:val="Normln"/>
    <w:uiPriority w:val="16"/>
    <w:qFormat/>
    <w:rsid w:val="009F7F46"/>
    <w:pPr>
      <w:numPr>
        <w:ilvl w:val="1"/>
        <w:numId w:val="5"/>
      </w:numPr>
      <w:spacing w:after="0"/>
    </w:pPr>
  </w:style>
  <w:style w:type="paragraph" w:customStyle="1" w:styleId="slovanseznamB3">
    <w:name w:val="Číslovaný seznam B 3"/>
    <w:basedOn w:val="Normln"/>
    <w:uiPriority w:val="16"/>
    <w:qFormat/>
    <w:rsid w:val="009F7F46"/>
    <w:pPr>
      <w:numPr>
        <w:ilvl w:val="2"/>
        <w:numId w:val="5"/>
      </w:numPr>
      <w:spacing w:after="0"/>
    </w:pPr>
  </w:style>
  <w:style w:type="paragraph" w:customStyle="1" w:styleId="slovanseznamB4">
    <w:name w:val="Číslovaný seznam B 4"/>
    <w:basedOn w:val="Normln"/>
    <w:uiPriority w:val="16"/>
    <w:qFormat/>
    <w:rsid w:val="009F7F46"/>
    <w:pPr>
      <w:numPr>
        <w:ilvl w:val="3"/>
        <w:numId w:val="5"/>
      </w:numPr>
      <w:spacing w:after="0"/>
    </w:pPr>
  </w:style>
  <w:style w:type="paragraph" w:customStyle="1" w:styleId="slovanseznamB5">
    <w:name w:val="Číslovaný seznam B 5"/>
    <w:basedOn w:val="Normln"/>
    <w:uiPriority w:val="16"/>
    <w:qFormat/>
    <w:rsid w:val="009F7F46"/>
    <w:pPr>
      <w:numPr>
        <w:ilvl w:val="4"/>
        <w:numId w:val="5"/>
      </w:numPr>
      <w:spacing w:after="0"/>
    </w:pPr>
  </w:style>
  <w:style w:type="paragraph" w:styleId="Seznamsodrkami3">
    <w:name w:val="List Bullet 3"/>
    <w:aliases w:val="Seznam s odrážkami A 3"/>
    <w:basedOn w:val="Normln"/>
    <w:uiPriority w:val="10"/>
    <w:qFormat/>
    <w:rsid w:val="00262DAF"/>
    <w:pPr>
      <w:numPr>
        <w:ilvl w:val="2"/>
        <w:numId w:val="6"/>
      </w:numPr>
      <w:spacing w:after="0"/>
      <w:contextualSpacing/>
    </w:pPr>
  </w:style>
  <w:style w:type="paragraph" w:styleId="Seznamsodrkami4">
    <w:name w:val="List Bullet 4"/>
    <w:aliases w:val="Seznam s odrážkami A 4"/>
    <w:basedOn w:val="Normln"/>
    <w:uiPriority w:val="10"/>
    <w:qFormat/>
    <w:rsid w:val="00262DAF"/>
    <w:pPr>
      <w:numPr>
        <w:ilvl w:val="3"/>
        <w:numId w:val="6"/>
      </w:numPr>
      <w:spacing w:after="0"/>
      <w:contextualSpacing/>
    </w:pPr>
  </w:style>
  <w:style w:type="paragraph" w:styleId="Seznamsodrkami5">
    <w:name w:val="List Bullet 5"/>
    <w:aliases w:val="Seznam s odrážkami A 5"/>
    <w:basedOn w:val="Normln"/>
    <w:uiPriority w:val="10"/>
    <w:qFormat/>
    <w:rsid w:val="00262DAF"/>
    <w:pPr>
      <w:numPr>
        <w:ilvl w:val="4"/>
        <w:numId w:val="6"/>
      </w:numPr>
      <w:spacing w:after="0"/>
    </w:pPr>
  </w:style>
  <w:style w:type="paragraph" w:styleId="Seznamsodrkami">
    <w:name w:val="List Bullet"/>
    <w:aliases w:val="Seznam s odrážkami A"/>
    <w:basedOn w:val="Normln"/>
    <w:uiPriority w:val="10"/>
    <w:qFormat/>
    <w:rsid w:val="00262DAF"/>
    <w:pPr>
      <w:numPr>
        <w:numId w:val="6"/>
      </w:numPr>
      <w:spacing w:after="0"/>
      <w:contextualSpacing/>
    </w:pPr>
  </w:style>
  <w:style w:type="paragraph" w:styleId="Seznamsodrkami2">
    <w:name w:val="List Bullet 2"/>
    <w:aliases w:val="Seznam s odrážkami A 2"/>
    <w:basedOn w:val="Normln"/>
    <w:uiPriority w:val="10"/>
    <w:qFormat/>
    <w:rsid w:val="00262DAF"/>
    <w:pPr>
      <w:numPr>
        <w:ilvl w:val="1"/>
        <w:numId w:val="6"/>
      </w:numPr>
      <w:spacing w:after="0"/>
      <w:contextualSpacing/>
    </w:pPr>
  </w:style>
  <w:style w:type="paragraph" w:customStyle="1" w:styleId="Nadpis1-mimoobsah">
    <w:name w:val="Nadpis 1 - mimo obsah"/>
    <w:basedOn w:val="Normln"/>
    <w:next w:val="Normln"/>
    <w:uiPriority w:val="8"/>
    <w:qFormat/>
    <w:rsid w:val="00831374"/>
    <w:pPr>
      <w:keepNext/>
      <w:keepLines/>
      <w:spacing w:before="160" w:after="0"/>
    </w:pPr>
    <w:rPr>
      <w:rFonts w:asciiTheme="majorHAnsi" w:hAnsiTheme="majorHAnsi"/>
      <w:b/>
      <w:sz w:val="28"/>
    </w:rPr>
  </w:style>
  <w:style w:type="paragraph" w:customStyle="1" w:styleId="Nadpis2-mimoobsah">
    <w:name w:val="Nadpis 2 - mimo obsah"/>
    <w:basedOn w:val="Normln"/>
    <w:next w:val="Normln"/>
    <w:uiPriority w:val="8"/>
    <w:qFormat/>
    <w:rsid w:val="00AB523B"/>
    <w:pPr>
      <w:keepNext/>
      <w:keepLines/>
      <w:spacing w:before="80" w:after="0"/>
    </w:pPr>
    <w:rPr>
      <w:rFonts w:asciiTheme="majorHAnsi" w:hAnsiTheme="majorHAnsi"/>
      <w:b/>
      <w:sz w:val="26"/>
    </w:rPr>
  </w:style>
  <w:style w:type="paragraph" w:customStyle="1" w:styleId="Nadpis3-mimoobsah">
    <w:name w:val="Nadpis 3 - mimo obsah"/>
    <w:basedOn w:val="Normln"/>
    <w:next w:val="Normln"/>
    <w:uiPriority w:val="8"/>
    <w:qFormat/>
    <w:rsid w:val="00BB479C"/>
    <w:pPr>
      <w:keepNext/>
      <w:keepLines/>
      <w:spacing w:before="40" w:after="0"/>
    </w:pPr>
    <w:rPr>
      <w:rFonts w:asciiTheme="majorHAnsi" w:hAnsiTheme="majorHAnsi"/>
      <w:b/>
      <w:sz w:val="24"/>
    </w:rPr>
  </w:style>
  <w:style w:type="paragraph" w:customStyle="1" w:styleId="Nadpis4-mimoobsah">
    <w:name w:val="Nadpis 4 - mimo obsah"/>
    <w:basedOn w:val="Normln"/>
    <w:next w:val="Normln"/>
    <w:uiPriority w:val="8"/>
    <w:qFormat/>
    <w:rsid w:val="00BB479C"/>
    <w:pPr>
      <w:keepNext/>
      <w:keepLines/>
      <w:spacing w:before="40" w:after="0"/>
    </w:pPr>
    <w:rPr>
      <w:rFonts w:asciiTheme="majorHAnsi" w:hAnsiTheme="majorHAnsi"/>
      <w:i/>
      <w:sz w:val="24"/>
    </w:rPr>
  </w:style>
  <w:style w:type="paragraph" w:customStyle="1" w:styleId="Nadpis5-mimoobsah">
    <w:name w:val="Nadpis 5 - mimo obsah"/>
    <w:basedOn w:val="Normln"/>
    <w:next w:val="Normln"/>
    <w:uiPriority w:val="8"/>
    <w:qFormat/>
    <w:rsid w:val="00BB479C"/>
    <w:pPr>
      <w:keepNext/>
      <w:keepLines/>
      <w:spacing w:before="40" w:after="0"/>
    </w:pPr>
    <w:rPr>
      <w:rFonts w:asciiTheme="majorHAnsi" w:hAnsiTheme="majorHAnsi"/>
      <w:b/>
    </w:rPr>
  </w:style>
  <w:style w:type="paragraph" w:customStyle="1" w:styleId="Nadpis7mimoobsah">
    <w:name w:val="Nadpis 7 mimo obsah"/>
    <w:basedOn w:val="Normln"/>
    <w:next w:val="Normln"/>
    <w:uiPriority w:val="8"/>
    <w:qFormat/>
    <w:rsid w:val="00BB479C"/>
    <w:pPr>
      <w:keepNext/>
      <w:keepLines/>
      <w:spacing w:before="40" w:after="0"/>
    </w:pPr>
    <w:rPr>
      <w:rFonts w:asciiTheme="majorHAnsi" w:hAnsiTheme="majorHAnsi"/>
    </w:rPr>
  </w:style>
  <w:style w:type="paragraph" w:customStyle="1" w:styleId="Nadpis6mimoobsah">
    <w:name w:val="Nadpis 6 mimo obsah"/>
    <w:basedOn w:val="Normln"/>
    <w:next w:val="Normln"/>
    <w:uiPriority w:val="8"/>
    <w:qFormat/>
    <w:rsid w:val="00A95C48"/>
    <w:pPr>
      <w:keepNext/>
      <w:keepLines/>
      <w:spacing w:before="40" w:after="0"/>
    </w:pPr>
    <w:rPr>
      <w:rFonts w:asciiTheme="majorHAnsi" w:hAnsiTheme="majorHAnsi"/>
      <w:i/>
    </w:rPr>
  </w:style>
  <w:style w:type="paragraph" w:customStyle="1" w:styleId="Nadpis8mimoobsah">
    <w:name w:val="Nadpis 8 mimo obsah"/>
    <w:basedOn w:val="Normln"/>
    <w:next w:val="Normln"/>
    <w:uiPriority w:val="8"/>
    <w:qFormat/>
    <w:rsid w:val="00A95C48"/>
    <w:pPr>
      <w:keepNext/>
      <w:keepLines/>
      <w:spacing w:before="40" w:after="0"/>
    </w:pPr>
    <w:rPr>
      <w:rFonts w:asciiTheme="majorHAnsi" w:hAnsiTheme="majorHAnsi"/>
      <w:b/>
      <w:sz w:val="21"/>
      <w:szCs w:val="21"/>
    </w:rPr>
  </w:style>
  <w:style w:type="paragraph" w:customStyle="1" w:styleId="Nadpis9mimoobsah">
    <w:name w:val="Nadpis 9 mimo obsah"/>
    <w:basedOn w:val="Normln"/>
    <w:next w:val="Normln"/>
    <w:uiPriority w:val="8"/>
    <w:qFormat/>
    <w:rsid w:val="00A95C48"/>
    <w:pPr>
      <w:keepNext/>
      <w:keepLines/>
      <w:spacing w:before="40" w:after="0"/>
    </w:pPr>
    <w:rPr>
      <w:rFonts w:asciiTheme="majorHAnsi" w:hAnsiTheme="majorHAnsi"/>
      <w:i/>
      <w:sz w:val="21"/>
      <w:szCs w:val="21"/>
    </w:rPr>
  </w:style>
  <w:style w:type="paragraph" w:styleId="Podtitul">
    <w:name w:val="Subtitle"/>
    <w:basedOn w:val="Normln"/>
    <w:next w:val="Normln"/>
    <w:link w:val="PodtitulChar"/>
    <w:uiPriority w:val="5"/>
    <w:qFormat/>
    <w:rsid w:val="008D4A32"/>
    <w:pPr>
      <w:numPr>
        <w:ilvl w:val="1"/>
      </w:numPr>
    </w:pPr>
    <w:rPr>
      <w:rFonts w:eastAsiaTheme="minorEastAsia"/>
      <w:color w:val="595959" w:themeColor="text1" w:themeTint="A6"/>
      <w:spacing w:val="15"/>
      <w:sz w:val="28"/>
    </w:rPr>
  </w:style>
  <w:style w:type="character" w:customStyle="1" w:styleId="PodtitulChar">
    <w:name w:val="Podtitul Char"/>
    <w:basedOn w:val="Standardnpsmoodstavce"/>
    <w:link w:val="Podtitul"/>
    <w:uiPriority w:val="5"/>
    <w:rsid w:val="003250CB"/>
    <w:rPr>
      <w:rFonts w:eastAsiaTheme="minorEastAsia"/>
      <w:color w:val="595959" w:themeColor="text1" w:themeTint="A6"/>
      <w:spacing w:val="15"/>
      <w:sz w:val="28"/>
    </w:rPr>
  </w:style>
  <w:style w:type="paragraph" w:styleId="Obsah1">
    <w:name w:val="toc 1"/>
    <w:basedOn w:val="Normln"/>
    <w:next w:val="Normln"/>
    <w:autoRedefine/>
    <w:uiPriority w:val="39"/>
    <w:unhideWhenUsed/>
    <w:rsid w:val="00A84F2D"/>
    <w:pPr>
      <w:tabs>
        <w:tab w:val="left" w:pos="660"/>
        <w:tab w:val="right" w:leader="dot" w:pos="9062"/>
      </w:tabs>
      <w:spacing w:after="100"/>
    </w:pPr>
    <w:rPr>
      <w:rFonts w:ascii="Arial" w:hAnsi="Arial"/>
    </w:rPr>
  </w:style>
  <w:style w:type="paragraph" w:styleId="Obsah2">
    <w:name w:val="toc 2"/>
    <w:basedOn w:val="Normln"/>
    <w:next w:val="Normln"/>
    <w:autoRedefine/>
    <w:uiPriority w:val="39"/>
    <w:unhideWhenUsed/>
    <w:rsid w:val="00B37999"/>
    <w:pPr>
      <w:tabs>
        <w:tab w:val="left" w:pos="880"/>
        <w:tab w:val="right" w:leader="dot" w:pos="9062"/>
      </w:tabs>
      <w:spacing w:after="100"/>
      <w:ind w:left="851" w:hanging="631"/>
    </w:pPr>
  </w:style>
  <w:style w:type="paragraph" w:styleId="Obsah3">
    <w:name w:val="toc 3"/>
    <w:basedOn w:val="Normln"/>
    <w:next w:val="Normln"/>
    <w:autoRedefine/>
    <w:uiPriority w:val="39"/>
    <w:unhideWhenUsed/>
    <w:rsid w:val="00397585"/>
    <w:pPr>
      <w:tabs>
        <w:tab w:val="left" w:pos="1560"/>
        <w:tab w:val="right" w:leader="dot" w:pos="9062"/>
      </w:tabs>
      <w:spacing w:after="0" w:line="360" w:lineRule="auto"/>
      <w:ind w:left="709"/>
      <w:jc w:val="both"/>
    </w:pPr>
  </w:style>
  <w:style w:type="paragraph" w:styleId="Obsah4">
    <w:name w:val="toc 4"/>
    <w:basedOn w:val="Normln"/>
    <w:next w:val="Normln"/>
    <w:autoRedefine/>
    <w:uiPriority w:val="39"/>
    <w:unhideWhenUsed/>
    <w:rsid w:val="009C41F4"/>
    <w:pPr>
      <w:tabs>
        <w:tab w:val="left" w:pos="1560"/>
        <w:tab w:val="right" w:leader="dot" w:pos="9062"/>
      </w:tabs>
      <w:spacing w:after="100"/>
      <w:ind w:left="1560" w:hanging="709"/>
    </w:pPr>
  </w:style>
  <w:style w:type="paragraph" w:styleId="Obsah5">
    <w:name w:val="toc 5"/>
    <w:basedOn w:val="Normln"/>
    <w:next w:val="Normln"/>
    <w:autoRedefine/>
    <w:uiPriority w:val="39"/>
    <w:unhideWhenUsed/>
    <w:rsid w:val="00D22462"/>
    <w:pPr>
      <w:spacing w:after="100"/>
      <w:ind w:left="880"/>
    </w:pPr>
  </w:style>
  <w:style w:type="paragraph" w:styleId="Obsah6">
    <w:name w:val="toc 6"/>
    <w:basedOn w:val="Normln"/>
    <w:next w:val="Normln"/>
    <w:autoRedefine/>
    <w:uiPriority w:val="39"/>
    <w:unhideWhenUsed/>
    <w:rsid w:val="00D22462"/>
    <w:pPr>
      <w:spacing w:after="100"/>
      <w:ind w:left="1100"/>
    </w:pPr>
  </w:style>
  <w:style w:type="paragraph" w:styleId="Obsah7">
    <w:name w:val="toc 7"/>
    <w:basedOn w:val="Normln"/>
    <w:next w:val="Normln"/>
    <w:autoRedefine/>
    <w:uiPriority w:val="39"/>
    <w:unhideWhenUsed/>
    <w:rsid w:val="00D22462"/>
    <w:pPr>
      <w:spacing w:after="100"/>
      <w:ind w:left="1320"/>
    </w:pPr>
  </w:style>
  <w:style w:type="paragraph" w:styleId="Obsah8">
    <w:name w:val="toc 8"/>
    <w:basedOn w:val="Normln"/>
    <w:next w:val="Normln"/>
    <w:autoRedefine/>
    <w:uiPriority w:val="39"/>
    <w:unhideWhenUsed/>
    <w:rsid w:val="00D22462"/>
    <w:pPr>
      <w:spacing w:after="100"/>
      <w:ind w:left="1540"/>
    </w:pPr>
  </w:style>
  <w:style w:type="paragraph" w:styleId="Obsah9">
    <w:name w:val="toc 9"/>
    <w:basedOn w:val="Normln"/>
    <w:next w:val="Normln"/>
    <w:autoRedefine/>
    <w:uiPriority w:val="39"/>
    <w:unhideWhenUsed/>
    <w:rsid w:val="00D22462"/>
    <w:pPr>
      <w:spacing w:after="100"/>
      <w:ind w:left="1760"/>
    </w:pPr>
  </w:style>
  <w:style w:type="character" w:styleId="Hypertextovodkaz">
    <w:name w:val="Hyperlink"/>
    <w:basedOn w:val="Standardnpsmoodstavce"/>
    <w:uiPriority w:val="99"/>
    <w:unhideWhenUsed/>
    <w:rsid w:val="00D22462"/>
    <w:rPr>
      <w:color w:val="004B8D" w:themeColor="hyperlink"/>
      <w:u w:val="single"/>
    </w:rPr>
  </w:style>
  <w:style w:type="character" w:styleId="Zdraznnjemn">
    <w:name w:val="Subtle Emphasis"/>
    <w:basedOn w:val="Standardnpsmoodstavce"/>
    <w:uiPriority w:val="19"/>
    <w:qFormat/>
    <w:rsid w:val="00A275BC"/>
    <w:rPr>
      <w:i/>
      <w:iCs/>
      <w:color w:val="595959" w:themeColor="text1" w:themeTint="A6"/>
    </w:rPr>
  </w:style>
  <w:style w:type="character" w:styleId="Odkazjemn">
    <w:name w:val="Subtle Reference"/>
    <w:basedOn w:val="Standardnpsmoodstavce"/>
    <w:uiPriority w:val="23"/>
    <w:qFormat/>
    <w:rsid w:val="00A275BC"/>
    <w:rPr>
      <w:smallCaps/>
      <w:color w:val="5A5A5A" w:themeColor="text1" w:themeTint="A5"/>
    </w:rPr>
  </w:style>
  <w:style w:type="paragraph" w:styleId="Citt">
    <w:name w:val="Quote"/>
    <w:basedOn w:val="Normln"/>
    <w:next w:val="Normln"/>
    <w:link w:val="CittChar"/>
    <w:uiPriority w:val="27"/>
    <w:qFormat/>
    <w:rsid w:val="00713948"/>
    <w:pPr>
      <w:keepLines/>
      <w:spacing w:before="240"/>
      <w:ind w:left="357" w:right="357"/>
    </w:pPr>
    <w:rPr>
      <w:i/>
      <w:iCs/>
      <w:color w:val="595959" w:themeColor="text1" w:themeTint="A6"/>
    </w:rPr>
  </w:style>
  <w:style w:type="character" w:customStyle="1" w:styleId="CittChar">
    <w:name w:val="Citát Char"/>
    <w:basedOn w:val="Standardnpsmoodstavce"/>
    <w:link w:val="Citt"/>
    <w:uiPriority w:val="27"/>
    <w:rsid w:val="00713948"/>
    <w:rPr>
      <w:i/>
      <w:iCs/>
      <w:color w:val="595959" w:themeColor="text1" w:themeTint="A6"/>
    </w:rPr>
  </w:style>
  <w:style w:type="character" w:styleId="Zdraznn">
    <w:name w:val="Emphasis"/>
    <w:basedOn w:val="Standardnpsmoodstavce"/>
    <w:uiPriority w:val="20"/>
    <w:qFormat/>
    <w:rsid w:val="00713948"/>
    <w:rPr>
      <w:i/>
      <w:iCs/>
    </w:rPr>
  </w:style>
  <w:style w:type="paragraph" w:styleId="Nadpisobsahu">
    <w:name w:val="TOC Heading"/>
    <w:basedOn w:val="Nadpis1-mimoobsah"/>
    <w:next w:val="Normln"/>
    <w:uiPriority w:val="39"/>
    <w:unhideWhenUsed/>
    <w:qFormat/>
    <w:rsid w:val="003B565A"/>
  </w:style>
  <w:style w:type="paragraph" w:styleId="Datum">
    <w:name w:val="Date"/>
    <w:basedOn w:val="Normln"/>
    <w:next w:val="Normln"/>
    <w:link w:val="DatumChar"/>
    <w:uiPriority w:val="31"/>
    <w:unhideWhenUsed/>
    <w:rsid w:val="00486FB9"/>
  </w:style>
  <w:style w:type="character" w:customStyle="1" w:styleId="DatumChar">
    <w:name w:val="Datum Char"/>
    <w:basedOn w:val="Standardnpsmoodstavce"/>
    <w:link w:val="Datum"/>
    <w:uiPriority w:val="31"/>
    <w:rsid w:val="005455E1"/>
    <w:rPr>
      <w:color w:val="000000" w:themeColor="text1"/>
    </w:rPr>
  </w:style>
  <w:style w:type="paragraph" w:styleId="Textvbloku">
    <w:name w:val="Block Text"/>
    <w:basedOn w:val="Normln"/>
    <w:uiPriority w:val="29"/>
    <w:unhideWhenUsed/>
    <w:rsid w:val="009516A8"/>
    <w:pPr>
      <w:pBdr>
        <w:top w:val="single" w:sz="2" w:space="10" w:color="000000" w:themeColor="text1"/>
        <w:left w:val="single" w:sz="2" w:space="10" w:color="000000" w:themeColor="text1"/>
        <w:bottom w:val="single" w:sz="2" w:space="10" w:color="000000" w:themeColor="text1"/>
        <w:right w:val="single" w:sz="2" w:space="10" w:color="000000" w:themeColor="text1"/>
      </w:pBdr>
      <w:ind w:left="357" w:right="357"/>
    </w:pPr>
    <w:rPr>
      <w:rFonts w:eastAsiaTheme="minorEastAsia"/>
      <w:i/>
      <w:iCs/>
    </w:rPr>
  </w:style>
  <w:style w:type="character" w:styleId="Sledovanodkaz">
    <w:name w:val="FollowedHyperlink"/>
    <w:basedOn w:val="Standardnpsmoodstavce"/>
    <w:uiPriority w:val="34"/>
    <w:semiHidden/>
    <w:unhideWhenUsed/>
    <w:rsid w:val="00486FB9"/>
    <w:rPr>
      <w:color w:val="595959" w:themeColor="text1" w:themeTint="A6"/>
      <w:u w:val="single"/>
    </w:rPr>
  </w:style>
  <w:style w:type="paragraph" w:styleId="Zkladntext">
    <w:name w:val="Body Text"/>
    <w:basedOn w:val="Normln"/>
    <w:link w:val="ZkladntextChar"/>
    <w:uiPriority w:val="1"/>
    <w:rsid w:val="009F393D"/>
  </w:style>
  <w:style w:type="character" w:customStyle="1" w:styleId="ZkladntextChar">
    <w:name w:val="Základní text Char"/>
    <w:basedOn w:val="Standardnpsmoodstavce"/>
    <w:link w:val="Zkladntext"/>
    <w:uiPriority w:val="1"/>
    <w:rsid w:val="009F393D"/>
    <w:rPr>
      <w:color w:val="000000" w:themeColor="text1"/>
    </w:rPr>
  </w:style>
  <w:style w:type="paragraph" w:styleId="Zkladntext-prvnodsazen">
    <w:name w:val="Body Text First Indent"/>
    <w:basedOn w:val="Zkladntext"/>
    <w:link w:val="Zkladntext-prvnodsazenChar"/>
    <w:uiPriority w:val="1"/>
    <w:rsid w:val="009F393D"/>
    <w:pPr>
      <w:ind w:firstLine="357"/>
    </w:pPr>
  </w:style>
  <w:style w:type="character" w:customStyle="1" w:styleId="Zkladntext-prvnodsazenChar">
    <w:name w:val="Základní text - první odsazený Char"/>
    <w:basedOn w:val="ZkladntextChar"/>
    <w:link w:val="Zkladntext-prvnodsazen"/>
    <w:uiPriority w:val="1"/>
    <w:rsid w:val="009F393D"/>
    <w:rPr>
      <w:color w:val="000000" w:themeColor="text1"/>
    </w:rPr>
  </w:style>
  <w:style w:type="paragraph" w:styleId="Zkladntextodsazen">
    <w:name w:val="Body Text Indent"/>
    <w:basedOn w:val="Normln"/>
    <w:link w:val="ZkladntextodsazenChar"/>
    <w:uiPriority w:val="1"/>
    <w:rsid w:val="009F393D"/>
    <w:pPr>
      <w:ind w:left="357"/>
    </w:pPr>
  </w:style>
  <w:style w:type="character" w:customStyle="1" w:styleId="ZkladntextodsazenChar">
    <w:name w:val="Základní text odsazený Char"/>
    <w:basedOn w:val="Standardnpsmoodstavce"/>
    <w:link w:val="Zkladntextodsazen"/>
    <w:uiPriority w:val="1"/>
    <w:rsid w:val="00C805F2"/>
    <w:rPr>
      <w:color w:val="000000" w:themeColor="text1"/>
    </w:rPr>
  </w:style>
  <w:style w:type="paragraph" w:customStyle="1" w:styleId="SeznamsodrkamiB">
    <w:name w:val="Seznam s odrážkami B"/>
    <w:basedOn w:val="Normln"/>
    <w:uiPriority w:val="11"/>
    <w:qFormat/>
    <w:rsid w:val="007102D2"/>
    <w:pPr>
      <w:numPr>
        <w:numId w:val="8"/>
      </w:numPr>
      <w:spacing w:after="0"/>
    </w:pPr>
  </w:style>
  <w:style w:type="paragraph" w:customStyle="1" w:styleId="SeznamsodrkamiB2">
    <w:name w:val="Seznam s odrážkami B 2"/>
    <w:basedOn w:val="Normln"/>
    <w:uiPriority w:val="11"/>
    <w:qFormat/>
    <w:rsid w:val="007102D2"/>
    <w:pPr>
      <w:numPr>
        <w:ilvl w:val="1"/>
        <w:numId w:val="8"/>
      </w:numPr>
      <w:spacing w:after="0"/>
    </w:pPr>
  </w:style>
  <w:style w:type="paragraph" w:customStyle="1" w:styleId="SeznamsodrkamiB3">
    <w:name w:val="Seznam s odrážkami B 3"/>
    <w:basedOn w:val="Normln"/>
    <w:uiPriority w:val="11"/>
    <w:qFormat/>
    <w:rsid w:val="007102D2"/>
    <w:pPr>
      <w:numPr>
        <w:ilvl w:val="2"/>
        <w:numId w:val="8"/>
      </w:numPr>
      <w:spacing w:after="0"/>
    </w:pPr>
  </w:style>
  <w:style w:type="paragraph" w:customStyle="1" w:styleId="SeznamsodrkamiB4">
    <w:name w:val="Seznam s odrážkami B 4"/>
    <w:basedOn w:val="Normln"/>
    <w:uiPriority w:val="11"/>
    <w:qFormat/>
    <w:rsid w:val="007102D2"/>
    <w:pPr>
      <w:numPr>
        <w:ilvl w:val="3"/>
        <w:numId w:val="8"/>
      </w:numPr>
      <w:spacing w:after="0"/>
    </w:pPr>
  </w:style>
  <w:style w:type="paragraph" w:customStyle="1" w:styleId="SeznamsodrkamiB5">
    <w:name w:val="Seznam s odrážkami B 5"/>
    <w:basedOn w:val="Normln"/>
    <w:uiPriority w:val="11"/>
    <w:qFormat/>
    <w:rsid w:val="007102D2"/>
    <w:pPr>
      <w:numPr>
        <w:ilvl w:val="4"/>
        <w:numId w:val="8"/>
      </w:numPr>
      <w:spacing w:after="0"/>
    </w:pPr>
  </w:style>
  <w:style w:type="paragraph" w:styleId="Zhlav">
    <w:name w:val="header"/>
    <w:basedOn w:val="Normln"/>
    <w:link w:val="ZhlavChar"/>
    <w:uiPriority w:val="99"/>
    <w:unhideWhenUsed/>
    <w:rsid w:val="00677FE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677FE0"/>
    <w:rPr>
      <w:color w:val="000000" w:themeColor="text1"/>
    </w:rPr>
  </w:style>
  <w:style w:type="paragraph" w:styleId="Zpat">
    <w:name w:val="footer"/>
    <w:basedOn w:val="Normln"/>
    <w:link w:val="ZpatChar"/>
    <w:uiPriority w:val="99"/>
    <w:unhideWhenUsed/>
    <w:rsid w:val="00677FE0"/>
    <w:pPr>
      <w:tabs>
        <w:tab w:val="center" w:pos="4536"/>
        <w:tab w:val="right" w:pos="9072"/>
      </w:tabs>
      <w:spacing w:after="0" w:line="240" w:lineRule="auto"/>
    </w:pPr>
  </w:style>
  <w:style w:type="character" w:customStyle="1" w:styleId="ZpatChar">
    <w:name w:val="Zápatí Char"/>
    <w:basedOn w:val="Standardnpsmoodstavce"/>
    <w:link w:val="Zpat"/>
    <w:uiPriority w:val="99"/>
    <w:rsid w:val="00677FE0"/>
    <w:rPr>
      <w:color w:val="000000" w:themeColor="text1"/>
    </w:rPr>
  </w:style>
  <w:style w:type="paragraph" w:styleId="Textkomente">
    <w:name w:val="annotation text"/>
    <w:basedOn w:val="Normln"/>
    <w:link w:val="TextkomenteChar"/>
    <w:uiPriority w:val="99"/>
    <w:unhideWhenUsed/>
    <w:rsid w:val="00EB11FD"/>
    <w:pPr>
      <w:spacing w:after="200" w:line="240" w:lineRule="auto"/>
    </w:pPr>
    <w:rPr>
      <w:rFonts w:eastAsiaTheme="minorEastAsia"/>
      <w:sz w:val="20"/>
      <w:szCs w:val="20"/>
      <w:lang w:eastAsia="cs-CZ"/>
    </w:rPr>
  </w:style>
  <w:style w:type="character" w:customStyle="1" w:styleId="TextkomenteChar">
    <w:name w:val="Text komentáře Char"/>
    <w:basedOn w:val="Standardnpsmoodstavce"/>
    <w:link w:val="Textkomente"/>
    <w:uiPriority w:val="99"/>
    <w:rsid w:val="00EB11FD"/>
    <w:rPr>
      <w:rFonts w:eastAsiaTheme="minorEastAsia"/>
      <w:sz w:val="20"/>
      <w:szCs w:val="20"/>
      <w:lang w:eastAsia="cs-CZ"/>
    </w:rPr>
  </w:style>
  <w:style w:type="character" w:styleId="Siln">
    <w:name w:val="Strong"/>
    <w:basedOn w:val="Standardnpsmoodstavce"/>
    <w:uiPriority w:val="22"/>
    <w:qFormat/>
    <w:rsid w:val="00EB11FD"/>
    <w:rPr>
      <w:b/>
      <w:bCs/>
    </w:rPr>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C146E9"/>
    <w:pPr>
      <w:spacing w:after="0" w:line="240" w:lineRule="auto"/>
    </w:pPr>
    <w:rPr>
      <w:rFonts w:ascii="Calibri" w:eastAsia="Times New Roman" w:hAnsi="Calibri" w:cs="Times New Roman"/>
      <w:sz w:val="20"/>
      <w:szCs w:val="20"/>
      <w:lang w:eastAsia="cs-CZ"/>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C146E9"/>
    <w:rPr>
      <w:rFonts w:ascii="Calibri" w:eastAsia="Times New Roman" w:hAnsi="Calibri" w:cs="Times New Roman"/>
      <w:sz w:val="20"/>
      <w:szCs w:val="20"/>
      <w:lang w:eastAsia="cs-CZ"/>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uiPriority w:val="99"/>
    <w:unhideWhenUsed/>
    <w:rsid w:val="00C146E9"/>
    <w:rPr>
      <w:vertAlign w:val="superscript"/>
    </w:rPr>
  </w:style>
  <w:style w:type="paragraph" w:styleId="Titulek">
    <w:name w:val="caption"/>
    <w:aliases w:val="~Caption"/>
    <w:basedOn w:val="Normln"/>
    <w:next w:val="Normln"/>
    <w:link w:val="TitulekChar"/>
    <w:autoRedefine/>
    <w:qFormat/>
    <w:rsid w:val="00580DE3"/>
    <w:pPr>
      <w:spacing w:after="0" w:line="360" w:lineRule="auto"/>
      <w:jc w:val="center"/>
    </w:pPr>
    <w:rPr>
      <w:rFonts w:eastAsia="Times New Roman" w:cs="Arial"/>
      <w:b/>
      <w:bCs/>
      <w:lang w:eastAsia="cs-CZ"/>
    </w:rPr>
  </w:style>
  <w:style w:type="character" w:customStyle="1" w:styleId="TitulekChar">
    <w:name w:val="Titulek Char"/>
    <w:aliases w:val="~Caption Char"/>
    <w:link w:val="Titulek"/>
    <w:rsid w:val="00580DE3"/>
    <w:rPr>
      <w:rFonts w:eastAsia="Times New Roman" w:cs="Arial"/>
      <w:b/>
      <w:bCs/>
      <w:lang w:eastAsia="cs-CZ"/>
    </w:rPr>
  </w:style>
  <w:style w:type="character" w:customStyle="1" w:styleId="OdstavecseseznamemChar">
    <w:name w:val="Odstavec se seznamem Char"/>
    <w:aliases w:val="Nad Char,Odstavec_muj Char,Název grafu Char,nad 1 Char"/>
    <w:link w:val="Odstavecseseznamem"/>
    <w:uiPriority w:val="34"/>
    <w:locked/>
    <w:rsid w:val="00EF1C29"/>
    <w:rPr>
      <w:color w:val="1682C2" w:themeColor="background2" w:themeShade="80"/>
    </w:rPr>
  </w:style>
  <w:style w:type="table" w:styleId="Mkatabulky">
    <w:name w:val="Table Grid"/>
    <w:basedOn w:val="Normlntabulka"/>
    <w:uiPriority w:val="39"/>
    <w:rsid w:val="00C27541"/>
    <w:pPr>
      <w:spacing w:after="0" w:line="240" w:lineRule="auto"/>
    </w:pPr>
    <w:rPr>
      <w:rFonts w:ascii="Calibri" w:eastAsia="Calibri" w:hAnsi="Calibri" w:cs="Times New Roman"/>
      <w:sz w:val="20"/>
      <w:szCs w:val="20"/>
      <w:lang w:eastAsia="cs-CZ"/>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table" w:customStyle="1" w:styleId="Mkatabulky1">
    <w:name w:val="Mřížka tabulky1"/>
    <w:basedOn w:val="Normlntabulka"/>
    <w:next w:val="Mkatabulky"/>
    <w:uiPriority w:val="39"/>
    <w:rsid w:val="00C27541"/>
    <w:pPr>
      <w:spacing w:after="0" w:line="240" w:lineRule="auto"/>
    </w:pPr>
    <w:rPr>
      <w:rFonts w:ascii="Calibri" w:eastAsia="Calibri" w:hAnsi="Calibri" w:cs="Times New Roman"/>
      <w:sz w:val="20"/>
      <w:szCs w:val="20"/>
      <w:lang w:eastAsia="cs-CZ"/>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Seznamobrzk">
    <w:name w:val="table of figures"/>
    <w:basedOn w:val="Normln"/>
    <w:next w:val="Normln"/>
    <w:uiPriority w:val="99"/>
    <w:unhideWhenUsed/>
    <w:rsid w:val="004421D8"/>
    <w:pPr>
      <w:spacing w:after="0"/>
    </w:pPr>
    <w:rPr>
      <w:rFonts w:ascii="Arial" w:hAnsi="Arial"/>
    </w:rPr>
  </w:style>
  <w:style w:type="character" w:styleId="Odkaznakoment">
    <w:name w:val="annotation reference"/>
    <w:basedOn w:val="Standardnpsmoodstavce"/>
    <w:uiPriority w:val="99"/>
    <w:semiHidden/>
    <w:unhideWhenUsed/>
    <w:rsid w:val="009344B5"/>
    <w:rPr>
      <w:sz w:val="16"/>
      <w:szCs w:val="16"/>
    </w:rPr>
  </w:style>
  <w:style w:type="paragraph" w:styleId="Pedmtkomente">
    <w:name w:val="annotation subject"/>
    <w:basedOn w:val="Textkomente"/>
    <w:next w:val="Textkomente"/>
    <w:link w:val="PedmtkomenteChar"/>
    <w:uiPriority w:val="99"/>
    <w:semiHidden/>
    <w:unhideWhenUsed/>
    <w:rsid w:val="009344B5"/>
    <w:pPr>
      <w:spacing w:after="160"/>
    </w:pPr>
    <w:rPr>
      <w:rFonts w:eastAsiaTheme="minorHAnsi"/>
      <w:b/>
      <w:bCs/>
      <w:color w:val="1682C2" w:themeColor="background2" w:themeShade="80"/>
      <w:lang w:eastAsia="en-US"/>
    </w:rPr>
  </w:style>
  <w:style w:type="character" w:customStyle="1" w:styleId="PedmtkomenteChar">
    <w:name w:val="Předmět komentáře Char"/>
    <w:basedOn w:val="TextkomenteChar"/>
    <w:link w:val="Pedmtkomente"/>
    <w:uiPriority w:val="99"/>
    <w:semiHidden/>
    <w:rsid w:val="009344B5"/>
    <w:rPr>
      <w:rFonts w:eastAsiaTheme="minorEastAsia"/>
      <w:b/>
      <w:bCs/>
      <w:color w:val="1682C2" w:themeColor="background2" w:themeShade="80"/>
      <w:sz w:val="20"/>
      <w:szCs w:val="20"/>
      <w:lang w:eastAsia="cs-CZ"/>
    </w:rPr>
  </w:style>
  <w:style w:type="paragraph" w:styleId="Textbubliny">
    <w:name w:val="Balloon Text"/>
    <w:basedOn w:val="Normln"/>
    <w:link w:val="TextbublinyChar"/>
    <w:uiPriority w:val="99"/>
    <w:semiHidden/>
    <w:unhideWhenUsed/>
    <w:rsid w:val="009344B5"/>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9344B5"/>
    <w:rPr>
      <w:rFonts w:ascii="Segoe UI" w:hAnsi="Segoe UI" w:cs="Segoe UI"/>
      <w:color w:val="1682C2" w:themeColor="background2" w:themeShade="80"/>
      <w:sz w:val="18"/>
      <w:szCs w:val="18"/>
    </w:rPr>
  </w:style>
  <w:style w:type="table" w:customStyle="1" w:styleId="Mkatabulky2">
    <w:name w:val="Mřížka tabulky2"/>
    <w:basedOn w:val="Normlntabulka"/>
    <w:next w:val="Mkatabulky"/>
    <w:uiPriority w:val="39"/>
    <w:rsid w:val="001C4F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39"/>
    <w:rsid w:val="007C0D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Standardnpsmoodstavce"/>
    <w:rsid w:val="007E32BC"/>
  </w:style>
  <w:style w:type="paragraph" w:customStyle="1" w:styleId="xl23">
    <w:name w:val="xl23"/>
    <w:basedOn w:val="Normln"/>
    <w:rsid w:val="008638B0"/>
    <w:pPr>
      <w:pBdr>
        <w:left w:val="single" w:sz="4" w:space="0" w:color="auto"/>
        <w:right w:val="single" w:sz="4" w:space="0" w:color="auto"/>
      </w:pBdr>
      <w:spacing w:before="100" w:beforeAutospacing="1" w:after="100" w:afterAutospacing="1" w:line="240" w:lineRule="auto"/>
      <w:jc w:val="both"/>
      <w:textAlignment w:val="top"/>
    </w:pPr>
    <w:rPr>
      <w:rFonts w:ascii="Times New Roman" w:eastAsia="Arial Unicode MS" w:hAnsi="Times New Roman" w:cs="Times New Roman"/>
      <w:lang w:eastAsia="cs-CZ"/>
    </w:rPr>
  </w:style>
  <w:style w:type="paragraph" w:customStyle="1" w:styleId="Zdrojdat">
    <w:name w:val="Zdroj dat"/>
    <w:basedOn w:val="Normln"/>
    <w:qFormat/>
    <w:rsid w:val="00B2479C"/>
    <w:pPr>
      <w:suppressAutoHyphens/>
      <w:spacing w:before="120" w:after="120" w:line="240" w:lineRule="auto"/>
    </w:pPr>
    <w:rPr>
      <w:rFonts w:ascii="Arial" w:eastAsia="Calibri" w:hAnsi="Arial" w:cs="Arial"/>
      <w:color w:val="000000"/>
      <w:kern w:val="1"/>
      <w:sz w:val="16"/>
      <w:szCs w:val="16"/>
      <w:lang w:eastAsia="hi-IN" w:bidi="hi-IN"/>
    </w:rPr>
  </w:style>
  <w:style w:type="paragraph" w:customStyle="1" w:styleId="Default">
    <w:name w:val="Default"/>
    <w:rsid w:val="004325CB"/>
    <w:pPr>
      <w:autoSpaceDE w:val="0"/>
      <w:autoSpaceDN w:val="0"/>
      <w:adjustRightInd w:val="0"/>
      <w:spacing w:after="0" w:line="240" w:lineRule="auto"/>
    </w:pPr>
    <w:rPr>
      <w:rFonts w:ascii="Arial" w:hAnsi="Arial" w:cs="Arial"/>
      <w:color w:val="000000"/>
      <w:sz w:val="24"/>
      <w:szCs w:val="24"/>
    </w:rPr>
  </w:style>
  <w:style w:type="paragraph" w:customStyle="1" w:styleId="Bezmezer1">
    <w:name w:val="Bez mezer1"/>
    <w:rsid w:val="00A252C2"/>
    <w:pPr>
      <w:spacing w:after="0" w:line="240" w:lineRule="auto"/>
    </w:pPr>
    <w:rPr>
      <w:rFonts w:ascii="Calibri" w:eastAsia="Times New Roman" w:hAnsi="Calibri" w:cs="Times New Roman"/>
    </w:rPr>
  </w:style>
  <w:style w:type="paragraph" w:styleId="Normlnweb">
    <w:name w:val="Normal (Web)"/>
    <w:basedOn w:val="Normln"/>
    <w:uiPriority w:val="99"/>
    <w:unhideWhenUsed/>
    <w:rsid w:val="001967AF"/>
    <w:pPr>
      <w:spacing w:after="0" w:line="240" w:lineRule="auto"/>
    </w:pPr>
    <w:rPr>
      <w:rFonts w:ascii="Times New Roman" w:eastAsia="Times New Roman" w:hAnsi="Times New Roman" w:cs="Times New Roman"/>
      <w:sz w:val="24"/>
      <w:szCs w:val="24"/>
      <w:lang w:eastAsia="cs-CZ"/>
    </w:rPr>
  </w:style>
  <w:style w:type="paragraph" w:customStyle="1" w:styleId="PreformattedText">
    <w:name w:val="Preformatted Text"/>
    <w:basedOn w:val="Normln"/>
    <w:qFormat/>
    <w:rsid w:val="006B6E0F"/>
    <w:pPr>
      <w:widowControl w:val="0"/>
      <w:suppressAutoHyphens/>
      <w:spacing w:after="0" w:line="240" w:lineRule="auto"/>
    </w:pPr>
    <w:rPr>
      <w:rFonts w:ascii="Liberation Serif" w:eastAsia="DejaVu Sans" w:hAnsi="Liberation Serif" w:cs="DejaVu Sans"/>
      <w:color w:val="00000A"/>
      <w:sz w:val="24"/>
      <w:szCs w:val="24"/>
      <w:lang w:eastAsia="zh-CN" w:bidi="hi-IN"/>
    </w:rPr>
  </w:style>
  <w:style w:type="paragraph" w:customStyle="1" w:styleId="perex">
    <w:name w:val="perex"/>
    <w:basedOn w:val="Normln"/>
    <w:rsid w:val="00D8311F"/>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Bezmezer">
    <w:name w:val="No Spacing"/>
    <w:uiPriority w:val="99"/>
    <w:qFormat/>
    <w:rsid w:val="003754BC"/>
    <w:pPr>
      <w:spacing w:after="0" w:line="240" w:lineRule="auto"/>
    </w:pPr>
    <w:rPr>
      <w:rFonts w:ascii="Calibri" w:eastAsia="Calibri" w:hAnsi="Calibri" w:cs="Times New Roman"/>
    </w:rPr>
  </w:style>
  <w:style w:type="paragraph" w:styleId="Revize">
    <w:name w:val="Revision"/>
    <w:hidden/>
    <w:uiPriority w:val="99"/>
    <w:semiHidden/>
    <w:rsid w:val="00AD0A96"/>
    <w:pPr>
      <w:spacing w:after="0" w:line="240" w:lineRule="auto"/>
    </w:pPr>
    <w:rPr>
      <w:color w:val="004B8D"/>
    </w:rPr>
  </w:style>
  <w:style w:type="paragraph" w:styleId="Prosttext">
    <w:name w:val="Plain Text"/>
    <w:basedOn w:val="Normln"/>
    <w:link w:val="ProsttextChar"/>
    <w:uiPriority w:val="99"/>
    <w:unhideWhenUsed/>
    <w:rsid w:val="00D3529A"/>
    <w:pPr>
      <w:spacing w:after="0" w:line="240" w:lineRule="auto"/>
    </w:pPr>
    <w:rPr>
      <w:rFonts w:ascii="Consolas" w:hAnsi="Consolas" w:cs="Consolas"/>
      <w:sz w:val="21"/>
      <w:szCs w:val="21"/>
    </w:rPr>
  </w:style>
  <w:style w:type="character" w:customStyle="1" w:styleId="ProsttextChar">
    <w:name w:val="Prostý text Char"/>
    <w:basedOn w:val="Standardnpsmoodstavce"/>
    <w:link w:val="Prosttext"/>
    <w:uiPriority w:val="99"/>
    <w:rsid w:val="00D3529A"/>
    <w:rPr>
      <w:rFonts w:ascii="Consolas" w:hAnsi="Consolas" w:cs="Consolas"/>
      <w:sz w:val="21"/>
      <w:szCs w:val="21"/>
    </w:rPr>
  </w:style>
  <w:style w:type="paragraph" w:customStyle="1" w:styleId="NADPISBEZSLA">
    <w:name w:val="NADPIS BEZ ČÍSLA"/>
    <w:basedOn w:val="Normln"/>
    <w:link w:val="NADPISBEZSLAChar"/>
    <w:qFormat/>
    <w:rsid w:val="00FA7ED1"/>
    <w:pPr>
      <w:spacing w:after="120" w:line="276" w:lineRule="auto"/>
      <w:jc w:val="both"/>
    </w:pPr>
    <w:rPr>
      <w:rFonts w:asciiTheme="majorHAnsi" w:eastAsia="Calibri" w:hAnsiTheme="majorHAnsi" w:cstheme="majorHAnsi"/>
      <w:color w:val="004B8D"/>
      <w:sz w:val="32"/>
      <w:lang w:eastAsia="cs-CZ"/>
    </w:rPr>
  </w:style>
  <w:style w:type="character" w:customStyle="1" w:styleId="NADPISBEZSLAChar">
    <w:name w:val="NADPIS BEZ ČÍSLA Char"/>
    <w:basedOn w:val="Standardnpsmoodstavce"/>
    <w:link w:val="NADPISBEZSLA"/>
    <w:rsid w:val="00FA7ED1"/>
    <w:rPr>
      <w:rFonts w:asciiTheme="majorHAnsi" w:eastAsia="Calibri" w:hAnsiTheme="majorHAnsi" w:cstheme="majorHAnsi"/>
      <w:color w:val="004B8D"/>
      <w:sz w:val="32"/>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91878">
      <w:bodyDiv w:val="1"/>
      <w:marLeft w:val="0"/>
      <w:marRight w:val="0"/>
      <w:marTop w:val="0"/>
      <w:marBottom w:val="0"/>
      <w:divBdr>
        <w:top w:val="none" w:sz="0" w:space="0" w:color="auto"/>
        <w:left w:val="none" w:sz="0" w:space="0" w:color="auto"/>
        <w:bottom w:val="none" w:sz="0" w:space="0" w:color="auto"/>
        <w:right w:val="none" w:sz="0" w:space="0" w:color="auto"/>
      </w:divBdr>
    </w:div>
    <w:div w:id="43145120">
      <w:bodyDiv w:val="1"/>
      <w:marLeft w:val="0"/>
      <w:marRight w:val="0"/>
      <w:marTop w:val="0"/>
      <w:marBottom w:val="0"/>
      <w:divBdr>
        <w:top w:val="none" w:sz="0" w:space="0" w:color="auto"/>
        <w:left w:val="none" w:sz="0" w:space="0" w:color="auto"/>
        <w:bottom w:val="none" w:sz="0" w:space="0" w:color="auto"/>
        <w:right w:val="none" w:sz="0" w:space="0" w:color="auto"/>
      </w:divBdr>
    </w:div>
    <w:div w:id="198056989">
      <w:bodyDiv w:val="1"/>
      <w:marLeft w:val="0"/>
      <w:marRight w:val="0"/>
      <w:marTop w:val="0"/>
      <w:marBottom w:val="0"/>
      <w:divBdr>
        <w:top w:val="none" w:sz="0" w:space="0" w:color="auto"/>
        <w:left w:val="none" w:sz="0" w:space="0" w:color="auto"/>
        <w:bottom w:val="none" w:sz="0" w:space="0" w:color="auto"/>
        <w:right w:val="none" w:sz="0" w:space="0" w:color="auto"/>
      </w:divBdr>
    </w:div>
    <w:div w:id="212544462">
      <w:bodyDiv w:val="1"/>
      <w:marLeft w:val="0"/>
      <w:marRight w:val="0"/>
      <w:marTop w:val="0"/>
      <w:marBottom w:val="0"/>
      <w:divBdr>
        <w:top w:val="none" w:sz="0" w:space="0" w:color="auto"/>
        <w:left w:val="none" w:sz="0" w:space="0" w:color="auto"/>
        <w:bottom w:val="none" w:sz="0" w:space="0" w:color="auto"/>
        <w:right w:val="none" w:sz="0" w:space="0" w:color="auto"/>
      </w:divBdr>
    </w:div>
    <w:div w:id="275598562">
      <w:bodyDiv w:val="1"/>
      <w:marLeft w:val="0"/>
      <w:marRight w:val="0"/>
      <w:marTop w:val="0"/>
      <w:marBottom w:val="0"/>
      <w:divBdr>
        <w:top w:val="none" w:sz="0" w:space="0" w:color="auto"/>
        <w:left w:val="none" w:sz="0" w:space="0" w:color="auto"/>
        <w:bottom w:val="none" w:sz="0" w:space="0" w:color="auto"/>
        <w:right w:val="none" w:sz="0" w:space="0" w:color="auto"/>
      </w:divBdr>
    </w:div>
    <w:div w:id="307634871">
      <w:bodyDiv w:val="1"/>
      <w:marLeft w:val="0"/>
      <w:marRight w:val="0"/>
      <w:marTop w:val="0"/>
      <w:marBottom w:val="0"/>
      <w:divBdr>
        <w:top w:val="none" w:sz="0" w:space="0" w:color="auto"/>
        <w:left w:val="none" w:sz="0" w:space="0" w:color="auto"/>
        <w:bottom w:val="none" w:sz="0" w:space="0" w:color="auto"/>
        <w:right w:val="none" w:sz="0" w:space="0" w:color="auto"/>
      </w:divBdr>
    </w:div>
    <w:div w:id="397633726">
      <w:bodyDiv w:val="1"/>
      <w:marLeft w:val="0"/>
      <w:marRight w:val="0"/>
      <w:marTop w:val="0"/>
      <w:marBottom w:val="0"/>
      <w:divBdr>
        <w:top w:val="none" w:sz="0" w:space="0" w:color="auto"/>
        <w:left w:val="none" w:sz="0" w:space="0" w:color="auto"/>
        <w:bottom w:val="none" w:sz="0" w:space="0" w:color="auto"/>
        <w:right w:val="none" w:sz="0" w:space="0" w:color="auto"/>
      </w:divBdr>
    </w:div>
    <w:div w:id="424232275">
      <w:bodyDiv w:val="1"/>
      <w:marLeft w:val="0"/>
      <w:marRight w:val="0"/>
      <w:marTop w:val="0"/>
      <w:marBottom w:val="0"/>
      <w:divBdr>
        <w:top w:val="none" w:sz="0" w:space="0" w:color="auto"/>
        <w:left w:val="none" w:sz="0" w:space="0" w:color="auto"/>
        <w:bottom w:val="none" w:sz="0" w:space="0" w:color="auto"/>
        <w:right w:val="none" w:sz="0" w:space="0" w:color="auto"/>
      </w:divBdr>
    </w:div>
    <w:div w:id="433282948">
      <w:bodyDiv w:val="1"/>
      <w:marLeft w:val="0"/>
      <w:marRight w:val="0"/>
      <w:marTop w:val="0"/>
      <w:marBottom w:val="0"/>
      <w:divBdr>
        <w:top w:val="none" w:sz="0" w:space="0" w:color="auto"/>
        <w:left w:val="none" w:sz="0" w:space="0" w:color="auto"/>
        <w:bottom w:val="none" w:sz="0" w:space="0" w:color="auto"/>
        <w:right w:val="none" w:sz="0" w:space="0" w:color="auto"/>
      </w:divBdr>
    </w:div>
    <w:div w:id="488714835">
      <w:bodyDiv w:val="1"/>
      <w:marLeft w:val="0"/>
      <w:marRight w:val="0"/>
      <w:marTop w:val="0"/>
      <w:marBottom w:val="0"/>
      <w:divBdr>
        <w:top w:val="none" w:sz="0" w:space="0" w:color="auto"/>
        <w:left w:val="none" w:sz="0" w:space="0" w:color="auto"/>
        <w:bottom w:val="none" w:sz="0" w:space="0" w:color="auto"/>
        <w:right w:val="none" w:sz="0" w:space="0" w:color="auto"/>
      </w:divBdr>
    </w:div>
    <w:div w:id="546331287">
      <w:bodyDiv w:val="1"/>
      <w:marLeft w:val="0"/>
      <w:marRight w:val="0"/>
      <w:marTop w:val="0"/>
      <w:marBottom w:val="0"/>
      <w:divBdr>
        <w:top w:val="none" w:sz="0" w:space="0" w:color="auto"/>
        <w:left w:val="none" w:sz="0" w:space="0" w:color="auto"/>
        <w:bottom w:val="none" w:sz="0" w:space="0" w:color="auto"/>
        <w:right w:val="none" w:sz="0" w:space="0" w:color="auto"/>
      </w:divBdr>
    </w:div>
    <w:div w:id="551817774">
      <w:bodyDiv w:val="1"/>
      <w:marLeft w:val="0"/>
      <w:marRight w:val="0"/>
      <w:marTop w:val="0"/>
      <w:marBottom w:val="0"/>
      <w:divBdr>
        <w:top w:val="none" w:sz="0" w:space="0" w:color="auto"/>
        <w:left w:val="none" w:sz="0" w:space="0" w:color="auto"/>
        <w:bottom w:val="none" w:sz="0" w:space="0" w:color="auto"/>
        <w:right w:val="none" w:sz="0" w:space="0" w:color="auto"/>
      </w:divBdr>
    </w:div>
    <w:div w:id="596133098">
      <w:bodyDiv w:val="1"/>
      <w:marLeft w:val="0"/>
      <w:marRight w:val="0"/>
      <w:marTop w:val="0"/>
      <w:marBottom w:val="0"/>
      <w:divBdr>
        <w:top w:val="none" w:sz="0" w:space="0" w:color="auto"/>
        <w:left w:val="none" w:sz="0" w:space="0" w:color="auto"/>
        <w:bottom w:val="none" w:sz="0" w:space="0" w:color="auto"/>
        <w:right w:val="none" w:sz="0" w:space="0" w:color="auto"/>
      </w:divBdr>
    </w:div>
    <w:div w:id="611741451">
      <w:bodyDiv w:val="1"/>
      <w:marLeft w:val="0"/>
      <w:marRight w:val="0"/>
      <w:marTop w:val="0"/>
      <w:marBottom w:val="0"/>
      <w:divBdr>
        <w:top w:val="none" w:sz="0" w:space="0" w:color="auto"/>
        <w:left w:val="none" w:sz="0" w:space="0" w:color="auto"/>
        <w:bottom w:val="none" w:sz="0" w:space="0" w:color="auto"/>
        <w:right w:val="none" w:sz="0" w:space="0" w:color="auto"/>
      </w:divBdr>
    </w:div>
    <w:div w:id="675574143">
      <w:bodyDiv w:val="1"/>
      <w:marLeft w:val="0"/>
      <w:marRight w:val="0"/>
      <w:marTop w:val="0"/>
      <w:marBottom w:val="0"/>
      <w:divBdr>
        <w:top w:val="none" w:sz="0" w:space="0" w:color="auto"/>
        <w:left w:val="none" w:sz="0" w:space="0" w:color="auto"/>
        <w:bottom w:val="none" w:sz="0" w:space="0" w:color="auto"/>
        <w:right w:val="none" w:sz="0" w:space="0" w:color="auto"/>
      </w:divBdr>
    </w:div>
    <w:div w:id="675965665">
      <w:bodyDiv w:val="1"/>
      <w:marLeft w:val="0"/>
      <w:marRight w:val="0"/>
      <w:marTop w:val="0"/>
      <w:marBottom w:val="0"/>
      <w:divBdr>
        <w:top w:val="none" w:sz="0" w:space="0" w:color="auto"/>
        <w:left w:val="none" w:sz="0" w:space="0" w:color="auto"/>
        <w:bottom w:val="none" w:sz="0" w:space="0" w:color="auto"/>
        <w:right w:val="none" w:sz="0" w:space="0" w:color="auto"/>
      </w:divBdr>
    </w:div>
    <w:div w:id="722144035">
      <w:bodyDiv w:val="1"/>
      <w:marLeft w:val="0"/>
      <w:marRight w:val="0"/>
      <w:marTop w:val="0"/>
      <w:marBottom w:val="0"/>
      <w:divBdr>
        <w:top w:val="none" w:sz="0" w:space="0" w:color="auto"/>
        <w:left w:val="none" w:sz="0" w:space="0" w:color="auto"/>
        <w:bottom w:val="none" w:sz="0" w:space="0" w:color="auto"/>
        <w:right w:val="none" w:sz="0" w:space="0" w:color="auto"/>
      </w:divBdr>
    </w:div>
    <w:div w:id="746848997">
      <w:bodyDiv w:val="1"/>
      <w:marLeft w:val="0"/>
      <w:marRight w:val="0"/>
      <w:marTop w:val="0"/>
      <w:marBottom w:val="0"/>
      <w:divBdr>
        <w:top w:val="none" w:sz="0" w:space="0" w:color="auto"/>
        <w:left w:val="none" w:sz="0" w:space="0" w:color="auto"/>
        <w:bottom w:val="none" w:sz="0" w:space="0" w:color="auto"/>
        <w:right w:val="none" w:sz="0" w:space="0" w:color="auto"/>
      </w:divBdr>
    </w:div>
    <w:div w:id="749544410">
      <w:bodyDiv w:val="1"/>
      <w:marLeft w:val="0"/>
      <w:marRight w:val="0"/>
      <w:marTop w:val="0"/>
      <w:marBottom w:val="0"/>
      <w:divBdr>
        <w:top w:val="none" w:sz="0" w:space="0" w:color="auto"/>
        <w:left w:val="none" w:sz="0" w:space="0" w:color="auto"/>
        <w:bottom w:val="none" w:sz="0" w:space="0" w:color="auto"/>
        <w:right w:val="none" w:sz="0" w:space="0" w:color="auto"/>
      </w:divBdr>
    </w:div>
    <w:div w:id="754016070">
      <w:bodyDiv w:val="1"/>
      <w:marLeft w:val="0"/>
      <w:marRight w:val="0"/>
      <w:marTop w:val="0"/>
      <w:marBottom w:val="0"/>
      <w:divBdr>
        <w:top w:val="none" w:sz="0" w:space="0" w:color="auto"/>
        <w:left w:val="none" w:sz="0" w:space="0" w:color="auto"/>
        <w:bottom w:val="none" w:sz="0" w:space="0" w:color="auto"/>
        <w:right w:val="none" w:sz="0" w:space="0" w:color="auto"/>
      </w:divBdr>
    </w:div>
    <w:div w:id="766266478">
      <w:bodyDiv w:val="1"/>
      <w:marLeft w:val="0"/>
      <w:marRight w:val="0"/>
      <w:marTop w:val="0"/>
      <w:marBottom w:val="0"/>
      <w:divBdr>
        <w:top w:val="none" w:sz="0" w:space="0" w:color="auto"/>
        <w:left w:val="none" w:sz="0" w:space="0" w:color="auto"/>
        <w:bottom w:val="none" w:sz="0" w:space="0" w:color="auto"/>
        <w:right w:val="none" w:sz="0" w:space="0" w:color="auto"/>
      </w:divBdr>
    </w:div>
    <w:div w:id="771243309">
      <w:bodyDiv w:val="1"/>
      <w:marLeft w:val="0"/>
      <w:marRight w:val="0"/>
      <w:marTop w:val="0"/>
      <w:marBottom w:val="0"/>
      <w:divBdr>
        <w:top w:val="none" w:sz="0" w:space="0" w:color="auto"/>
        <w:left w:val="none" w:sz="0" w:space="0" w:color="auto"/>
        <w:bottom w:val="none" w:sz="0" w:space="0" w:color="auto"/>
        <w:right w:val="none" w:sz="0" w:space="0" w:color="auto"/>
      </w:divBdr>
    </w:div>
    <w:div w:id="832187360">
      <w:bodyDiv w:val="1"/>
      <w:marLeft w:val="0"/>
      <w:marRight w:val="0"/>
      <w:marTop w:val="0"/>
      <w:marBottom w:val="0"/>
      <w:divBdr>
        <w:top w:val="none" w:sz="0" w:space="0" w:color="auto"/>
        <w:left w:val="none" w:sz="0" w:space="0" w:color="auto"/>
        <w:bottom w:val="none" w:sz="0" w:space="0" w:color="auto"/>
        <w:right w:val="none" w:sz="0" w:space="0" w:color="auto"/>
      </w:divBdr>
    </w:div>
    <w:div w:id="835532344">
      <w:bodyDiv w:val="1"/>
      <w:marLeft w:val="0"/>
      <w:marRight w:val="0"/>
      <w:marTop w:val="0"/>
      <w:marBottom w:val="0"/>
      <w:divBdr>
        <w:top w:val="none" w:sz="0" w:space="0" w:color="auto"/>
        <w:left w:val="none" w:sz="0" w:space="0" w:color="auto"/>
        <w:bottom w:val="none" w:sz="0" w:space="0" w:color="auto"/>
        <w:right w:val="none" w:sz="0" w:space="0" w:color="auto"/>
      </w:divBdr>
    </w:div>
    <w:div w:id="840579529">
      <w:bodyDiv w:val="1"/>
      <w:marLeft w:val="0"/>
      <w:marRight w:val="0"/>
      <w:marTop w:val="0"/>
      <w:marBottom w:val="0"/>
      <w:divBdr>
        <w:top w:val="none" w:sz="0" w:space="0" w:color="auto"/>
        <w:left w:val="none" w:sz="0" w:space="0" w:color="auto"/>
        <w:bottom w:val="none" w:sz="0" w:space="0" w:color="auto"/>
        <w:right w:val="none" w:sz="0" w:space="0" w:color="auto"/>
      </w:divBdr>
    </w:div>
    <w:div w:id="983199107">
      <w:bodyDiv w:val="1"/>
      <w:marLeft w:val="0"/>
      <w:marRight w:val="0"/>
      <w:marTop w:val="0"/>
      <w:marBottom w:val="0"/>
      <w:divBdr>
        <w:top w:val="none" w:sz="0" w:space="0" w:color="auto"/>
        <w:left w:val="none" w:sz="0" w:space="0" w:color="auto"/>
        <w:bottom w:val="none" w:sz="0" w:space="0" w:color="auto"/>
        <w:right w:val="none" w:sz="0" w:space="0" w:color="auto"/>
      </w:divBdr>
    </w:div>
    <w:div w:id="1009789898">
      <w:bodyDiv w:val="1"/>
      <w:marLeft w:val="0"/>
      <w:marRight w:val="0"/>
      <w:marTop w:val="0"/>
      <w:marBottom w:val="0"/>
      <w:divBdr>
        <w:top w:val="none" w:sz="0" w:space="0" w:color="auto"/>
        <w:left w:val="none" w:sz="0" w:space="0" w:color="auto"/>
        <w:bottom w:val="none" w:sz="0" w:space="0" w:color="auto"/>
        <w:right w:val="none" w:sz="0" w:space="0" w:color="auto"/>
      </w:divBdr>
    </w:div>
    <w:div w:id="1035548178">
      <w:bodyDiv w:val="1"/>
      <w:marLeft w:val="0"/>
      <w:marRight w:val="0"/>
      <w:marTop w:val="0"/>
      <w:marBottom w:val="0"/>
      <w:divBdr>
        <w:top w:val="none" w:sz="0" w:space="0" w:color="auto"/>
        <w:left w:val="none" w:sz="0" w:space="0" w:color="auto"/>
        <w:bottom w:val="none" w:sz="0" w:space="0" w:color="auto"/>
        <w:right w:val="none" w:sz="0" w:space="0" w:color="auto"/>
      </w:divBdr>
    </w:div>
    <w:div w:id="1067847364">
      <w:bodyDiv w:val="1"/>
      <w:marLeft w:val="0"/>
      <w:marRight w:val="0"/>
      <w:marTop w:val="0"/>
      <w:marBottom w:val="0"/>
      <w:divBdr>
        <w:top w:val="none" w:sz="0" w:space="0" w:color="auto"/>
        <w:left w:val="none" w:sz="0" w:space="0" w:color="auto"/>
        <w:bottom w:val="none" w:sz="0" w:space="0" w:color="auto"/>
        <w:right w:val="none" w:sz="0" w:space="0" w:color="auto"/>
      </w:divBdr>
    </w:div>
    <w:div w:id="1095134143">
      <w:bodyDiv w:val="1"/>
      <w:marLeft w:val="0"/>
      <w:marRight w:val="0"/>
      <w:marTop w:val="0"/>
      <w:marBottom w:val="0"/>
      <w:divBdr>
        <w:top w:val="none" w:sz="0" w:space="0" w:color="auto"/>
        <w:left w:val="none" w:sz="0" w:space="0" w:color="auto"/>
        <w:bottom w:val="none" w:sz="0" w:space="0" w:color="auto"/>
        <w:right w:val="none" w:sz="0" w:space="0" w:color="auto"/>
      </w:divBdr>
    </w:div>
    <w:div w:id="1098523144">
      <w:bodyDiv w:val="1"/>
      <w:marLeft w:val="0"/>
      <w:marRight w:val="0"/>
      <w:marTop w:val="0"/>
      <w:marBottom w:val="0"/>
      <w:divBdr>
        <w:top w:val="none" w:sz="0" w:space="0" w:color="auto"/>
        <w:left w:val="none" w:sz="0" w:space="0" w:color="auto"/>
        <w:bottom w:val="none" w:sz="0" w:space="0" w:color="auto"/>
        <w:right w:val="none" w:sz="0" w:space="0" w:color="auto"/>
      </w:divBdr>
    </w:div>
    <w:div w:id="1114638550">
      <w:bodyDiv w:val="1"/>
      <w:marLeft w:val="0"/>
      <w:marRight w:val="0"/>
      <w:marTop w:val="0"/>
      <w:marBottom w:val="0"/>
      <w:divBdr>
        <w:top w:val="none" w:sz="0" w:space="0" w:color="auto"/>
        <w:left w:val="none" w:sz="0" w:space="0" w:color="auto"/>
        <w:bottom w:val="none" w:sz="0" w:space="0" w:color="auto"/>
        <w:right w:val="none" w:sz="0" w:space="0" w:color="auto"/>
      </w:divBdr>
    </w:div>
    <w:div w:id="1152717815">
      <w:bodyDiv w:val="1"/>
      <w:marLeft w:val="0"/>
      <w:marRight w:val="0"/>
      <w:marTop w:val="0"/>
      <w:marBottom w:val="0"/>
      <w:divBdr>
        <w:top w:val="none" w:sz="0" w:space="0" w:color="auto"/>
        <w:left w:val="none" w:sz="0" w:space="0" w:color="auto"/>
        <w:bottom w:val="none" w:sz="0" w:space="0" w:color="auto"/>
        <w:right w:val="none" w:sz="0" w:space="0" w:color="auto"/>
      </w:divBdr>
    </w:div>
    <w:div w:id="1181315626">
      <w:bodyDiv w:val="1"/>
      <w:marLeft w:val="0"/>
      <w:marRight w:val="0"/>
      <w:marTop w:val="0"/>
      <w:marBottom w:val="0"/>
      <w:divBdr>
        <w:top w:val="none" w:sz="0" w:space="0" w:color="auto"/>
        <w:left w:val="none" w:sz="0" w:space="0" w:color="auto"/>
        <w:bottom w:val="none" w:sz="0" w:space="0" w:color="auto"/>
        <w:right w:val="none" w:sz="0" w:space="0" w:color="auto"/>
      </w:divBdr>
    </w:div>
    <w:div w:id="1257130514">
      <w:bodyDiv w:val="1"/>
      <w:marLeft w:val="0"/>
      <w:marRight w:val="0"/>
      <w:marTop w:val="0"/>
      <w:marBottom w:val="0"/>
      <w:divBdr>
        <w:top w:val="none" w:sz="0" w:space="0" w:color="auto"/>
        <w:left w:val="none" w:sz="0" w:space="0" w:color="auto"/>
        <w:bottom w:val="none" w:sz="0" w:space="0" w:color="auto"/>
        <w:right w:val="none" w:sz="0" w:space="0" w:color="auto"/>
      </w:divBdr>
    </w:div>
    <w:div w:id="1268540397">
      <w:bodyDiv w:val="1"/>
      <w:marLeft w:val="0"/>
      <w:marRight w:val="0"/>
      <w:marTop w:val="0"/>
      <w:marBottom w:val="0"/>
      <w:divBdr>
        <w:top w:val="none" w:sz="0" w:space="0" w:color="auto"/>
        <w:left w:val="none" w:sz="0" w:space="0" w:color="auto"/>
        <w:bottom w:val="none" w:sz="0" w:space="0" w:color="auto"/>
        <w:right w:val="none" w:sz="0" w:space="0" w:color="auto"/>
      </w:divBdr>
    </w:div>
    <w:div w:id="1270893209">
      <w:bodyDiv w:val="1"/>
      <w:marLeft w:val="0"/>
      <w:marRight w:val="0"/>
      <w:marTop w:val="0"/>
      <w:marBottom w:val="0"/>
      <w:divBdr>
        <w:top w:val="none" w:sz="0" w:space="0" w:color="auto"/>
        <w:left w:val="none" w:sz="0" w:space="0" w:color="auto"/>
        <w:bottom w:val="none" w:sz="0" w:space="0" w:color="auto"/>
        <w:right w:val="none" w:sz="0" w:space="0" w:color="auto"/>
      </w:divBdr>
    </w:div>
    <w:div w:id="1466389079">
      <w:bodyDiv w:val="1"/>
      <w:marLeft w:val="0"/>
      <w:marRight w:val="0"/>
      <w:marTop w:val="0"/>
      <w:marBottom w:val="0"/>
      <w:divBdr>
        <w:top w:val="none" w:sz="0" w:space="0" w:color="auto"/>
        <w:left w:val="none" w:sz="0" w:space="0" w:color="auto"/>
        <w:bottom w:val="none" w:sz="0" w:space="0" w:color="auto"/>
        <w:right w:val="none" w:sz="0" w:space="0" w:color="auto"/>
      </w:divBdr>
    </w:div>
    <w:div w:id="1503738185">
      <w:bodyDiv w:val="1"/>
      <w:marLeft w:val="0"/>
      <w:marRight w:val="0"/>
      <w:marTop w:val="0"/>
      <w:marBottom w:val="0"/>
      <w:divBdr>
        <w:top w:val="none" w:sz="0" w:space="0" w:color="auto"/>
        <w:left w:val="none" w:sz="0" w:space="0" w:color="auto"/>
        <w:bottom w:val="none" w:sz="0" w:space="0" w:color="auto"/>
        <w:right w:val="none" w:sz="0" w:space="0" w:color="auto"/>
      </w:divBdr>
    </w:div>
    <w:div w:id="1567883523">
      <w:bodyDiv w:val="1"/>
      <w:marLeft w:val="0"/>
      <w:marRight w:val="0"/>
      <w:marTop w:val="0"/>
      <w:marBottom w:val="0"/>
      <w:divBdr>
        <w:top w:val="none" w:sz="0" w:space="0" w:color="auto"/>
        <w:left w:val="none" w:sz="0" w:space="0" w:color="auto"/>
        <w:bottom w:val="none" w:sz="0" w:space="0" w:color="auto"/>
        <w:right w:val="none" w:sz="0" w:space="0" w:color="auto"/>
      </w:divBdr>
    </w:div>
    <w:div w:id="1567955721">
      <w:bodyDiv w:val="1"/>
      <w:marLeft w:val="0"/>
      <w:marRight w:val="0"/>
      <w:marTop w:val="0"/>
      <w:marBottom w:val="0"/>
      <w:divBdr>
        <w:top w:val="none" w:sz="0" w:space="0" w:color="auto"/>
        <w:left w:val="none" w:sz="0" w:space="0" w:color="auto"/>
        <w:bottom w:val="none" w:sz="0" w:space="0" w:color="auto"/>
        <w:right w:val="none" w:sz="0" w:space="0" w:color="auto"/>
      </w:divBdr>
    </w:div>
    <w:div w:id="1584099279">
      <w:bodyDiv w:val="1"/>
      <w:marLeft w:val="0"/>
      <w:marRight w:val="0"/>
      <w:marTop w:val="0"/>
      <w:marBottom w:val="0"/>
      <w:divBdr>
        <w:top w:val="none" w:sz="0" w:space="0" w:color="auto"/>
        <w:left w:val="none" w:sz="0" w:space="0" w:color="auto"/>
        <w:bottom w:val="none" w:sz="0" w:space="0" w:color="auto"/>
        <w:right w:val="none" w:sz="0" w:space="0" w:color="auto"/>
      </w:divBdr>
    </w:div>
    <w:div w:id="1665549345">
      <w:bodyDiv w:val="1"/>
      <w:marLeft w:val="0"/>
      <w:marRight w:val="0"/>
      <w:marTop w:val="0"/>
      <w:marBottom w:val="0"/>
      <w:divBdr>
        <w:top w:val="none" w:sz="0" w:space="0" w:color="auto"/>
        <w:left w:val="none" w:sz="0" w:space="0" w:color="auto"/>
        <w:bottom w:val="none" w:sz="0" w:space="0" w:color="auto"/>
        <w:right w:val="none" w:sz="0" w:space="0" w:color="auto"/>
      </w:divBdr>
    </w:div>
    <w:div w:id="1671174031">
      <w:bodyDiv w:val="1"/>
      <w:marLeft w:val="0"/>
      <w:marRight w:val="0"/>
      <w:marTop w:val="0"/>
      <w:marBottom w:val="0"/>
      <w:divBdr>
        <w:top w:val="none" w:sz="0" w:space="0" w:color="auto"/>
        <w:left w:val="none" w:sz="0" w:space="0" w:color="auto"/>
        <w:bottom w:val="none" w:sz="0" w:space="0" w:color="auto"/>
        <w:right w:val="none" w:sz="0" w:space="0" w:color="auto"/>
      </w:divBdr>
    </w:div>
    <w:div w:id="1674995337">
      <w:bodyDiv w:val="1"/>
      <w:marLeft w:val="0"/>
      <w:marRight w:val="0"/>
      <w:marTop w:val="0"/>
      <w:marBottom w:val="0"/>
      <w:divBdr>
        <w:top w:val="none" w:sz="0" w:space="0" w:color="auto"/>
        <w:left w:val="none" w:sz="0" w:space="0" w:color="auto"/>
        <w:bottom w:val="none" w:sz="0" w:space="0" w:color="auto"/>
        <w:right w:val="none" w:sz="0" w:space="0" w:color="auto"/>
      </w:divBdr>
    </w:div>
    <w:div w:id="1706908928">
      <w:bodyDiv w:val="1"/>
      <w:marLeft w:val="0"/>
      <w:marRight w:val="0"/>
      <w:marTop w:val="0"/>
      <w:marBottom w:val="0"/>
      <w:divBdr>
        <w:top w:val="none" w:sz="0" w:space="0" w:color="auto"/>
        <w:left w:val="none" w:sz="0" w:space="0" w:color="auto"/>
        <w:bottom w:val="none" w:sz="0" w:space="0" w:color="auto"/>
        <w:right w:val="none" w:sz="0" w:space="0" w:color="auto"/>
      </w:divBdr>
    </w:div>
    <w:div w:id="1849632326">
      <w:bodyDiv w:val="1"/>
      <w:marLeft w:val="0"/>
      <w:marRight w:val="0"/>
      <w:marTop w:val="0"/>
      <w:marBottom w:val="0"/>
      <w:divBdr>
        <w:top w:val="none" w:sz="0" w:space="0" w:color="auto"/>
        <w:left w:val="none" w:sz="0" w:space="0" w:color="auto"/>
        <w:bottom w:val="none" w:sz="0" w:space="0" w:color="auto"/>
        <w:right w:val="none" w:sz="0" w:space="0" w:color="auto"/>
      </w:divBdr>
    </w:div>
    <w:div w:id="1964462176">
      <w:bodyDiv w:val="1"/>
      <w:marLeft w:val="0"/>
      <w:marRight w:val="0"/>
      <w:marTop w:val="0"/>
      <w:marBottom w:val="0"/>
      <w:divBdr>
        <w:top w:val="none" w:sz="0" w:space="0" w:color="auto"/>
        <w:left w:val="none" w:sz="0" w:space="0" w:color="auto"/>
        <w:bottom w:val="none" w:sz="0" w:space="0" w:color="auto"/>
        <w:right w:val="none" w:sz="0" w:space="0" w:color="auto"/>
      </w:divBdr>
    </w:div>
    <w:div w:id="1964580092">
      <w:bodyDiv w:val="1"/>
      <w:marLeft w:val="0"/>
      <w:marRight w:val="0"/>
      <w:marTop w:val="0"/>
      <w:marBottom w:val="0"/>
      <w:divBdr>
        <w:top w:val="none" w:sz="0" w:space="0" w:color="auto"/>
        <w:left w:val="none" w:sz="0" w:space="0" w:color="auto"/>
        <w:bottom w:val="none" w:sz="0" w:space="0" w:color="auto"/>
        <w:right w:val="none" w:sz="0" w:space="0" w:color="auto"/>
      </w:divBdr>
    </w:div>
    <w:div w:id="2019428197">
      <w:bodyDiv w:val="1"/>
      <w:marLeft w:val="0"/>
      <w:marRight w:val="0"/>
      <w:marTop w:val="0"/>
      <w:marBottom w:val="0"/>
      <w:divBdr>
        <w:top w:val="none" w:sz="0" w:space="0" w:color="auto"/>
        <w:left w:val="none" w:sz="0" w:space="0" w:color="auto"/>
        <w:bottom w:val="none" w:sz="0" w:space="0" w:color="auto"/>
        <w:right w:val="none" w:sz="0" w:space="0" w:color="auto"/>
      </w:divBdr>
    </w:div>
    <w:div w:id="2040741708">
      <w:bodyDiv w:val="1"/>
      <w:marLeft w:val="0"/>
      <w:marRight w:val="0"/>
      <w:marTop w:val="0"/>
      <w:marBottom w:val="0"/>
      <w:divBdr>
        <w:top w:val="none" w:sz="0" w:space="0" w:color="auto"/>
        <w:left w:val="none" w:sz="0" w:space="0" w:color="auto"/>
        <w:bottom w:val="none" w:sz="0" w:space="0" w:color="auto"/>
        <w:right w:val="none" w:sz="0" w:space="0" w:color="auto"/>
      </w:divBdr>
    </w:div>
    <w:div w:id="2066681776">
      <w:bodyDiv w:val="1"/>
      <w:marLeft w:val="0"/>
      <w:marRight w:val="0"/>
      <w:marTop w:val="0"/>
      <w:marBottom w:val="0"/>
      <w:divBdr>
        <w:top w:val="none" w:sz="0" w:space="0" w:color="auto"/>
        <w:left w:val="none" w:sz="0" w:space="0" w:color="auto"/>
        <w:bottom w:val="none" w:sz="0" w:space="0" w:color="auto"/>
        <w:right w:val="none" w:sz="0" w:space="0" w:color="auto"/>
      </w:divBdr>
    </w:div>
    <w:div w:id="2070762386">
      <w:bodyDiv w:val="1"/>
      <w:marLeft w:val="0"/>
      <w:marRight w:val="0"/>
      <w:marTop w:val="0"/>
      <w:marBottom w:val="0"/>
      <w:divBdr>
        <w:top w:val="none" w:sz="0" w:space="0" w:color="auto"/>
        <w:left w:val="none" w:sz="0" w:space="0" w:color="auto"/>
        <w:bottom w:val="none" w:sz="0" w:space="0" w:color="auto"/>
        <w:right w:val="none" w:sz="0" w:space="0" w:color="auto"/>
      </w:divBdr>
    </w:div>
    <w:div w:id="2086953549">
      <w:bodyDiv w:val="1"/>
      <w:marLeft w:val="0"/>
      <w:marRight w:val="0"/>
      <w:marTop w:val="0"/>
      <w:marBottom w:val="0"/>
      <w:divBdr>
        <w:top w:val="none" w:sz="0" w:space="0" w:color="auto"/>
        <w:left w:val="none" w:sz="0" w:space="0" w:color="auto"/>
        <w:bottom w:val="none" w:sz="0" w:space="0" w:color="auto"/>
        <w:right w:val="none" w:sz="0" w:space="0" w:color="auto"/>
      </w:divBdr>
    </w:div>
    <w:div w:id="2106000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chart" Target="charts/chart2.xml"/><Relationship Id="rId26" Type="http://schemas.openxmlformats.org/officeDocument/2006/relationships/chart" Target="charts/chart5.xml"/><Relationship Id="rId39" Type="http://schemas.openxmlformats.org/officeDocument/2006/relationships/chart" Target="charts/chart9.xml"/><Relationship Id="rId21" Type="http://schemas.openxmlformats.org/officeDocument/2006/relationships/image" Target="media/image10.png"/><Relationship Id="rId34" Type="http://schemas.openxmlformats.org/officeDocument/2006/relationships/image" Target="media/image13.png"/><Relationship Id="rId42" Type="http://schemas.openxmlformats.org/officeDocument/2006/relationships/chart" Target="charts/chart10.xml"/><Relationship Id="rId47" Type="http://schemas.openxmlformats.org/officeDocument/2006/relationships/hyperlink" Target="http://portal.mze.cz/public/web/mze/poradenstvi-a-vyzkum/vyzkum-a-vyvoj/koncepce-a-strategie/koncepce-vyzkumu-vyvoje-a-inovaci.html" TargetMode="External"/><Relationship Id="rId50" Type="http://schemas.openxmlformats.org/officeDocument/2006/relationships/hyperlink" Target="http://www.mpo.cz/dokument82084.html" TargetMode="External"/><Relationship Id="rId55" Type="http://schemas.openxmlformats.org/officeDocument/2006/relationships/hyperlink" Target="http://ec.europa.eu/regional_policy/sources/docgener/guides/synergy/synergies_en.pdf" TargetMode="External"/><Relationship Id="rId63" Type="http://schemas.openxmlformats.org/officeDocument/2006/relationships/hyperlink" Target="http://www.vzdelavani2020.cz/images_obsah/dokumenty/strategie-2020_web.pdf" TargetMode="External"/><Relationship Id="rId68" Type="http://schemas.openxmlformats.org/officeDocument/2006/relationships/hyperlink" Target="http://www.zenyaveda.cz/files/postaveni-zen-v-ceske-vede-2011-zlom-final-www.pdf" TargetMode="External"/><Relationship Id="rId76" Type="http://schemas.openxmlformats.org/officeDocument/2006/relationships/hyperlink" Target="https://www.vyzkum.cz/FrontClanek.aspx?idsekce=799796" TargetMode="External"/><Relationship Id="rId7" Type="http://schemas.openxmlformats.org/officeDocument/2006/relationships/endnotes" Target="endnotes.xml"/><Relationship Id="rId71" Type="http://schemas.openxmlformats.org/officeDocument/2006/relationships/hyperlink" Target="http://www.vyzkum.cz/FrontClanek.aspx?idsekce=532844&amp;ad=1&amp;attid=680526" TargetMode="External"/><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chart" Target="charts/chart8.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footer" Target="footer2.xml"/><Relationship Id="rId37" Type="http://schemas.openxmlformats.org/officeDocument/2006/relationships/image" Target="media/image15.png"/><Relationship Id="rId40" Type="http://schemas.openxmlformats.org/officeDocument/2006/relationships/image" Target="media/image17.png"/><Relationship Id="rId45" Type="http://schemas.openxmlformats.org/officeDocument/2006/relationships/image" Target="media/image20.png"/><Relationship Id="rId53" Type="http://schemas.openxmlformats.org/officeDocument/2006/relationships/hyperlink" Target="http://digital-agenda-data.eu/" TargetMode="External"/><Relationship Id="rId58" Type="http://schemas.openxmlformats.org/officeDocument/2006/relationships/hyperlink" Target="http://www.vyzkum.cz/Priloha.aspx?idpriloha=665607" TargetMode="External"/><Relationship Id="rId66" Type="http://schemas.openxmlformats.org/officeDocument/2006/relationships/hyperlink" Target="http://www.scienceeurope.org/downloads" TargetMode="External"/><Relationship Id="rId74" Type="http://schemas.openxmlformats.org/officeDocument/2006/relationships/hyperlink" Target="http://www.vyzkum.cz/Priloha.aspx?idpriloha=645356" TargetMode="External"/><Relationship Id="rId79"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yperlink" Target="https://www.mpo.cz/dokument91200.html" TargetMode="External"/><Relationship Id="rId82"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8.emf"/><Relationship Id="rId31" Type="http://schemas.openxmlformats.org/officeDocument/2006/relationships/header" Target="header3.xml"/><Relationship Id="rId44" Type="http://schemas.openxmlformats.org/officeDocument/2006/relationships/chart" Target="charts/chart11.xml"/><Relationship Id="rId52" Type="http://schemas.openxmlformats.org/officeDocument/2006/relationships/hyperlink" Target="https://cdn5.euraxess.org/sites/default/files/policy_library/more_extra_eu_mobility_report_final_version.pdf" TargetMode="External"/><Relationship Id="rId60" Type="http://schemas.openxmlformats.org/officeDocument/2006/relationships/hyperlink" Target="https://publications.europa.eu/en/publication-detail/-/publication/28e1c485-476a-11e8-be1d-01aa75ed71a1" TargetMode="External"/><Relationship Id="rId65" Type="http://schemas.openxmlformats.org/officeDocument/2006/relationships/hyperlink" Target="http://www.scienceeurope.org/downloads" TargetMode="External"/><Relationship Id="rId73" Type="http://schemas.openxmlformats.org/officeDocument/2006/relationships/hyperlink" Target="http://www.vlada.cz/assets/evropske-zalezitosti/aktualne/Narodni-program-reforem-pro-rok-2014.pdf" TargetMode="External"/><Relationship Id="rId78" Type="http://schemas.openxmlformats.org/officeDocument/2006/relationships/header" Target="header6.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chart" Target="charts/chart3.xml"/><Relationship Id="rId27" Type="http://schemas.openxmlformats.org/officeDocument/2006/relationships/chart" Target="charts/chart6.xml"/><Relationship Id="rId30" Type="http://schemas.openxmlformats.org/officeDocument/2006/relationships/header" Target="header2.xml"/><Relationship Id="rId35" Type="http://schemas.openxmlformats.org/officeDocument/2006/relationships/hyperlink" Target="http://ec.europa.eu/europe2020/pdf/nd/nrp2013_czech_cs.pdf" TargetMode="External"/><Relationship Id="rId43" Type="http://schemas.openxmlformats.org/officeDocument/2006/relationships/image" Target="media/image19.png"/><Relationship Id="rId48" Type="http://schemas.openxmlformats.org/officeDocument/2006/relationships/hyperlink" Target="http://portal.mze.cz/public/web/mze/poradenstvi-a-vyzkum/vyzkum-a-vyvoj/koncepce-a-strategie/koncepce-vyzkumu-vyvoje-a-inovaci.html" TargetMode="External"/><Relationship Id="rId56" Type="http://schemas.openxmlformats.org/officeDocument/2006/relationships/hyperlink" Target="https://publications.europa.eu/en/publication-detail/-/publication/28e1c485-476a-11e8-be1d-01aa75ed71a1" TargetMode="External"/><Relationship Id="rId64" Type="http://schemas.openxmlformats.org/officeDocument/2006/relationships/hyperlink" Target="http://www.vyzkum.cz/FrontClanek.aspx?idsekce=15138" TargetMode="External"/><Relationship Id="rId69" Type="http://schemas.openxmlformats.org/officeDocument/2006/relationships/hyperlink" Target="http://www.zenyaveda.cz/files/monitorovaci-zprava2012.pdf" TargetMode="External"/><Relationship Id="rId77" Type="http://schemas.openxmlformats.org/officeDocument/2006/relationships/header" Target="header5.xml"/><Relationship Id="rId8" Type="http://schemas.openxmlformats.org/officeDocument/2006/relationships/image" Target="media/image1.emf"/><Relationship Id="rId51" Type="http://schemas.openxmlformats.org/officeDocument/2006/relationships/hyperlink" Target="http://www.vyzkum.cz/FrontClanek.aspx?idsekce=13633&amp;ad=1&amp;attid=13719" TargetMode="External"/><Relationship Id="rId72" Type="http://schemas.openxmlformats.org/officeDocument/2006/relationships/hyperlink" Target="http://www.vyzkum.cz/Priloha.aspx?idpriloha=705455" TargetMode="External"/><Relationship Id="rId80" Type="http://schemas.openxmlformats.org/officeDocument/2006/relationships/header" Target="header7.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chart" Target="charts/chart1.xml"/><Relationship Id="rId25" Type="http://schemas.openxmlformats.org/officeDocument/2006/relationships/image" Target="media/image12.png"/><Relationship Id="rId33" Type="http://schemas.openxmlformats.org/officeDocument/2006/relationships/header" Target="header4.xml"/><Relationship Id="rId38" Type="http://schemas.openxmlformats.org/officeDocument/2006/relationships/image" Target="media/image16.emf"/><Relationship Id="rId46" Type="http://schemas.openxmlformats.org/officeDocument/2006/relationships/hyperlink" Target="http://www.nace.cz/nace/10-86-vyroba-homogeniz-potravin-pripravku-dietnich-potravin/?hilite=10.86" TargetMode="External"/><Relationship Id="rId59" Type="http://schemas.openxmlformats.org/officeDocument/2006/relationships/hyperlink" Target="http://www.strast.cz/cs/publikace/key-enabling-technologies-v-cr" TargetMode="External"/><Relationship Id="rId67" Type="http://schemas.openxmlformats.org/officeDocument/2006/relationships/hyperlink" Target="http://www.zenyaveda.cz/files/monitorovaci-zprava-2010.pdf" TargetMode="External"/><Relationship Id="rId20" Type="http://schemas.openxmlformats.org/officeDocument/2006/relationships/image" Target="media/image9.png"/><Relationship Id="rId41" Type="http://schemas.openxmlformats.org/officeDocument/2006/relationships/image" Target="media/image18.png"/><Relationship Id="rId54" Type="http://schemas.openxmlformats.org/officeDocument/2006/relationships/hyperlink" Target="http://ec.europa.eu/research/science-society/document_library/pdf_06/she-figures-2012_en.pdf" TargetMode="External"/><Relationship Id="rId62" Type="http://schemas.openxmlformats.org/officeDocument/2006/relationships/hyperlink" Target="http://www.vlada.cz/assets/media-centrum/aktualne/Strategie-mezinarodni-konkurenceschopnosti-Ceske-republiky.pdf" TargetMode="External"/><Relationship Id="rId70" Type="http://schemas.openxmlformats.org/officeDocument/2006/relationships/hyperlink" Target="http://www.vyzkum.cz/FrontClanek.aspx?idsekce=495405" TargetMode="External"/><Relationship Id="rId75" Type="http://schemas.openxmlformats.org/officeDocument/2006/relationships/hyperlink" Target="http://www.doingbusiness.org/~/media/WBG/DoingBusiness/Documents/Annual-Reports/English/DB2018-Full-Report.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chart" Target="charts/chart4.xml"/><Relationship Id="rId28" Type="http://schemas.openxmlformats.org/officeDocument/2006/relationships/chart" Target="charts/chart7.xml"/><Relationship Id="rId36" Type="http://schemas.openxmlformats.org/officeDocument/2006/relationships/image" Target="media/image14.jpg"/><Relationship Id="rId49" Type="http://schemas.openxmlformats.org/officeDocument/2006/relationships/hyperlink" Target="http://portal.mze.cz/public/web/mze/poradenstvi-a-vyzkum/vyzkum-a-vyvoj/koncepce-a-strategie/koncepce-vyzkumu-vyvoje-a-inovaci.html" TargetMode="External"/><Relationship Id="rId57" Type="http://schemas.openxmlformats.org/officeDocument/2006/relationships/hyperlink" Target="http://byznys.ihned.cz/zpravodajstvi-cesko/c1-61402650-mapa-ceske-digitalni-pustiny-opravdu-rychly-internet-maji-jen-3-procenta-lidi"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publications.europa.eu/en/publication-detail/-/publication/28e1c485-476a-11e8-be1d-01aa75ed71a1" TargetMode="External"/><Relationship Id="rId3" Type="http://schemas.openxmlformats.org/officeDocument/2006/relationships/hyperlink" Target="http://www.msmt.cz/vyzkum-a-vyvoj-2/cestovni-mapa-cr-velkych-infrastruktur-pro-vyzkum" TargetMode="External"/><Relationship Id="rId7" Type="http://schemas.openxmlformats.org/officeDocument/2006/relationships/hyperlink" Target="https://www.rolandberger.com/en/Insights/Global-Topics/Trend-Compendium.html" TargetMode="External"/><Relationship Id="rId12" Type="http://schemas.openxmlformats.org/officeDocument/2006/relationships/hyperlink" Target="https://www.mpo.cz/cz/podnikani/ris3-strategie/" TargetMode="External"/><Relationship Id="rId2" Type="http://schemas.openxmlformats.org/officeDocument/2006/relationships/hyperlink" Target="http://audit-vav.reformy-msmt.cz" TargetMode="External"/><Relationship Id="rId1" Type="http://schemas.openxmlformats.org/officeDocument/2006/relationships/hyperlink" Target="http://www.earto.eu/european-news/detail/article/technopolis-report-getting-the-balance-right-in-public-rd-investment.html" TargetMode="External"/><Relationship Id="rId6" Type="http://schemas.openxmlformats.org/officeDocument/2006/relationships/hyperlink" Target="https://goodcountry.org/index/results" TargetMode="External"/><Relationship Id="rId11" Type="http://schemas.openxmlformats.org/officeDocument/2006/relationships/hyperlink" Target="http://www.czechinvest.org" TargetMode="External"/><Relationship Id="rId5" Type="http://schemas.openxmlformats.org/officeDocument/2006/relationships/hyperlink" Target="http://erawatch.jrc.ec.europa.eu/" TargetMode="External"/><Relationship Id="rId10" Type="http://schemas.openxmlformats.org/officeDocument/2006/relationships/hyperlink" Target="http://www.ctu.cz/ctu-online/pruzkum-nga.html" TargetMode="External"/><Relationship Id="rId4" Type="http://schemas.openxmlformats.org/officeDocument/2006/relationships/hyperlink" Target="http://www.vyzkum.cz/FrontClanek.aspx?idsekce=15138" TargetMode="External"/><Relationship Id="rId9" Type="http://schemas.openxmlformats.org/officeDocument/2006/relationships/hyperlink" Target="http://www.ihned.cz"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frhome\home$\hanaks\Dokumenty\WINWORD\ANAL&#221;ZY_2017\HDP_str.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hronza\AppData\Local\Microsoft\Windows\Temporary%20Internet%20Files\Content.Outlook\OFYBQVPL\3.1_PZI_stav_CZK.xlsx" TargetMode="External"/><Relationship Id="rId2" Type="http://schemas.microsoft.com/office/2011/relationships/chartColorStyle" Target="colors1.xml"/><Relationship Id="rId1" Type="http://schemas.microsoft.com/office/2011/relationships/chartStyle" Target="style1.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hronza\AppData\Local\Microsoft\Windows\Temporary%20Internet%20Files\Content.Outlook\OFYBQVPL\Graf_N&#225;rodn&#237;.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hronza\AppData\Local\Microsoft\Windows\Temporary%20Internet%20Files\Content.Outlook\OFYBQVPL\Graf_N&#225;rodn&#237;.xlsx" TargetMode="External"/><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oleObject" Target="file:///\\ORLIK\RVV\Oddeleni%20RIS3\_Spole&#269;n&#225;%20RIS3\1a.%20RIS3%20_%20v&#353;e%20pro%20AKTUALIZACI%202018\PAM_2018_aktualizace\Karty_NIP\G2_PAM_2017.xlsx" TargetMode="External"/><Relationship Id="rId2" Type="http://schemas.microsoft.com/office/2011/relationships/chartColorStyle" Target="colors4.xml"/><Relationship Id="rId1" Type="http://schemas.microsoft.com/office/2011/relationships/chartStyle" Target="style4.xml"/></Relationships>
</file>

<file path=word/charts/_rels/chart6.xml.rels><?xml version="1.0" encoding="UTF-8" standalone="yes"?>
<Relationships xmlns="http://schemas.openxmlformats.org/package/2006/relationships"><Relationship Id="rId3" Type="http://schemas.openxmlformats.org/officeDocument/2006/relationships/oleObject" Target="file:///\\frhome\home$\svobodova\dokumenty\Aktualizace%20RIS3\DATA\DATA.xlsx" TargetMode="External"/><Relationship Id="rId2" Type="http://schemas.microsoft.com/office/2011/relationships/chartColorStyle" Target="colors5.xml"/><Relationship Id="rId1" Type="http://schemas.microsoft.com/office/2011/relationships/chartStyle" Target="style5.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List_aplikace_Microsoft_Excel1.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List_aplikace_Microsoft_Excel2.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file:///\\frhome\home$\hanaks\Dokumenty\RIS3_p&#345;&#237;loha_SH.xlsx" TargetMode="External"/></Relationships>
</file>

<file path=word/charts/_rels/chart10.xml.rels><?xml version="1.0" encoding="UTF-8" standalone="yes"?>
<Relationships xmlns="http://schemas.openxmlformats.org/package/2006/relationships"><Relationship Id="rId2" Type="http://schemas.openxmlformats.org/officeDocument/2006/relationships/oleObject" Target="file:///C:\Users\Vojt\Desktop\Pr&#225;ce\Berman%20Group\S3\Baseline%20data%20%20vize\FDI%20%25%20HDP.xlsx" TargetMode="External"/><Relationship Id="rId1" Type="http://schemas.openxmlformats.org/officeDocument/2006/relationships/themeOverride" Target="../theme/themeOverride5.xml"/></Relationships>
</file>

<file path=word/charts/_rels/chart11.xml.rels><?xml version="1.0" encoding="UTF-8" standalone="yes"?>
<Relationships xmlns="http://schemas.openxmlformats.org/package/2006/relationships"><Relationship Id="rId1" Type="http://schemas.openxmlformats.org/officeDocument/2006/relationships/oleObject" Target="file:///C:\Users\Vojt\Downloads\Eurostat_Table_tsc00001FlagNoDesc_9fc927a2-66b1-416e-8a28-8e0d15cac264.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2867831238878914E-2"/>
          <c:y val="2.0605380514243612E-2"/>
          <c:w val="0.88276832925495408"/>
          <c:h val="0.77345583929949702"/>
        </c:manualLayout>
      </c:layout>
      <c:barChart>
        <c:barDir val="col"/>
        <c:grouping val="stacked"/>
        <c:varyColors val="0"/>
        <c:ser>
          <c:idx val="1"/>
          <c:order val="1"/>
          <c:tx>
            <c:strRef>
              <c:f>List1!$E$7</c:f>
              <c:strCache>
                <c:ptCount val="1"/>
                <c:pt idx="0">
                  <c:v>Spotřeba domácností</c:v>
                </c:pt>
              </c:strCache>
            </c:strRef>
          </c:tx>
          <c:invertIfNegative val="0"/>
          <c:cat>
            <c:strRef>
              <c:f>List1!$F$5:$V$5</c:f>
              <c:strCache>
                <c:ptCount val="17"/>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1.Q 2018</c:v>
                </c:pt>
              </c:strCache>
            </c:strRef>
          </c:cat>
          <c:val>
            <c:numRef>
              <c:f>List1!$F$7:$V$7</c:f>
              <c:numCache>
                <c:formatCode>General</c:formatCode>
                <c:ptCount val="17"/>
                <c:pt idx="0">
                  <c:v>1.4</c:v>
                </c:pt>
                <c:pt idx="1">
                  <c:v>2.4</c:v>
                </c:pt>
                <c:pt idx="2">
                  <c:v>1.7</c:v>
                </c:pt>
                <c:pt idx="3">
                  <c:v>1.6</c:v>
                </c:pt>
                <c:pt idx="4">
                  <c:v>1.9</c:v>
                </c:pt>
                <c:pt idx="5">
                  <c:v>1.9</c:v>
                </c:pt>
                <c:pt idx="6">
                  <c:v>1.3</c:v>
                </c:pt>
                <c:pt idx="7">
                  <c:v>-0.3</c:v>
                </c:pt>
                <c:pt idx="8">
                  <c:v>0.5</c:v>
                </c:pt>
                <c:pt idx="9">
                  <c:v>0.1</c:v>
                </c:pt>
                <c:pt idx="10">
                  <c:v>-0.6</c:v>
                </c:pt>
                <c:pt idx="11">
                  <c:v>0.2</c:v>
                </c:pt>
                <c:pt idx="12">
                  <c:v>0.9</c:v>
                </c:pt>
                <c:pt idx="13">
                  <c:v>1.8</c:v>
                </c:pt>
                <c:pt idx="14">
                  <c:v>1.6</c:v>
                </c:pt>
                <c:pt idx="15">
                  <c:v>2</c:v>
                </c:pt>
                <c:pt idx="16">
                  <c:v>2</c:v>
                </c:pt>
              </c:numCache>
            </c:numRef>
          </c:val>
        </c:ser>
        <c:ser>
          <c:idx val="2"/>
          <c:order val="2"/>
          <c:tx>
            <c:strRef>
              <c:f>List1!$E$8</c:f>
              <c:strCache>
                <c:ptCount val="1"/>
                <c:pt idx="0">
                  <c:v>Spotřeba vlády</c:v>
                </c:pt>
              </c:strCache>
            </c:strRef>
          </c:tx>
          <c:invertIfNegative val="0"/>
          <c:cat>
            <c:strRef>
              <c:f>List1!$F$5:$V$5</c:f>
              <c:strCache>
                <c:ptCount val="17"/>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1.Q 2018</c:v>
                </c:pt>
              </c:strCache>
            </c:strRef>
          </c:cat>
          <c:val>
            <c:numRef>
              <c:f>List1!$F$8:$V$8</c:f>
              <c:numCache>
                <c:formatCode>General</c:formatCode>
                <c:ptCount val="17"/>
                <c:pt idx="0">
                  <c:v>1.6</c:v>
                </c:pt>
                <c:pt idx="1">
                  <c:v>1.3</c:v>
                </c:pt>
                <c:pt idx="2">
                  <c:v>-0.4</c:v>
                </c:pt>
                <c:pt idx="3">
                  <c:v>0.2</c:v>
                </c:pt>
                <c:pt idx="4">
                  <c:v>0.1</c:v>
                </c:pt>
                <c:pt idx="5">
                  <c:v>0.1</c:v>
                </c:pt>
                <c:pt idx="6">
                  <c:v>0.2</c:v>
                </c:pt>
                <c:pt idx="7">
                  <c:v>0.5</c:v>
                </c:pt>
                <c:pt idx="8">
                  <c:v>0.1</c:v>
                </c:pt>
                <c:pt idx="9">
                  <c:v>-0.7</c:v>
                </c:pt>
                <c:pt idx="10">
                  <c:v>-0.4</c:v>
                </c:pt>
                <c:pt idx="11">
                  <c:v>0.5</c:v>
                </c:pt>
                <c:pt idx="12">
                  <c:v>0.2</c:v>
                </c:pt>
                <c:pt idx="13">
                  <c:v>0.4</c:v>
                </c:pt>
                <c:pt idx="14">
                  <c:v>0.5</c:v>
                </c:pt>
                <c:pt idx="15">
                  <c:v>0.2</c:v>
                </c:pt>
                <c:pt idx="16">
                  <c:v>0.7</c:v>
                </c:pt>
              </c:numCache>
            </c:numRef>
          </c:val>
        </c:ser>
        <c:ser>
          <c:idx val="3"/>
          <c:order val="3"/>
          <c:tx>
            <c:strRef>
              <c:f>List1!$E$9</c:f>
              <c:strCache>
                <c:ptCount val="1"/>
                <c:pt idx="0">
                  <c:v>Tvorba hrubého kapitálu</c:v>
                </c:pt>
              </c:strCache>
            </c:strRef>
          </c:tx>
          <c:invertIfNegative val="0"/>
          <c:cat>
            <c:strRef>
              <c:f>List1!$F$5:$V$5</c:f>
              <c:strCache>
                <c:ptCount val="17"/>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1.Q 2018</c:v>
                </c:pt>
              </c:strCache>
            </c:strRef>
          </c:cat>
          <c:val>
            <c:numRef>
              <c:f>List1!$F$9:$V$9</c:f>
              <c:numCache>
                <c:formatCode>General</c:formatCode>
                <c:ptCount val="17"/>
                <c:pt idx="0">
                  <c:v>0.5</c:v>
                </c:pt>
                <c:pt idx="1">
                  <c:v>-0.1</c:v>
                </c:pt>
                <c:pt idx="2">
                  <c:v>2.1</c:v>
                </c:pt>
                <c:pt idx="3">
                  <c:v>1.5</c:v>
                </c:pt>
                <c:pt idx="4">
                  <c:v>3</c:v>
                </c:pt>
                <c:pt idx="5">
                  <c:v>4.3</c:v>
                </c:pt>
                <c:pt idx="6">
                  <c:v>0.3</c:v>
                </c:pt>
                <c:pt idx="7">
                  <c:v>-5.5</c:v>
                </c:pt>
                <c:pt idx="8">
                  <c:v>1.1000000000000001</c:v>
                </c:pt>
                <c:pt idx="9">
                  <c:v>0.5</c:v>
                </c:pt>
                <c:pt idx="10">
                  <c:v>-1.1000000000000001</c:v>
                </c:pt>
                <c:pt idx="11">
                  <c:v>-1.3</c:v>
                </c:pt>
                <c:pt idx="12">
                  <c:v>2.1</c:v>
                </c:pt>
                <c:pt idx="13">
                  <c:v>3.4</c:v>
                </c:pt>
                <c:pt idx="14">
                  <c:v>-1.2</c:v>
                </c:pt>
                <c:pt idx="15">
                  <c:v>1</c:v>
                </c:pt>
                <c:pt idx="16">
                  <c:v>2.5</c:v>
                </c:pt>
              </c:numCache>
            </c:numRef>
          </c:val>
        </c:ser>
        <c:ser>
          <c:idx val="4"/>
          <c:order val="4"/>
          <c:tx>
            <c:strRef>
              <c:f>List1!$E$10</c:f>
              <c:strCache>
                <c:ptCount val="1"/>
                <c:pt idx="0">
                  <c:v>Čistý vývoz</c:v>
                </c:pt>
              </c:strCache>
            </c:strRef>
          </c:tx>
          <c:spPr>
            <a:solidFill>
              <a:schemeClr val="accent1">
                <a:lumMod val="40000"/>
                <a:lumOff val="60000"/>
              </a:schemeClr>
            </a:solidFill>
          </c:spPr>
          <c:invertIfNegative val="0"/>
          <c:cat>
            <c:strRef>
              <c:f>List1!$F$5:$V$5</c:f>
              <c:strCache>
                <c:ptCount val="17"/>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1.Q 2018</c:v>
                </c:pt>
              </c:strCache>
            </c:strRef>
          </c:cat>
          <c:val>
            <c:numRef>
              <c:f>List1!$F$10:$V$10</c:f>
              <c:numCache>
                <c:formatCode>General</c:formatCode>
                <c:ptCount val="17"/>
                <c:pt idx="0">
                  <c:v>-2</c:v>
                </c:pt>
                <c:pt idx="1">
                  <c:v>0</c:v>
                </c:pt>
                <c:pt idx="2">
                  <c:v>1.3</c:v>
                </c:pt>
                <c:pt idx="3">
                  <c:v>3.2</c:v>
                </c:pt>
                <c:pt idx="4">
                  <c:v>2.1</c:v>
                </c:pt>
                <c:pt idx="5">
                  <c:v>-0.8</c:v>
                </c:pt>
                <c:pt idx="6">
                  <c:v>0.7</c:v>
                </c:pt>
                <c:pt idx="7">
                  <c:v>0.6</c:v>
                </c:pt>
                <c:pt idx="8">
                  <c:v>0.5</c:v>
                </c:pt>
                <c:pt idx="9">
                  <c:v>1.8</c:v>
                </c:pt>
                <c:pt idx="10">
                  <c:v>1.3</c:v>
                </c:pt>
                <c:pt idx="11">
                  <c:v>0.1</c:v>
                </c:pt>
                <c:pt idx="12">
                  <c:v>-0.5</c:v>
                </c:pt>
                <c:pt idx="13">
                  <c:v>-0.1</c:v>
                </c:pt>
                <c:pt idx="14">
                  <c:v>1.4</c:v>
                </c:pt>
                <c:pt idx="15">
                  <c:v>1.2</c:v>
                </c:pt>
                <c:pt idx="16">
                  <c:v>-1.1000000000000001</c:v>
                </c:pt>
              </c:numCache>
            </c:numRef>
          </c:val>
        </c:ser>
        <c:dLbls>
          <c:showLegendKey val="0"/>
          <c:showVal val="0"/>
          <c:showCatName val="0"/>
          <c:showSerName val="0"/>
          <c:showPercent val="0"/>
          <c:showBubbleSize val="0"/>
        </c:dLbls>
        <c:gapWidth val="150"/>
        <c:overlap val="100"/>
        <c:axId val="171992368"/>
        <c:axId val="171992760"/>
      </c:barChart>
      <c:lineChart>
        <c:grouping val="standard"/>
        <c:varyColors val="0"/>
        <c:ser>
          <c:idx val="0"/>
          <c:order val="0"/>
          <c:tx>
            <c:strRef>
              <c:f>List1!$E$6</c:f>
              <c:strCache>
                <c:ptCount val="1"/>
                <c:pt idx="0">
                  <c:v>HDP</c:v>
                </c:pt>
              </c:strCache>
            </c:strRef>
          </c:tx>
          <c:spPr>
            <a:ln>
              <a:solidFill>
                <a:sysClr val="windowText" lastClr="000000"/>
              </a:solidFill>
            </a:ln>
          </c:spPr>
          <c:marker>
            <c:spPr>
              <a:solidFill>
                <a:schemeClr val="tx1"/>
              </a:solidFill>
              <a:ln>
                <a:solidFill>
                  <a:sysClr val="windowText" lastClr="000000"/>
                </a:solidFill>
              </a:ln>
            </c:spPr>
          </c:marker>
          <c:cat>
            <c:strRef>
              <c:f>List1!$F$5:$V$5</c:f>
              <c:strCache>
                <c:ptCount val="17"/>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pt idx="15">
                  <c:v>2017</c:v>
                </c:pt>
                <c:pt idx="16">
                  <c:v>1.Q 2018</c:v>
                </c:pt>
              </c:strCache>
            </c:strRef>
          </c:cat>
          <c:val>
            <c:numRef>
              <c:f>List1!$F$6:$V$6</c:f>
              <c:numCache>
                <c:formatCode>General</c:formatCode>
                <c:ptCount val="17"/>
                <c:pt idx="0">
                  <c:v>1.6</c:v>
                </c:pt>
                <c:pt idx="1">
                  <c:v>3.6</c:v>
                </c:pt>
                <c:pt idx="2">
                  <c:v>4.8</c:v>
                </c:pt>
                <c:pt idx="3">
                  <c:v>6.6</c:v>
                </c:pt>
                <c:pt idx="4">
                  <c:v>7</c:v>
                </c:pt>
                <c:pt idx="5">
                  <c:v>5.6</c:v>
                </c:pt>
                <c:pt idx="6">
                  <c:v>2.5</c:v>
                </c:pt>
                <c:pt idx="7">
                  <c:v>-4.7</c:v>
                </c:pt>
                <c:pt idx="8">
                  <c:v>2.1</c:v>
                </c:pt>
                <c:pt idx="9">
                  <c:v>1.8</c:v>
                </c:pt>
                <c:pt idx="10">
                  <c:v>-0.7</c:v>
                </c:pt>
                <c:pt idx="11">
                  <c:v>-0.5</c:v>
                </c:pt>
                <c:pt idx="12">
                  <c:v>2.7</c:v>
                </c:pt>
                <c:pt idx="13">
                  <c:v>5.4</c:v>
                </c:pt>
                <c:pt idx="14">
                  <c:v>2.4</c:v>
                </c:pt>
                <c:pt idx="15">
                  <c:v>4.5</c:v>
                </c:pt>
                <c:pt idx="16">
                  <c:v>4.2</c:v>
                </c:pt>
              </c:numCache>
            </c:numRef>
          </c:val>
          <c:smooth val="0"/>
        </c:ser>
        <c:dLbls>
          <c:showLegendKey val="0"/>
          <c:showVal val="0"/>
          <c:showCatName val="0"/>
          <c:showSerName val="0"/>
          <c:showPercent val="0"/>
          <c:showBubbleSize val="0"/>
        </c:dLbls>
        <c:marker val="1"/>
        <c:smooth val="0"/>
        <c:axId val="171992368"/>
        <c:axId val="171992760"/>
      </c:lineChart>
      <c:catAx>
        <c:axId val="171992368"/>
        <c:scaling>
          <c:orientation val="minMax"/>
        </c:scaling>
        <c:delete val="0"/>
        <c:axPos val="b"/>
        <c:numFmt formatCode="General" sourceLinked="0"/>
        <c:majorTickMark val="out"/>
        <c:minorTickMark val="none"/>
        <c:tickLblPos val="low"/>
        <c:crossAx val="171992760"/>
        <c:crosses val="autoZero"/>
        <c:auto val="1"/>
        <c:lblAlgn val="ctr"/>
        <c:lblOffset val="100"/>
        <c:noMultiLvlLbl val="0"/>
      </c:catAx>
      <c:valAx>
        <c:axId val="171992760"/>
        <c:scaling>
          <c:orientation val="minMax"/>
          <c:min val="-6"/>
        </c:scaling>
        <c:delete val="0"/>
        <c:axPos val="l"/>
        <c:majorGridlines/>
        <c:numFmt formatCode="General" sourceLinked="1"/>
        <c:majorTickMark val="out"/>
        <c:minorTickMark val="none"/>
        <c:tickLblPos val="nextTo"/>
        <c:crossAx val="171992368"/>
        <c:crosses val="autoZero"/>
        <c:crossBetween val="between"/>
      </c:valAx>
      <c:spPr>
        <a:solidFill>
          <a:sysClr val="window" lastClr="FFFFFF"/>
        </a:solidFill>
      </c:spPr>
    </c:plotArea>
    <c:legend>
      <c:legendPos val="b"/>
      <c:layout>
        <c:manualLayout>
          <c:xMode val="edge"/>
          <c:yMode val="edge"/>
          <c:x val="0.14830681701205695"/>
          <c:y val="0.88017898821867291"/>
          <c:w val="0.70338615616168365"/>
          <c:h val="0.10747304877694333"/>
        </c:manualLayout>
      </c:layout>
      <c:overlay val="0"/>
      <c:spPr>
        <a:solidFill>
          <a:schemeClr val="bg2"/>
        </a:solidFill>
      </c:spPr>
    </c:legend>
    <c:plotVisOnly val="1"/>
    <c:dispBlanksAs val="gap"/>
    <c:showDLblsOverMax val="0"/>
  </c:chart>
  <c:spPr>
    <a:solidFill>
      <a:schemeClr val="bg2">
        <a:lumMod val="90000"/>
      </a:schemeClr>
    </a:solidFill>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3"/>
          <c:order val="1"/>
          <c:tx>
            <c:strRef>
              <c:f>List1!$J$3</c:f>
              <c:strCache>
                <c:ptCount val="1"/>
                <c:pt idx="0">
                  <c:v>Základní kapitál</c:v>
                </c:pt>
              </c:strCache>
            </c:strRef>
          </c:tx>
          <c:spPr>
            <a:solidFill>
              <a:schemeClr val="accent2"/>
            </a:solidFill>
            <a:ln>
              <a:solidFill>
                <a:schemeClr val="tx2"/>
              </a:solidFill>
            </a:ln>
            <a:effectLst/>
          </c:spPr>
          <c:cat>
            <c:numRef>
              <c:f>List1!$A$4:$A$21</c:f>
              <c:numCache>
                <c:formatCode>m/d/yyyy</c:formatCode>
                <c:ptCount val="18"/>
                <c:pt idx="0">
                  <c:v>36525</c:v>
                </c:pt>
                <c:pt idx="1">
                  <c:v>36891</c:v>
                </c:pt>
                <c:pt idx="2">
                  <c:v>37256</c:v>
                </c:pt>
                <c:pt idx="3">
                  <c:v>37621</c:v>
                </c:pt>
                <c:pt idx="4">
                  <c:v>37986</c:v>
                </c:pt>
                <c:pt idx="5">
                  <c:v>38352</c:v>
                </c:pt>
                <c:pt idx="6">
                  <c:v>38717</c:v>
                </c:pt>
                <c:pt idx="7">
                  <c:v>39082</c:v>
                </c:pt>
                <c:pt idx="8">
                  <c:v>39447</c:v>
                </c:pt>
                <c:pt idx="9">
                  <c:v>39813</c:v>
                </c:pt>
                <c:pt idx="10">
                  <c:v>40178</c:v>
                </c:pt>
                <c:pt idx="11">
                  <c:v>40543</c:v>
                </c:pt>
                <c:pt idx="12">
                  <c:v>40908</c:v>
                </c:pt>
                <c:pt idx="13">
                  <c:v>41274</c:v>
                </c:pt>
                <c:pt idx="14">
                  <c:v>41639</c:v>
                </c:pt>
                <c:pt idx="15">
                  <c:v>42004</c:v>
                </c:pt>
                <c:pt idx="16">
                  <c:v>42369</c:v>
                </c:pt>
                <c:pt idx="17">
                  <c:v>42735</c:v>
                </c:pt>
              </c:numCache>
            </c:numRef>
          </c:cat>
          <c:val>
            <c:numRef>
              <c:f>List1!$J$4:$J$21</c:f>
              <c:numCache>
                <c:formatCode>#\ ##0.0</c:formatCode>
                <c:ptCount val="18"/>
                <c:pt idx="0">
                  <c:v>506.54623740591404</c:v>
                </c:pt>
                <c:pt idx="1">
                  <c:v>641.39163947399982</c:v>
                </c:pt>
                <c:pt idx="2">
                  <c:v>706.40994975500018</c:v>
                </c:pt>
                <c:pt idx="3">
                  <c:v>798.06076468600008</c:v>
                </c:pt>
                <c:pt idx="4">
                  <c:v>767.01834322199988</c:v>
                </c:pt>
                <c:pt idx="5">
                  <c:v>800.58031467900003</c:v>
                </c:pt>
                <c:pt idx="6">
                  <c:v>908.84251607100009</c:v>
                </c:pt>
                <c:pt idx="7">
                  <c:v>972.58522999399997</c:v>
                </c:pt>
                <c:pt idx="8">
                  <c:v>1095.0484065420001</c:v>
                </c:pt>
                <c:pt idx="9">
                  <c:v>1128.0875268180002</c:v>
                </c:pt>
                <c:pt idx="10">
                  <c:v>1214.53298727163</c:v>
                </c:pt>
                <c:pt idx="11">
                  <c:v>1266.3880019370001</c:v>
                </c:pt>
                <c:pt idx="12">
                  <c:v>1239.750278711</c:v>
                </c:pt>
                <c:pt idx="13">
                  <c:v>1304.2378720930001</c:v>
                </c:pt>
                <c:pt idx="14">
                  <c:v>1338.3711696984799</c:v>
                </c:pt>
                <c:pt idx="15">
                  <c:v>1332.90723907048</c:v>
                </c:pt>
                <c:pt idx="16">
                  <c:v>1482.0245888275899</c:v>
                </c:pt>
                <c:pt idx="17">
                  <c:v>1569.04821748635</c:v>
                </c:pt>
              </c:numCache>
            </c:numRef>
          </c:val>
        </c:ser>
        <c:ser>
          <c:idx val="1"/>
          <c:order val="2"/>
          <c:tx>
            <c:strRef>
              <c:f>List1!$K$3</c:f>
              <c:strCache>
                <c:ptCount val="1"/>
                <c:pt idx="0">
                  <c:v>Reinvestovaný zisk</c:v>
                </c:pt>
              </c:strCache>
            </c:strRef>
          </c:tx>
          <c:spPr>
            <a:solidFill>
              <a:schemeClr val="accent3"/>
            </a:solidFill>
            <a:ln>
              <a:solidFill>
                <a:schemeClr val="accent3"/>
              </a:solidFill>
            </a:ln>
            <a:effectLst/>
          </c:spPr>
          <c:cat>
            <c:numRef>
              <c:f>List1!$A$4:$A$21</c:f>
              <c:numCache>
                <c:formatCode>m/d/yyyy</c:formatCode>
                <c:ptCount val="18"/>
                <c:pt idx="0">
                  <c:v>36525</c:v>
                </c:pt>
                <c:pt idx="1">
                  <c:v>36891</c:v>
                </c:pt>
                <c:pt idx="2">
                  <c:v>37256</c:v>
                </c:pt>
                <c:pt idx="3">
                  <c:v>37621</c:v>
                </c:pt>
                <c:pt idx="4">
                  <c:v>37986</c:v>
                </c:pt>
                <c:pt idx="5">
                  <c:v>38352</c:v>
                </c:pt>
                <c:pt idx="6">
                  <c:v>38717</c:v>
                </c:pt>
                <c:pt idx="7">
                  <c:v>39082</c:v>
                </c:pt>
                <c:pt idx="8">
                  <c:v>39447</c:v>
                </c:pt>
                <c:pt idx="9">
                  <c:v>39813</c:v>
                </c:pt>
                <c:pt idx="10">
                  <c:v>40178</c:v>
                </c:pt>
                <c:pt idx="11">
                  <c:v>40543</c:v>
                </c:pt>
                <c:pt idx="12">
                  <c:v>40908</c:v>
                </c:pt>
                <c:pt idx="13">
                  <c:v>41274</c:v>
                </c:pt>
                <c:pt idx="14">
                  <c:v>41639</c:v>
                </c:pt>
                <c:pt idx="15">
                  <c:v>42004</c:v>
                </c:pt>
                <c:pt idx="16">
                  <c:v>42369</c:v>
                </c:pt>
                <c:pt idx="17">
                  <c:v>42735</c:v>
                </c:pt>
              </c:numCache>
            </c:numRef>
          </c:cat>
          <c:val>
            <c:numRef>
              <c:f>List1!$K$4:$K$21</c:f>
              <c:numCache>
                <c:formatCode>#\ ##0.0</c:formatCode>
                <c:ptCount val="18"/>
                <c:pt idx="0">
                  <c:v>31.833066155544309</c:v>
                </c:pt>
                <c:pt idx="1">
                  <c:v>60.826218829210326</c:v>
                </c:pt>
                <c:pt idx="2">
                  <c:v>131.12729681153803</c:v>
                </c:pt>
                <c:pt idx="3">
                  <c:v>215.0421061309591</c:v>
                </c:pt>
                <c:pt idx="4">
                  <c:v>242.37351640438004</c:v>
                </c:pt>
                <c:pt idx="5">
                  <c:v>321.26195209662899</c:v>
                </c:pt>
                <c:pt idx="6">
                  <c:v>407.25925524585011</c:v>
                </c:pt>
                <c:pt idx="7">
                  <c:v>524.88058897776</c:v>
                </c:pt>
                <c:pt idx="8">
                  <c:v>747.355824714758</c:v>
                </c:pt>
                <c:pt idx="9">
                  <c:v>822.40071985036604</c:v>
                </c:pt>
                <c:pt idx="10">
                  <c:v>869.57159036128792</c:v>
                </c:pt>
                <c:pt idx="11">
                  <c:v>920.91113327704204</c:v>
                </c:pt>
                <c:pt idx="12">
                  <c:v>919.93554761552207</c:v>
                </c:pt>
                <c:pt idx="13">
                  <c:v>1038.3880814466199</c:v>
                </c:pt>
                <c:pt idx="14">
                  <c:v>1120.8665689690599</c:v>
                </c:pt>
                <c:pt idx="15">
                  <c:v>1189.92571089844</c:v>
                </c:pt>
                <c:pt idx="16">
                  <c:v>1235.6553233136599</c:v>
                </c:pt>
                <c:pt idx="17">
                  <c:v>1310.0283767022599</c:v>
                </c:pt>
              </c:numCache>
            </c:numRef>
          </c:val>
        </c:ser>
        <c:ser>
          <c:idx val="2"/>
          <c:order val="3"/>
          <c:tx>
            <c:strRef>
              <c:f>List1!$L$3</c:f>
              <c:strCache>
                <c:ptCount val="1"/>
                <c:pt idx="0">
                  <c:v>Ostatní kapitál</c:v>
                </c:pt>
              </c:strCache>
            </c:strRef>
          </c:tx>
          <c:spPr>
            <a:solidFill>
              <a:schemeClr val="accent5"/>
            </a:solidFill>
            <a:ln>
              <a:noFill/>
            </a:ln>
            <a:effectLst/>
          </c:spPr>
          <c:cat>
            <c:numRef>
              <c:f>List1!$A$4:$A$21</c:f>
              <c:numCache>
                <c:formatCode>m/d/yyyy</c:formatCode>
                <c:ptCount val="18"/>
                <c:pt idx="0">
                  <c:v>36525</c:v>
                </c:pt>
                <c:pt idx="1">
                  <c:v>36891</c:v>
                </c:pt>
                <c:pt idx="2">
                  <c:v>37256</c:v>
                </c:pt>
                <c:pt idx="3">
                  <c:v>37621</c:v>
                </c:pt>
                <c:pt idx="4">
                  <c:v>37986</c:v>
                </c:pt>
                <c:pt idx="5">
                  <c:v>38352</c:v>
                </c:pt>
                <c:pt idx="6">
                  <c:v>38717</c:v>
                </c:pt>
                <c:pt idx="7">
                  <c:v>39082</c:v>
                </c:pt>
                <c:pt idx="8">
                  <c:v>39447</c:v>
                </c:pt>
                <c:pt idx="9">
                  <c:v>39813</c:v>
                </c:pt>
                <c:pt idx="10">
                  <c:v>40178</c:v>
                </c:pt>
                <c:pt idx="11">
                  <c:v>40543</c:v>
                </c:pt>
                <c:pt idx="12">
                  <c:v>40908</c:v>
                </c:pt>
                <c:pt idx="13">
                  <c:v>41274</c:v>
                </c:pt>
                <c:pt idx="14">
                  <c:v>41639</c:v>
                </c:pt>
                <c:pt idx="15">
                  <c:v>42004</c:v>
                </c:pt>
                <c:pt idx="16">
                  <c:v>42369</c:v>
                </c:pt>
                <c:pt idx="17">
                  <c:v>42735</c:v>
                </c:pt>
              </c:numCache>
            </c:numRef>
          </c:cat>
          <c:val>
            <c:numRef>
              <c:f>List1!$L$4:$L$21</c:f>
              <c:numCache>
                <c:formatCode>#\ ##0.0</c:formatCode>
                <c:ptCount val="18"/>
                <c:pt idx="0">
                  <c:v>93.125948000000008</c:v>
                </c:pt>
                <c:pt idx="1">
                  <c:v>116.19380000000002</c:v>
                </c:pt>
                <c:pt idx="2">
                  <c:v>144.79770775399996</c:v>
                </c:pt>
                <c:pt idx="3">
                  <c:v>152.42622237999998</c:v>
                </c:pt>
                <c:pt idx="4">
                  <c:v>152.39181233400001</c:v>
                </c:pt>
                <c:pt idx="5">
                  <c:v>158.75250160499999</c:v>
                </c:pt>
                <c:pt idx="6">
                  <c:v>175.46221624399999</c:v>
                </c:pt>
                <c:pt idx="7">
                  <c:v>169.29487193999989</c:v>
                </c:pt>
                <c:pt idx="8">
                  <c:v>189.70695350399993</c:v>
                </c:pt>
                <c:pt idx="9">
                  <c:v>238.96670776100004</c:v>
                </c:pt>
                <c:pt idx="10">
                  <c:v>227.09281335899999</c:v>
                </c:pt>
                <c:pt idx="11">
                  <c:v>222.28159684899998</c:v>
                </c:pt>
                <c:pt idx="12">
                  <c:v>244.465593762</c:v>
                </c:pt>
                <c:pt idx="13">
                  <c:v>258.25107506799998</c:v>
                </c:pt>
                <c:pt idx="14">
                  <c:v>209.50332471300001</c:v>
                </c:pt>
                <c:pt idx="15">
                  <c:v>251.76789555600001</c:v>
                </c:pt>
                <c:pt idx="16">
                  <c:v>177.48895493662999</c:v>
                </c:pt>
                <c:pt idx="17">
                  <c:v>245.154046411</c:v>
                </c:pt>
              </c:numCache>
            </c:numRef>
          </c:val>
        </c:ser>
        <c:dLbls>
          <c:showLegendKey val="0"/>
          <c:showVal val="0"/>
          <c:showCatName val="0"/>
          <c:showSerName val="0"/>
          <c:showPercent val="0"/>
          <c:showBubbleSize val="0"/>
        </c:dLbls>
        <c:axId val="283491248"/>
        <c:axId val="283491640"/>
      </c:areaChart>
      <c:lineChart>
        <c:grouping val="standard"/>
        <c:varyColors val="0"/>
        <c:ser>
          <c:idx val="0"/>
          <c:order val="0"/>
          <c:tx>
            <c:strRef>
              <c:f>List1!$M$3</c:f>
              <c:strCache>
                <c:ptCount val="1"/>
                <c:pt idx="0">
                  <c:v>Celkem</c:v>
                </c:pt>
              </c:strCache>
            </c:strRef>
          </c:tx>
          <c:spPr>
            <a:ln w="28575" cap="rnd">
              <a:solidFill>
                <a:schemeClr val="accent1"/>
              </a:solidFill>
              <a:round/>
            </a:ln>
            <a:effectLst/>
          </c:spPr>
          <c:marker>
            <c:symbol val="none"/>
          </c:marker>
          <c:cat>
            <c:numRef>
              <c:f>List1!$A$4:$A$21</c:f>
              <c:numCache>
                <c:formatCode>m/d/yyyy</c:formatCode>
                <c:ptCount val="18"/>
                <c:pt idx="0">
                  <c:v>36525</c:v>
                </c:pt>
                <c:pt idx="1">
                  <c:v>36891</c:v>
                </c:pt>
                <c:pt idx="2">
                  <c:v>37256</c:v>
                </c:pt>
                <c:pt idx="3">
                  <c:v>37621</c:v>
                </c:pt>
                <c:pt idx="4">
                  <c:v>37986</c:v>
                </c:pt>
                <c:pt idx="5">
                  <c:v>38352</c:v>
                </c:pt>
                <c:pt idx="6">
                  <c:v>38717</c:v>
                </c:pt>
                <c:pt idx="7">
                  <c:v>39082</c:v>
                </c:pt>
                <c:pt idx="8">
                  <c:v>39447</c:v>
                </c:pt>
                <c:pt idx="9">
                  <c:v>39813</c:v>
                </c:pt>
                <c:pt idx="10">
                  <c:v>40178</c:v>
                </c:pt>
                <c:pt idx="11">
                  <c:v>40543</c:v>
                </c:pt>
                <c:pt idx="12">
                  <c:v>40908</c:v>
                </c:pt>
                <c:pt idx="13">
                  <c:v>41274</c:v>
                </c:pt>
                <c:pt idx="14">
                  <c:v>41639</c:v>
                </c:pt>
                <c:pt idx="15">
                  <c:v>42004</c:v>
                </c:pt>
                <c:pt idx="16">
                  <c:v>42369</c:v>
                </c:pt>
                <c:pt idx="17">
                  <c:v>42735</c:v>
                </c:pt>
              </c:numCache>
            </c:numRef>
          </c:cat>
          <c:val>
            <c:numRef>
              <c:f>List1!$M$4:$M$21</c:f>
              <c:numCache>
                <c:formatCode>#\ ##0.0</c:formatCode>
                <c:ptCount val="18"/>
                <c:pt idx="0">
                  <c:v>631.50525156145829</c:v>
                </c:pt>
                <c:pt idx="1">
                  <c:v>818.41165830321029</c:v>
                </c:pt>
                <c:pt idx="2">
                  <c:v>982.3349543205378</c:v>
                </c:pt>
                <c:pt idx="3">
                  <c:v>1165.5290931969591</c:v>
                </c:pt>
                <c:pt idx="4">
                  <c:v>1161.7836719603799</c:v>
                </c:pt>
                <c:pt idx="5">
                  <c:v>1280.5947683806301</c:v>
                </c:pt>
                <c:pt idx="6">
                  <c:v>1491.5639875608504</c:v>
                </c:pt>
                <c:pt idx="7">
                  <c:v>1666.7606909117601</c:v>
                </c:pt>
                <c:pt idx="8">
                  <c:v>2032.1111847607579</c:v>
                </c:pt>
                <c:pt idx="9">
                  <c:v>2189.4549544293664</c:v>
                </c:pt>
                <c:pt idx="10">
                  <c:v>2311.1973909919202</c:v>
                </c:pt>
                <c:pt idx="11">
                  <c:v>2409.5807320630397</c:v>
                </c:pt>
                <c:pt idx="12">
                  <c:v>2404.1514200885204</c:v>
                </c:pt>
                <c:pt idx="13">
                  <c:v>2600.8770286076201</c:v>
                </c:pt>
                <c:pt idx="14">
                  <c:v>2668.7410633805398</c:v>
                </c:pt>
                <c:pt idx="15">
                  <c:v>2774.6008455249203</c:v>
                </c:pt>
                <c:pt idx="16">
                  <c:v>2895.1688670778799</c:v>
                </c:pt>
                <c:pt idx="17">
                  <c:v>3124.2306405996096</c:v>
                </c:pt>
              </c:numCache>
            </c:numRef>
          </c:val>
          <c:smooth val="0"/>
        </c:ser>
        <c:dLbls>
          <c:showLegendKey val="0"/>
          <c:showVal val="0"/>
          <c:showCatName val="0"/>
          <c:showSerName val="0"/>
          <c:showPercent val="0"/>
          <c:showBubbleSize val="0"/>
        </c:dLbls>
        <c:marker val="1"/>
        <c:smooth val="0"/>
        <c:axId val="283491248"/>
        <c:axId val="283491640"/>
      </c:lineChart>
      <c:dateAx>
        <c:axId val="283491248"/>
        <c:scaling>
          <c:orientation val="minMax"/>
          <c:max val="42735"/>
          <c:min val="36525"/>
        </c:scaling>
        <c:delete val="0"/>
        <c:axPos val="b"/>
        <c:numFmt formatCode="yy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491640"/>
        <c:crosses val="autoZero"/>
        <c:auto val="0"/>
        <c:lblOffset val="100"/>
        <c:baseTimeUnit val="years"/>
      </c:dateAx>
      <c:valAx>
        <c:axId val="283491640"/>
        <c:scaling>
          <c:orientation val="minMax"/>
        </c:scaling>
        <c:delete val="0"/>
        <c:axPos val="l"/>
        <c:majorGridlines>
          <c:spPr>
            <a:ln w="9525" cap="flat" cmpd="sng" algn="ctr">
              <a:solidFill>
                <a:schemeClr val="tx1">
                  <a:lumMod val="15000"/>
                  <a:lumOff val="8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49124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800" b="0" i="0" u="none" strike="noStrike" kern="1200" spc="0" baseline="0">
                <a:solidFill>
                  <a:schemeClr val="tx1">
                    <a:lumMod val="65000"/>
                    <a:lumOff val="35000"/>
                  </a:schemeClr>
                </a:solidFill>
                <a:latin typeface="+mn-lt"/>
                <a:ea typeface="+mn-ea"/>
                <a:cs typeface="+mn-cs"/>
              </a:defRPr>
            </a:pPr>
            <a:r>
              <a:rPr lang="en-US" sz="800"/>
              <a:t>Struktura exportu v roce 2017 podle SITC </a:t>
            </a:r>
            <a:r>
              <a:rPr lang="cs-CZ" sz="800"/>
              <a:t>(</a:t>
            </a:r>
            <a:r>
              <a:rPr lang="en-US" sz="800"/>
              <a:t>v</a:t>
            </a:r>
            <a:r>
              <a:rPr lang="cs-CZ" sz="800"/>
              <a:t> %)</a:t>
            </a:r>
            <a:r>
              <a:rPr lang="en-US" sz="800"/>
              <a:t> </a:t>
            </a:r>
          </a:p>
        </c:rich>
      </c:tx>
      <c:layout>
        <c:manualLayout>
          <c:xMode val="edge"/>
          <c:yMode val="edge"/>
          <c:x val="0.15775082690187434"/>
          <c:y val="3.0871003307607496E-2"/>
        </c:manualLayout>
      </c:layout>
      <c:overlay val="0"/>
      <c:spPr>
        <a:noFill/>
        <a:ln>
          <a:noFill/>
        </a:ln>
        <a:effectLst/>
      </c:spPr>
      <c:txPr>
        <a:bodyPr rot="0" spcFirstLastPara="1" vertOverflow="ellipsis" vert="horz" wrap="square" anchor="ctr" anchorCtr="1"/>
        <a:lstStyle/>
        <a:p>
          <a:pPr>
            <a:defRPr sz="8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bar"/>
        <c:grouping val="clustered"/>
        <c:varyColors val="0"/>
        <c:ser>
          <c:idx val="0"/>
          <c:order val="0"/>
          <c:tx>
            <c:strRef>
              <c:f>'Graf SITC'!$B$11</c:f>
              <c:strCache>
                <c:ptCount val="1"/>
                <c:pt idx="0">
                  <c:v>Podíl z celku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'Graf SITC'!$A$12:$A$21</c:f>
              <c:strCache>
                <c:ptCount val="10"/>
                <c:pt idx="0">
                  <c:v>Živočišné a rostlinné oleje</c:v>
                </c:pt>
                <c:pt idx="1">
                  <c:v>Komodity nezatříděné</c:v>
                </c:pt>
                <c:pt idx="2">
                  <c:v>Nápoje a tabák</c:v>
                </c:pt>
                <c:pt idx="3">
                  <c:v>Minerální paliva, maziva</c:v>
                </c:pt>
                <c:pt idx="4">
                  <c:v>Suroviny</c:v>
                </c:pt>
                <c:pt idx="5">
                  <c:v>Potraviny a živá zvířata</c:v>
                </c:pt>
                <c:pt idx="6">
                  <c:v>Chemikálie a příbuzné výrobky</c:v>
                </c:pt>
                <c:pt idx="7">
                  <c:v>Průmyslové spotřební zboží</c:v>
                </c:pt>
                <c:pt idx="8">
                  <c:v>Polotovary a materiály</c:v>
                </c:pt>
                <c:pt idx="9">
                  <c:v>Stroje a dopravní prostředky</c:v>
                </c:pt>
              </c:strCache>
            </c:strRef>
          </c:cat>
          <c:val>
            <c:numRef>
              <c:f>'Graf SITC'!$B$12:$B$21</c:f>
              <c:numCache>
                <c:formatCode>0.0</c:formatCode>
                <c:ptCount val="10"/>
                <c:pt idx="0">
                  <c:v>0.24922350460166645</c:v>
                </c:pt>
                <c:pt idx="1">
                  <c:v>0.29584188146840723</c:v>
                </c:pt>
                <c:pt idx="2">
                  <c:v>0.46071105202232637</c:v>
                </c:pt>
                <c:pt idx="3">
                  <c:v>2.2249028664427914</c:v>
                </c:pt>
                <c:pt idx="4">
                  <c:v>2.61555741481473</c:v>
                </c:pt>
                <c:pt idx="5">
                  <c:v>3.8706719693757092</c:v>
                </c:pt>
                <c:pt idx="6">
                  <c:v>6.5790363434229979</c:v>
                </c:pt>
                <c:pt idx="7">
                  <c:v>11.583420247332409</c:v>
                </c:pt>
                <c:pt idx="8">
                  <c:v>17.595242461404453</c:v>
                </c:pt>
                <c:pt idx="9">
                  <c:v>54.525363606147778</c:v>
                </c:pt>
              </c:numCache>
            </c:numRef>
          </c:val>
        </c:ser>
        <c:dLbls>
          <c:showLegendKey val="0"/>
          <c:showVal val="0"/>
          <c:showCatName val="0"/>
          <c:showSerName val="0"/>
          <c:showPercent val="0"/>
          <c:showBubbleSize val="0"/>
        </c:dLbls>
        <c:gapWidth val="182"/>
        <c:axId val="283492816"/>
        <c:axId val="283493208"/>
      </c:barChart>
      <c:catAx>
        <c:axId val="2834928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crossAx val="283493208"/>
        <c:crosses val="autoZero"/>
        <c:auto val="1"/>
        <c:lblAlgn val="ctr"/>
        <c:lblOffset val="100"/>
        <c:noMultiLvlLbl val="0"/>
      </c:catAx>
      <c:valAx>
        <c:axId val="283493208"/>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crossAx val="28349281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800" b="0" i="0" u="none" strike="noStrike" kern="1200" spc="0" baseline="0">
                <a:solidFill>
                  <a:schemeClr val="tx1">
                    <a:lumMod val="65000"/>
                    <a:lumOff val="35000"/>
                  </a:schemeClr>
                </a:solidFill>
                <a:latin typeface="+mn-lt"/>
                <a:ea typeface="+mn-ea"/>
                <a:cs typeface="+mn-cs"/>
              </a:defRPr>
            </a:pPr>
            <a:r>
              <a:rPr lang="en-US" sz="800"/>
              <a:t>Struktura exportu v roce 2017 podle </a:t>
            </a:r>
            <a:r>
              <a:rPr lang="cs-CZ" sz="800"/>
              <a:t>vybraných zemí</a:t>
            </a:r>
            <a:r>
              <a:rPr lang="en-US" sz="800"/>
              <a:t> </a:t>
            </a:r>
            <a:r>
              <a:rPr lang="cs-CZ" sz="800"/>
              <a:t>(</a:t>
            </a:r>
            <a:r>
              <a:rPr lang="en-US" sz="800"/>
              <a:t>v</a:t>
            </a:r>
            <a:r>
              <a:rPr lang="cs-CZ" sz="800"/>
              <a:t> %)</a:t>
            </a:r>
            <a:r>
              <a:rPr lang="en-US" sz="800"/>
              <a:t> </a:t>
            </a:r>
            <a:endParaRPr lang="cs-CZ" sz="800"/>
          </a:p>
        </c:rich>
      </c:tx>
      <c:layout>
        <c:manualLayout>
          <c:xMode val="edge"/>
          <c:yMode val="edge"/>
          <c:x val="0.13153200392398579"/>
          <c:y val="3.6169425900042539E-2"/>
        </c:manualLayout>
      </c:layout>
      <c:overlay val="0"/>
      <c:spPr>
        <a:noFill/>
        <a:ln>
          <a:noFill/>
        </a:ln>
        <a:effectLst/>
      </c:spPr>
      <c:txPr>
        <a:bodyPr rot="0" spcFirstLastPara="1" vertOverflow="ellipsis" vert="horz" wrap="square" anchor="ctr" anchorCtr="1"/>
        <a:lstStyle/>
        <a:p>
          <a:pPr>
            <a:defRPr sz="8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manualLayout>
          <c:layoutTarget val="inner"/>
          <c:xMode val="edge"/>
          <c:yMode val="edge"/>
          <c:x val="0.25483712268113429"/>
          <c:y val="0.16481882014505519"/>
          <c:w val="0.49032560237253536"/>
          <c:h val="0.68925463638280271"/>
        </c:manualLayout>
      </c:layout>
      <c:pieChart>
        <c:varyColors val="1"/>
        <c:ser>
          <c:idx val="2"/>
          <c:order val="0"/>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dPt>
            <c:idx val="5"/>
            <c:bubble3D val="0"/>
            <c:spPr>
              <a:solidFill>
                <a:schemeClr val="accent6"/>
              </a:solidFill>
              <a:ln w="19050">
                <a:solidFill>
                  <a:schemeClr val="lt1"/>
                </a:solidFill>
              </a:ln>
              <a:effectLst/>
            </c:spPr>
          </c:dPt>
          <c:dLbls>
            <c:spPr>
              <a:solidFill>
                <a:sysClr val="window" lastClr="FFFFFF"/>
              </a:solidFill>
              <a:ln>
                <a:noFill/>
              </a:ln>
              <a:effectLst/>
            </c:spPr>
            <c:txPr>
              <a:bodyPr rot="0" spcFirstLastPara="1" vertOverflow="clip" horzOverflow="clip" vert="horz" wrap="square" lIns="38100" tIns="19050" rIns="38100" bIns="19050" anchor="ctr" anchorCtr="1">
                <a:spAutoFit/>
              </a:bodyPr>
              <a:lstStyle/>
              <a:p>
                <a:pPr>
                  <a:defRPr sz="800" b="0" i="0" u="none" strike="noStrike" kern="1200" baseline="0">
                    <a:solidFill>
                      <a:schemeClr val="dk1">
                        <a:lumMod val="65000"/>
                        <a:lumOff val="35000"/>
                      </a:schemeClr>
                    </a:solidFill>
                    <a:latin typeface="+mn-lt"/>
                    <a:ea typeface="+mn-ea"/>
                    <a:cs typeface="+mn-cs"/>
                  </a:defRPr>
                </a:pPr>
                <a:endParaRPr lang="cs-CZ"/>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rect">
                    <a:avLst/>
                  </a:prstGeom>
                  <a:noFill/>
                  <a:ln>
                    <a:noFill/>
                  </a:ln>
                </c15:spPr>
              </c:ext>
            </c:extLst>
          </c:dLbls>
          <c:cat>
            <c:strRef>
              <c:f>'Graf Země'!$A$6:$F$6</c:f>
              <c:strCache>
                <c:ptCount val="6"/>
                <c:pt idx="0">
                  <c:v>Německo</c:v>
                </c:pt>
                <c:pt idx="1">
                  <c:v>Slovensko</c:v>
                </c:pt>
                <c:pt idx="2">
                  <c:v>Polsko</c:v>
                </c:pt>
                <c:pt idx="3">
                  <c:v>Francie</c:v>
                </c:pt>
                <c:pt idx="4">
                  <c:v>Spojené království</c:v>
                </c:pt>
                <c:pt idx="5">
                  <c:v>Ostatní</c:v>
                </c:pt>
              </c:strCache>
            </c:strRef>
          </c:cat>
          <c:val>
            <c:numRef>
              <c:f>'Graf Země'!$A$7:$F$7</c:f>
              <c:numCache>
                <c:formatCode>#\ ##0.0_ ;\-#\ ##0.0\ </c:formatCode>
                <c:ptCount val="6"/>
                <c:pt idx="0">
                  <c:v>32.23656462390116</c:v>
                </c:pt>
                <c:pt idx="1">
                  <c:v>9.0033925112606159</c:v>
                </c:pt>
                <c:pt idx="2">
                  <c:v>6.3856288180078176</c:v>
                </c:pt>
                <c:pt idx="3">
                  <c:v>5.0635809331698205</c:v>
                </c:pt>
                <c:pt idx="4">
                  <c:v>4.7706903072744149</c:v>
                </c:pt>
                <c:pt idx="5">
                  <c:v>42.5</c:v>
                </c:pt>
              </c:numCache>
            </c:numRef>
          </c:val>
        </c:ser>
        <c:ser>
          <c:idx val="0"/>
          <c:order val="1"/>
          <c:dPt>
            <c:idx val="0"/>
            <c:bubble3D val="0"/>
            <c:spPr>
              <a:solidFill>
                <a:schemeClr val="accent1"/>
              </a:solidFill>
              <a:ln w="19050">
                <a:solidFill>
                  <a:schemeClr val="lt1"/>
                </a:solidFill>
              </a:ln>
              <a:effectLst/>
            </c:spPr>
          </c:dPt>
          <c:dLbls>
            <c:spPr>
              <a:solidFill>
                <a:sysClr val="window" lastClr="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800" b="0" i="0" u="none" strike="noStrike" kern="1200" baseline="0">
                    <a:solidFill>
                      <a:schemeClr val="dk1">
                        <a:lumMod val="65000"/>
                        <a:lumOff val="35000"/>
                      </a:schemeClr>
                    </a:solidFill>
                    <a:latin typeface="+mn-lt"/>
                    <a:ea typeface="+mn-ea"/>
                    <a:cs typeface="+mn-cs"/>
                  </a:defRPr>
                </a:pPr>
                <a:endParaRPr lang="cs-CZ"/>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'Graf Země'!$A$6:$F$6</c:f>
              <c:strCache>
                <c:ptCount val="6"/>
                <c:pt idx="0">
                  <c:v>Německo</c:v>
                </c:pt>
                <c:pt idx="1">
                  <c:v>Slovensko</c:v>
                </c:pt>
                <c:pt idx="2">
                  <c:v>Polsko</c:v>
                </c:pt>
                <c:pt idx="3">
                  <c:v>Francie</c:v>
                </c:pt>
                <c:pt idx="4">
                  <c:v>Spojené království</c:v>
                </c:pt>
                <c:pt idx="5">
                  <c:v>Ostatní</c:v>
                </c:pt>
              </c:strCache>
            </c:strRef>
          </c:cat>
          <c:val>
            <c:numRef>
              <c:f>List1!#REF!</c:f>
              <c:numCache>
                <c:formatCode>General</c:formatCode>
                <c:ptCount val="1"/>
                <c:pt idx="0">
                  <c:v>1</c:v>
                </c:pt>
              </c:numCache>
            </c:numRef>
          </c:val>
        </c:ser>
        <c:ser>
          <c:idx val="1"/>
          <c:order val="2"/>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dPt>
            <c:idx val="2"/>
            <c:bubble3D val="0"/>
            <c:spPr>
              <a:solidFill>
                <a:schemeClr val="accent3"/>
              </a:solidFill>
              <a:ln w="19050">
                <a:solidFill>
                  <a:schemeClr val="lt1"/>
                </a:solidFill>
              </a:ln>
              <a:effectLst/>
            </c:spPr>
          </c:dPt>
          <c:dPt>
            <c:idx val="3"/>
            <c:bubble3D val="0"/>
            <c:spPr>
              <a:solidFill>
                <a:schemeClr val="accent4"/>
              </a:solidFill>
              <a:ln w="19050">
                <a:solidFill>
                  <a:schemeClr val="lt1"/>
                </a:solidFill>
              </a:ln>
              <a:effectLst/>
            </c:spPr>
          </c:dPt>
          <c:dPt>
            <c:idx val="4"/>
            <c:bubble3D val="0"/>
            <c:spPr>
              <a:solidFill>
                <a:schemeClr val="accent5"/>
              </a:solidFill>
              <a:ln w="19050">
                <a:solidFill>
                  <a:schemeClr val="lt1"/>
                </a:solidFill>
              </a:ln>
              <a:effectLst/>
            </c:spPr>
          </c:dPt>
          <c:dPt>
            <c:idx val="5"/>
            <c:bubble3D val="0"/>
            <c:spPr>
              <a:solidFill>
                <a:schemeClr val="accent6"/>
              </a:solidFill>
              <a:ln w="19050">
                <a:solidFill>
                  <a:schemeClr val="lt1"/>
                </a:solidFill>
              </a:ln>
              <a:effectLst/>
            </c:spPr>
          </c:dPt>
          <c:dLbls>
            <c:spPr>
              <a:solidFill>
                <a:sysClr val="window" lastClr="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800" b="0" i="0" u="none" strike="noStrike" kern="1200" baseline="0">
                    <a:solidFill>
                      <a:schemeClr val="dk1">
                        <a:lumMod val="65000"/>
                        <a:lumOff val="35000"/>
                      </a:schemeClr>
                    </a:solidFill>
                    <a:latin typeface="+mn-lt"/>
                    <a:ea typeface="+mn-ea"/>
                    <a:cs typeface="+mn-cs"/>
                  </a:defRPr>
                </a:pPr>
                <a:endParaRPr lang="cs-CZ"/>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'Graf Země'!$A$6:$F$6</c:f>
              <c:strCache>
                <c:ptCount val="6"/>
                <c:pt idx="0">
                  <c:v>Německo</c:v>
                </c:pt>
                <c:pt idx="1">
                  <c:v>Slovensko</c:v>
                </c:pt>
                <c:pt idx="2">
                  <c:v>Polsko</c:v>
                </c:pt>
                <c:pt idx="3">
                  <c:v>Francie</c:v>
                </c:pt>
                <c:pt idx="4">
                  <c:v>Spojené království</c:v>
                </c:pt>
                <c:pt idx="5">
                  <c:v>Ostatní</c:v>
                </c:pt>
              </c:strCache>
            </c:strRef>
          </c:cat>
          <c:val>
            <c:numRef>
              <c:f>'Graf Země'!$A$7:$F$7</c:f>
              <c:numCache>
                <c:formatCode>#\ ##0.0_ ;\-#\ ##0.0\ </c:formatCode>
                <c:ptCount val="6"/>
                <c:pt idx="0">
                  <c:v>32.23656462390116</c:v>
                </c:pt>
                <c:pt idx="1">
                  <c:v>9.0033925112606159</c:v>
                </c:pt>
                <c:pt idx="2">
                  <c:v>6.3856288180078176</c:v>
                </c:pt>
                <c:pt idx="3">
                  <c:v>5.0635809331698205</c:v>
                </c:pt>
                <c:pt idx="4">
                  <c:v>4.7706903072744149</c:v>
                </c:pt>
                <c:pt idx="5">
                  <c:v>42.5</c:v>
                </c:pt>
              </c:numCache>
            </c:numRef>
          </c:val>
        </c:ser>
        <c:dLbls>
          <c:showLegendKey val="0"/>
          <c:showVal val="0"/>
          <c:showCatName val="0"/>
          <c:showSerName val="0"/>
          <c:showPercent val="0"/>
          <c:showBubbleSize val="0"/>
          <c:showLeaderLines val="0"/>
        </c:dLbls>
        <c:firstSliceAng val="0"/>
      </c:pie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pPr>
      <a:endParaRPr lang="cs-CZ"/>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1"/>
          <c:order val="1"/>
          <c:tx>
            <c:strRef>
              <c:f>Graf2!$D$13</c:f>
              <c:strCache>
                <c:ptCount val="1"/>
                <c:pt idx="0">
                  <c:v>Saldo ZO/HDP (%)</c:v>
                </c:pt>
              </c:strCache>
            </c:strRef>
          </c:tx>
          <c:spPr>
            <a:solidFill>
              <a:schemeClr val="accent2"/>
            </a:solidFill>
            <a:ln>
              <a:noFill/>
            </a:ln>
            <a:effectLst/>
          </c:spPr>
          <c:invertIfNegative val="0"/>
          <c:cat>
            <c:numRef>
              <c:f>Graf2!$A$15:$A$28</c:f>
              <c:numCache>
                <c:formatCode>General</c:formatCode>
                <c:ptCount val="14"/>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numCache>
            </c:numRef>
          </c:cat>
          <c:val>
            <c:numRef>
              <c:f>Graf2!$D$15:$D$28</c:f>
              <c:numCache>
                <c:formatCode>General</c:formatCode>
                <c:ptCount val="14"/>
                <c:pt idx="0">
                  <c:v>-1.2005485375297735</c:v>
                </c:pt>
                <c:pt idx="1">
                  <c:v>0.81255363363379041</c:v>
                </c:pt>
                <c:pt idx="2">
                  <c:v>2.3486560665447449</c:v>
                </c:pt>
                <c:pt idx="3">
                  <c:v>2.7400949328711754</c:v>
                </c:pt>
                <c:pt idx="4">
                  <c:v>2.4450296696689189</c:v>
                </c:pt>
                <c:pt idx="5">
                  <c:v>2.1639032861122081</c:v>
                </c:pt>
                <c:pt idx="6">
                  <c:v>3.8758307341551479</c:v>
                </c:pt>
                <c:pt idx="7">
                  <c:v>3.0919649995558318</c:v>
                </c:pt>
                <c:pt idx="8">
                  <c:v>3.8293351976012429</c:v>
                </c:pt>
                <c:pt idx="9">
                  <c:v>4.8026903046174398</c:v>
                </c:pt>
                <c:pt idx="10">
                  <c:v>5.7637291953789633</c:v>
                </c:pt>
                <c:pt idx="11">
                  <c:v>6.3644281164424124</c:v>
                </c:pt>
                <c:pt idx="12">
                  <c:v>5.9987384086672497</c:v>
                </c:pt>
                <c:pt idx="13">
                  <c:v>7.4834493970552503</c:v>
                </c:pt>
              </c:numCache>
            </c:numRef>
          </c:val>
        </c:ser>
        <c:dLbls>
          <c:showLegendKey val="0"/>
          <c:showVal val="0"/>
          <c:showCatName val="0"/>
          <c:showSerName val="0"/>
          <c:showPercent val="0"/>
          <c:showBubbleSize val="0"/>
        </c:dLbls>
        <c:gapWidth val="150"/>
        <c:axId val="283494776"/>
        <c:axId val="283072664"/>
      </c:barChart>
      <c:lineChart>
        <c:grouping val="standard"/>
        <c:varyColors val="0"/>
        <c:ser>
          <c:idx val="0"/>
          <c:order val="0"/>
          <c:tx>
            <c:strRef>
              <c:f>Graf2!$E$13</c:f>
              <c:strCache>
                <c:ptCount val="1"/>
                <c:pt idx="0">
                  <c:v>dynamika vývozu zboží a služeb</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Graf2!$A$15:$A$28</c:f>
              <c:numCache>
                <c:formatCode>General</c:formatCode>
                <c:ptCount val="14"/>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numCache>
            </c:numRef>
          </c:cat>
          <c:val>
            <c:numRef>
              <c:f>Graf2!$E$15:$E$28</c:f>
              <c:numCache>
                <c:formatCode>General</c:formatCode>
                <c:ptCount val="14"/>
                <c:pt idx="0">
                  <c:v>8.9602097166524111</c:v>
                </c:pt>
                <c:pt idx="1">
                  <c:v>33.264349524667878</c:v>
                </c:pt>
                <c:pt idx="2">
                  <c:v>15.836979872912526</c:v>
                </c:pt>
                <c:pt idx="3">
                  <c:v>12.930286050419015</c:v>
                </c:pt>
                <c:pt idx="4">
                  <c:v>11.475795653405951</c:v>
                </c:pt>
                <c:pt idx="5">
                  <c:v>-0.23378522496007026</c:v>
                </c:pt>
                <c:pt idx="6">
                  <c:v>-9.3858482125491083</c:v>
                </c:pt>
                <c:pt idx="7">
                  <c:v>13.567036916517349</c:v>
                </c:pt>
                <c:pt idx="8">
                  <c:v>9.8893156592203102</c:v>
                </c:pt>
                <c:pt idx="9">
                  <c:v>7.4305451403269496</c:v>
                </c:pt>
                <c:pt idx="10">
                  <c:v>1.9460923018598031</c:v>
                </c:pt>
                <c:pt idx="11">
                  <c:v>13.052721903025176</c:v>
                </c:pt>
                <c:pt idx="12">
                  <c:v>4.7238776508659486</c:v>
                </c:pt>
                <c:pt idx="13">
                  <c:v>1.9015935927331862</c:v>
                </c:pt>
              </c:numCache>
            </c:numRef>
          </c:val>
          <c:smooth val="0"/>
        </c:ser>
        <c:dLbls>
          <c:showLegendKey val="0"/>
          <c:showVal val="0"/>
          <c:showCatName val="0"/>
          <c:showSerName val="0"/>
          <c:showPercent val="0"/>
          <c:showBubbleSize val="0"/>
        </c:dLbls>
        <c:marker val="1"/>
        <c:smooth val="0"/>
        <c:axId val="283073448"/>
        <c:axId val="283073056"/>
      </c:lineChart>
      <c:catAx>
        <c:axId val="283494776"/>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072664"/>
        <c:crosses val="autoZero"/>
        <c:auto val="1"/>
        <c:lblAlgn val="ctr"/>
        <c:lblOffset val="100"/>
        <c:noMultiLvlLbl val="0"/>
      </c:catAx>
      <c:valAx>
        <c:axId val="2830726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Saldo ZO/HDP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494776"/>
        <c:crosses val="autoZero"/>
        <c:crossBetween val="between"/>
      </c:valAx>
      <c:valAx>
        <c:axId val="283073056"/>
        <c:scaling>
          <c:orientation val="minMax"/>
          <c:min val="-10"/>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M</a:t>
                </a:r>
                <a:r>
                  <a:rPr lang="en-US"/>
                  <a:t>eziroční dynamika vývozu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073448"/>
        <c:crosses val="max"/>
        <c:crossBetween val="between"/>
      </c:valAx>
      <c:catAx>
        <c:axId val="283073448"/>
        <c:scaling>
          <c:orientation val="minMax"/>
        </c:scaling>
        <c:delete val="1"/>
        <c:axPos val="b"/>
        <c:numFmt formatCode="General" sourceLinked="1"/>
        <c:majorTickMark val="none"/>
        <c:minorTickMark val="none"/>
        <c:tickLblPos val="nextTo"/>
        <c:crossAx val="283073056"/>
        <c:crossesAt val="0"/>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dLbls>
            <c:dLbl>
              <c:idx val="0"/>
              <c:tx>
                <c:rich>
                  <a:bodyPr/>
                  <a:lstStyle/>
                  <a:p>
                    <a:fld id="{23663695-4A1D-4506-A9F4-755DCAB09410}"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Lst>
            </c:dLbl>
            <c:dLbl>
              <c:idx val="1"/>
              <c:tx>
                <c:rich>
                  <a:bodyPr/>
                  <a:lstStyle/>
                  <a:p>
                    <a:fld id="{D11ADE58-AF28-4EB3-AC3C-460CD2795C5F}"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dLbl>
              <c:idx val="2"/>
              <c:tx>
                <c:rich>
                  <a:bodyPr/>
                  <a:lstStyle/>
                  <a:p>
                    <a:fld id="{94568891-4671-4BCD-9F32-C3F89125D7AF}"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dLbl>
              <c:idx val="3"/>
              <c:tx>
                <c:rich>
                  <a:bodyPr/>
                  <a:lstStyle/>
                  <a:p>
                    <a:fld id="{CECDEC2F-DB61-4F00-811E-08CD4A0FBB64}"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dLbl>
              <c:idx val="4"/>
              <c:tx>
                <c:rich>
                  <a:bodyPr/>
                  <a:lstStyle/>
                  <a:p>
                    <a:fld id="{B9687FB0-E99D-489B-B7CA-E090C31C3C21}"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dLbl>
              <c:idx val="5"/>
              <c:tx>
                <c:rich>
                  <a:bodyPr/>
                  <a:lstStyle/>
                  <a:p>
                    <a:fld id="{BCA8F178-A41E-4DF8-B63B-820285D0027E}"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dLbl>
              <c:idx val="6"/>
              <c:tx>
                <c:rich>
                  <a:bodyPr/>
                  <a:lstStyle/>
                  <a:p>
                    <a:fld id="{53D47633-37DD-4A02-BA3F-4CCC0A896B24}"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dLbl>
              <c:idx val="7"/>
              <c:tx>
                <c:rich>
                  <a:bodyPr/>
                  <a:lstStyle/>
                  <a:p>
                    <a:fld id="{A32F5DE5-812C-4707-A682-DD5AFBEADC40}"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dLbl>
              <c:idx val="8"/>
              <c:layout>
                <c:manualLayout>
                  <c:x val="0"/>
                  <c:y val="1.60333493666827E-2"/>
                </c:manualLayout>
              </c:layout>
              <c:tx>
                <c:rich>
                  <a:bodyPr/>
                  <a:lstStyle/>
                  <a:p>
                    <a:fld id="{8AC78DCD-C0EA-4198-9BF8-FC7B0DE88B9F}"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Lst>
            </c:dLbl>
            <c:dLbl>
              <c:idx val="9"/>
              <c:layout>
                <c:manualLayout>
                  <c:x val="-2.0635575732562937E-3"/>
                  <c:y val="2.886002886002886E-2"/>
                </c:manualLayout>
              </c:layout>
              <c:tx>
                <c:rich>
                  <a:bodyPr/>
                  <a:lstStyle/>
                  <a:p>
                    <a:fld id="{E39ABE8D-491A-43D8-978B-4C5B59EEFDEF}"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Lst>
            </c:dLbl>
            <c:dLbl>
              <c:idx val="10"/>
              <c:tx>
                <c:rich>
                  <a:bodyPr/>
                  <a:lstStyle/>
                  <a:p>
                    <a:fld id="{9FA15938-54B1-4D22-9EBA-6CEE3C6D99ED}"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dLbl>
              <c:idx val="11"/>
              <c:tx>
                <c:rich>
                  <a:bodyPr/>
                  <a:lstStyle/>
                  <a:p>
                    <a:fld id="{87AD3960-B95C-41B6-A819-6E544118D400}"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dLbl>
              <c:idx val="12"/>
              <c:tx>
                <c:rich>
                  <a:bodyPr/>
                  <a:lstStyle/>
                  <a:p>
                    <a:fld id="{EA327F12-955A-48D5-9A56-E9D28A0F5E03}"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xVal>
            <c:numRef>
              <c:f>'export - BI'!$D$3:$D$15</c:f>
              <c:numCache>
                <c:formatCode>0.00</c:formatCode>
                <c:ptCount val="13"/>
                <c:pt idx="0">
                  <c:v>19.97</c:v>
                </c:pt>
                <c:pt idx="1">
                  <c:v>9.98</c:v>
                </c:pt>
                <c:pt idx="2">
                  <c:v>7.23</c:v>
                </c:pt>
                <c:pt idx="3">
                  <c:v>6.85</c:v>
                </c:pt>
                <c:pt idx="4">
                  <c:v>5.9</c:v>
                </c:pt>
                <c:pt idx="5">
                  <c:v>5.15</c:v>
                </c:pt>
                <c:pt idx="6">
                  <c:v>5.05</c:v>
                </c:pt>
                <c:pt idx="7">
                  <c:v>2.7</c:v>
                </c:pt>
                <c:pt idx="8">
                  <c:v>2.63</c:v>
                </c:pt>
                <c:pt idx="9">
                  <c:v>2.48</c:v>
                </c:pt>
                <c:pt idx="10">
                  <c:v>2.25</c:v>
                </c:pt>
                <c:pt idx="11">
                  <c:v>2.14</c:v>
                </c:pt>
                <c:pt idx="12">
                  <c:v>2.11</c:v>
                </c:pt>
              </c:numCache>
            </c:numRef>
          </c:xVal>
          <c:yVal>
            <c:numRef>
              <c:f>'export - BI'!$F$3:$F$15</c:f>
              <c:numCache>
                <c:formatCode>0.00</c:formatCode>
                <c:ptCount val="13"/>
                <c:pt idx="0">
                  <c:v>2.56</c:v>
                </c:pt>
                <c:pt idx="1">
                  <c:v>1.1599999999999999</c:v>
                </c:pt>
                <c:pt idx="2">
                  <c:v>2.2599999999999998</c:v>
                </c:pt>
                <c:pt idx="3">
                  <c:v>1.79</c:v>
                </c:pt>
                <c:pt idx="4">
                  <c:v>1.58</c:v>
                </c:pt>
                <c:pt idx="5">
                  <c:v>2.3199999999999998</c:v>
                </c:pt>
                <c:pt idx="6">
                  <c:v>1.1200000000000001</c:v>
                </c:pt>
                <c:pt idx="7">
                  <c:v>1.2</c:v>
                </c:pt>
                <c:pt idx="8">
                  <c:v>1.1299999999999999</c:v>
                </c:pt>
                <c:pt idx="9">
                  <c:v>1.08</c:v>
                </c:pt>
                <c:pt idx="10">
                  <c:v>0.62</c:v>
                </c:pt>
                <c:pt idx="11">
                  <c:v>2.16</c:v>
                </c:pt>
                <c:pt idx="12">
                  <c:v>2.7</c:v>
                </c:pt>
              </c:numCache>
            </c:numRef>
          </c:yVal>
          <c:smooth val="0"/>
          <c:extLst>
            <c:ext xmlns:c15="http://schemas.microsoft.com/office/drawing/2012/chart" uri="{02D57815-91ED-43cb-92C2-25804820EDAC}">
              <c15:datalabelsRange>
                <c15:f>'export - BI'!$A$3:$A$15</c15:f>
                <c15:dlblRangeCache>
                  <c:ptCount val="13"/>
                  <c:pt idx="0">
                    <c:v>78</c:v>
                  </c:pt>
                  <c:pt idx="1">
                    <c:v>77</c:v>
                  </c:pt>
                  <c:pt idx="2">
                    <c:v>75</c:v>
                  </c:pt>
                  <c:pt idx="3">
                    <c:v>74</c:v>
                  </c:pt>
                  <c:pt idx="4">
                    <c:v>89</c:v>
                  </c:pt>
                  <c:pt idx="5">
                    <c:v>69</c:v>
                  </c:pt>
                  <c:pt idx="6">
                    <c:v>76</c:v>
                  </c:pt>
                  <c:pt idx="7">
                    <c:v>71</c:v>
                  </c:pt>
                  <c:pt idx="8">
                    <c:v>67</c:v>
                  </c:pt>
                  <c:pt idx="9">
                    <c:v>72</c:v>
                  </c:pt>
                  <c:pt idx="10">
                    <c:v>21</c:v>
                  </c:pt>
                  <c:pt idx="11">
                    <c:v>82</c:v>
                  </c:pt>
                  <c:pt idx="12">
                    <c:v>62</c:v>
                  </c:pt>
                </c15:dlblRangeCache>
              </c15:datalabelsRange>
            </c:ext>
          </c:extLst>
        </c:ser>
        <c:dLbls>
          <c:showLegendKey val="0"/>
          <c:showVal val="1"/>
          <c:showCatName val="0"/>
          <c:showSerName val="0"/>
          <c:showPercent val="0"/>
          <c:showBubbleSize val="0"/>
        </c:dLbls>
        <c:axId val="283074624"/>
        <c:axId val="283075016"/>
      </c:scatterChart>
      <c:valAx>
        <c:axId val="28307462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Průměrný</a:t>
                </a:r>
                <a:r>
                  <a:rPr lang="cs-CZ" baseline="0"/>
                  <a:t> podíl na exportu ČR 2014-2016</a:t>
                </a:r>
                <a:endParaRPr lang="cs-CZ"/>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075016"/>
        <c:crosses val="autoZero"/>
        <c:crossBetween val="midCat"/>
      </c:valAx>
      <c:valAx>
        <c:axId val="2830750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Balassův</a:t>
                </a:r>
                <a:r>
                  <a:rPr lang="cs-CZ" baseline="0"/>
                  <a:t> index 2014-2016</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07462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List5!$D$41:$D$96</c:f>
              <c:strCache>
                <c:ptCount val="56"/>
                <c:pt idx="0">
                  <c:v>A01 Crop and animal production, hunting and related service activities</c:v>
                </c:pt>
                <c:pt idx="1">
                  <c:v>A02 Forestry and logging</c:v>
                </c:pt>
                <c:pt idx="2">
                  <c:v>A03 Fishing and aquaculture</c:v>
                </c:pt>
                <c:pt idx="3">
                  <c:v>B05 Mining of coal and lignite</c:v>
                </c:pt>
                <c:pt idx="4">
                  <c:v>B06 Extraction of crude petroleum and natural gas</c:v>
                </c:pt>
                <c:pt idx="5">
                  <c:v>B07 Mining of metal ores</c:v>
                </c:pt>
                <c:pt idx="6">
                  <c:v>B08 Other mining and quarrying</c:v>
                </c:pt>
                <c:pt idx="7">
                  <c:v>B09 Mining support service activities</c:v>
                </c:pt>
                <c:pt idx="8">
                  <c:v>C10 Manufacture of food products</c:v>
                </c:pt>
                <c:pt idx="9">
                  <c:v>C11 Manufacture of beverages</c:v>
                </c:pt>
                <c:pt idx="10">
                  <c:v>C12 Manufacture of tobacco products</c:v>
                </c:pt>
                <c:pt idx="11">
                  <c:v>C13 Manufacture of textiles</c:v>
                </c:pt>
                <c:pt idx="12">
                  <c:v>C14 Manufacture of wearing apparel</c:v>
                </c:pt>
                <c:pt idx="13">
                  <c:v>C15 Manufacture of leather and related products</c:v>
                </c:pt>
                <c:pt idx="14">
                  <c:v>C16 Manufacture of wood and of products of wood and cork, except furniture; manufacture of articles of straw and plaiting materials</c:v>
                </c:pt>
                <c:pt idx="15">
                  <c:v>C17 Manufacture of paper and paper products</c:v>
                </c:pt>
                <c:pt idx="16">
                  <c:v>C18 Printing and reproduction of recorded media</c:v>
                </c:pt>
                <c:pt idx="17">
                  <c:v>C19 Manufacture of coke and refined petroleum products</c:v>
                </c:pt>
                <c:pt idx="18">
                  <c:v>C20 Manufacture of chemicals and chemical products</c:v>
                </c:pt>
                <c:pt idx="19">
                  <c:v>C21 Manufacture of basic pharmaceutical products and pharmaceutical preparations</c:v>
                </c:pt>
                <c:pt idx="20">
                  <c:v>C22 Manufacture of rubber and plastic products</c:v>
                </c:pt>
                <c:pt idx="21">
                  <c:v>C23 Manufacture of other non-metallic mineral products</c:v>
                </c:pt>
                <c:pt idx="22">
                  <c:v>C24 Manufacture of basic metals</c:v>
                </c:pt>
                <c:pt idx="23">
                  <c:v>C25 Manufacture of fabricated metal products, except machinery and equipment</c:v>
                </c:pt>
                <c:pt idx="24">
                  <c:v>C26 Manufacture of computer, electronic and optical products</c:v>
                </c:pt>
                <c:pt idx="25">
                  <c:v>C27 Manufacture of electrical equipment</c:v>
                </c:pt>
                <c:pt idx="26">
                  <c:v>C28 Manufacture of machinery and equipment n.e.c.</c:v>
                </c:pt>
                <c:pt idx="27">
                  <c:v>C29 Manufacture of motor vehicles, trailers and semi-trailers</c:v>
                </c:pt>
                <c:pt idx="28">
                  <c:v>C30 Manufacture of other transport equipment</c:v>
                </c:pt>
                <c:pt idx="29">
                  <c:v>C31 Manufacture of furniture</c:v>
                </c:pt>
                <c:pt idx="30">
                  <c:v>C32 Other manufacturing</c:v>
                </c:pt>
                <c:pt idx="31">
                  <c:v>C33 Repair and installation of machinery and equipment</c:v>
                </c:pt>
                <c:pt idx="32">
                  <c:v>D Electricity, gas, steam and air conditioning supply</c:v>
                </c:pt>
                <c:pt idx="33">
                  <c:v>E36 Water collection, treatment and supply</c:v>
                </c:pt>
                <c:pt idx="34">
                  <c:v>E37 Sewerage</c:v>
                </c:pt>
                <c:pt idx="35">
                  <c:v>E38 Waste collection, treatment and disposal activities; materials recovery</c:v>
                </c:pt>
                <c:pt idx="36">
                  <c:v>E39 Remediation activities and other waste management services</c:v>
                </c:pt>
                <c:pt idx="37">
                  <c:v>F41 Construction of buildings</c:v>
                </c:pt>
                <c:pt idx="38">
                  <c:v>F42 Civil engineering</c:v>
                </c:pt>
                <c:pt idx="39">
                  <c:v>F43 Specialised construction activities</c:v>
                </c:pt>
                <c:pt idx="40">
                  <c:v>G45 Wholesale and retail trade and repair of motor vehicles and motorcycles</c:v>
                </c:pt>
                <c:pt idx="41">
                  <c:v>G46 Wholesale trade, except of motor vehicles and motorcycles</c:v>
                </c:pt>
                <c:pt idx="42">
                  <c:v>G47 Retail trade, except of motor vehicles and motorcycles</c:v>
                </c:pt>
                <c:pt idx="43">
                  <c:v>H49 Land transport and transport via pipelines</c:v>
                </c:pt>
                <c:pt idx="44">
                  <c:v>H50 Water transport</c:v>
                </c:pt>
                <c:pt idx="45">
                  <c:v>H51 Air transport</c:v>
                </c:pt>
                <c:pt idx="46">
                  <c:v>H52 Warehousing and support activities for transportation</c:v>
                </c:pt>
                <c:pt idx="47">
                  <c:v>H53 Postal and courier activities</c:v>
                </c:pt>
                <c:pt idx="48">
                  <c:v>I55 Accommodation</c:v>
                </c:pt>
                <c:pt idx="49">
                  <c:v>I56 Food and beverage service activities</c:v>
                </c:pt>
                <c:pt idx="50">
                  <c:v>J58 Publishing activities</c:v>
                </c:pt>
                <c:pt idx="51">
                  <c:v>J59 Motion picture, video and television programme production, sound recording and music publishing activities</c:v>
                </c:pt>
                <c:pt idx="52">
                  <c:v>J60 Programming and broadcasting activities</c:v>
                </c:pt>
                <c:pt idx="53">
                  <c:v>J61 Telecommunications</c:v>
                </c:pt>
                <c:pt idx="54">
                  <c:v>J62 Computer programming, consultancy and related activities</c:v>
                </c:pt>
                <c:pt idx="55">
                  <c:v>J63 Information service activities</c:v>
                </c:pt>
              </c:strCache>
            </c:strRef>
          </c:cat>
          <c:val>
            <c:numRef>
              <c:f>List5!$G$41:$G$96</c:f>
              <c:numCache>
                <c:formatCode>0.000%</c:formatCode>
                <c:ptCount val="56"/>
                <c:pt idx="0">
                  <c:v>2.7978085469938991E-3</c:v>
                </c:pt>
                <c:pt idx="1">
                  <c:v>1.6676640659499082E-3</c:v>
                </c:pt>
                <c:pt idx="2">
                  <c:v>6.5820997784047012E-5</c:v>
                </c:pt>
                <c:pt idx="3">
                  <c:v>2.7104434583614832E-3</c:v>
                </c:pt>
                <c:pt idx="4">
                  <c:v>0</c:v>
                </c:pt>
                <c:pt idx="5">
                  <c:v>0</c:v>
                </c:pt>
                <c:pt idx="6">
                  <c:v>1.24347544304121E-3</c:v>
                </c:pt>
                <c:pt idx="7">
                  <c:v>1.2783137544436525E-5</c:v>
                </c:pt>
                <c:pt idx="8">
                  <c:v>2.1957350371091911E-2</c:v>
                </c:pt>
                <c:pt idx="9">
                  <c:v>4.8843678173950238E-3</c:v>
                </c:pt>
                <c:pt idx="10">
                  <c:v>5.3590228563537071E-4</c:v>
                </c:pt>
                <c:pt idx="11">
                  <c:v>1.2826808323773923E-2</c:v>
                </c:pt>
                <c:pt idx="12">
                  <c:v>3.0739163650335532E-3</c:v>
                </c:pt>
                <c:pt idx="13">
                  <c:v>1.570686218997498E-3</c:v>
                </c:pt>
                <c:pt idx="14">
                  <c:v>1.1765086082466529E-2</c:v>
                </c:pt>
                <c:pt idx="15">
                  <c:v>1.4847075997238579E-2</c:v>
                </c:pt>
                <c:pt idx="16">
                  <c:v>3.8679183448104854E-3</c:v>
                </c:pt>
                <c:pt idx="17">
                  <c:v>2.3933357680516864E-5</c:v>
                </c:pt>
                <c:pt idx="18">
                  <c:v>2.9944885373370641E-2</c:v>
                </c:pt>
                <c:pt idx="19">
                  <c:v>9.4683288713440436E-3</c:v>
                </c:pt>
                <c:pt idx="20">
                  <c:v>4.6051284702487282E-2</c:v>
                </c:pt>
                <c:pt idx="21">
                  <c:v>1.8824089192418153E-2</c:v>
                </c:pt>
                <c:pt idx="22">
                  <c:v>3.1072334800884321E-2</c:v>
                </c:pt>
                <c:pt idx="23">
                  <c:v>6.6765462848463492E-2</c:v>
                </c:pt>
                <c:pt idx="24">
                  <c:v>4.4933874038552542E-2</c:v>
                </c:pt>
                <c:pt idx="25">
                  <c:v>6.3324234905636628E-2</c:v>
                </c:pt>
                <c:pt idx="26">
                  <c:v>7.4763023462205105E-2</c:v>
                </c:pt>
                <c:pt idx="27">
                  <c:v>0.28704419689336613</c:v>
                </c:pt>
                <c:pt idx="28">
                  <c:v>1.5253811864899585E-2</c:v>
                </c:pt>
                <c:pt idx="29">
                  <c:v>5.8840007683457962E-3</c:v>
                </c:pt>
                <c:pt idx="30">
                  <c:v>1.4126281880675103E-2</c:v>
                </c:pt>
                <c:pt idx="31">
                  <c:v>4.0427256880062046E-3</c:v>
                </c:pt>
                <c:pt idx="32">
                  <c:v>1.7186424383922375E-2</c:v>
                </c:pt>
                <c:pt idx="33">
                  <c:v>1.6166622149254109E-5</c:v>
                </c:pt>
                <c:pt idx="34">
                  <c:v>5.6307496839868632E-8</c:v>
                </c:pt>
                <c:pt idx="35">
                  <c:v>4.339555384139277E-3</c:v>
                </c:pt>
                <c:pt idx="36">
                  <c:v>1.2552050755398452E-6</c:v>
                </c:pt>
                <c:pt idx="37">
                  <c:v>9.9310487759908072E-4</c:v>
                </c:pt>
                <c:pt idx="38">
                  <c:v>1.283752565434032E-3</c:v>
                </c:pt>
                <c:pt idx="39">
                  <c:v>9.707735093040208E-4</c:v>
                </c:pt>
                <c:pt idx="40">
                  <c:v>2.8384192913054971E-2</c:v>
                </c:pt>
                <c:pt idx="41">
                  <c:v>0.12240086313096078</c:v>
                </c:pt>
                <c:pt idx="42">
                  <c:v>1.1691087653777372E-2</c:v>
                </c:pt>
                <c:pt idx="43">
                  <c:v>1.0643483489793512E-3</c:v>
                </c:pt>
                <c:pt idx="44">
                  <c:v>0</c:v>
                </c:pt>
                <c:pt idx="45">
                  <c:v>1.7832502048461082E-4</c:v>
                </c:pt>
                <c:pt idx="46">
                  <c:v>1.6008642630291883E-3</c:v>
                </c:pt>
                <c:pt idx="47">
                  <c:v>1.8712995117658531E-6</c:v>
                </c:pt>
                <c:pt idx="48">
                  <c:v>2.0875387947941444E-5</c:v>
                </c:pt>
                <c:pt idx="49">
                  <c:v>2.7886565237392874E-4</c:v>
                </c:pt>
                <c:pt idx="50">
                  <c:v>5.3397478137767165E-4</c:v>
                </c:pt>
                <c:pt idx="51">
                  <c:v>7.2851728571032441E-5</c:v>
                </c:pt>
                <c:pt idx="52">
                  <c:v>1.0487785040958741E-6</c:v>
                </c:pt>
                <c:pt idx="53">
                  <c:v>1.3780889948293936E-4</c:v>
                </c:pt>
                <c:pt idx="54">
                  <c:v>8.1850971502557806E-4</c:v>
                </c:pt>
                <c:pt idx="55">
                  <c:v>6.1878650998003083E-6</c:v>
                </c:pt>
              </c:numCache>
            </c:numRef>
          </c:val>
        </c:ser>
        <c:dLbls>
          <c:dLblPos val="outEnd"/>
          <c:showLegendKey val="0"/>
          <c:showVal val="1"/>
          <c:showCatName val="0"/>
          <c:showSerName val="0"/>
          <c:showPercent val="0"/>
          <c:showBubbleSize val="0"/>
        </c:dLbls>
        <c:gapWidth val="182"/>
        <c:axId val="283075800"/>
        <c:axId val="283076192"/>
      </c:barChart>
      <c:catAx>
        <c:axId val="2830758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076192"/>
        <c:crosses val="autoZero"/>
        <c:auto val="1"/>
        <c:lblAlgn val="ctr"/>
        <c:lblOffset val="100"/>
        <c:noMultiLvlLbl val="0"/>
      </c:catAx>
      <c:valAx>
        <c:axId val="28307619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0758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'výdaje na VaV'!$L$41</c:f>
              <c:strCache>
                <c:ptCount val="1"/>
                <c:pt idx="0">
                  <c:v>Výdaje na VaV v podnikatelském sektoru za rok 2014 (mld. Kč)</c:v>
                </c:pt>
              </c:strCache>
            </c:strRef>
          </c:tx>
          <c:spPr>
            <a:solidFill>
              <a:schemeClr val="accent1"/>
            </a:solidFill>
            <a:ln>
              <a:noFill/>
            </a:ln>
            <a:effectLst/>
          </c:spPr>
          <c:invertIfNegative val="0"/>
          <c:cat>
            <c:strRef>
              <c:f>'výdaje na VaV'!$A$42:$A$66</c:f>
              <c:strCache>
                <c:ptCount val="25"/>
                <c:pt idx="0">
                  <c:v>01-03 ZEMĚDĚLSTVÍ</c:v>
                </c:pt>
                <c:pt idx="1">
                  <c:v>05-09 TĚŽBA A DOBÝVÁNÍ</c:v>
                </c:pt>
                <c:pt idx="2">
                  <c:v>10-12 Potravinářský a nápojový průmysl</c:v>
                </c:pt>
                <c:pt idx="3">
                  <c:v>13-15 Textilní, oděvní a obuvnický průmysl</c:v>
                </c:pt>
                <c:pt idx="4">
                  <c:v>16-17, 31 Dřevozpracující a papírenský průmysl</c:v>
                </c:pt>
                <c:pt idx="5">
                  <c:v>19-20 Petrochemický a chemický průmysl</c:v>
                </c:pt>
                <c:pt idx="6">
                  <c:v>21 Farmaceutický průmysl</c:v>
                </c:pt>
                <c:pt idx="7">
                  <c:v>22 Gumárenský a plastový průmysl</c:v>
                </c:pt>
                <c:pt idx="8">
                  <c:v>23 Průmysl skla, keramiky, porcelánu a stavebních hmot</c:v>
                </c:pt>
                <c:pt idx="9">
                  <c:v>24 Metalurgický průmysl - výroba základních kovů, hutní zpracování kovů, slévárenství</c:v>
                </c:pt>
                <c:pt idx="10">
                  <c:v>25 Výroba kovových konstrukcí a kovodělných výrobků</c:v>
                </c:pt>
                <c:pt idx="11">
                  <c:v>26 Výroba počítačů, elektron. a optických přístr. a zařízení</c:v>
                </c:pt>
                <c:pt idx="12">
                  <c:v>27 Elektrotechnický průmysl - výroba elektrických zařízení</c:v>
                </c:pt>
                <c:pt idx="13">
                  <c:v>28 Strojírenský průmysl</c:v>
                </c:pt>
                <c:pt idx="14">
                  <c:v>29 Automobilový průmysl - výroba motorových vozidel</c:v>
                </c:pt>
                <c:pt idx="15">
                  <c:v>30 Výroba ostatních dopravních prostředků a zařízení</c:v>
                </c:pt>
                <c:pt idx="16">
                  <c:v>18+32+33 Ostatní zpracovatelský průmysl</c:v>
                </c:pt>
                <c:pt idx="17">
                  <c:v>35-39 VÝROBA A ROZVOD VODY, ELEKTŘINY, PLYNU, TEPLA A ČINNOSTI SOUVISEJÍCÍ S ODPADY</c:v>
                </c:pt>
                <c:pt idx="18">
                  <c:v>41-43 STAVEBNICTVÍ</c:v>
                </c:pt>
                <c:pt idx="19">
                  <c:v>45-47 VELKOOBCHOD A MALOOBCHOD; 
OPRAVY A ÚDRŽBA MOTOR. VOZIDEL</c:v>
                </c:pt>
                <c:pt idx="20">
                  <c:v>582, 62, 631 Činnosti v oblasti IT</c:v>
                </c:pt>
                <c:pt idx="21">
                  <c:v>581, 59-61, 639 Ostatní informační a komunikační činnosti </c:v>
                </c:pt>
                <c:pt idx="22">
                  <c:v>64-66 PENĚŽNICTVÍ A POJIŠŤOVNICTVÍ</c:v>
                </c:pt>
                <c:pt idx="23">
                  <c:v>71 Architektonické a inženýrské činnosti; technické zkoušky a analýzy</c:v>
                </c:pt>
                <c:pt idx="24">
                  <c:v>69, 70,73-75 Ostatní profesní, vědecké a technické činnosti</c:v>
                </c:pt>
              </c:strCache>
            </c:strRef>
          </c:cat>
          <c:val>
            <c:numRef>
              <c:f>'výdaje na VaV'!$L$42:$L$66</c:f>
              <c:numCache>
                <c:formatCode>#\ ##0" "</c:formatCode>
                <c:ptCount val="25"/>
                <c:pt idx="0">
                  <c:v>149.13773999999998</c:v>
                </c:pt>
                <c:pt idx="1">
                  <c:v>30.25</c:v>
                </c:pt>
                <c:pt idx="2">
                  <c:v>228.50598000000005</c:v>
                </c:pt>
                <c:pt idx="3">
                  <c:v>342.91432000000003</c:v>
                </c:pt>
                <c:pt idx="4">
                  <c:v>72.921999999999997</c:v>
                </c:pt>
                <c:pt idx="5">
                  <c:v>1190.6670900000001</c:v>
                </c:pt>
                <c:pt idx="6">
                  <c:v>1074.5277399999998</c:v>
                </c:pt>
                <c:pt idx="7">
                  <c:v>1061.2196200000001</c:v>
                </c:pt>
                <c:pt idx="8">
                  <c:v>536.73222999999984</c:v>
                </c:pt>
                <c:pt idx="9">
                  <c:v>298.32600000000002</c:v>
                </c:pt>
                <c:pt idx="10">
                  <c:v>1141.5361099999996</c:v>
                </c:pt>
                <c:pt idx="11">
                  <c:v>1873.6748900000007</c:v>
                </c:pt>
                <c:pt idx="12">
                  <c:v>3036.1733400000007</c:v>
                </c:pt>
                <c:pt idx="13">
                  <c:v>4193.8569600000001</c:v>
                </c:pt>
                <c:pt idx="14">
                  <c:v>6498.5147600000009</c:v>
                </c:pt>
                <c:pt idx="15">
                  <c:v>1847.74875</c:v>
                </c:pt>
                <c:pt idx="16">
                  <c:v>866.45224999999982</c:v>
                </c:pt>
                <c:pt idx="17">
                  <c:v>165.05400000000003</c:v>
                </c:pt>
                <c:pt idx="18">
                  <c:v>673.90396999999996</c:v>
                </c:pt>
                <c:pt idx="19">
                  <c:v>899.03898000000027</c:v>
                </c:pt>
                <c:pt idx="20">
                  <c:v>7106.849449999997</c:v>
                </c:pt>
                <c:pt idx="21">
                  <c:v>612.21678999999995</c:v>
                </c:pt>
                <c:pt idx="22">
                  <c:v>738.86099999999999</c:v>
                </c:pt>
                <c:pt idx="23">
                  <c:v>1952.620719999999</c:v>
                </c:pt>
                <c:pt idx="24">
                  <c:v>218.17642999999995</c:v>
                </c:pt>
              </c:numCache>
            </c:numRef>
          </c:val>
        </c:ser>
        <c:ser>
          <c:idx val="1"/>
          <c:order val="1"/>
          <c:tx>
            <c:strRef>
              <c:f>'výdaje na VaV'!$N$41</c:f>
              <c:strCache>
                <c:ptCount val="1"/>
                <c:pt idx="0">
                  <c:v>Výdaje na VaV v podnikatelském sektoru za rok 2016 (mld. Kč)</c:v>
                </c:pt>
              </c:strCache>
            </c:strRef>
          </c:tx>
          <c:spPr>
            <a:solidFill>
              <a:srgbClr val="FF0000"/>
            </a:solidFill>
            <a:ln>
              <a:noFill/>
            </a:ln>
            <a:effectLst/>
          </c:spPr>
          <c:invertIfNegative val="0"/>
          <c:val>
            <c:numRef>
              <c:f>'výdaje na VaV'!$N$42:$N$66</c:f>
              <c:numCache>
                <c:formatCode>#\ ##0" "</c:formatCode>
                <c:ptCount val="25"/>
                <c:pt idx="0">
                  <c:v>192.48039627966259</c:v>
                </c:pt>
                <c:pt idx="1">
                  <c:v>51.099000000000004</c:v>
                </c:pt>
                <c:pt idx="2">
                  <c:v>240.26929565677392</c:v>
                </c:pt>
                <c:pt idx="3">
                  <c:v>318.80807030620861</c:v>
                </c:pt>
                <c:pt idx="4">
                  <c:v>102.61264331855651</c:v>
                </c:pt>
                <c:pt idx="5">
                  <c:v>914.68965892813026</c:v>
                </c:pt>
                <c:pt idx="6">
                  <c:v>1137.8920000000001</c:v>
                </c:pt>
                <c:pt idx="7">
                  <c:v>1051.3712403134987</c:v>
                </c:pt>
                <c:pt idx="8">
                  <c:v>547.10023352917506</c:v>
                </c:pt>
                <c:pt idx="9">
                  <c:v>159.35900000000004</c:v>
                </c:pt>
                <c:pt idx="10">
                  <c:v>1051.8074303885373</c:v>
                </c:pt>
                <c:pt idx="11">
                  <c:v>2334.4033529749381</c:v>
                </c:pt>
                <c:pt idx="12">
                  <c:v>3798.561951252168</c:v>
                </c:pt>
                <c:pt idx="13">
                  <c:v>3956.2866617555364</c:v>
                </c:pt>
                <c:pt idx="14">
                  <c:v>7817.5174603913674</c:v>
                </c:pt>
                <c:pt idx="15">
                  <c:v>1710.7496512444163</c:v>
                </c:pt>
                <c:pt idx="16">
                  <c:v>1061.8082430153706</c:v>
                </c:pt>
                <c:pt idx="17">
                  <c:v>140.19499999999999</c:v>
                </c:pt>
                <c:pt idx="18">
                  <c:v>527.9770015393168</c:v>
                </c:pt>
                <c:pt idx="19">
                  <c:v>957.98943177329693</c:v>
                </c:pt>
                <c:pt idx="20">
                  <c:v>7935.8630707343682</c:v>
                </c:pt>
                <c:pt idx="21">
                  <c:v>693.10000000000025</c:v>
                </c:pt>
                <c:pt idx="22">
                  <c:v>895.91200000000003</c:v>
                </c:pt>
                <c:pt idx="23">
                  <c:v>2214.5802117390472</c:v>
                </c:pt>
                <c:pt idx="24">
                  <c:v>488.20099999999996</c:v>
                </c:pt>
              </c:numCache>
            </c:numRef>
          </c:val>
        </c:ser>
        <c:dLbls>
          <c:showLegendKey val="0"/>
          <c:showVal val="0"/>
          <c:showCatName val="0"/>
          <c:showSerName val="0"/>
          <c:showPercent val="0"/>
          <c:showBubbleSize val="0"/>
        </c:dLbls>
        <c:gapWidth val="182"/>
        <c:axId val="283305816"/>
        <c:axId val="283306208"/>
      </c:barChart>
      <c:catAx>
        <c:axId val="2833058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306208"/>
        <c:crosses val="autoZero"/>
        <c:auto val="1"/>
        <c:lblAlgn val="ctr"/>
        <c:lblOffset val="100"/>
        <c:noMultiLvlLbl val="0"/>
      </c:catAx>
      <c:valAx>
        <c:axId val="283306208"/>
        <c:scaling>
          <c:orientation val="minMax"/>
        </c:scaling>
        <c:delete val="0"/>
        <c:axPos val="b"/>
        <c:majorGridlines>
          <c:spPr>
            <a:ln w="9525" cap="flat" cmpd="sng" algn="ctr">
              <a:solidFill>
                <a:schemeClr val="tx1">
                  <a:lumMod val="15000"/>
                  <a:lumOff val="85000"/>
                </a:schemeClr>
              </a:solidFill>
              <a:round/>
            </a:ln>
            <a:effectLst/>
          </c:spPr>
        </c:majorGridlines>
        <c:numFmt formatCode="#\ ##0&quot; &quot;"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3058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6889025861844448E-2"/>
          <c:y val="3.1395162887037573E-2"/>
          <c:w val="0.91292615494434137"/>
          <c:h val="0.88047789249125152"/>
        </c:manualLayout>
      </c:layout>
      <c:lineChart>
        <c:grouping val="standard"/>
        <c:varyColors val="0"/>
        <c:ser>
          <c:idx val="0"/>
          <c:order val="0"/>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2.8188789326053849E-2"/>
                  <c:y val="4.5434818982285151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3.382663597508611E-2"/>
                  <c:y val="-4.8929656875965261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3.0068120866743212E-2"/>
                  <c:y val="-5.2424632367105622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3.0068120866743177E-2"/>
                  <c:y val="5.2424632367105622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2.81888633125718E-2"/>
                  <c:y val="6.9899509822807432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1.6913317987543107E-2"/>
                  <c:y val="5.5919607858245929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2.4430348204228972E-2"/>
                  <c:y val="4.1939705893684495E-2"/>
                </c:manualLayout>
              </c:layout>
              <c:showLegendKey val="0"/>
              <c:showVal val="1"/>
              <c:showCatName val="0"/>
              <c:showSerName val="0"/>
              <c:showPercent val="0"/>
              <c:showBubbleSize val="0"/>
              <c:extLst>
                <c:ext xmlns:c15="http://schemas.microsoft.com/office/drawing/2012/chart" uri="{CE6537A1-D6FC-4f65-9D91-7224C49458BB}"/>
              </c:extLst>
            </c:dLbl>
            <c:dLbl>
              <c:idx val="7"/>
              <c:layout>
                <c:manualLayout>
                  <c:x val="-1.5034060433371728E-2"/>
                  <c:y val="-3.8444730402544119E-2"/>
                </c:manualLayout>
              </c:layout>
              <c:showLegendKey val="0"/>
              <c:showVal val="1"/>
              <c:showCatName val="0"/>
              <c:showSerName val="0"/>
              <c:showPercent val="0"/>
              <c:showBubbleSize val="0"/>
              <c:extLst>
                <c:ext xmlns:c15="http://schemas.microsoft.com/office/drawing/2012/chart" uri="{CE6537A1-D6FC-4f65-9D91-7224C49458BB}"/>
              </c:extLst>
            </c:dLbl>
            <c:dLbl>
              <c:idx val="8"/>
              <c:layout>
                <c:manualLayout>
                  <c:x val="-2.630960575840028E-2"/>
                  <c:y val="-3.8444730402544119E-2"/>
                </c:manualLayout>
              </c:layout>
              <c:showLegendKey val="0"/>
              <c:showVal val="1"/>
              <c:showCatName val="0"/>
              <c:showSerName val="0"/>
              <c:showPercent val="0"/>
              <c:showBubbleSize val="0"/>
              <c:extLst>
                <c:ext xmlns:c15="http://schemas.microsoft.com/office/drawing/2012/chart" uri="{CE6537A1-D6FC-4f65-9D91-7224C49458BB}"/>
              </c:extLst>
            </c:dLbl>
            <c:dLbl>
              <c:idx val="9"/>
              <c:layout>
                <c:manualLayout>
                  <c:x val="-2.818886331257173E-2"/>
                  <c:y val="-4.5434681384824906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'Graf 1'!$C$6:$C$15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'Graf 1'!$D$6:$D$15</c:f>
              <c:numCache>
                <c:formatCode>0.00</c:formatCode>
                <c:ptCount val="10"/>
                <c:pt idx="0">
                  <c:v>11.156951102588687</c:v>
                </c:pt>
                <c:pt idx="1">
                  <c:v>11.179868458678868</c:v>
                </c:pt>
                <c:pt idx="2">
                  <c:v>11.455262907673291</c:v>
                </c:pt>
                <c:pt idx="3">
                  <c:v>11.208154710869772</c:v>
                </c:pt>
                <c:pt idx="4">
                  <c:v>9.9868683985155577</c:v>
                </c:pt>
                <c:pt idx="5">
                  <c:v>9.4460089430120817</c:v>
                </c:pt>
                <c:pt idx="6">
                  <c:v>8.730546318289786</c:v>
                </c:pt>
                <c:pt idx="7">
                  <c:v>9.1427487432419614</c:v>
                </c:pt>
                <c:pt idx="8">
                  <c:v>9.2625650733554181</c:v>
                </c:pt>
                <c:pt idx="9">
                  <c:v>9.5954759660697455</c:v>
                </c:pt>
              </c:numCache>
            </c:numRef>
          </c:val>
          <c:smooth val="0"/>
        </c:ser>
        <c:dLbls>
          <c:showLegendKey val="0"/>
          <c:showVal val="0"/>
          <c:showCatName val="0"/>
          <c:showSerName val="0"/>
          <c:showPercent val="0"/>
          <c:showBubbleSize val="0"/>
        </c:dLbls>
        <c:marker val="1"/>
        <c:smooth val="0"/>
        <c:axId val="283074232"/>
        <c:axId val="283306600"/>
      </c:lineChart>
      <c:catAx>
        <c:axId val="283074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306600"/>
        <c:crosses val="autoZero"/>
        <c:auto val="1"/>
        <c:lblAlgn val="ctr"/>
        <c:lblOffset val="100"/>
        <c:noMultiLvlLbl val="0"/>
      </c:catAx>
      <c:valAx>
        <c:axId val="283306600"/>
        <c:scaling>
          <c:orientation val="minMax"/>
        </c:scaling>
        <c:delete val="0"/>
        <c:axPos val="l"/>
        <c:majorGridlines>
          <c:spPr>
            <a:ln w="9525" cap="rnd" cmpd="sng" algn="ctr">
              <a:solidFill>
                <a:schemeClr val="tx1">
                  <a:lumMod val="15000"/>
                  <a:lumOff val="85000"/>
                </a:schemeClr>
              </a:solidFill>
              <a:round/>
            </a:ln>
            <a:effectLst/>
          </c:spPr>
        </c:majorGridlines>
        <c:numFmt formatCode="0.00" sourceLinked="1"/>
        <c:majorTickMark val="none"/>
        <c:minorTickMark val="none"/>
        <c:tickLblPos val="nextTo"/>
        <c:spPr>
          <a:noFill/>
          <a:ln>
            <a:solidFill>
              <a:schemeClr val="accent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83074232"/>
        <c:crosses val="autoZero"/>
        <c:crossBetween val="between"/>
      </c:valAx>
      <c:spPr>
        <a:solidFill>
          <a:schemeClr val="bg1"/>
        </a:solidFill>
        <a:ln>
          <a:solidFill>
            <a:schemeClr val="accent1">
              <a:lumMod val="40000"/>
              <a:lumOff val="60000"/>
            </a:schemeClr>
          </a:solidFill>
        </a:ln>
        <a:effectLst/>
      </c:spPr>
    </c:plotArea>
    <c:plotVisOnly val="1"/>
    <c:dispBlanksAs val="gap"/>
    <c:showDLblsOverMax val="0"/>
  </c:chart>
  <c:spPr>
    <a:solidFill>
      <a:schemeClr val="accent1">
        <a:lumMod val="40000"/>
        <a:lumOff val="60000"/>
      </a:schemeClr>
    </a:solidFill>
    <a:ln w="9525" cap="flat" cmpd="sng" algn="ctr">
      <a:solidFill>
        <a:schemeClr val="tx1">
          <a:lumMod val="15000"/>
          <a:lumOff val="85000"/>
        </a:schemeClr>
      </a:solidFill>
      <a:round/>
    </a:ln>
    <a:effectLst/>
  </c:spPr>
  <c:txPr>
    <a:bodyPr/>
    <a:lstStyle/>
    <a:p>
      <a:pPr>
        <a:defRPr/>
      </a:pPr>
      <a:endParaRPr lang="cs-CZ"/>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invertIfNegative val="0"/>
          <c:dPt>
            <c:idx val="9"/>
            <c:invertIfNegative val="0"/>
            <c:bubble3D val="0"/>
            <c:spPr>
              <a:solidFill>
                <a:srgbClr val="FFC000"/>
              </a:solidFill>
            </c:spPr>
          </c:dPt>
          <c:cat>
            <c:strRef>
              <c:f>'baseline 2013'!$L$3:$L$29</c:f>
              <c:strCache>
                <c:ptCount val="27"/>
                <c:pt idx="0">
                  <c:v>Ireland</c:v>
                </c:pt>
                <c:pt idx="1">
                  <c:v>Hungary</c:v>
                </c:pt>
                <c:pt idx="2">
                  <c:v>Cyprus</c:v>
                </c:pt>
                <c:pt idx="3">
                  <c:v>Belgium</c:v>
                </c:pt>
                <c:pt idx="4">
                  <c:v>Estonia</c:v>
                </c:pt>
                <c:pt idx="5">
                  <c:v>Latvia</c:v>
                </c:pt>
                <c:pt idx="6">
                  <c:v>Portugal</c:v>
                </c:pt>
                <c:pt idx="7">
                  <c:v>Bulgaria</c:v>
                </c:pt>
                <c:pt idx="8">
                  <c:v>Netherlands</c:v>
                </c:pt>
                <c:pt idx="9">
                  <c:v>Czech Republic</c:v>
                </c:pt>
                <c:pt idx="10">
                  <c:v>Slovakia</c:v>
                </c:pt>
                <c:pt idx="11">
                  <c:v>Sweden</c:v>
                </c:pt>
                <c:pt idx="12">
                  <c:v>Spain</c:v>
                </c:pt>
                <c:pt idx="13">
                  <c:v>Lithuania</c:v>
                </c:pt>
                <c:pt idx="14">
                  <c:v>Austria</c:v>
                </c:pt>
                <c:pt idx="15">
                  <c:v>Croatia</c:v>
                </c:pt>
                <c:pt idx="16">
                  <c:v>United Kingdom</c:v>
                </c:pt>
                <c:pt idx="17">
                  <c:v>Denmark</c:v>
                </c:pt>
                <c:pt idx="18">
                  <c:v>Romania</c:v>
                </c:pt>
                <c:pt idx="19">
                  <c:v>Poland</c:v>
                </c:pt>
                <c:pt idx="20">
                  <c:v>Germany</c:v>
                </c:pt>
                <c:pt idx="21">
                  <c:v>France</c:v>
                </c:pt>
                <c:pt idx="22">
                  <c:v>Italy</c:v>
                </c:pt>
                <c:pt idx="23">
                  <c:v>Finland</c:v>
                </c:pt>
                <c:pt idx="24">
                  <c:v>Greece</c:v>
                </c:pt>
                <c:pt idx="25">
                  <c:v>Slovenia</c:v>
                </c:pt>
                <c:pt idx="26">
                  <c:v>Malta</c:v>
                </c:pt>
              </c:strCache>
            </c:strRef>
          </c:cat>
          <c:val>
            <c:numRef>
              <c:f>'baseline 2013'!$P$3:$P$29</c:f>
              <c:numCache>
                <c:formatCode>0.00</c:formatCode>
                <c:ptCount val="27"/>
                <c:pt idx="0">
                  <c:v>14.93333333333333</c:v>
                </c:pt>
                <c:pt idx="1">
                  <c:v>5.93333333333337</c:v>
                </c:pt>
                <c:pt idx="2">
                  <c:v>5.8333333333333552</c:v>
                </c:pt>
                <c:pt idx="3">
                  <c:v>5.5</c:v>
                </c:pt>
                <c:pt idx="4">
                  <c:v>4</c:v>
                </c:pt>
                <c:pt idx="5">
                  <c:v>3.8666666666666667</c:v>
                </c:pt>
                <c:pt idx="6">
                  <c:v>3.433333333333334</c:v>
                </c:pt>
                <c:pt idx="7">
                  <c:v>2.9666666666666668</c:v>
                </c:pt>
                <c:pt idx="8">
                  <c:v>2.7999999999999989</c:v>
                </c:pt>
                <c:pt idx="9">
                  <c:v>2.566666666666666</c:v>
                </c:pt>
                <c:pt idx="10">
                  <c:v>2.4333333333333331</c:v>
                </c:pt>
                <c:pt idx="11">
                  <c:v>2.333333333333333</c:v>
                </c:pt>
                <c:pt idx="12">
                  <c:v>2.2666666666666671</c:v>
                </c:pt>
                <c:pt idx="13">
                  <c:v>2.1</c:v>
                </c:pt>
                <c:pt idx="14">
                  <c:v>2.1</c:v>
                </c:pt>
                <c:pt idx="15">
                  <c:v>1.9000000000000001</c:v>
                </c:pt>
                <c:pt idx="16">
                  <c:v>1.866666666666666</c:v>
                </c:pt>
                <c:pt idx="17">
                  <c:v>1.7666666666666671</c:v>
                </c:pt>
                <c:pt idx="18">
                  <c:v>1.6333333333333331</c:v>
                </c:pt>
                <c:pt idx="19">
                  <c:v>1.4</c:v>
                </c:pt>
                <c:pt idx="20">
                  <c:v>0.9</c:v>
                </c:pt>
                <c:pt idx="21">
                  <c:v>0.83333333333333404</c:v>
                </c:pt>
                <c:pt idx="22">
                  <c:v>0.80000000000000104</c:v>
                </c:pt>
                <c:pt idx="23">
                  <c:v>0.76666666666666705</c:v>
                </c:pt>
                <c:pt idx="24">
                  <c:v>0.73333333333333395</c:v>
                </c:pt>
                <c:pt idx="25">
                  <c:v>-0.13333333333333341</c:v>
                </c:pt>
                <c:pt idx="26">
                  <c:v>-6.3333333333333552</c:v>
                </c:pt>
              </c:numCache>
            </c:numRef>
          </c:val>
        </c:ser>
        <c:dLbls>
          <c:showLegendKey val="0"/>
          <c:showVal val="0"/>
          <c:showCatName val="0"/>
          <c:showSerName val="0"/>
          <c:showPercent val="0"/>
          <c:showBubbleSize val="0"/>
        </c:dLbls>
        <c:gapWidth val="150"/>
        <c:axId val="283308168"/>
        <c:axId val="283308560"/>
      </c:barChart>
      <c:catAx>
        <c:axId val="283308168"/>
        <c:scaling>
          <c:orientation val="minMax"/>
        </c:scaling>
        <c:delete val="0"/>
        <c:axPos val="b"/>
        <c:numFmt formatCode="General" sourceLinked="0"/>
        <c:majorTickMark val="out"/>
        <c:minorTickMark val="none"/>
        <c:tickLblPos val="low"/>
        <c:crossAx val="283308560"/>
        <c:crosses val="autoZero"/>
        <c:auto val="1"/>
        <c:lblAlgn val="ctr"/>
        <c:lblOffset val="100"/>
        <c:noMultiLvlLbl val="0"/>
      </c:catAx>
      <c:valAx>
        <c:axId val="283308560"/>
        <c:scaling>
          <c:orientation val="minMax"/>
        </c:scaling>
        <c:delete val="0"/>
        <c:axPos val="l"/>
        <c:majorGridlines/>
        <c:title>
          <c:tx>
            <c:rich>
              <a:bodyPr rot="-5400000" vert="horz"/>
              <a:lstStyle/>
              <a:p>
                <a:pPr>
                  <a:defRPr/>
                </a:pPr>
                <a:r>
                  <a:rPr lang="cs-CZ"/>
                  <a:t>% HDP</a:t>
                </a:r>
              </a:p>
            </c:rich>
          </c:tx>
          <c:overlay val="0"/>
        </c:title>
        <c:numFmt formatCode="0" sourceLinked="0"/>
        <c:majorTickMark val="out"/>
        <c:minorTickMark val="none"/>
        <c:tickLblPos val="nextTo"/>
        <c:crossAx val="283308168"/>
        <c:crosses val="autoZero"/>
        <c:crossBetween val="between"/>
      </c:valAx>
    </c:plotArea>
    <c:plotVisOnly val="1"/>
    <c:dispBlanksAs val="gap"/>
    <c:showDLblsOverMax val="0"/>
  </c:chart>
  <c:spPr>
    <a:ln>
      <a:noFill/>
    </a:ln>
  </c:sp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invertIfNegative val="0"/>
          <c:dPt>
            <c:idx val="8"/>
            <c:invertIfNegative val="0"/>
            <c:bubble3D val="0"/>
            <c:spPr>
              <a:solidFill>
                <a:schemeClr val="tx1">
                  <a:lumMod val="50000"/>
                  <a:lumOff val="50000"/>
                </a:schemeClr>
              </a:solidFill>
            </c:spPr>
          </c:dPt>
          <c:dPt>
            <c:idx val="14"/>
            <c:invertIfNegative val="0"/>
            <c:bubble3D val="0"/>
            <c:spPr>
              <a:solidFill>
                <a:srgbClr val="FFC000"/>
              </a:solidFill>
            </c:spPr>
          </c:dPt>
          <c:cat>
            <c:strRef>
              <c:f>'baseline 2012'!$M$2:$M$30</c:f>
              <c:strCache>
                <c:ptCount val="29"/>
                <c:pt idx="0">
                  <c:v>Finland</c:v>
                </c:pt>
                <c:pt idx="1">
                  <c:v>Sweden</c:v>
                </c:pt>
                <c:pt idx="2">
                  <c:v>Denmark</c:v>
                </c:pt>
                <c:pt idx="3">
                  <c:v>Germany</c:v>
                </c:pt>
                <c:pt idx="4">
                  <c:v>Austria</c:v>
                </c:pt>
                <c:pt idx="5">
                  <c:v>Slovenia</c:v>
                </c:pt>
                <c:pt idx="6">
                  <c:v>Belgium</c:v>
                </c:pt>
                <c:pt idx="7">
                  <c:v>France</c:v>
                </c:pt>
                <c:pt idx="8">
                  <c:v>EU (28)</c:v>
                </c:pt>
                <c:pt idx="9">
                  <c:v>Estonia</c:v>
                </c:pt>
                <c:pt idx="10">
                  <c:v>Ireland</c:v>
                </c:pt>
                <c:pt idx="11">
                  <c:v>United Kingdom</c:v>
                </c:pt>
                <c:pt idx="12">
                  <c:v>Netherlands</c:v>
                </c:pt>
                <c:pt idx="13">
                  <c:v>Luxembourg</c:v>
                </c:pt>
                <c:pt idx="14">
                  <c:v>Czech Republic</c:v>
                </c:pt>
                <c:pt idx="15">
                  <c:v>Hungary</c:v>
                </c:pt>
                <c:pt idx="16">
                  <c:v>Portugal</c:v>
                </c:pt>
                <c:pt idx="17">
                  <c:v>Spain</c:v>
                </c:pt>
                <c:pt idx="18">
                  <c:v>Italy</c:v>
                </c:pt>
                <c:pt idx="19">
                  <c:v>Malta</c:v>
                </c:pt>
                <c:pt idx="20">
                  <c:v>Croatia</c:v>
                </c:pt>
                <c:pt idx="21">
                  <c:v>Bulgaria</c:v>
                </c:pt>
                <c:pt idx="22">
                  <c:v>Slovakia</c:v>
                </c:pt>
                <c:pt idx="23">
                  <c:v>Poland</c:v>
                </c:pt>
                <c:pt idx="24">
                  <c:v>Lithuania</c:v>
                </c:pt>
                <c:pt idx="25">
                  <c:v>Greece</c:v>
                </c:pt>
                <c:pt idx="26">
                  <c:v>Latvia</c:v>
                </c:pt>
                <c:pt idx="27">
                  <c:v>Romania</c:v>
                </c:pt>
                <c:pt idx="28">
                  <c:v>Cyprus</c:v>
                </c:pt>
              </c:strCache>
            </c:strRef>
          </c:cat>
          <c:val>
            <c:numRef>
              <c:f>'baseline 2012'!$Q$2:$Q$30</c:f>
              <c:numCache>
                <c:formatCode>0.00</c:formatCode>
                <c:ptCount val="29"/>
                <c:pt idx="0">
                  <c:v>2.61</c:v>
                </c:pt>
                <c:pt idx="1">
                  <c:v>2.3233333333333341</c:v>
                </c:pt>
                <c:pt idx="2">
                  <c:v>1.9766666666666681</c:v>
                </c:pt>
                <c:pt idx="3">
                  <c:v>1.9533333333333329</c:v>
                </c:pt>
                <c:pt idx="4">
                  <c:v>1.9200000000000021</c:v>
                </c:pt>
                <c:pt idx="5">
                  <c:v>1.8066666666666671</c:v>
                </c:pt>
                <c:pt idx="6">
                  <c:v>1.4833333333333318</c:v>
                </c:pt>
                <c:pt idx="7">
                  <c:v>1.4466666666666659</c:v>
                </c:pt>
                <c:pt idx="8">
                  <c:v>1.28</c:v>
                </c:pt>
                <c:pt idx="9">
                  <c:v>1.1866666666666681</c:v>
                </c:pt>
                <c:pt idx="10">
                  <c:v>1.1666666666666681</c:v>
                </c:pt>
                <c:pt idx="11">
                  <c:v>1.0999999999999945</c:v>
                </c:pt>
                <c:pt idx="12">
                  <c:v>1.083333333333333</c:v>
                </c:pt>
                <c:pt idx="13">
                  <c:v>1.006666666666667</c:v>
                </c:pt>
                <c:pt idx="14">
                  <c:v>0.91</c:v>
                </c:pt>
                <c:pt idx="15">
                  <c:v>0.77000000000000302</c:v>
                </c:pt>
                <c:pt idx="16">
                  <c:v>0.71333333333333404</c:v>
                </c:pt>
                <c:pt idx="17">
                  <c:v>0.706666666666667</c:v>
                </c:pt>
                <c:pt idx="18">
                  <c:v>0.68666666666666698</c:v>
                </c:pt>
                <c:pt idx="19">
                  <c:v>0.46</c:v>
                </c:pt>
                <c:pt idx="20">
                  <c:v>0.33666666666666878</c:v>
                </c:pt>
                <c:pt idx="21">
                  <c:v>0.33000000000000113</c:v>
                </c:pt>
                <c:pt idx="22">
                  <c:v>0.28666666666666801</c:v>
                </c:pt>
                <c:pt idx="23">
                  <c:v>0.25333333333333274</c:v>
                </c:pt>
                <c:pt idx="24">
                  <c:v>0.236666666666667</c:v>
                </c:pt>
                <c:pt idx="25">
                  <c:v>0.23500000000000001</c:v>
                </c:pt>
                <c:pt idx="26">
                  <c:v>0.18666666666666701</c:v>
                </c:pt>
                <c:pt idx="27">
                  <c:v>0.18333333333333457</c:v>
                </c:pt>
                <c:pt idx="28">
                  <c:v>7.3333333333333708E-2</c:v>
                </c:pt>
              </c:numCache>
            </c:numRef>
          </c:val>
        </c:ser>
        <c:dLbls>
          <c:showLegendKey val="0"/>
          <c:showVal val="0"/>
          <c:showCatName val="0"/>
          <c:showSerName val="0"/>
          <c:showPercent val="0"/>
          <c:showBubbleSize val="0"/>
        </c:dLbls>
        <c:gapWidth val="150"/>
        <c:axId val="283494384"/>
        <c:axId val="285413424"/>
      </c:barChart>
      <c:catAx>
        <c:axId val="283494384"/>
        <c:scaling>
          <c:orientation val="minMax"/>
        </c:scaling>
        <c:delete val="0"/>
        <c:axPos val="b"/>
        <c:numFmt formatCode="General" sourceLinked="0"/>
        <c:majorTickMark val="out"/>
        <c:minorTickMark val="none"/>
        <c:tickLblPos val="nextTo"/>
        <c:crossAx val="285413424"/>
        <c:crosses val="autoZero"/>
        <c:auto val="1"/>
        <c:lblAlgn val="ctr"/>
        <c:lblOffset val="100"/>
        <c:noMultiLvlLbl val="0"/>
      </c:catAx>
      <c:valAx>
        <c:axId val="285413424"/>
        <c:scaling>
          <c:orientation val="minMax"/>
        </c:scaling>
        <c:delete val="0"/>
        <c:axPos val="l"/>
        <c:majorGridlines/>
        <c:title>
          <c:tx>
            <c:rich>
              <a:bodyPr rot="-5400000" vert="horz"/>
              <a:lstStyle/>
              <a:p>
                <a:pPr>
                  <a:defRPr/>
                </a:pPr>
                <a:r>
                  <a:rPr lang="en-US"/>
                  <a:t>BERD (% HDP)</a:t>
                </a:r>
              </a:p>
            </c:rich>
          </c:tx>
          <c:overlay val="0"/>
        </c:title>
        <c:numFmt formatCode="0.0" sourceLinked="0"/>
        <c:majorTickMark val="out"/>
        <c:minorTickMark val="none"/>
        <c:tickLblPos val="nextTo"/>
        <c:crossAx val="283494384"/>
        <c:crosses val="autoZero"/>
        <c:crossBetween val="between"/>
      </c:valAx>
    </c:plotArea>
    <c:plotVisOnly val="1"/>
    <c:dispBlanksAs val="gap"/>
    <c:showDLblsOverMax val="0"/>
  </c:chart>
  <c:spPr>
    <a:ln>
      <a:noFill/>
    </a:ln>
  </c:sp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Office">
  <a:themeElements>
    <a:clrScheme name="MPO colors">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MPO fonts">
      <a:majorFont>
        <a:latin typeface="Calibri"/>
        <a:ea typeface=""/>
        <a:cs typeface=""/>
      </a:majorFont>
      <a:minorFont>
        <a:latin typeface="Calibri"/>
        <a:ea typeface=""/>
        <a:cs typeface=""/>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MPO">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Kancelář">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C693A9-8169-487C-BFA6-7C919EA54F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DEC21F2F.dotm</Template>
  <TotalTime>0</TotalTime>
  <Pages>190</Pages>
  <Words>103111</Words>
  <Characters>608356</Characters>
  <Application>Microsoft Office Word</Application>
  <DocSecurity>0</DocSecurity>
  <Lines>5069</Lines>
  <Paragraphs>1420</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710047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2018-09-14T05:41:00Z</dcterms:created>
  <dcterms:modified xsi:type="dcterms:W3CDTF">2018-09-26T08:12:00Z</dcterms:modified>
</cp:coreProperties>
</file>