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45D1C" w14:textId="6750A5A6" w:rsidR="00707BE1" w:rsidRPr="00171ECF" w:rsidRDefault="00707BE1" w:rsidP="00171ECF">
      <w:pPr>
        <w:spacing w:before="120"/>
        <w:jc w:val="right"/>
        <w:rPr>
          <w:rFonts w:asciiTheme="minorHAnsi" w:hAnsiTheme="minorHAnsi"/>
          <w:b/>
          <w:szCs w:val="24"/>
        </w:rPr>
      </w:pPr>
      <w:bookmarkStart w:id="0" w:name="_GoBack"/>
      <w:bookmarkEnd w:id="0"/>
      <w:r w:rsidRPr="00171ECF">
        <w:rPr>
          <w:rFonts w:asciiTheme="minorHAnsi" w:hAnsiTheme="minorHAnsi"/>
          <w:b/>
          <w:szCs w:val="24"/>
        </w:rPr>
        <w:t>II.</w:t>
      </w:r>
    </w:p>
    <w:p w14:paraId="1334B000" w14:textId="77777777" w:rsidR="00707BE1" w:rsidRDefault="00707BE1" w:rsidP="009143D0">
      <w:pPr>
        <w:spacing w:before="120"/>
        <w:jc w:val="center"/>
        <w:rPr>
          <w:rFonts w:asciiTheme="minorHAnsi" w:hAnsiTheme="minorHAnsi"/>
          <w:szCs w:val="24"/>
        </w:rPr>
      </w:pPr>
    </w:p>
    <w:p w14:paraId="192726CE" w14:textId="77777777" w:rsidR="00A3322A" w:rsidRDefault="00A3322A" w:rsidP="00A3322A">
      <w:pPr>
        <w:spacing w:before="120"/>
        <w:jc w:val="center"/>
        <w:rPr>
          <w:rFonts w:ascii="Arial" w:hAnsi="Arial" w:cs="Arial"/>
          <w:b/>
          <w:sz w:val="22"/>
          <w:szCs w:val="24"/>
        </w:rPr>
      </w:pPr>
      <w:r w:rsidRPr="00276728">
        <w:rPr>
          <w:rFonts w:ascii="Arial" w:hAnsi="Arial" w:cs="Arial"/>
          <w:b/>
          <w:sz w:val="22"/>
          <w:szCs w:val="24"/>
        </w:rPr>
        <w:t>PŘEDKLÁDACÍ ZPRÁVA</w:t>
      </w:r>
    </w:p>
    <w:p w14:paraId="0E086303" w14:textId="77777777" w:rsidR="00A3322A" w:rsidRDefault="00A3322A" w:rsidP="00A3322A">
      <w:pPr>
        <w:spacing w:before="120"/>
        <w:jc w:val="center"/>
        <w:rPr>
          <w:rFonts w:ascii="Arial" w:hAnsi="Arial" w:cs="Arial"/>
          <w:b/>
          <w:sz w:val="22"/>
          <w:szCs w:val="24"/>
        </w:rPr>
      </w:pPr>
    </w:p>
    <w:p w14:paraId="72CB2A13" w14:textId="77777777" w:rsidR="00A3322A" w:rsidRDefault="00A3322A" w:rsidP="00A3322A">
      <w:pPr>
        <w:pBdr>
          <w:bottom w:val="single" w:sz="6" w:space="1" w:color="auto"/>
        </w:pBdr>
        <w:spacing w:line="360" w:lineRule="auto"/>
        <w:ind w:left="357" w:right="38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 návrhu programu </w:t>
      </w:r>
    </w:p>
    <w:p w14:paraId="771A1FBF" w14:textId="63001BB9" w:rsidR="00A3322A" w:rsidRDefault="00A3322A" w:rsidP="00A3322A">
      <w:pPr>
        <w:pBdr>
          <w:bottom w:val="single" w:sz="6" w:space="1" w:color="auto"/>
        </w:pBdr>
        <w:spacing w:line="360" w:lineRule="auto"/>
        <w:ind w:left="357" w:right="38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Strategická podpora rozvoje bezpečnostního výzkumu ČR 2019 - 202</w:t>
      </w:r>
      <w:r w:rsidR="00FC4B5C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(IMPAKT 1)</w:t>
      </w:r>
    </w:p>
    <w:p w14:paraId="4040E48A" w14:textId="77777777" w:rsidR="00A3322A" w:rsidRPr="00276728" w:rsidRDefault="00A3322A" w:rsidP="00A3322A">
      <w:pPr>
        <w:spacing w:before="120"/>
        <w:jc w:val="center"/>
        <w:rPr>
          <w:rFonts w:ascii="Arial" w:hAnsi="Arial" w:cs="Arial"/>
          <w:b/>
          <w:sz w:val="22"/>
          <w:szCs w:val="24"/>
        </w:rPr>
      </w:pPr>
    </w:p>
    <w:p w14:paraId="148C493E" w14:textId="16348185" w:rsidR="00A3322A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>Ministerstvo vnitra předkládá návrh programu „Strategická podpora rozvoje bezpečnostního výzkumu ČR 2019 – 202</w:t>
      </w:r>
      <w:r w:rsidR="00461C1C">
        <w:rPr>
          <w:rFonts w:ascii="Arial" w:hAnsi="Arial" w:cs="Arial"/>
          <w:sz w:val="22"/>
          <w:szCs w:val="24"/>
        </w:rPr>
        <w:t>5</w:t>
      </w:r>
      <w:r w:rsidRPr="00276728">
        <w:rPr>
          <w:rFonts w:ascii="Arial" w:hAnsi="Arial" w:cs="Arial"/>
          <w:sz w:val="22"/>
          <w:szCs w:val="24"/>
        </w:rPr>
        <w:t xml:space="preserve"> (IMPAKT 1)“ (dále jen „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“; </w:t>
      </w:r>
      <w:r w:rsidRPr="00276728">
        <w:rPr>
          <w:rFonts w:ascii="Arial" w:hAnsi="Arial" w:cs="Arial"/>
          <w:sz w:val="22"/>
          <w:szCs w:val="24"/>
          <w:shd w:val="clear" w:color="auto" w:fill="FFFFFF" w:themeFill="background1"/>
        </w:rPr>
        <w:t>kód – bude přidělen Radou pro výzkum, vývoj a inovace),</w:t>
      </w:r>
      <w:r w:rsidRPr="00276728">
        <w:rPr>
          <w:rFonts w:ascii="Arial" w:hAnsi="Arial" w:cs="Arial"/>
          <w:sz w:val="22"/>
          <w:szCs w:val="24"/>
        </w:rPr>
        <w:t xml:space="preserve"> který bude realizován formou veřejných soutěží ve výzkumu, experimentálním vývoji a inovacích.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je zpracován v souladu se zákonem č.</w:t>
      </w:r>
      <w:r w:rsidR="00E93261">
        <w:rPr>
          <w:rFonts w:ascii="Arial" w:hAnsi="Arial" w:cs="Arial"/>
          <w:sz w:val="22"/>
          <w:szCs w:val="24"/>
        </w:rPr>
        <w:t> </w:t>
      </w:r>
      <w:r w:rsidRPr="00276728">
        <w:rPr>
          <w:rFonts w:ascii="Arial" w:hAnsi="Arial" w:cs="Arial"/>
          <w:sz w:val="22"/>
          <w:szCs w:val="24"/>
        </w:rPr>
        <w:t>130/2002 Sb., o podpoře výzkumu, experimentálního vývoje a inovací z veřejných prostředků a o změně některých souvisejících zákonů</w:t>
      </w:r>
      <w:r w:rsidR="002C4D53">
        <w:rPr>
          <w:rFonts w:ascii="Arial" w:hAnsi="Arial" w:cs="Arial"/>
          <w:sz w:val="22"/>
          <w:szCs w:val="24"/>
        </w:rPr>
        <w:t xml:space="preserve"> (zákon o podpoře výzkumu, experimentálního vývoje a inovací)</w:t>
      </w:r>
      <w:r w:rsidRPr="00276728">
        <w:rPr>
          <w:rFonts w:ascii="Arial" w:hAnsi="Arial" w:cs="Arial"/>
          <w:sz w:val="22"/>
          <w:szCs w:val="24"/>
        </w:rPr>
        <w:t>, ve znění pozdějších předpisů (dále jen „</w:t>
      </w:r>
      <w:r w:rsidRPr="00276728">
        <w:rPr>
          <w:rFonts w:ascii="Arial" w:hAnsi="Arial" w:cs="Arial"/>
          <w:i/>
          <w:sz w:val="22"/>
          <w:szCs w:val="24"/>
        </w:rPr>
        <w:t>zákon č. 130/2002 Sb.</w:t>
      </w:r>
      <w:r w:rsidRPr="00276728">
        <w:rPr>
          <w:rFonts w:ascii="Arial" w:hAnsi="Arial" w:cs="Arial"/>
          <w:sz w:val="22"/>
          <w:szCs w:val="24"/>
        </w:rPr>
        <w:t>“) a Rámcem pro státní podporu výzkumu, vývoje a inovací - Úřední věstník Evropské unie 2014/C 198/01-29 (dále jen „</w:t>
      </w:r>
      <w:r w:rsidRPr="00276728">
        <w:rPr>
          <w:rFonts w:ascii="Arial" w:hAnsi="Arial" w:cs="Arial"/>
          <w:i/>
          <w:sz w:val="22"/>
          <w:szCs w:val="24"/>
        </w:rPr>
        <w:t>Rámec Společenství</w:t>
      </w:r>
      <w:r w:rsidRPr="00276728">
        <w:rPr>
          <w:rFonts w:ascii="Arial" w:hAnsi="Arial" w:cs="Arial"/>
          <w:sz w:val="22"/>
          <w:szCs w:val="24"/>
        </w:rPr>
        <w:t xml:space="preserve">“) a navazujícími právními úpravami systému podpory výzkumu, experimentálního vývoje a inovací. 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bude dále realizován podle Nařízení Komise (EU) č. 651/2014, kterým se v souladu s články 107 a 108 Smlouvy prohlašují určité kategorie podpory za slučitelné s vnitřním trhem – Úřední věstník Evropské unie L 187, 26. června 2014 (dále jen „</w:t>
      </w:r>
      <w:r w:rsidRPr="00276728">
        <w:rPr>
          <w:rFonts w:ascii="Arial" w:hAnsi="Arial" w:cs="Arial"/>
          <w:i/>
          <w:sz w:val="22"/>
          <w:szCs w:val="24"/>
        </w:rPr>
        <w:t>Nařízení</w:t>
      </w:r>
      <w:r w:rsidRPr="00276728">
        <w:rPr>
          <w:rFonts w:ascii="Arial" w:hAnsi="Arial" w:cs="Arial"/>
          <w:sz w:val="22"/>
          <w:szCs w:val="24"/>
        </w:rPr>
        <w:t>“), ve znění pozdějších předpisů a</w:t>
      </w:r>
      <w:r w:rsidR="00E93261">
        <w:rPr>
          <w:rFonts w:ascii="Arial" w:hAnsi="Arial" w:cs="Arial"/>
          <w:sz w:val="22"/>
          <w:szCs w:val="24"/>
        </w:rPr>
        <w:t> </w:t>
      </w:r>
      <w:r w:rsidRPr="00276728">
        <w:rPr>
          <w:rFonts w:ascii="Arial" w:hAnsi="Arial" w:cs="Arial"/>
          <w:sz w:val="22"/>
          <w:szCs w:val="24"/>
        </w:rPr>
        <w:t xml:space="preserve">podle ostatních souvisejících předpisů.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je vyňat z oznamovací p</w:t>
      </w:r>
      <w:r>
        <w:rPr>
          <w:rFonts w:ascii="Arial" w:hAnsi="Arial" w:cs="Arial"/>
          <w:sz w:val="22"/>
          <w:szCs w:val="24"/>
        </w:rPr>
        <w:t>ovinnosti podle čl.</w:t>
      </w:r>
      <w:r w:rsidR="00E93261">
        <w:rPr>
          <w:rFonts w:ascii="Arial" w:hAnsi="Arial" w:cs="Arial"/>
          <w:sz w:val="22"/>
          <w:szCs w:val="24"/>
        </w:rPr>
        <w:t> </w:t>
      </w:r>
      <w:r>
        <w:rPr>
          <w:rFonts w:ascii="Arial" w:hAnsi="Arial" w:cs="Arial"/>
          <w:sz w:val="22"/>
          <w:szCs w:val="24"/>
        </w:rPr>
        <w:t>108 odst. 3 </w:t>
      </w:r>
      <w:r w:rsidRPr="00276728">
        <w:rPr>
          <w:rFonts w:ascii="Arial" w:hAnsi="Arial" w:cs="Arial"/>
          <w:sz w:val="22"/>
          <w:szCs w:val="24"/>
        </w:rPr>
        <w:t xml:space="preserve">Smlouvy o fungování Evropské unie, neboť splňuje podmínky </w:t>
      </w:r>
      <w:r w:rsidRPr="00276728">
        <w:rPr>
          <w:rFonts w:ascii="Arial" w:hAnsi="Arial" w:cs="Arial"/>
          <w:i/>
          <w:sz w:val="22"/>
          <w:szCs w:val="24"/>
        </w:rPr>
        <w:t>Nařízení</w:t>
      </w:r>
      <w:r w:rsidRPr="00276728">
        <w:rPr>
          <w:rFonts w:ascii="Arial" w:hAnsi="Arial" w:cs="Arial"/>
          <w:sz w:val="22"/>
          <w:szCs w:val="24"/>
        </w:rPr>
        <w:t>.</w:t>
      </w:r>
    </w:p>
    <w:p w14:paraId="64E29175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Posláním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je podpořit výzkumné a vývojové aktivity v oblasti bezpečnosti státu a jeho občanů v souladu s charakteristickými potřebami bezpečnostního systému, jak je vymezují platné strategické a koncepční materiály bezpečnostní politiky, které shrnuje Meziresortní koncepce podpory bezpečnostního výzkumu ČR 2017 - 2023 (dále jen „</w:t>
      </w:r>
      <w:r w:rsidRPr="00276728">
        <w:rPr>
          <w:rFonts w:ascii="Arial" w:hAnsi="Arial" w:cs="Arial"/>
          <w:i/>
          <w:sz w:val="22"/>
          <w:szCs w:val="24"/>
        </w:rPr>
        <w:t>Meziresortní koncepce</w:t>
      </w:r>
      <w:r w:rsidRPr="00276728">
        <w:rPr>
          <w:rFonts w:ascii="Arial" w:hAnsi="Arial" w:cs="Arial"/>
          <w:sz w:val="22"/>
          <w:szCs w:val="24"/>
        </w:rPr>
        <w:t>“, MV, 2017) a Národní priority orientovaného výzkumu, experimentálního vývoje a inovací (dále jen „</w:t>
      </w:r>
      <w:r w:rsidRPr="00276728">
        <w:rPr>
          <w:rFonts w:ascii="Arial" w:hAnsi="Arial" w:cs="Arial"/>
          <w:i/>
          <w:sz w:val="22"/>
          <w:szCs w:val="24"/>
        </w:rPr>
        <w:t>Národní priority</w:t>
      </w:r>
      <w:r w:rsidRPr="00276728">
        <w:rPr>
          <w:rFonts w:ascii="Arial" w:hAnsi="Arial" w:cs="Arial"/>
          <w:sz w:val="22"/>
          <w:szCs w:val="24"/>
        </w:rPr>
        <w:t xml:space="preserve">“). Vzhledem k provázanosti dokumentu </w:t>
      </w:r>
      <w:r w:rsidRPr="00276728">
        <w:rPr>
          <w:rFonts w:ascii="Arial" w:hAnsi="Arial" w:cs="Arial"/>
          <w:i/>
          <w:sz w:val="22"/>
          <w:szCs w:val="24"/>
        </w:rPr>
        <w:t>Meziresortní koncepce</w:t>
      </w:r>
      <w:r w:rsidRPr="00276728">
        <w:rPr>
          <w:rFonts w:ascii="Arial" w:hAnsi="Arial" w:cs="Arial"/>
          <w:sz w:val="22"/>
          <w:szCs w:val="24"/>
        </w:rPr>
        <w:t xml:space="preserve">, </w:t>
      </w:r>
      <w:r w:rsidRPr="00276728">
        <w:rPr>
          <w:rFonts w:ascii="Arial" w:hAnsi="Arial" w:cs="Arial"/>
          <w:i/>
          <w:sz w:val="22"/>
          <w:szCs w:val="24"/>
        </w:rPr>
        <w:t>Národní priority</w:t>
      </w:r>
      <w:r w:rsidRPr="00276728">
        <w:rPr>
          <w:rFonts w:ascii="Arial" w:hAnsi="Arial" w:cs="Arial"/>
          <w:sz w:val="22"/>
          <w:szCs w:val="24"/>
        </w:rPr>
        <w:t xml:space="preserve"> a Národní výzkumné a inovační strategie pro inteligentní specializaci České republiky je komplementarita </w:t>
      </w:r>
      <w:r w:rsidRPr="007735AA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zřejmá.</w:t>
      </w:r>
    </w:p>
    <w:p w14:paraId="62F32FB6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Cílem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je dosažení takové poznatkové, technologické a technické úrovně, která umožní České republice získat, osvojovat si, udržovat a rozvíjet specifické schopnosti potřebné pro zajištění bezpečnosti státu a jeho občanů.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vytváří podmínky pro využití a rozvoj potenciálu akademického a veřejného výzkumného sektoru, které zajišťují synergickou a dlouhodobou výzkumnou podporu bezpečnostního systému ČR.</w:t>
      </w:r>
    </w:p>
    <w:p w14:paraId="267A3CC6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>Podpora bude zaměřena na plnění prioritních cílů bezpečnostního výzkumu. Jedná se zejména o:</w:t>
      </w:r>
    </w:p>
    <w:p w14:paraId="3A7A41BC" w14:textId="77777777" w:rsidR="00A3322A" w:rsidRPr="00276728" w:rsidRDefault="00A3322A" w:rsidP="00A3322A">
      <w:pPr>
        <w:pStyle w:val="Odstavecseseznamem"/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4"/>
        </w:rPr>
      </w:pPr>
      <w:r w:rsidRPr="00276728">
        <w:rPr>
          <w:rFonts w:ascii="Arial" w:hAnsi="Arial" w:cs="Arial"/>
          <w:szCs w:val="24"/>
        </w:rPr>
        <w:t>efektivní zásah, ve kterém budou rozvíjeny zájmové oblasti: </w:t>
      </w:r>
    </w:p>
    <w:p w14:paraId="7F389FE9" w14:textId="77777777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 w:val="20"/>
          <w:szCs w:val="24"/>
        </w:rPr>
      </w:pPr>
      <w:r w:rsidRPr="00276728">
        <w:rPr>
          <w:rFonts w:ascii="Arial" w:hAnsi="Arial" w:cs="Arial"/>
          <w:szCs w:val="24"/>
        </w:rPr>
        <w:t xml:space="preserve">včasná výstraha a situační přehled, </w:t>
      </w:r>
    </w:p>
    <w:p w14:paraId="3A5BACF3" w14:textId="77777777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 w:val="20"/>
          <w:szCs w:val="24"/>
        </w:rPr>
      </w:pPr>
      <w:r w:rsidRPr="00276728">
        <w:rPr>
          <w:rFonts w:ascii="Arial" w:hAnsi="Arial" w:cs="Arial"/>
          <w:szCs w:val="24"/>
        </w:rPr>
        <w:t>efektivní intervence, </w:t>
      </w:r>
    </w:p>
    <w:p w14:paraId="6A06B121" w14:textId="77777777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 w:val="20"/>
          <w:szCs w:val="24"/>
        </w:rPr>
      </w:pPr>
      <w:r w:rsidRPr="00276728">
        <w:rPr>
          <w:rFonts w:ascii="Arial" w:hAnsi="Arial" w:cs="Arial"/>
          <w:szCs w:val="24"/>
        </w:rPr>
        <w:t xml:space="preserve">vyšetřování incidentů, </w:t>
      </w:r>
    </w:p>
    <w:p w14:paraId="1DC62A70" w14:textId="77777777" w:rsidR="00A3322A" w:rsidRPr="00276728" w:rsidRDefault="00A3322A" w:rsidP="00A3322A">
      <w:pPr>
        <w:pStyle w:val="Odstavecseseznamem"/>
        <w:numPr>
          <w:ilvl w:val="0"/>
          <w:numId w:val="2"/>
        </w:numPr>
        <w:spacing w:before="120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>adaptabilní bezpečnostní systém, ve kterém budou rozvíjeny zájmové oblasti:</w:t>
      </w:r>
    </w:p>
    <w:p w14:paraId="5656D04B" w14:textId="77777777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>bezpečnostní politika a krizové řízení,</w:t>
      </w:r>
    </w:p>
    <w:p w14:paraId="5B81C3A2" w14:textId="77777777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>vnitřní schopnosti součástí bezpečnostního systému,</w:t>
      </w:r>
    </w:p>
    <w:p w14:paraId="1C3AF765" w14:textId="082D3855" w:rsidR="00A3322A" w:rsidRPr="00276728" w:rsidRDefault="00A3322A" w:rsidP="00A3322A">
      <w:pPr>
        <w:pStyle w:val="Odstavecseseznamem"/>
        <w:numPr>
          <w:ilvl w:val="1"/>
          <w:numId w:val="2"/>
        </w:numPr>
        <w:spacing w:before="120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>management bezpečnostních informací</w:t>
      </w:r>
      <w:r w:rsidR="008C1104">
        <w:rPr>
          <w:rFonts w:ascii="Arial" w:hAnsi="Arial" w:cs="Arial"/>
          <w:szCs w:val="24"/>
        </w:rPr>
        <w:t>.</w:t>
      </w:r>
    </w:p>
    <w:p w14:paraId="1D31937E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i/>
          <w:sz w:val="22"/>
          <w:szCs w:val="24"/>
        </w:rPr>
        <w:lastRenderedPageBreak/>
        <w:t>Program</w:t>
      </w:r>
      <w:r w:rsidRPr="00276728">
        <w:rPr>
          <w:rFonts w:ascii="Arial" w:hAnsi="Arial" w:cs="Arial"/>
          <w:sz w:val="22"/>
          <w:szCs w:val="24"/>
        </w:rPr>
        <w:t xml:space="preserve"> podporuje projekty, které mají charakter aplikovaného výzkumu, experimentálního vývoje a inovací.</w:t>
      </w:r>
    </w:p>
    <w:p w14:paraId="11F40C49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V oblasti vědní politiky a strategie směřuje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k naplňování priorit Národní politiky výzkumu, vývoje a inovací na léta 2016 - 2020 (dále jen „</w:t>
      </w:r>
      <w:r w:rsidRPr="00276728">
        <w:rPr>
          <w:rFonts w:ascii="Arial" w:hAnsi="Arial" w:cs="Arial"/>
          <w:i/>
          <w:sz w:val="22"/>
          <w:szCs w:val="24"/>
        </w:rPr>
        <w:t>Národní politika</w:t>
      </w:r>
      <w:r w:rsidRPr="00276728">
        <w:rPr>
          <w:rFonts w:ascii="Arial" w:hAnsi="Arial" w:cs="Arial"/>
          <w:sz w:val="22"/>
          <w:szCs w:val="24"/>
        </w:rPr>
        <w:t xml:space="preserve">“), zejména přispívá k plnění následujících cílů: a) posílení institucionální základy aplikovaného výzkumu; b) zefektivnění šíření a sdílení znalostí z výzkumných organizací; c) zvýšení internacionalizace výzkumného prostředí v ČR; d) zajištění kvalitních lidských zdrojů pro výzkum. Svou úlohu plní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také v Akčním plánu rozvoje lidských zdrojů pro výzkum, vývoj a inovace a genderové rovnosti ve výzkumu, vývoji a inovacích v ČR na léta 2018 až 2020, kde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přispívá v rámci cíle 5 (posílení mezinárodní a mezisektorové mobility pracovníků/pracovnic výzkumných organizací ČR) k plnění opatření 5.1 (implementace programů účelové podpory </w:t>
      </w:r>
      <w:proofErr w:type="spellStart"/>
      <w:r w:rsidRPr="00276728">
        <w:rPr>
          <w:rFonts w:ascii="Arial" w:hAnsi="Arial" w:cs="Arial"/>
          <w:sz w:val="22"/>
          <w:szCs w:val="24"/>
        </w:rPr>
        <w:t>VaVaI</w:t>
      </w:r>
      <w:proofErr w:type="spellEnd"/>
      <w:r w:rsidRPr="00276728">
        <w:rPr>
          <w:rFonts w:ascii="Arial" w:hAnsi="Arial" w:cs="Arial"/>
          <w:sz w:val="22"/>
          <w:szCs w:val="24"/>
        </w:rPr>
        <w:t xml:space="preserve"> zaměřených na podporu mezinárodní mobility výzkumných pracovníků/pracovnic). </w:t>
      </w: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je v rámci svého internacionalizačního zaměření plně v souladu s Akčním plánem mezinárodní spol</w:t>
      </w:r>
      <w:r>
        <w:rPr>
          <w:rFonts w:ascii="Arial" w:hAnsi="Arial" w:cs="Arial"/>
          <w:sz w:val="22"/>
          <w:szCs w:val="24"/>
        </w:rPr>
        <w:t>upráce ČR ve výzkumu a vývoji a </w:t>
      </w:r>
      <w:r w:rsidRPr="00276728">
        <w:rPr>
          <w:rFonts w:ascii="Arial" w:hAnsi="Arial" w:cs="Arial"/>
          <w:sz w:val="22"/>
          <w:szCs w:val="24"/>
        </w:rPr>
        <w:t xml:space="preserve">internacionalizace prostředí výzkumu a vývoje v ČR na léta 2017 – 2020. </w:t>
      </w:r>
    </w:p>
    <w:p w14:paraId="5A88193F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je členěn na tři podprogramy:</w:t>
      </w:r>
    </w:p>
    <w:p w14:paraId="323D5FBA" w14:textId="77777777" w:rsidR="00A3322A" w:rsidRPr="00276728" w:rsidRDefault="00A3322A" w:rsidP="00A332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 xml:space="preserve">podprogram č. 1 „Rozvoj společných výzkumných projektů“ má za cíl zajistit koordinovanou dlouhodobou výzkumnou podporu schopností bezpečnostního systému. Tento podprogram navazuje na trend vzniku širších skupin subjektů, které spolupracují na různých projektech v rámci dosavadních programů bezpečnostního výzkumu. Příkladem podpořených projektů v rámci podprogramu č. 1 může být společný projekt navazující na sérii projektů, na kterých participovala řada výzkumných organizací, projekt v oblasti </w:t>
      </w:r>
      <w:proofErr w:type="spellStart"/>
      <w:r w:rsidRPr="00276728">
        <w:rPr>
          <w:rFonts w:ascii="Arial" w:hAnsi="Arial" w:cs="Arial"/>
          <w:szCs w:val="24"/>
        </w:rPr>
        <w:t>kyberkriminality</w:t>
      </w:r>
      <w:proofErr w:type="spellEnd"/>
      <w:r w:rsidRPr="00276728">
        <w:rPr>
          <w:rFonts w:ascii="Arial" w:hAnsi="Arial" w:cs="Arial"/>
          <w:szCs w:val="24"/>
        </w:rPr>
        <w:t xml:space="preserve"> navazující na úspěšné projekty aj.</w:t>
      </w:r>
    </w:p>
    <w:p w14:paraId="16B79AFE" w14:textId="62B1D3F7" w:rsidR="00B772D1" w:rsidRPr="007E5EE3" w:rsidRDefault="00A3322A" w:rsidP="005B0CD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C31F27">
        <w:rPr>
          <w:rFonts w:ascii="Arial" w:hAnsi="Arial" w:cs="Arial"/>
          <w:szCs w:val="24"/>
        </w:rPr>
        <w:t xml:space="preserve">podprogram č. 2 „Rozvoj lidských zdrojů pro bezpečnostní výzkum“ je zacílen na podporu rozvoje výzkumných týmů dlouhodobě specializovaných na bezpečnostní výzkum. Tento podprogram je zaměřen na organizace s již existujícím kvalitním zázemím a rozsáhlými obecnými schopnostmi. Příkladem takových projektů může být přijetí zahraničního výzkumníka nebo naopak vyslání českého výzkumníka na stáž na zahraniční instituci (tj. </w:t>
      </w:r>
      <w:proofErr w:type="spellStart"/>
      <w:r w:rsidRPr="00C31F27">
        <w:rPr>
          <w:rFonts w:ascii="Arial" w:hAnsi="Arial" w:cs="Arial"/>
          <w:szCs w:val="24"/>
        </w:rPr>
        <w:t>mobilitní</w:t>
      </w:r>
      <w:proofErr w:type="spellEnd"/>
      <w:r w:rsidRPr="00C31F27">
        <w:rPr>
          <w:rFonts w:ascii="Arial" w:hAnsi="Arial" w:cs="Arial"/>
          <w:szCs w:val="24"/>
        </w:rPr>
        <w:t xml:space="preserve"> fáze), založení výzkumného týmu pod vedením výzkumníka podpořeného v </w:t>
      </w:r>
      <w:proofErr w:type="spellStart"/>
      <w:r w:rsidRPr="00C31F27">
        <w:rPr>
          <w:rFonts w:ascii="Arial" w:hAnsi="Arial" w:cs="Arial"/>
          <w:szCs w:val="24"/>
        </w:rPr>
        <w:t>mobilitní</w:t>
      </w:r>
      <w:proofErr w:type="spellEnd"/>
      <w:r w:rsidRPr="00C31F27">
        <w:rPr>
          <w:rFonts w:ascii="Arial" w:hAnsi="Arial" w:cs="Arial"/>
          <w:szCs w:val="24"/>
        </w:rPr>
        <w:t xml:space="preserve"> fázi (tj. fáze návratová).</w:t>
      </w:r>
      <w:r w:rsidR="00C31F27" w:rsidRPr="00C31F27">
        <w:rPr>
          <w:rFonts w:ascii="Arial" w:hAnsi="Arial" w:cs="Arial"/>
          <w:szCs w:val="24"/>
        </w:rPr>
        <w:t xml:space="preserve"> </w:t>
      </w:r>
      <w:r w:rsidR="004A5400">
        <w:rPr>
          <w:rFonts w:ascii="Arial" w:hAnsi="Arial" w:cs="Arial"/>
          <w:szCs w:val="24"/>
        </w:rPr>
        <w:t>Především podprogram č. 2 je v synergii s</w:t>
      </w:r>
      <w:r w:rsidR="00312480">
        <w:rPr>
          <w:rFonts w:ascii="Arial" w:hAnsi="Arial" w:cs="Arial"/>
          <w:szCs w:val="24"/>
        </w:rPr>
        <w:t xml:space="preserve">dalšími </w:t>
      </w:r>
      <w:r w:rsidR="004A5400">
        <w:rPr>
          <w:rFonts w:ascii="Arial" w:hAnsi="Arial" w:cs="Arial"/>
          <w:szCs w:val="24"/>
        </w:rPr>
        <w:t>programy MŠMT</w:t>
      </w:r>
      <w:r w:rsidR="008241FB">
        <w:rPr>
          <w:rFonts w:ascii="Arial" w:hAnsi="Arial" w:cs="Arial"/>
          <w:szCs w:val="24"/>
        </w:rPr>
        <w:t>,</w:t>
      </w:r>
      <w:r w:rsidR="00312480">
        <w:rPr>
          <w:rFonts w:ascii="Arial" w:hAnsi="Arial" w:cs="Arial"/>
          <w:szCs w:val="24"/>
        </w:rPr>
        <w:t xml:space="preserve"> nedochází však k nežádoucím překryvům. </w:t>
      </w:r>
      <w:r w:rsidR="00312480" w:rsidRPr="007E5EE3">
        <w:rPr>
          <w:rFonts w:ascii="Arial" w:hAnsi="Arial" w:cs="Arial"/>
          <w:i/>
          <w:szCs w:val="24"/>
        </w:rPr>
        <w:t>Program</w:t>
      </w:r>
      <w:r w:rsidR="00312480">
        <w:rPr>
          <w:rFonts w:ascii="Arial" w:hAnsi="Arial" w:cs="Arial"/>
          <w:szCs w:val="24"/>
        </w:rPr>
        <w:t xml:space="preserve"> IMPAKT je specifický </w:t>
      </w:r>
      <w:r w:rsidR="00312480" w:rsidRPr="00312480">
        <w:rPr>
          <w:rFonts w:ascii="Arial" w:hAnsi="Arial" w:cs="Arial"/>
          <w:szCs w:val="24"/>
        </w:rPr>
        <w:t>v tom, že podporuje rozvoj potenciálu veřejn</w:t>
      </w:r>
      <w:r w:rsidR="00312480">
        <w:rPr>
          <w:rFonts w:ascii="Arial" w:hAnsi="Arial" w:cs="Arial"/>
          <w:szCs w:val="24"/>
        </w:rPr>
        <w:t>ého výzkumného sektoru v prioritních oblastech</w:t>
      </w:r>
      <w:r w:rsidR="00312480" w:rsidRPr="00312480">
        <w:rPr>
          <w:rFonts w:ascii="Arial" w:hAnsi="Arial" w:cs="Arial"/>
          <w:szCs w:val="24"/>
        </w:rPr>
        <w:t xml:space="preserve"> bezpečnostního výzkumu</w:t>
      </w:r>
      <w:r w:rsidR="00312480">
        <w:rPr>
          <w:rFonts w:ascii="Arial" w:hAnsi="Arial" w:cs="Arial"/>
          <w:szCs w:val="24"/>
        </w:rPr>
        <w:t xml:space="preserve"> ČR</w:t>
      </w:r>
      <w:r w:rsidR="00312480" w:rsidRPr="00312480">
        <w:rPr>
          <w:rFonts w:ascii="Arial" w:hAnsi="Arial" w:cs="Arial"/>
          <w:szCs w:val="24"/>
        </w:rPr>
        <w:t xml:space="preserve">. </w:t>
      </w:r>
      <w:r w:rsidR="00A14482" w:rsidRPr="007E5EE3">
        <w:rPr>
          <w:rFonts w:ascii="Arial" w:hAnsi="Arial" w:cs="Arial"/>
          <w:i/>
          <w:szCs w:val="24"/>
        </w:rPr>
        <w:t>Program</w:t>
      </w:r>
      <w:r w:rsidR="00A14482">
        <w:rPr>
          <w:rFonts w:ascii="Arial" w:hAnsi="Arial" w:cs="Arial"/>
          <w:szCs w:val="24"/>
        </w:rPr>
        <w:t xml:space="preserve"> zároveň klade důraz na propracovaný systém mezinárodní mobility vědeckých pracovníků</w:t>
      </w:r>
      <w:r w:rsidR="009605B1">
        <w:rPr>
          <w:rFonts w:ascii="Arial" w:hAnsi="Arial" w:cs="Arial"/>
          <w:szCs w:val="24"/>
        </w:rPr>
        <w:t>, který má za cíl posílit výzkumné kapacity pro zapojení do mezinárodních projektů.</w:t>
      </w:r>
      <w:r w:rsidR="00EA17A9">
        <w:rPr>
          <w:rFonts w:ascii="Arial" w:hAnsi="Arial" w:cs="Arial"/>
          <w:szCs w:val="24"/>
        </w:rPr>
        <w:t xml:space="preserve"> V tom se liší od Operačního programu výzkum, vývoj a</w:t>
      </w:r>
      <w:r w:rsidR="009605B1">
        <w:rPr>
          <w:rFonts w:ascii="Arial" w:hAnsi="Arial" w:cs="Arial"/>
          <w:szCs w:val="24"/>
        </w:rPr>
        <w:t xml:space="preserve"> vzdělávání, který jde cestou</w:t>
      </w:r>
      <w:r w:rsidR="00EA17A9">
        <w:rPr>
          <w:rFonts w:ascii="Arial" w:hAnsi="Arial" w:cs="Arial"/>
          <w:szCs w:val="24"/>
        </w:rPr>
        <w:t xml:space="preserve"> </w:t>
      </w:r>
      <w:r w:rsidR="009605B1">
        <w:rPr>
          <w:rFonts w:ascii="Arial" w:hAnsi="Arial" w:cs="Arial"/>
          <w:szCs w:val="24"/>
        </w:rPr>
        <w:t>podpory národních kapacit</w:t>
      </w:r>
      <w:r w:rsidR="00EA17A9">
        <w:rPr>
          <w:rFonts w:ascii="Arial" w:hAnsi="Arial" w:cs="Arial"/>
          <w:szCs w:val="24"/>
        </w:rPr>
        <w:t xml:space="preserve"> </w:t>
      </w:r>
      <w:r w:rsidR="009605B1">
        <w:rPr>
          <w:rFonts w:ascii="Arial" w:hAnsi="Arial" w:cs="Arial"/>
          <w:szCs w:val="24"/>
        </w:rPr>
        <w:t xml:space="preserve">prostřednictvím </w:t>
      </w:r>
      <w:r w:rsidR="00EA17A9">
        <w:rPr>
          <w:rFonts w:ascii="Arial" w:hAnsi="Arial" w:cs="Arial"/>
          <w:szCs w:val="24"/>
        </w:rPr>
        <w:t xml:space="preserve">mezisektorové a </w:t>
      </w:r>
      <w:r w:rsidR="009605B1">
        <w:rPr>
          <w:rFonts w:ascii="Arial" w:hAnsi="Arial" w:cs="Arial"/>
          <w:szCs w:val="24"/>
        </w:rPr>
        <w:t xml:space="preserve">mezioborové spolupráce. </w:t>
      </w:r>
      <w:r w:rsidR="005B0CD9" w:rsidRPr="005B0CD9">
        <w:rPr>
          <w:rFonts w:ascii="Arial" w:hAnsi="Arial" w:cs="Arial"/>
          <w:szCs w:val="24"/>
        </w:rPr>
        <w:t xml:space="preserve">Na rozdíl od programu INTER-EXCELLENCE je </w:t>
      </w:r>
      <w:r w:rsidR="005B0CD9" w:rsidRPr="007E5EE3">
        <w:rPr>
          <w:rFonts w:ascii="Arial" w:hAnsi="Arial" w:cs="Arial"/>
          <w:i/>
          <w:szCs w:val="24"/>
        </w:rPr>
        <w:t>Program</w:t>
      </w:r>
      <w:r w:rsidR="005B0CD9" w:rsidRPr="005B0CD9">
        <w:rPr>
          <w:rFonts w:ascii="Arial" w:hAnsi="Arial" w:cs="Arial"/>
          <w:szCs w:val="24"/>
        </w:rPr>
        <w:t xml:space="preserve"> tematicky zacílen na rozvoj schopností v oblasti bezpečnostního výzkumu a vychází z požadavku na úzké propojení s požadavky konečných uživatelů bezpečnostního výzkumu prostřednictvím jejich zapojení do hodnotících mechanismů </w:t>
      </w:r>
      <w:r w:rsidR="005B0CD9" w:rsidRPr="007E5EE3">
        <w:rPr>
          <w:rFonts w:ascii="Arial" w:hAnsi="Arial" w:cs="Arial"/>
          <w:i/>
          <w:szCs w:val="24"/>
        </w:rPr>
        <w:t>Programu</w:t>
      </w:r>
      <w:r w:rsidR="005B0CD9" w:rsidRPr="005B0CD9">
        <w:rPr>
          <w:rFonts w:ascii="Arial" w:hAnsi="Arial" w:cs="Arial"/>
          <w:szCs w:val="24"/>
        </w:rPr>
        <w:t>.</w:t>
      </w:r>
      <w:r w:rsidR="00312480">
        <w:rPr>
          <w:rFonts w:ascii="Arial" w:hAnsi="Arial" w:cs="Arial"/>
          <w:szCs w:val="24"/>
        </w:rPr>
        <w:t xml:space="preserve"> V </w:t>
      </w:r>
      <w:r w:rsidR="004A5400">
        <w:rPr>
          <w:rFonts w:ascii="Arial" w:hAnsi="Arial" w:cs="Arial"/>
          <w:szCs w:val="24"/>
        </w:rPr>
        <w:t xml:space="preserve">rámci efektivního vynakládání veřejných prostředků </w:t>
      </w:r>
      <w:r w:rsidR="00FB7CA9">
        <w:rPr>
          <w:rFonts w:ascii="Arial" w:hAnsi="Arial" w:cs="Arial"/>
          <w:szCs w:val="24"/>
        </w:rPr>
        <w:t xml:space="preserve">bude </w:t>
      </w:r>
      <w:r w:rsidR="004A5400">
        <w:rPr>
          <w:rFonts w:ascii="Arial" w:hAnsi="Arial" w:cs="Arial"/>
          <w:szCs w:val="24"/>
        </w:rPr>
        <w:t>zaji</w:t>
      </w:r>
      <w:r w:rsidR="00FB7CA9">
        <w:rPr>
          <w:rFonts w:ascii="Arial" w:hAnsi="Arial" w:cs="Arial"/>
          <w:szCs w:val="24"/>
        </w:rPr>
        <w:t>štěna</w:t>
      </w:r>
      <w:r w:rsidR="004A5400">
        <w:rPr>
          <w:rFonts w:ascii="Arial" w:hAnsi="Arial" w:cs="Arial"/>
          <w:szCs w:val="24"/>
        </w:rPr>
        <w:t xml:space="preserve"> výměn</w:t>
      </w:r>
      <w:r w:rsidR="00FB7CA9">
        <w:rPr>
          <w:rFonts w:ascii="Arial" w:hAnsi="Arial" w:cs="Arial"/>
          <w:szCs w:val="24"/>
        </w:rPr>
        <w:t>a</w:t>
      </w:r>
      <w:r w:rsidR="004A5400">
        <w:rPr>
          <w:rFonts w:ascii="Arial" w:hAnsi="Arial" w:cs="Arial"/>
          <w:szCs w:val="24"/>
        </w:rPr>
        <w:t xml:space="preserve"> informací mezi MŠMT a MV</w:t>
      </w:r>
      <w:r w:rsidR="00513CB3">
        <w:rPr>
          <w:rFonts w:ascii="Arial" w:hAnsi="Arial" w:cs="Arial"/>
          <w:szCs w:val="24"/>
        </w:rPr>
        <w:t>. Z tohoto důvodu budou</w:t>
      </w:r>
      <w:r w:rsidR="008241FB">
        <w:rPr>
          <w:rFonts w:ascii="Arial" w:hAnsi="Arial" w:cs="Arial"/>
          <w:szCs w:val="24"/>
        </w:rPr>
        <w:t xml:space="preserve"> osloveny zástupci MŠMT a TA ČR s žádostí o jejich zastoupení v Radě </w:t>
      </w:r>
      <w:r w:rsidR="00513CB3">
        <w:rPr>
          <w:rFonts w:ascii="Arial" w:hAnsi="Arial" w:cs="Arial"/>
          <w:szCs w:val="24"/>
        </w:rPr>
        <w:t xml:space="preserve">programu IMPAKT. </w:t>
      </w:r>
      <w:r w:rsidR="00513CB3" w:rsidRPr="007E5EE3">
        <w:rPr>
          <w:rFonts w:ascii="Arial" w:hAnsi="Arial" w:cs="Arial"/>
          <w:szCs w:val="24"/>
        </w:rPr>
        <w:t>Aby nedocházelo k nežádoucím duplicitám mezi jednotlivými programy, bude jedním z hodnotících kritérií výběru projektu</w:t>
      </w:r>
      <w:r w:rsidR="00B772D1" w:rsidRPr="007E5EE3">
        <w:rPr>
          <w:rFonts w:ascii="Arial" w:hAnsi="Arial" w:cs="Arial"/>
          <w:szCs w:val="24"/>
        </w:rPr>
        <w:t xml:space="preserve"> kritérium duplicity.</w:t>
      </w:r>
      <w:r w:rsidR="008241FB" w:rsidRPr="007E5EE3">
        <w:rPr>
          <w:rFonts w:ascii="Arial" w:hAnsi="Arial" w:cs="Arial"/>
          <w:szCs w:val="24"/>
        </w:rPr>
        <w:t xml:space="preserve"> </w:t>
      </w:r>
      <w:r w:rsidR="00513CB3" w:rsidRPr="007E5EE3">
        <w:rPr>
          <w:rFonts w:ascii="Arial" w:hAnsi="Arial" w:cs="Arial"/>
          <w:szCs w:val="24"/>
        </w:rPr>
        <w:t>Dalším opat</w:t>
      </w:r>
      <w:r w:rsidR="00EA17A9" w:rsidRPr="00EA17A9">
        <w:rPr>
          <w:rFonts w:ascii="Arial" w:hAnsi="Arial" w:cs="Arial"/>
          <w:szCs w:val="24"/>
        </w:rPr>
        <w:t xml:space="preserve">řením je úzká specifikace cílů </w:t>
      </w:r>
      <w:r w:rsidR="00EA17A9" w:rsidRPr="007E5EE3">
        <w:rPr>
          <w:rFonts w:ascii="Arial" w:hAnsi="Arial" w:cs="Arial"/>
          <w:i/>
          <w:szCs w:val="24"/>
        </w:rPr>
        <w:t>P</w:t>
      </w:r>
      <w:r w:rsidR="00513CB3" w:rsidRPr="007E5EE3">
        <w:rPr>
          <w:rFonts w:ascii="Arial" w:hAnsi="Arial" w:cs="Arial"/>
          <w:i/>
          <w:szCs w:val="24"/>
        </w:rPr>
        <w:t>rogramu</w:t>
      </w:r>
      <w:r w:rsidR="00513CB3" w:rsidRPr="007E5EE3">
        <w:rPr>
          <w:rFonts w:ascii="Arial" w:hAnsi="Arial" w:cs="Arial"/>
          <w:szCs w:val="24"/>
        </w:rPr>
        <w:t xml:space="preserve">, která </w:t>
      </w:r>
      <w:r w:rsidR="00B772D1" w:rsidRPr="007E5EE3">
        <w:rPr>
          <w:rFonts w:ascii="Arial" w:hAnsi="Arial" w:cs="Arial"/>
          <w:szCs w:val="24"/>
        </w:rPr>
        <w:t>je</w:t>
      </w:r>
      <w:r w:rsidR="00513CB3" w:rsidRPr="007E5EE3">
        <w:rPr>
          <w:rFonts w:ascii="Arial" w:hAnsi="Arial" w:cs="Arial"/>
          <w:szCs w:val="24"/>
        </w:rPr>
        <w:t xml:space="preserve"> součástí Zadávací dokumentace. </w:t>
      </w:r>
    </w:p>
    <w:p w14:paraId="40DAF743" w14:textId="77777777" w:rsidR="00A92615" w:rsidRDefault="00A3322A" w:rsidP="00A92615">
      <w:pPr>
        <w:pStyle w:val="Odstavecseseznamem"/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szCs w:val="24"/>
        </w:rPr>
      </w:pPr>
      <w:r w:rsidRPr="00276728">
        <w:rPr>
          <w:rFonts w:ascii="Arial" w:hAnsi="Arial" w:cs="Arial"/>
          <w:szCs w:val="24"/>
        </w:rPr>
        <w:t xml:space="preserve">podprogram č. 3 „Rozvoj iniciativy v bezpečnostním výzkumu“ má za cíl umožnit rozvoj mezinárodních podnětů/aktivit v komunitě bezpečnostního výzkumu. Tento podprogram přispívá k posílení zahraničních vztahů klíčových výzkumných týmů </w:t>
      </w:r>
      <w:r w:rsidRPr="00276728">
        <w:rPr>
          <w:rFonts w:ascii="Arial" w:hAnsi="Arial" w:cs="Arial"/>
          <w:szCs w:val="24"/>
        </w:rPr>
        <w:lastRenderedPageBreak/>
        <w:t>s bezpečnostní specializací a posílení existujících vazeb jednotlivých výzkumníků do podoby institucionální komunikace a spolupráce. Příkladem podpořených projektů může být výměna výzkumných pracovníků, dlouhodobé zajištění přístupu k infrastruktuře partnerských institucí a jejího využívání, dlouhodobá informační podpora mezinárodní spolupráce aj.</w:t>
      </w:r>
    </w:p>
    <w:p w14:paraId="1E3521DC" w14:textId="2B4C9105" w:rsidR="00A92615" w:rsidRPr="007E5EE3" w:rsidRDefault="00A92615" w:rsidP="007E5EE3">
      <w:pPr>
        <w:spacing w:before="120" w:after="120"/>
        <w:jc w:val="both"/>
        <w:rPr>
          <w:rFonts w:ascii="Arial" w:hAnsi="Arial" w:cs="Arial"/>
          <w:szCs w:val="24"/>
        </w:rPr>
      </w:pPr>
      <w:r w:rsidRPr="007E5EE3">
        <w:rPr>
          <w:rFonts w:ascii="Arial" w:hAnsi="Arial" w:cs="Arial"/>
          <w:sz w:val="22"/>
          <w:szCs w:val="24"/>
        </w:rPr>
        <w:t>Program je v synergii s dalšími programy Technologické agentury ČR, nedochází však k nežádoucím překryvům. Program IMPAKT je specifický v tom, že podporuje rozvoj potenciálu veřejného výzkumného sektoru v prioritních oblastech bezpečnostního výzkumu ČR. Na rozdíl od Národních center kompetence je Program IMPAKT tematicky zacílen a směřuje k rozvoji schopností v oblasti bezpečnostního výzkumu, dále vychází z potřeby úzkého propojení s požadavky konečných uživatelů bezpečnostního výzkumu, které se uskutečňuje prostřednictvím zapojení konečných uživatelů do hodnotících mechanismů Programu.</w:t>
      </w:r>
    </w:p>
    <w:p w14:paraId="62776A4E" w14:textId="77777777" w:rsidR="00A3322A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Mezi očekávané přínosy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patří efektivní plnění inovačních potřeb bezpečnostního systému ve výše uvedených prioritách </w:t>
      </w:r>
      <w:r w:rsidRPr="00276728">
        <w:rPr>
          <w:rFonts w:ascii="Arial" w:hAnsi="Arial" w:cs="Arial"/>
          <w:i/>
          <w:sz w:val="22"/>
          <w:szCs w:val="24"/>
        </w:rPr>
        <w:t>Meziresortní koncepce</w:t>
      </w:r>
      <w:r w:rsidRPr="00276728">
        <w:rPr>
          <w:rFonts w:ascii="Arial" w:hAnsi="Arial" w:cs="Arial"/>
          <w:sz w:val="22"/>
          <w:szCs w:val="24"/>
        </w:rPr>
        <w:t>, dále pak prohlubování oborové i aplikované znalostní základy v oblastech relevantních z hlediska dlouhodobých inovačních potřeb bezpečnostního systému. Přínos lze očekávat také ve sjednocení a větší koordinaci výzkumné oblasti, zvýšenou kapacitou perspektivních lidských zdrojů pro bezpečnostní výzkum ve významných českých výzkumných organizacích nebo například zvýšenou iniciativou komunity bezpečnostního výzkumu v  mezinárodní spolupráci.</w:t>
      </w:r>
    </w:p>
    <w:p w14:paraId="674344A1" w14:textId="26D36225" w:rsidR="001B3F17" w:rsidRDefault="001B3F17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Pro bližší představu o výsledcích podpořených projektů v rámci předchozích programů bezpečnostního výzkumu uvádíme vybrané příklady:</w:t>
      </w:r>
    </w:p>
    <w:p w14:paraId="30BC1AB4" w14:textId="67892E47" w:rsidR="001B3F17" w:rsidRPr="00EC0245" w:rsidRDefault="000838CA" w:rsidP="00EC0245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kybernetický polygon – unikátní prostředí pro </w:t>
      </w:r>
      <w:proofErr w:type="spellStart"/>
      <w:r>
        <w:rPr>
          <w:rFonts w:ascii="Arial" w:hAnsi="Arial" w:cs="Arial"/>
          <w:szCs w:val="24"/>
        </w:rPr>
        <w:t>VaV</w:t>
      </w:r>
      <w:proofErr w:type="spellEnd"/>
      <w:r>
        <w:rPr>
          <w:rFonts w:ascii="Arial" w:hAnsi="Arial" w:cs="Arial"/>
          <w:szCs w:val="24"/>
        </w:rPr>
        <w:t xml:space="preserve"> metod na ochranu proti útokům na kritické infrastruktury</w:t>
      </w:r>
      <w:r w:rsidR="00D86C49">
        <w:rPr>
          <w:rFonts w:ascii="Arial" w:hAnsi="Arial" w:cs="Arial"/>
          <w:szCs w:val="24"/>
        </w:rPr>
        <w:t xml:space="preserve">; využití – </w:t>
      </w:r>
      <w:r w:rsidRPr="00EC0245">
        <w:rPr>
          <w:rFonts w:ascii="Arial" w:hAnsi="Arial" w:cs="Arial"/>
          <w:szCs w:val="24"/>
        </w:rPr>
        <w:t xml:space="preserve">pravidelné bezpečnostní školení a cvičení s celosvětovou účastí, </w:t>
      </w:r>
      <w:r w:rsidR="00D75182" w:rsidRPr="00EC0245">
        <w:rPr>
          <w:rFonts w:ascii="Arial" w:hAnsi="Arial" w:cs="Arial"/>
          <w:szCs w:val="24"/>
        </w:rPr>
        <w:t xml:space="preserve">cvičení </w:t>
      </w:r>
      <w:r w:rsidRPr="00EC0245">
        <w:rPr>
          <w:rFonts w:ascii="Arial" w:hAnsi="Arial" w:cs="Arial"/>
          <w:szCs w:val="24"/>
        </w:rPr>
        <w:t>obran</w:t>
      </w:r>
      <w:r w:rsidR="00D75182" w:rsidRPr="00EC0245">
        <w:rPr>
          <w:rFonts w:ascii="Arial" w:hAnsi="Arial" w:cs="Arial"/>
          <w:szCs w:val="24"/>
        </w:rPr>
        <w:t>y</w:t>
      </w:r>
      <w:r w:rsidRPr="00EC0245">
        <w:rPr>
          <w:rFonts w:ascii="Arial" w:hAnsi="Arial" w:cs="Arial"/>
          <w:szCs w:val="24"/>
        </w:rPr>
        <w:t xml:space="preserve"> vůči simulovanému </w:t>
      </w:r>
      <w:proofErr w:type="spellStart"/>
      <w:r w:rsidRPr="00EC0245">
        <w:rPr>
          <w:rFonts w:ascii="Arial" w:hAnsi="Arial" w:cs="Arial"/>
          <w:szCs w:val="24"/>
        </w:rPr>
        <w:t>kyberútoku</w:t>
      </w:r>
      <w:proofErr w:type="spellEnd"/>
      <w:r w:rsidRPr="00EC0245">
        <w:rPr>
          <w:rFonts w:ascii="Arial" w:hAnsi="Arial" w:cs="Arial"/>
          <w:szCs w:val="24"/>
        </w:rPr>
        <w:t>, využíván mimo jiné také Národním úřadem pro kyberne</w:t>
      </w:r>
      <w:r w:rsidR="00B07A06" w:rsidRPr="00EC0245">
        <w:rPr>
          <w:rFonts w:ascii="Arial" w:hAnsi="Arial" w:cs="Arial"/>
          <w:szCs w:val="24"/>
        </w:rPr>
        <w:t>tickou a informační bezpečnost</w:t>
      </w:r>
      <w:r w:rsidR="00D75182" w:rsidRPr="00EC0245">
        <w:rPr>
          <w:rFonts w:ascii="Arial" w:hAnsi="Arial" w:cs="Arial"/>
          <w:szCs w:val="24"/>
        </w:rPr>
        <w:t>,</w:t>
      </w:r>
    </w:p>
    <w:p w14:paraId="7F68E092" w14:textId="11D0E899" w:rsidR="00D86C49" w:rsidRDefault="00D86C49" w:rsidP="00EC0245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zavedení techniky iontové mikroskopie do znalecké praxe Policie ČR; využití – rutinní využívání systému při expertizách neznámých vzorků, </w:t>
      </w:r>
      <w:proofErr w:type="spellStart"/>
      <w:r>
        <w:rPr>
          <w:rFonts w:ascii="Arial" w:hAnsi="Arial" w:cs="Arial"/>
          <w:szCs w:val="24"/>
        </w:rPr>
        <w:t>povýstřelových</w:t>
      </w:r>
      <w:proofErr w:type="spellEnd"/>
      <w:r>
        <w:rPr>
          <w:rFonts w:ascii="Arial" w:hAnsi="Arial" w:cs="Arial"/>
          <w:szCs w:val="24"/>
        </w:rPr>
        <w:t xml:space="preserve"> zplodin, výbušnin, kosmetických a farmaceutických produktů aj., ze zajímavých analýz lze uvést působení kyselin na dentin zubů, využito při loupeži ve zlatnictví v Praze, analýzy pro ČOI, případ „Balamuta“ (útok kyselinou), falza obrazů (pigmenty kauza „Kotík“), znovuotevírání dosud nevyřešených případů (případ nejasného úmrtí z roku 1961) aj.</w:t>
      </w:r>
      <w:r w:rsidR="003D128E">
        <w:rPr>
          <w:rFonts w:ascii="Arial" w:hAnsi="Arial" w:cs="Arial"/>
          <w:szCs w:val="24"/>
        </w:rPr>
        <w:t>,</w:t>
      </w:r>
    </w:p>
    <w:p w14:paraId="75488C9E" w14:textId="418BB0CA" w:rsidR="00EC0245" w:rsidRDefault="00EC0245" w:rsidP="00EC0245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osobní bezpečnostní dohledový systém pro podporu výcviku a zásahu jednotek Integrovaného záchranného systému – umožňuje v reálném čase lokalizaci, sledování zdravotně-fyziologických parametrů, signalizaci rizikového stavu i environmentálních parametrů a zpětnou analýzu průběhu zásahu či výcviku; využití – realizace 30 testovacích sad pro členy Hasičského záchranného sboru hl. m. Prahy, zařazeno do výuky v oboru Plánování a řízení krizových situací aj.</w:t>
      </w:r>
      <w:r w:rsidR="00DB75D3">
        <w:rPr>
          <w:rFonts w:ascii="Arial" w:hAnsi="Arial" w:cs="Arial"/>
          <w:szCs w:val="24"/>
        </w:rPr>
        <w:t>,</w:t>
      </w:r>
    </w:p>
    <w:p w14:paraId="69E64255" w14:textId="21D6F346" w:rsidR="00DB75D3" w:rsidRDefault="00DB75D3" w:rsidP="00875E9F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unikátní technologie umožňující pokročilé testování detekčních systémů a čidel sítí včasného zjištění</w:t>
      </w:r>
      <w:r w:rsidR="00875E9F">
        <w:rPr>
          <w:rFonts w:ascii="Arial" w:hAnsi="Arial" w:cs="Arial"/>
          <w:szCs w:val="24"/>
        </w:rPr>
        <w:t xml:space="preserve"> </w:t>
      </w:r>
      <w:r w:rsidR="00875E9F" w:rsidRPr="00875E9F">
        <w:rPr>
          <w:rFonts w:ascii="Arial" w:hAnsi="Arial" w:cs="Arial"/>
          <w:szCs w:val="24"/>
        </w:rPr>
        <w:t>v prostředí reálného směsného spektra štěpných radionuklidů</w:t>
      </w:r>
      <w:r w:rsidR="00C509C2">
        <w:rPr>
          <w:rFonts w:ascii="Arial" w:hAnsi="Arial" w:cs="Arial"/>
          <w:szCs w:val="24"/>
        </w:rPr>
        <w:t>, výcvik monitorovacích a zasahujících skupin v prostředí odpovídajícímu spektru v prvních minutách, hodinách a dnech po havárii jaderného zařízení</w:t>
      </w:r>
      <w:r>
        <w:rPr>
          <w:rFonts w:ascii="Arial" w:hAnsi="Arial" w:cs="Arial"/>
          <w:szCs w:val="24"/>
        </w:rPr>
        <w:t xml:space="preserve"> </w:t>
      </w:r>
      <w:r w:rsidR="00C509C2">
        <w:rPr>
          <w:rFonts w:ascii="Arial" w:hAnsi="Arial" w:cs="Arial"/>
          <w:szCs w:val="24"/>
        </w:rPr>
        <w:t>– uvedené je realizováno na školním jaderném reaktoru ČVUT.</w:t>
      </w:r>
    </w:p>
    <w:p w14:paraId="1A362B6C" w14:textId="77777777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V souladu s právním rámcem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a v návaznosti na účel jsou způsobilými uchazeči, resp. potenciálními příjemci podpory organizace pro výzkum a šíření znalostí.</w:t>
      </w:r>
    </w:p>
    <w:p w14:paraId="2B2C9618" w14:textId="77777777" w:rsidR="00A3322A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>Uživateli výsledků všech podprogramů budou především odborní gestoři projektů z podprogramu č. 1, tedy součásti bezpečnostního systému (např. ozbrojené bezpečnostní sbory, záchranné sbory, ozbrojené síly, ministerstva, krajské a obecní úřady a další). V některých případech lze za uživatele výsledků označit také širší odbornou veřejnost.</w:t>
      </w:r>
    </w:p>
    <w:p w14:paraId="367028B1" w14:textId="7F4FB707" w:rsidR="004A5400" w:rsidRPr="004A5400" w:rsidRDefault="004A5400" w:rsidP="004A5400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4A5400">
        <w:rPr>
          <w:rFonts w:ascii="Arial" w:hAnsi="Arial" w:cs="Arial"/>
          <w:sz w:val="22"/>
          <w:szCs w:val="24"/>
        </w:rPr>
        <w:lastRenderedPageBreak/>
        <w:t xml:space="preserve">Podpořené projekty budou vyplňovat prostor tam, kde existuje objektivní dlouhodobá potřeba dynamického rozvoje výzkumné agendy, kterou nelze vyplnit jednotlivými projekty, a zároveň neexistuje in-house kapacita nebo kapacita soukromého sektoru, či jsou tyto kapacity příliš roztříštěné. To přispívá k dlouhodobému etablování schopností výzkumné podpory bezpečnostního systému, aniž by docházelo k nadbytečné </w:t>
      </w:r>
      <w:proofErr w:type="gramStart"/>
      <w:r w:rsidRPr="004A5400">
        <w:rPr>
          <w:rFonts w:ascii="Arial" w:hAnsi="Arial" w:cs="Arial"/>
          <w:sz w:val="22"/>
          <w:szCs w:val="24"/>
        </w:rPr>
        <w:t>institucionalizace</w:t>
      </w:r>
      <w:proofErr w:type="gramEnd"/>
      <w:r w:rsidRPr="004A5400">
        <w:rPr>
          <w:rFonts w:ascii="Arial" w:hAnsi="Arial" w:cs="Arial"/>
          <w:sz w:val="22"/>
          <w:szCs w:val="24"/>
        </w:rPr>
        <w:t xml:space="preserve"> nebo zdvojování aktivit. </w:t>
      </w:r>
    </w:p>
    <w:p w14:paraId="07D5E572" w14:textId="77777777" w:rsidR="004A5400" w:rsidRPr="004A5400" w:rsidRDefault="004A5400" w:rsidP="004A5400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4A5400">
        <w:rPr>
          <w:rFonts w:ascii="Arial" w:hAnsi="Arial" w:cs="Arial"/>
          <w:sz w:val="22"/>
          <w:szCs w:val="24"/>
        </w:rPr>
        <w:t>Podpory a projekty ve vztahu k charakteru potřeb jsou následující:</w:t>
      </w:r>
    </w:p>
    <w:p w14:paraId="3C9D738B" w14:textId="77777777" w:rsidR="004A5400" w:rsidRDefault="004A5400" w:rsidP="004A5400">
      <w:pPr>
        <w:pStyle w:val="Odstavecseseznamem"/>
        <w:numPr>
          <w:ilvl w:val="0"/>
          <w:numId w:val="3"/>
        </w:numPr>
        <w:spacing w:before="120"/>
        <w:jc w:val="both"/>
        <w:rPr>
          <w:rFonts w:ascii="Arial" w:hAnsi="Arial" w:cs="Arial"/>
          <w:szCs w:val="24"/>
        </w:rPr>
      </w:pPr>
      <w:r w:rsidRPr="004A5400">
        <w:rPr>
          <w:rFonts w:ascii="Arial" w:hAnsi="Arial" w:cs="Arial"/>
          <w:szCs w:val="24"/>
        </w:rPr>
        <w:t xml:space="preserve">produktové inovace a inkrementální vývoj etablovaných technologií a aplikací (další poskytovatelé a nepřímé podpory </w:t>
      </w:r>
      <w:proofErr w:type="spellStart"/>
      <w:r w:rsidRPr="004A5400">
        <w:rPr>
          <w:rFonts w:ascii="Arial" w:hAnsi="Arial" w:cs="Arial"/>
          <w:szCs w:val="24"/>
        </w:rPr>
        <w:t>VaV</w:t>
      </w:r>
      <w:proofErr w:type="spellEnd"/>
      <w:r w:rsidRPr="004A5400">
        <w:rPr>
          <w:rFonts w:ascii="Arial" w:hAnsi="Arial" w:cs="Arial"/>
          <w:szCs w:val="24"/>
        </w:rPr>
        <w:t>, tj. mimo působnost MV),</w:t>
      </w:r>
    </w:p>
    <w:p w14:paraId="61F08093" w14:textId="77777777" w:rsidR="004A5400" w:rsidRDefault="004A5400" w:rsidP="004A5400">
      <w:pPr>
        <w:pStyle w:val="Odstavecseseznamem"/>
        <w:numPr>
          <w:ilvl w:val="0"/>
          <w:numId w:val="3"/>
        </w:numPr>
        <w:spacing w:before="120"/>
        <w:jc w:val="both"/>
        <w:rPr>
          <w:rFonts w:ascii="Arial" w:hAnsi="Arial" w:cs="Arial"/>
          <w:szCs w:val="24"/>
        </w:rPr>
      </w:pPr>
      <w:r w:rsidRPr="004A5400">
        <w:rPr>
          <w:rFonts w:ascii="Arial" w:hAnsi="Arial" w:cs="Arial"/>
          <w:szCs w:val="24"/>
        </w:rPr>
        <w:t>slibné technologie, slibné nové aplikace, transfer technologií a postupů (ad hoc projekty, tj. ostatní programy MV),</w:t>
      </w:r>
    </w:p>
    <w:p w14:paraId="47331B2F" w14:textId="034ACFF2" w:rsidR="004A5400" w:rsidRDefault="004A5400" w:rsidP="004A5400">
      <w:pPr>
        <w:pStyle w:val="Odstavecseseznamem"/>
        <w:numPr>
          <w:ilvl w:val="0"/>
          <w:numId w:val="3"/>
        </w:numPr>
        <w:spacing w:before="120"/>
        <w:jc w:val="both"/>
        <w:rPr>
          <w:rFonts w:ascii="Arial" w:hAnsi="Arial" w:cs="Arial"/>
          <w:szCs w:val="24"/>
        </w:rPr>
      </w:pPr>
      <w:r w:rsidRPr="004A5400">
        <w:rPr>
          <w:rFonts w:ascii="Arial" w:hAnsi="Arial" w:cs="Arial"/>
          <w:szCs w:val="24"/>
        </w:rPr>
        <w:t>střednědobé potřeby, vysoce specializované schop</w:t>
      </w:r>
      <w:r>
        <w:rPr>
          <w:rFonts w:ascii="Arial" w:hAnsi="Arial" w:cs="Arial"/>
          <w:szCs w:val="24"/>
        </w:rPr>
        <w:t>nosti (výzkumné programy, tj.</w:t>
      </w:r>
      <w:r w:rsidR="002209BC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podprogram č. 1, podprogram č. </w:t>
      </w:r>
      <w:r w:rsidRPr="004A5400">
        <w:rPr>
          <w:rFonts w:ascii="Arial" w:hAnsi="Arial" w:cs="Arial"/>
          <w:szCs w:val="24"/>
        </w:rPr>
        <w:t>2),</w:t>
      </w:r>
    </w:p>
    <w:p w14:paraId="1E3F06CF" w14:textId="0EA6C12E" w:rsidR="004A5400" w:rsidRPr="004A5400" w:rsidRDefault="004A5400" w:rsidP="004A5400">
      <w:pPr>
        <w:pStyle w:val="Odstavecseseznamem"/>
        <w:numPr>
          <w:ilvl w:val="0"/>
          <w:numId w:val="3"/>
        </w:numPr>
        <w:spacing w:before="120"/>
        <w:jc w:val="both"/>
        <w:rPr>
          <w:rFonts w:ascii="Arial" w:hAnsi="Arial" w:cs="Arial"/>
          <w:szCs w:val="24"/>
        </w:rPr>
      </w:pPr>
      <w:r w:rsidRPr="004A5400">
        <w:rPr>
          <w:rFonts w:ascii="Arial" w:hAnsi="Arial" w:cs="Arial"/>
          <w:szCs w:val="24"/>
        </w:rPr>
        <w:t>neopomenutelné potřeby („národní laboratoře“, tj. institucionální podpora).</w:t>
      </w:r>
    </w:p>
    <w:p w14:paraId="72F4E5B3" w14:textId="68181735" w:rsidR="004A5400" w:rsidRPr="004A5400" w:rsidRDefault="004A5400" w:rsidP="004A5400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4A5400">
        <w:rPr>
          <w:rFonts w:ascii="Arial" w:hAnsi="Arial" w:cs="Arial"/>
          <w:sz w:val="22"/>
          <w:szCs w:val="24"/>
        </w:rPr>
        <w:t>S ohledem na charakter potřeb tvoří neopomenutelné potřeby financované institucionální podporou jen malou část veškeré podpory a projektů. Střednědobé potřeby a vysoce specializované schopnosti jsou tou oblastí, na kterou jsou zacíleny finanční prostředky z</w:t>
      </w:r>
      <w:r w:rsidR="002209BC">
        <w:rPr>
          <w:rFonts w:ascii="Arial" w:hAnsi="Arial" w:cs="Arial"/>
          <w:sz w:val="22"/>
          <w:szCs w:val="24"/>
        </w:rPr>
        <w:t> </w:t>
      </w:r>
      <w:r w:rsidRPr="004A5400">
        <w:rPr>
          <w:rFonts w:ascii="Arial" w:hAnsi="Arial" w:cs="Arial"/>
          <w:sz w:val="22"/>
          <w:szCs w:val="24"/>
        </w:rPr>
        <w:t>programu.</w:t>
      </w:r>
    </w:p>
    <w:p w14:paraId="486A442C" w14:textId="381CEE34" w:rsidR="004A5400" w:rsidRDefault="004A5400" w:rsidP="004A5400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4A5400">
        <w:rPr>
          <w:rFonts w:ascii="Arial" w:hAnsi="Arial" w:cs="Arial"/>
          <w:sz w:val="22"/>
          <w:szCs w:val="24"/>
        </w:rPr>
        <w:t>V rámci vznikajících klastrů dochází prostřednictvím finanční podpory meziinstitucionálních výzkumných programů ke stabilizaci spolupráce zapojených subjektů. Jedná se o doplnění klasického ad hoc projektového přístupu.</w:t>
      </w:r>
    </w:p>
    <w:p w14:paraId="6886D19C" w14:textId="179E9944" w:rsidR="00A3322A" w:rsidRPr="00276728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 xml:space="preserve">Financování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je plánováno v rámci státního rozpočtu na výzkum, experimentální vývoj a inovace na léta 2019 - 202</w:t>
      </w:r>
      <w:r w:rsidR="000F4350">
        <w:rPr>
          <w:rFonts w:ascii="Arial" w:hAnsi="Arial" w:cs="Arial"/>
          <w:sz w:val="22"/>
          <w:szCs w:val="24"/>
        </w:rPr>
        <w:t>5</w:t>
      </w:r>
      <w:r w:rsidRPr="00276728">
        <w:rPr>
          <w:rFonts w:ascii="Arial" w:hAnsi="Arial" w:cs="Arial"/>
          <w:sz w:val="22"/>
          <w:szCs w:val="24"/>
        </w:rPr>
        <w:t xml:space="preserve"> z kapitoly Ministerstva vnitra. Předp</w:t>
      </w:r>
      <w:r w:rsidR="00AB102F">
        <w:rPr>
          <w:rFonts w:ascii="Arial" w:hAnsi="Arial" w:cs="Arial"/>
          <w:sz w:val="22"/>
          <w:szCs w:val="24"/>
        </w:rPr>
        <w:t>okládané celkové výdaje činí 1 </w:t>
      </w:r>
      <w:r w:rsidR="00C85A62">
        <w:rPr>
          <w:rFonts w:ascii="Arial" w:hAnsi="Arial" w:cs="Arial"/>
          <w:sz w:val="22"/>
          <w:szCs w:val="24"/>
        </w:rPr>
        <w:t>2</w:t>
      </w:r>
      <w:r w:rsidR="00AB102F">
        <w:rPr>
          <w:rFonts w:ascii="Arial" w:hAnsi="Arial" w:cs="Arial"/>
          <w:sz w:val="22"/>
          <w:szCs w:val="24"/>
        </w:rPr>
        <w:t>3</w:t>
      </w:r>
      <w:r w:rsidRPr="00276728">
        <w:rPr>
          <w:rFonts w:ascii="Arial" w:hAnsi="Arial" w:cs="Arial"/>
          <w:sz w:val="22"/>
          <w:szCs w:val="24"/>
        </w:rPr>
        <w:t xml:space="preserve">0 000 tis. Kč. S ohledem na omezení </w:t>
      </w:r>
      <w:r w:rsidRPr="00276728">
        <w:rPr>
          <w:rFonts w:ascii="Arial" w:hAnsi="Arial" w:cs="Arial"/>
          <w:i/>
          <w:sz w:val="22"/>
          <w:szCs w:val="24"/>
        </w:rPr>
        <w:t>Programu</w:t>
      </w:r>
      <w:r w:rsidRPr="00276728">
        <w:rPr>
          <w:rFonts w:ascii="Arial" w:hAnsi="Arial" w:cs="Arial"/>
          <w:sz w:val="22"/>
          <w:szCs w:val="24"/>
        </w:rPr>
        <w:t xml:space="preserve"> na výzkumné organizace (například vysoké školy, ústavy Akademie věd, výzkumné ústavy aj.) se nepředpokládá spoluúčast z veřejných prostředků. Lze očekávat intenzitu podpory 100 % způsobilých nákladů projektů.</w:t>
      </w:r>
    </w:p>
    <w:p w14:paraId="17244509" w14:textId="77777777" w:rsidR="00A3322A" w:rsidRDefault="00A3322A" w:rsidP="00A3322A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sz w:val="22"/>
          <w:szCs w:val="24"/>
        </w:rPr>
        <w:t>Finanční dopad bude kryt v rámci stávajících limitů střednědobého výhledu rozpočtu na výzkum, vývoj a inovace v rozpočtové kapitole Ministerstva vnitra.</w:t>
      </w:r>
    </w:p>
    <w:p w14:paraId="4A84C7A3" w14:textId="77777777" w:rsidR="00DB351E" w:rsidRDefault="00DB351E" w:rsidP="00DB351E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276728">
        <w:rPr>
          <w:rFonts w:ascii="Arial" w:hAnsi="Arial" w:cs="Arial"/>
          <w:i/>
          <w:sz w:val="22"/>
          <w:szCs w:val="24"/>
        </w:rPr>
        <w:t>Program</w:t>
      </w:r>
      <w:r w:rsidRPr="00276728">
        <w:rPr>
          <w:rFonts w:ascii="Arial" w:hAnsi="Arial" w:cs="Arial"/>
          <w:sz w:val="22"/>
          <w:szCs w:val="24"/>
        </w:rPr>
        <w:t xml:space="preserve"> je neutrální v oblasti rovných příležitostí a lze předpokládat pozitivní dopad z hlediska udržitelného rozvoje.</w:t>
      </w:r>
    </w:p>
    <w:p w14:paraId="7FDD20D2" w14:textId="3A6A7223" w:rsidR="00DB351E" w:rsidRPr="009E5B18" w:rsidRDefault="00DB351E" w:rsidP="00DB351E">
      <w:pPr>
        <w:spacing w:before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i/>
          <w:sz w:val="22"/>
          <w:szCs w:val="24"/>
        </w:rPr>
        <w:t>Program</w:t>
      </w:r>
      <w:r>
        <w:rPr>
          <w:rFonts w:ascii="Arial" w:hAnsi="Arial" w:cs="Arial"/>
          <w:sz w:val="22"/>
          <w:szCs w:val="24"/>
        </w:rPr>
        <w:t xml:space="preserve"> byl zaslán do vnitroresortního připomínkového řízení MV a připomínky byly řádně vypořádány. K návrhu </w:t>
      </w:r>
      <w:r>
        <w:rPr>
          <w:rFonts w:ascii="Arial" w:hAnsi="Arial" w:cs="Arial"/>
          <w:i/>
          <w:sz w:val="22"/>
          <w:szCs w:val="24"/>
        </w:rPr>
        <w:t>Programu</w:t>
      </w:r>
      <w:r>
        <w:rPr>
          <w:rFonts w:ascii="Arial" w:hAnsi="Arial" w:cs="Arial"/>
          <w:sz w:val="22"/>
          <w:szCs w:val="24"/>
        </w:rPr>
        <w:t xml:space="preserve"> byla dále vypracována dvě ex ante hodnocení. Vypořádání ex ante připomínek bylo akceptováno hodnotiteli.</w:t>
      </w:r>
    </w:p>
    <w:p w14:paraId="1B1E98EB" w14:textId="77777777" w:rsidR="00DB351E" w:rsidRPr="0060147C" w:rsidRDefault="00DB351E" w:rsidP="00E93261">
      <w:pPr>
        <w:spacing w:before="120"/>
        <w:jc w:val="both"/>
        <w:rPr>
          <w:rFonts w:asciiTheme="minorHAnsi" w:hAnsiTheme="minorHAnsi"/>
          <w:szCs w:val="24"/>
        </w:rPr>
      </w:pPr>
    </w:p>
    <w:sectPr w:rsidR="00DB351E" w:rsidRPr="006014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F692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7968F" w14:textId="77777777" w:rsidR="00E77F53" w:rsidRDefault="00E77F53">
      <w:r>
        <w:separator/>
      </w:r>
    </w:p>
  </w:endnote>
  <w:endnote w:type="continuationSeparator" w:id="0">
    <w:p w14:paraId="1F1815E5" w14:textId="77777777" w:rsidR="00E77F53" w:rsidRDefault="00E7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EED8B" w14:textId="77777777" w:rsidR="00E77F53" w:rsidRDefault="00E77F53">
      <w:r>
        <w:separator/>
      </w:r>
    </w:p>
  </w:footnote>
  <w:footnote w:type="continuationSeparator" w:id="0">
    <w:p w14:paraId="54ED6DE2" w14:textId="77777777" w:rsidR="00E77F53" w:rsidRDefault="00E77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F1B23" w14:textId="5ED4C1F6" w:rsidR="00C36F12" w:rsidRPr="00C36F12" w:rsidRDefault="00E77F53" w:rsidP="00C36F12">
    <w:pPr>
      <w:pStyle w:val="Zhlav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559C"/>
    <w:multiLevelType w:val="hybridMultilevel"/>
    <w:tmpl w:val="30A0BD8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2BAB058C"/>
    <w:multiLevelType w:val="hybridMultilevel"/>
    <w:tmpl w:val="91FE24D8"/>
    <w:lvl w:ilvl="0" w:tplc="809C51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F44D29"/>
    <w:multiLevelType w:val="hybridMultilevel"/>
    <w:tmpl w:val="B5201118"/>
    <w:lvl w:ilvl="0" w:tplc="990039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E62E7"/>
    <w:multiLevelType w:val="hybridMultilevel"/>
    <w:tmpl w:val="009A6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dard">
    <w15:presenceInfo w15:providerId="None" w15:userId="Stan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DB"/>
    <w:rsid w:val="00003151"/>
    <w:rsid w:val="00011084"/>
    <w:rsid w:val="00016119"/>
    <w:rsid w:val="00037720"/>
    <w:rsid w:val="00082B00"/>
    <w:rsid w:val="000838CA"/>
    <w:rsid w:val="000F4350"/>
    <w:rsid w:val="001356F1"/>
    <w:rsid w:val="00171ECF"/>
    <w:rsid w:val="00187E10"/>
    <w:rsid w:val="001B3F17"/>
    <w:rsid w:val="00203CC6"/>
    <w:rsid w:val="002209BC"/>
    <w:rsid w:val="002779D1"/>
    <w:rsid w:val="002A23EE"/>
    <w:rsid w:val="002C4D53"/>
    <w:rsid w:val="00312480"/>
    <w:rsid w:val="00333249"/>
    <w:rsid w:val="00333374"/>
    <w:rsid w:val="003D128E"/>
    <w:rsid w:val="00412517"/>
    <w:rsid w:val="00461ABD"/>
    <w:rsid w:val="00461C1C"/>
    <w:rsid w:val="004721A3"/>
    <w:rsid w:val="00476267"/>
    <w:rsid w:val="00492AA2"/>
    <w:rsid w:val="004A1543"/>
    <w:rsid w:val="004A5400"/>
    <w:rsid w:val="004B6F62"/>
    <w:rsid w:val="00513CB3"/>
    <w:rsid w:val="00575A11"/>
    <w:rsid w:val="005B08AD"/>
    <w:rsid w:val="005B0CD9"/>
    <w:rsid w:val="005B4BDB"/>
    <w:rsid w:val="005E7EA6"/>
    <w:rsid w:val="00601234"/>
    <w:rsid w:val="0060147C"/>
    <w:rsid w:val="00616F1D"/>
    <w:rsid w:val="006634D1"/>
    <w:rsid w:val="006766F3"/>
    <w:rsid w:val="00707BE1"/>
    <w:rsid w:val="007356B1"/>
    <w:rsid w:val="007368E2"/>
    <w:rsid w:val="0074420F"/>
    <w:rsid w:val="007456C9"/>
    <w:rsid w:val="007735AA"/>
    <w:rsid w:val="00794560"/>
    <w:rsid w:val="007E5EE3"/>
    <w:rsid w:val="008241FB"/>
    <w:rsid w:val="00845E05"/>
    <w:rsid w:val="00864F8B"/>
    <w:rsid w:val="00875E9F"/>
    <w:rsid w:val="00896CF8"/>
    <w:rsid w:val="00897492"/>
    <w:rsid w:val="008C1104"/>
    <w:rsid w:val="008C1CA6"/>
    <w:rsid w:val="008E2142"/>
    <w:rsid w:val="008E4B78"/>
    <w:rsid w:val="008F45A2"/>
    <w:rsid w:val="009143D0"/>
    <w:rsid w:val="009605B1"/>
    <w:rsid w:val="00971B7A"/>
    <w:rsid w:val="00983C98"/>
    <w:rsid w:val="00997411"/>
    <w:rsid w:val="009B005F"/>
    <w:rsid w:val="009B1B23"/>
    <w:rsid w:val="009D1F19"/>
    <w:rsid w:val="009E5B18"/>
    <w:rsid w:val="009F0204"/>
    <w:rsid w:val="00A11DE5"/>
    <w:rsid w:val="00A14482"/>
    <w:rsid w:val="00A3322A"/>
    <w:rsid w:val="00A5108D"/>
    <w:rsid w:val="00A92615"/>
    <w:rsid w:val="00AB102F"/>
    <w:rsid w:val="00AC08AD"/>
    <w:rsid w:val="00AE7409"/>
    <w:rsid w:val="00AF1D05"/>
    <w:rsid w:val="00B07A06"/>
    <w:rsid w:val="00B170F6"/>
    <w:rsid w:val="00B21AC4"/>
    <w:rsid w:val="00B55DC3"/>
    <w:rsid w:val="00B772D1"/>
    <w:rsid w:val="00BF49C0"/>
    <w:rsid w:val="00C22439"/>
    <w:rsid w:val="00C31F27"/>
    <w:rsid w:val="00C476BF"/>
    <w:rsid w:val="00C509C2"/>
    <w:rsid w:val="00C71C8E"/>
    <w:rsid w:val="00C85A62"/>
    <w:rsid w:val="00CF6F33"/>
    <w:rsid w:val="00D227F5"/>
    <w:rsid w:val="00D40251"/>
    <w:rsid w:val="00D47A18"/>
    <w:rsid w:val="00D67362"/>
    <w:rsid w:val="00D75182"/>
    <w:rsid w:val="00D86C49"/>
    <w:rsid w:val="00D9654F"/>
    <w:rsid w:val="00DB351E"/>
    <w:rsid w:val="00DB63FC"/>
    <w:rsid w:val="00DB75D3"/>
    <w:rsid w:val="00DC3ED2"/>
    <w:rsid w:val="00E52216"/>
    <w:rsid w:val="00E74E01"/>
    <w:rsid w:val="00E77F53"/>
    <w:rsid w:val="00E93261"/>
    <w:rsid w:val="00E9588F"/>
    <w:rsid w:val="00EA17A9"/>
    <w:rsid w:val="00EC0245"/>
    <w:rsid w:val="00EE44B1"/>
    <w:rsid w:val="00F8657A"/>
    <w:rsid w:val="00FB7CA9"/>
    <w:rsid w:val="00FC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5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3D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43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D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F6F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F33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D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D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03C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3C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3CC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C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CC6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203CC6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3322A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3D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43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D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F6F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F33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D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D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03C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3C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3CC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C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CC6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203CC6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3322A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D43CB-CBEB-41AB-A3F4-804E658A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1890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Nováková Marta</cp:lastModifiedBy>
  <cp:revision>2</cp:revision>
  <dcterms:created xsi:type="dcterms:W3CDTF">2018-11-12T13:33:00Z</dcterms:created>
  <dcterms:modified xsi:type="dcterms:W3CDTF">2018-11-12T13:33:00Z</dcterms:modified>
</cp:coreProperties>
</file>