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0F" w:rsidRDefault="0001490F" w:rsidP="000149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Vyjádření Komise pro hodnocení výzkumných organizací a ukonč</w:t>
      </w:r>
      <w:r w:rsidR="006A212B">
        <w:rPr>
          <w:b/>
          <w:sz w:val="24"/>
          <w:szCs w:val="24"/>
        </w:rPr>
        <w:t>ených programů k programu 2030</w:t>
      </w:r>
      <w:bookmarkStart w:id="0" w:name="_GoBack"/>
      <w:bookmarkEnd w:id="0"/>
    </w:p>
    <w:p w:rsidR="0001490F" w:rsidRDefault="0001490F">
      <w:pPr>
        <w:rPr>
          <w:b/>
          <w:sz w:val="24"/>
          <w:szCs w:val="24"/>
        </w:rPr>
      </w:pPr>
    </w:p>
    <w:p w:rsidR="000E0AA3" w:rsidRPr="00525397" w:rsidRDefault="00035DB6">
      <w:pPr>
        <w:rPr>
          <w:szCs w:val="18"/>
        </w:rPr>
      </w:pPr>
      <w:r w:rsidRPr="00525397">
        <w:rPr>
          <w:b/>
          <w:sz w:val="24"/>
          <w:szCs w:val="24"/>
        </w:rPr>
        <w:t>Informace pro KHV o navrhovaném programu MD, DOPRAVA 2030.</w:t>
      </w:r>
      <w:r w:rsidR="00525397">
        <w:rPr>
          <w:b/>
          <w:sz w:val="24"/>
          <w:szCs w:val="24"/>
        </w:rPr>
        <w:t xml:space="preserve"> </w:t>
      </w:r>
      <w:r w:rsidR="00525397" w:rsidRPr="00525397">
        <w:rPr>
          <w:szCs w:val="18"/>
        </w:rPr>
        <w:t>Stav k </w:t>
      </w:r>
      <w:proofErr w:type="gramStart"/>
      <w:r w:rsidR="00525397" w:rsidRPr="00525397">
        <w:rPr>
          <w:szCs w:val="18"/>
        </w:rPr>
        <w:t>6.4.2022</w:t>
      </w:r>
      <w:proofErr w:type="gramEnd"/>
      <w:r w:rsidR="00525397" w:rsidRPr="00525397">
        <w:rPr>
          <w:szCs w:val="18"/>
        </w:rPr>
        <w:t>)</w:t>
      </w:r>
      <w:r w:rsidR="00A03B39">
        <w:rPr>
          <w:szCs w:val="18"/>
        </w:rPr>
        <w:t>.</w:t>
      </w:r>
    </w:p>
    <w:p w:rsidR="00035DB6" w:rsidRPr="00035DB6" w:rsidRDefault="00035DB6">
      <w:pPr>
        <w:rPr>
          <w:b/>
          <w:sz w:val="24"/>
          <w:szCs w:val="24"/>
        </w:rPr>
      </w:pPr>
      <w:r w:rsidRPr="00035DB6">
        <w:rPr>
          <w:b/>
          <w:sz w:val="24"/>
          <w:szCs w:val="24"/>
        </w:rPr>
        <w:t>Základní informace</w:t>
      </w:r>
      <w:r w:rsidRPr="00525397">
        <w:rPr>
          <w:sz w:val="20"/>
          <w:szCs w:val="20"/>
        </w:rPr>
        <w:t>.</w:t>
      </w:r>
      <w:r w:rsidR="00525397">
        <w:rPr>
          <w:sz w:val="20"/>
          <w:szCs w:val="20"/>
        </w:rPr>
        <w:t xml:space="preserve"> (Detailní informace </w:t>
      </w:r>
      <w:r w:rsidR="000D6F48">
        <w:rPr>
          <w:sz w:val="20"/>
          <w:szCs w:val="20"/>
        </w:rPr>
        <w:t>viz návrh</w:t>
      </w:r>
      <w:r w:rsidR="00525397" w:rsidRPr="00525397">
        <w:rPr>
          <w:sz w:val="20"/>
          <w:szCs w:val="20"/>
        </w:rPr>
        <w:t xml:space="preserve"> programu</w:t>
      </w:r>
      <w:r w:rsidR="00525397">
        <w:rPr>
          <w:sz w:val="20"/>
          <w:szCs w:val="20"/>
        </w:rPr>
        <w:t xml:space="preserve"> verze 2 ze dne </w:t>
      </w:r>
      <w:proofErr w:type="gramStart"/>
      <w:r w:rsidR="00525397">
        <w:rPr>
          <w:sz w:val="20"/>
          <w:szCs w:val="20"/>
        </w:rPr>
        <w:t>28.3.2022</w:t>
      </w:r>
      <w:proofErr w:type="gramEnd"/>
      <w:r w:rsidR="00525397">
        <w:rPr>
          <w:sz w:val="20"/>
          <w:szCs w:val="20"/>
        </w:rPr>
        <w:t>).</w:t>
      </w:r>
    </w:p>
    <w:p w:rsidR="00035DB6" w:rsidRPr="005722D9" w:rsidRDefault="00035DB6" w:rsidP="00035DB6">
      <w:pPr>
        <w:pStyle w:val="Nadpis2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 w:rsidRPr="005722D9">
        <w:rPr>
          <w:rFonts w:ascii="Times New Roman" w:hAnsi="Times New Roman"/>
          <w:b/>
          <w:sz w:val="24"/>
          <w:szCs w:val="24"/>
          <w:lang w:val="cs-CZ"/>
        </w:rPr>
        <w:t>Název programu:</w:t>
      </w:r>
    </w:p>
    <w:p w:rsidR="00035DB6" w:rsidRDefault="00035DB6" w:rsidP="00035DB6">
      <w:pPr>
        <w:spacing w:after="0"/>
        <w:jc w:val="both"/>
        <w:rPr>
          <w:b/>
          <w:bCs/>
        </w:rPr>
      </w:pPr>
      <w:r w:rsidRPr="005722D9">
        <w:rPr>
          <w:b/>
          <w:bCs/>
        </w:rPr>
        <w:t>Program na podporu aplikovaného výzkumu, experimentální vývoje a inovací v oblasti dopravy</w:t>
      </w:r>
    </w:p>
    <w:p w:rsidR="00035DB6" w:rsidRDefault="00035DB6" w:rsidP="00035DB6">
      <w:pPr>
        <w:spacing w:after="0"/>
        <w:jc w:val="both"/>
      </w:pPr>
      <w:r w:rsidRPr="005722D9">
        <w:rPr>
          <w:b/>
          <w:bCs/>
        </w:rPr>
        <w:t xml:space="preserve"> </w:t>
      </w:r>
      <w:r>
        <w:rPr>
          <w:b/>
          <w:bCs/>
        </w:rPr>
        <w:t>„Doprava 2030+  „</w:t>
      </w:r>
      <w:r w:rsidRPr="005722D9">
        <w:t xml:space="preserve"> (dále jen „Program“)</w:t>
      </w:r>
    </w:p>
    <w:p w:rsidR="00035DB6" w:rsidRPr="005722D9" w:rsidRDefault="00035DB6" w:rsidP="00035DB6">
      <w:pPr>
        <w:pStyle w:val="Nadpis2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 w:rsidRPr="005722D9">
        <w:rPr>
          <w:rFonts w:ascii="Times New Roman" w:hAnsi="Times New Roman"/>
          <w:b/>
          <w:sz w:val="24"/>
          <w:szCs w:val="24"/>
          <w:lang w:val="cs-CZ"/>
        </w:rPr>
        <w:t>Právní rámec Programu:</w:t>
      </w:r>
    </w:p>
    <w:p w:rsidR="00035DB6" w:rsidRDefault="00035DB6" w:rsidP="00035DB6">
      <w:pPr>
        <w:jc w:val="both"/>
      </w:pPr>
      <w:r w:rsidRPr="005722D9">
        <w:t>Program, realizovaný formou jednostupňových veřejných soutěží ve výzkumu, experimentálním vývoji a i</w:t>
      </w:r>
      <w:r>
        <w:t>novacích, bude realizován podle současně platných norem a předpisů.</w:t>
      </w:r>
    </w:p>
    <w:p w:rsidR="00035DB6" w:rsidRPr="005722D9" w:rsidRDefault="00035DB6" w:rsidP="00035DB6">
      <w:pPr>
        <w:pStyle w:val="Nadpis2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 w:rsidRPr="005722D9">
        <w:rPr>
          <w:rFonts w:ascii="Times New Roman" w:hAnsi="Times New Roman"/>
          <w:b/>
          <w:sz w:val="24"/>
          <w:szCs w:val="24"/>
          <w:lang w:val="cs-CZ"/>
        </w:rPr>
        <w:t>Poskytovatel</w:t>
      </w:r>
    </w:p>
    <w:p w:rsidR="00035DB6" w:rsidRDefault="00035DB6" w:rsidP="00035DB6">
      <w:pPr>
        <w:jc w:val="both"/>
        <w:rPr>
          <w:color w:val="000000"/>
          <w:lang w:bidi="cs-CZ"/>
        </w:rPr>
      </w:pPr>
      <w:r w:rsidRPr="005722D9">
        <w:t xml:space="preserve">Poskytovatelem podpory je </w:t>
      </w:r>
      <w:r w:rsidRPr="005722D9">
        <w:rPr>
          <w:color w:val="000000"/>
          <w:lang w:bidi="cs-CZ"/>
        </w:rPr>
        <w:t>Technologická agentura České republiky (dále jen „TA ČR").</w:t>
      </w:r>
    </w:p>
    <w:p w:rsidR="00035DB6" w:rsidRPr="005722D9" w:rsidRDefault="00035DB6" w:rsidP="00035DB6">
      <w:pPr>
        <w:pStyle w:val="Nadpis2"/>
        <w:numPr>
          <w:ilvl w:val="0"/>
          <w:numId w:val="2"/>
        </w:numPr>
        <w:spacing w:before="60"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 w:rsidRPr="005722D9">
        <w:t xml:space="preserve"> </w:t>
      </w:r>
      <w:r w:rsidRPr="005722D9">
        <w:rPr>
          <w:rFonts w:ascii="Times New Roman" w:hAnsi="Times New Roman"/>
          <w:b/>
          <w:sz w:val="24"/>
          <w:szCs w:val="24"/>
          <w:lang w:val="cs-CZ"/>
        </w:rPr>
        <w:t xml:space="preserve">Doba trvání </w:t>
      </w:r>
      <w:r>
        <w:rPr>
          <w:rFonts w:ascii="Times New Roman" w:hAnsi="Times New Roman"/>
          <w:b/>
          <w:sz w:val="24"/>
          <w:szCs w:val="24"/>
          <w:lang w:val="cs-CZ"/>
        </w:rPr>
        <w:t xml:space="preserve">a Termíny vyhlášení </w:t>
      </w:r>
      <w:r w:rsidRPr="005722D9">
        <w:rPr>
          <w:rFonts w:ascii="Times New Roman" w:hAnsi="Times New Roman"/>
          <w:b/>
          <w:sz w:val="24"/>
          <w:szCs w:val="24"/>
          <w:lang w:val="cs-CZ"/>
        </w:rPr>
        <w:t>Programu</w:t>
      </w:r>
    </w:p>
    <w:p w:rsidR="00035DB6" w:rsidRDefault="00035DB6" w:rsidP="00035DB6">
      <w:pPr>
        <w:jc w:val="both"/>
      </w:pPr>
      <w:r w:rsidRPr="005722D9">
        <w:rPr>
          <w:bCs/>
        </w:rPr>
        <w:t>Doba trvání Pro</w:t>
      </w:r>
      <w:r>
        <w:rPr>
          <w:bCs/>
        </w:rPr>
        <w:t>gramu je stanovena na 1. 1. 2023 – 31. 12. 2030 (8</w:t>
      </w:r>
      <w:r w:rsidRPr="005722D9">
        <w:rPr>
          <w:bCs/>
        </w:rPr>
        <w:t xml:space="preserve"> let). </w:t>
      </w:r>
      <w:r w:rsidRPr="005722D9">
        <w:t>Program bude zahájen vyhlášením první veřejné soutěže ve výzkumu, vývoji a inovacích (dále j</w:t>
      </w:r>
      <w:r>
        <w:t>en „veřejná soutěž“) v roce 2023</w:t>
      </w:r>
      <w:r w:rsidRPr="005722D9">
        <w:t xml:space="preserve">, se zahájením </w:t>
      </w:r>
      <w:r>
        <w:t>poskytování podpory od roku 2024.</w:t>
      </w:r>
    </w:p>
    <w:p w:rsidR="00035DB6" w:rsidRPr="00AD77F0" w:rsidRDefault="00035DB6" w:rsidP="00035DB6">
      <w:pPr>
        <w:pStyle w:val="Nadpis2"/>
        <w:numPr>
          <w:ilvl w:val="0"/>
          <w:numId w:val="2"/>
        </w:numPr>
        <w:spacing w:before="60"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>
        <w:rPr>
          <w:rFonts w:ascii="Times New Roman" w:hAnsi="Times New Roman"/>
          <w:b/>
          <w:sz w:val="24"/>
          <w:szCs w:val="24"/>
          <w:lang w:val="cs-CZ"/>
        </w:rPr>
        <w:t>Hlavní c</w:t>
      </w:r>
      <w:r w:rsidRPr="005722D9">
        <w:rPr>
          <w:rFonts w:ascii="Times New Roman" w:hAnsi="Times New Roman"/>
          <w:b/>
          <w:sz w:val="24"/>
          <w:szCs w:val="24"/>
          <w:lang w:val="cs-CZ"/>
        </w:rPr>
        <w:t xml:space="preserve">íl </w:t>
      </w:r>
      <w:r>
        <w:rPr>
          <w:rFonts w:ascii="Times New Roman" w:hAnsi="Times New Roman"/>
          <w:b/>
          <w:sz w:val="24"/>
          <w:szCs w:val="24"/>
          <w:lang w:val="cs-CZ"/>
        </w:rPr>
        <w:t>a specifické</w:t>
      </w:r>
      <w:r w:rsidRPr="001864B9">
        <w:rPr>
          <w:rFonts w:ascii="Times New Roman" w:hAnsi="Times New Roman"/>
          <w:b/>
          <w:sz w:val="24"/>
          <w:szCs w:val="24"/>
          <w:lang w:val="cs-CZ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cs-CZ"/>
        </w:rPr>
        <w:t xml:space="preserve">cíle </w:t>
      </w:r>
      <w:r w:rsidRPr="00AD77F0">
        <w:rPr>
          <w:rFonts w:ascii="Times New Roman" w:hAnsi="Times New Roman"/>
          <w:b/>
          <w:sz w:val="24"/>
          <w:szCs w:val="24"/>
          <w:lang w:val="cs-CZ"/>
        </w:rPr>
        <w:t>Programu</w:t>
      </w:r>
    </w:p>
    <w:p w:rsidR="00035DB6" w:rsidRDefault="00035DB6" w:rsidP="00035DB6">
      <w:pPr>
        <w:jc w:val="both"/>
      </w:pPr>
      <w:bookmarkStart w:id="1" w:name="_Toc415229149"/>
      <w:bookmarkStart w:id="2" w:name="_Toc415229472"/>
      <w:bookmarkEnd w:id="1"/>
      <w:bookmarkEnd w:id="2"/>
      <w:r>
        <w:t>Hlavním c</w:t>
      </w:r>
      <w:r w:rsidRPr="005722D9">
        <w:t xml:space="preserve">ílem </w:t>
      </w:r>
      <w:r>
        <w:t>P</w:t>
      </w:r>
      <w:r w:rsidRPr="005722D9">
        <w:t xml:space="preserve">rogramu je </w:t>
      </w:r>
      <w:r w:rsidRPr="0080144A">
        <w:t>prostřednictvím výstupů, výsledků a dopadů z podpořených projektů</w:t>
      </w:r>
      <w:r w:rsidRPr="005722D9">
        <w:t xml:space="preserve"> rozvíjet dopravní sektor </w:t>
      </w:r>
      <w:r>
        <w:t xml:space="preserve">a všechny druhy dopravy </w:t>
      </w:r>
      <w:r w:rsidRPr="005722D9">
        <w:t xml:space="preserve">způsobem, který bude reflektovat společenské potřeby, </w:t>
      </w:r>
      <w:r>
        <w:t>akceleruje</w:t>
      </w:r>
      <w:r w:rsidRPr="005722D9">
        <w:t xml:space="preserve"> technologický a znalostní rozvoj ČR a napomůže růstu konkurenceschopnosti ČR. Požadavky na </w:t>
      </w:r>
      <w:r>
        <w:t xml:space="preserve">konkrétní aspekty dopravy, mezi které patří mj. její udržitelnost, </w:t>
      </w:r>
      <w:r w:rsidRPr="005722D9">
        <w:t>bezpečnost</w:t>
      </w:r>
      <w:r>
        <w:t xml:space="preserve"> a interoperabilita</w:t>
      </w:r>
      <w:r w:rsidRPr="005722D9">
        <w:t xml:space="preserve">, budou promítnuty v jednotlivých </w:t>
      </w:r>
      <w:r>
        <w:t>specifických cílech Programu a </w:t>
      </w:r>
      <w:r w:rsidRPr="005722D9">
        <w:t xml:space="preserve">prostřednictvím </w:t>
      </w:r>
      <w:r>
        <w:t xml:space="preserve">realizace </w:t>
      </w:r>
      <w:r w:rsidRPr="005722D9">
        <w:t>projektů výzkumu, vývoje a inovací bude dosaženo jejich naplnění.</w:t>
      </w:r>
    </w:p>
    <w:p w:rsidR="00035DB6" w:rsidRDefault="00035DB6" w:rsidP="00035DB6">
      <w:pPr>
        <w:spacing w:before="120"/>
        <w:jc w:val="both"/>
        <w:rPr>
          <w:b/>
          <w:lang w:bidi="cs-CZ"/>
        </w:rPr>
      </w:pPr>
      <w:r>
        <w:rPr>
          <w:b/>
          <w:lang w:bidi="cs-CZ"/>
        </w:rPr>
        <w:t xml:space="preserve">Specifickými cíli jsou: </w:t>
      </w:r>
    </w:p>
    <w:p w:rsidR="00035DB6" w:rsidRPr="001864B9" w:rsidRDefault="00035DB6" w:rsidP="00035DB6">
      <w:pPr>
        <w:numPr>
          <w:ilvl w:val="0"/>
          <w:numId w:val="3"/>
        </w:numPr>
        <w:spacing w:before="60" w:after="0" w:line="240" w:lineRule="auto"/>
        <w:jc w:val="both"/>
        <w:rPr>
          <w:b/>
          <w:lang w:bidi="cs-CZ"/>
        </w:rPr>
      </w:pPr>
      <w:r>
        <w:rPr>
          <w:b/>
          <w:lang w:bidi="cs-CZ"/>
        </w:rPr>
        <w:t xml:space="preserve">Udržitelná, přístupná a bezpečná </w:t>
      </w:r>
      <w:r w:rsidRPr="001864B9">
        <w:rPr>
          <w:b/>
          <w:lang w:bidi="cs-CZ"/>
        </w:rPr>
        <w:t>doprava</w:t>
      </w:r>
    </w:p>
    <w:p w:rsidR="00035DB6" w:rsidRDefault="00035DB6" w:rsidP="00035DB6">
      <w:pPr>
        <w:jc w:val="both"/>
        <w:rPr>
          <w:lang w:bidi="cs-CZ"/>
        </w:rPr>
      </w:pPr>
      <w:r>
        <w:rPr>
          <w:lang w:bidi="cs-CZ"/>
        </w:rPr>
        <w:t>Specifický cíl se zaměří na posílení udržitelnosti a přístupnosti dopravy,</w:t>
      </w:r>
      <w:r w:rsidRPr="001864B9">
        <w:rPr>
          <w:lang w:bidi="cs-CZ"/>
        </w:rPr>
        <w:t xml:space="preserve"> </w:t>
      </w:r>
      <w:r>
        <w:rPr>
          <w:lang w:bidi="cs-CZ"/>
        </w:rPr>
        <w:t>pro kterou je průběžně třeba implementovat moderní</w:t>
      </w:r>
      <w:r w:rsidRPr="001864B9">
        <w:rPr>
          <w:lang w:bidi="cs-CZ"/>
        </w:rPr>
        <w:t xml:space="preserve"> metod</w:t>
      </w:r>
      <w:r>
        <w:rPr>
          <w:lang w:bidi="cs-CZ"/>
        </w:rPr>
        <w:t>y</w:t>
      </w:r>
      <w:r w:rsidRPr="001864B9">
        <w:rPr>
          <w:lang w:bidi="cs-CZ"/>
        </w:rPr>
        <w:t xml:space="preserve"> </w:t>
      </w:r>
      <w:r>
        <w:rPr>
          <w:lang w:bidi="cs-CZ"/>
        </w:rPr>
        <w:t xml:space="preserve">její </w:t>
      </w:r>
      <w:r w:rsidRPr="001864B9">
        <w:rPr>
          <w:lang w:bidi="cs-CZ"/>
        </w:rPr>
        <w:t>organizace a řízení s cílem trvale zvyšovat efektivitu dopravního systému při snižování</w:t>
      </w:r>
      <w:r>
        <w:rPr>
          <w:lang w:bidi="cs-CZ"/>
        </w:rPr>
        <w:t xml:space="preserve"> </w:t>
      </w:r>
      <w:r w:rsidRPr="001864B9">
        <w:rPr>
          <w:lang w:bidi="cs-CZ"/>
        </w:rPr>
        <w:t xml:space="preserve">ekonomické náročnosti </w:t>
      </w:r>
      <w:r>
        <w:rPr>
          <w:lang w:bidi="cs-CZ"/>
        </w:rPr>
        <w:t>a zvyšování bezpečnosti a přístupnosti pro všechny účastníky provozu.</w:t>
      </w:r>
    </w:p>
    <w:p w:rsidR="00035DB6" w:rsidRPr="00035DB6" w:rsidRDefault="00035DB6" w:rsidP="00035DB6">
      <w:pPr>
        <w:pStyle w:val="Odstavecseseznamem"/>
        <w:numPr>
          <w:ilvl w:val="0"/>
          <w:numId w:val="3"/>
        </w:numPr>
        <w:spacing w:before="60" w:after="0" w:line="240" w:lineRule="auto"/>
        <w:jc w:val="both"/>
        <w:rPr>
          <w:b/>
          <w:lang w:bidi="cs-CZ"/>
        </w:rPr>
      </w:pPr>
      <w:r w:rsidRPr="00035DB6">
        <w:rPr>
          <w:b/>
          <w:lang w:bidi="cs-CZ"/>
        </w:rPr>
        <w:t>Automatizace, digitalizace a technologicky pokročilá doprava</w:t>
      </w:r>
    </w:p>
    <w:p w:rsidR="00035DB6" w:rsidRDefault="00035DB6" w:rsidP="00035DB6">
      <w:pPr>
        <w:jc w:val="both"/>
      </w:pPr>
      <w:r>
        <w:rPr>
          <w:lang w:bidi="cs-CZ"/>
        </w:rPr>
        <w:t>Tento specifický cíl podporuje výzkum tematických oblastí dopravních prostředků s automatizovanými systémy, inteligentní dopravní infrastruktury a související organizace dopravy.</w:t>
      </w:r>
    </w:p>
    <w:p w:rsidR="00035DB6" w:rsidRPr="00035DB6" w:rsidRDefault="00035DB6" w:rsidP="00035DB6">
      <w:pPr>
        <w:pStyle w:val="Odstavecseseznamem"/>
        <w:numPr>
          <w:ilvl w:val="0"/>
          <w:numId w:val="3"/>
        </w:numPr>
        <w:spacing w:before="60" w:after="0" w:line="240" w:lineRule="auto"/>
        <w:jc w:val="both"/>
        <w:rPr>
          <w:b/>
          <w:lang w:bidi="cs-CZ"/>
        </w:rPr>
      </w:pPr>
      <w:r w:rsidRPr="00035DB6">
        <w:rPr>
          <w:b/>
          <w:lang w:bidi="cs-CZ"/>
        </w:rPr>
        <w:t>Nízkoemisní a ekologická doprava</w:t>
      </w:r>
    </w:p>
    <w:p w:rsidR="00035DB6" w:rsidRPr="00FD3749" w:rsidRDefault="00035DB6" w:rsidP="00035DB6">
      <w:pPr>
        <w:spacing w:before="60"/>
        <w:jc w:val="both"/>
        <w:rPr>
          <w:i/>
          <w:sz w:val="16"/>
          <w:szCs w:val="16"/>
        </w:rPr>
      </w:pPr>
      <w:r>
        <w:rPr>
          <w:lang w:bidi="cs-CZ"/>
        </w:rPr>
        <w:t xml:space="preserve">Specifický cíl je zaměřen na </w:t>
      </w:r>
      <w:r w:rsidRPr="00AD2DF1">
        <w:rPr>
          <w:lang w:bidi="cs-CZ"/>
        </w:rPr>
        <w:t>využití klíčových technologií a apl</w:t>
      </w:r>
      <w:r>
        <w:rPr>
          <w:lang w:bidi="cs-CZ"/>
        </w:rPr>
        <w:t>ikací v dopravě s cílem</w:t>
      </w:r>
      <w:r w:rsidRPr="00AD2DF1">
        <w:rPr>
          <w:lang w:bidi="cs-CZ"/>
        </w:rPr>
        <w:t xml:space="preserve"> snižování negativních dopa</w:t>
      </w:r>
      <w:r>
        <w:rPr>
          <w:lang w:bidi="cs-CZ"/>
        </w:rPr>
        <w:t>dů dopravy na životní prostředí a klimatickou změnu</w:t>
      </w:r>
    </w:p>
    <w:p w:rsidR="00035DB6" w:rsidRPr="005722D9" w:rsidRDefault="00035DB6" w:rsidP="00035DB6">
      <w:pPr>
        <w:pStyle w:val="Nadpis2"/>
        <w:numPr>
          <w:ilvl w:val="0"/>
          <w:numId w:val="2"/>
        </w:numPr>
        <w:spacing w:before="60" w:after="0"/>
        <w:ind w:left="0" w:firstLine="0"/>
        <w:rPr>
          <w:rFonts w:ascii="Times New Roman" w:hAnsi="Times New Roman"/>
          <w:b/>
          <w:sz w:val="24"/>
          <w:szCs w:val="24"/>
          <w:lang w:val="cs-CZ"/>
        </w:rPr>
      </w:pPr>
      <w:r w:rsidRPr="005722D9">
        <w:rPr>
          <w:rFonts w:ascii="Times New Roman" w:hAnsi="Times New Roman"/>
          <w:b/>
          <w:sz w:val="24"/>
          <w:szCs w:val="24"/>
          <w:lang w:val="cs-CZ"/>
        </w:rPr>
        <w:t>Výdaje na Program</w:t>
      </w:r>
    </w:p>
    <w:p w:rsidR="00035DB6" w:rsidRDefault="00035DB6" w:rsidP="00035DB6">
      <w:pPr>
        <w:spacing w:before="60"/>
        <w:jc w:val="both"/>
      </w:pPr>
      <w:r w:rsidRPr="0006649F">
        <w:t xml:space="preserve">Celkové výdaje na Program jsou rozvrženy v souladu s předpokládaným postupným vyhlašováním jednotlivých veřejných soutěží a očekávanou průměrnou </w:t>
      </w:r>
      <w:r>
        <w:t xml:space="preserve">intenzitou podpory 75 % a činí 2 600 </w:t>
      </w:r>
      <w:r w:rsidRPr="0006649F">
        <w:t xml:space="preserve">mil. Kč, z toho </w:t>
      </w:r>
      <w:r>
        <w:t xml:space="preserve">1 950 </w:t>
      </w:r>
      <w:r w:rsidRPr="0006649F">
        <w:t>mil. Kč z výdajů státního rozpočtu.</w:t>
      </w:r>
    </w:p>
    <w:p w:rsidR="00035DB6" w:rsidRPr="005722D9" w:rsidRDefault="00035DB6" w:rsidP="00035DB6">
      <w:pPr>
        <w:keepNext/>
        <w:spacing w:before="60"/>
        <w:jc w:val="both"/>
        <w:rPr>
          <w:i/>
        </w:rPr>
      </w:pPr>
      <w:r>
        <w:rPr>
          <w:i/>
        </w:rPr>
        <w:t>Výdaje na</w:t>
      </w:r>
      <w:r w:rsidRPr="005722D9">
        <w:rPr>
          <w:i/>
        </w:rPr>
        <w:t xml:space="preserve"> Program (v mil. Kč):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907"/>
        <w:gridCol w:w="907"/>
        <w:gridCol w:w="907"/>
        <w:gridCol w:w="907"/>
        <w:gridCol w:w="907"/>
        <w:gridCol w:w="907"/>
        <w:gridCol w:w="908"/>
        <w:gridCol w:w="992"/>
      </w:tblGrid>
      <w:tr w:rsidR="00035DB6" w:rsidRPr="005722D9" w:rsidTr="00D26B54">
        <w:trPr>
          <w:trHeight w:val="45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spacing w:before="60"/>
              <w:jc w:val="both"/>
              <w:rPr>
                <w:szCs w:val="18"/>
              </w:rPr>
            </w:pPr>
            <w:r w:rsidRPr="00525397">
              <w:rPr>
                <w:color w:val="000000"/>
                <w:szCs w:val="18"/>
              </w:rPr>
              <w:t>Rok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2029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szCs w:val="18"/>
              </w:rPr>
            </w:pPr>
            <w:r w:rsidRPr="00525397">
              <w:rPr>
                <w:color w:val="000000"/>
                <w:szCs w:val="18"/>
              </w:rPr>
              <w:t>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both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CELKEM</w:t>
            </w:r>
          </w:p>
        </w:tc>
      </w:tr>
      <w:tr w:rsidR="00035DB6" w:rsidRPr="005722D9" w:rsidTr="00D26B54">
        <w:trPr>
          <w:trHeight w:val="45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spacing w:before="60"/>
              <w:jc w:val="both"/>
              <w:rPr>
                <w:szCs w:val="18"/>
              </w:rPr>
            </w:pPr>
            <w:r w:rsidRPr="00525397">
              <w:rPr>
                <w:color w:val="000000"/>
                <w:szCs w:val="18"/>
              </w:rPr>
              <w:t>Výdaje státního rozpočtu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150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250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350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450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350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250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keepNext/>
              <w:spacing w:before="60"/>
              <w:jc w:val="right"/>
              <w:rPr>
                <w:b/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1950</w:t>
            </w:r>
          </w:p>
        </w:tc>
      </w:tr>
      <w:tr w:rsidR="00035DB6" w:rsidRPr="005722D9" w:rsidTr="00D26B54">
        <w:trPr>
          <w:trHeight w:val="45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035DB6" w:rsidRPr="00525397" w:rsidRDefault="00035DB6" w:rsidP="00D26B54">
            <w:pPr>
              <w:spacing w:before="60"/>
              <w:jc w:val="both"/>
              <w:rPr>
                <w:i/>
                <w:szCs w:val="18"/>
              </w:rPr>
            </w:pPr>
            <w:r w:rsidRPr="00525397">
              <w:rPr>
                <w:color w:val="000000"/>
                <w:szCs w:val="18"/>
              </w:rPr>
              <w:t>Ostatní zdroje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83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117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150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117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83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650</w:t>
            </w:r>
          </w:p>
        </w:tc>
      </w:tr>
      <w:tr w:rsidR="00035DB6" w:rsidRPr="005722D9" w:rsidTr="00D26B54">
        <w:trPr>
          <w:trHeight w:val="454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035DB6" w:rsidRPr="00525397" w:rsidRDefault="00035DB6" w:rsidP="00D26B54">
            <w:pPr>
              <w:spacing w:before="60"/>
              <w:jc w:val="both"/>
              <w:rPr>
                <w:szCs w:val="18"/>
              </w:rPr>
            </w:pPr>
            <w:r w:rsidRPr="00525397">
              <w:rPr>
                <w:color w:val="000000"/>
                <w:szCs w:val="18"/>
              </w:rPr>
              <w:t>Celkové výdaje</w:t>
            </w:r>
          </w:p>
        </w:tc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200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333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467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600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467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333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5DB6" w:rsidRPr="00525397" w:rsidRDefault="00035DB6" w:rsidP="00D26B54">
            <w:pPr>
              <w:jc w:val="right"/>
              <w:rPr>
                <w:color w:val="000000"/>
                <w:szCs w:val="18"/>
              </w:rPr>
            </w:pPr>
            <w:r w:rsidRPr="00525397">
              <w:rPr>
                <w:color w:val="000000"/>
                <w:szCs w:val="18"/>
              </w:rPr>
              <w:t>2600</w:t>
            </w:r>
          </w:p>
        </w:tc>
      </w:tr>
    </w:tbl>
    <w:p w:rsidR="00035DB6" w:rsidRPr="00A03B39" w:rsidRDefault="00525397" w:rsidP="00035DB6">
      <w:pPr>
        <w:spacing w:before="60"/>
        <w:jc w:val="both"/>
        <w:rPr>
          <w:b/>
          <w:sz w:val="28"/>
          <w:szCs w:val="28"/>
        </w:rPr>
      </w:pPr>
      <w:r w:rsidRPr="00A03B39">
        <w:rPr>
          <w:b/>
          <w:sz w:val="28"/>
          <w:szCs w:val="28"/>
        </w:rPr>
        <w:lastRenderedPageBreak/>
        <w:t>Závěr:</w:t>
      </w:r>
    </w:p>
    <w:p w:rsidR="00525397" w:rsidRPr="00A03B39" w:rsidRDefault="00525397" w:rsidP="00035DB6">
      <w:pPr>
        <w:spacing w:before="60"/>
        <w:jc w:val="both"/>
        <w:rPr>
          <w:b/>
          <w:sz w:val="22"/>
        </w:rPr>
      </w:pPr>
      <w:r w:rsidRPr="00A03B39">
        <w:rPr>
          <w:b/>
          <w:sz w:val="22"/>
        </w:rPr>
        <w:t>Návrh programu plní z 91% požadavky na kvalitu programu. Návrh programu doporučuji na předložení k jednání RVVI</w:t>
      </w:r>
      <w:r w:rsidR="00A03B39">
        <w:rPr>
          <w:b/>
          <w:sz w:val="22"/>
        </w:rPr>
        <w:t>.</w:t>
      </w:r>
    </w:p>
    <w:sectPr w:rsidR="00525397" w:rsidRPr="00A03B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079" w:rsidRDefault="00630079" w:rsidP="00A03B39">
      <w:pPr>
        <w:spacing w:after="0" w:line="240" w:lineRule="auto"/>
      </w:pPr>
      <w:r>
        <w:separator/>
      </w:r>
    </w:p>
  </w:endnote>
  <w:endnote w:type="continuationSeparator" w:id="0">
    <w:p w:rsidR="00630079" w:rsidRDefault="00630079" w:rsidP="00A0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B39" w:rsidRDefault="00A03B3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1" name="MSIPCMb32442bf80bd546928ebf0af" descr="{&quot;HashCode&quot;:162217309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A03B39" w:rsidRPr="00A03B39" w:rsidRDefault="00A03B39" w:rsidP="00A03B39">
                          <w:pPr>
                            <w:spacing w:after="0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A03B39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b32442bf80bd546928ebf0af" o:spid="_x0000_s1026" type="#_x0000_t202" alt="{&quot;HashCode&quot;:1622173095,&quot;Height&quot;:841.0,&quot;Width&quot;:595.0,&quot;Placement&quot;:&quot;Footer&quot;,&quot;Index&quot;:&quot;Primary&quot;,&quot;Section&quot;:1,&quot;Top&quot;:0.0,&quot;Left&quot;:0.0}" style="position:absolute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" o:allowincell="f" filled="f" stroked="f" strokeweight=".5pt">
              <v:fill o:detectmouseclick="t"/>
              <v:textbox inset="20pt,0,,0">
                <w:txbxContent>
                  <w:p w:rsidR="00A03B39" w:rsidRPr="00A03B39" w:rsidRDefault="00A03B39" w:rsidP="00A03B39">
                    <w:pPr>
                      <w:spacing w:after="0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A03B39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079" w:rsidRDefault="00630079" w:rsidP="00A03B39">
      <w:pPr>
        <w:spacing w:after="0" w:line="240" w:lineRule="auto"/>
      </w:pPr>
      <w:r>
        <w:separator/>
      </w:r>
    </w:p>
  </w:footnote>
  <w:footnote w:type="continuationSeparator" w:id="0">
    <w:p w:rsidR="00630079" w:rsidRDefault="00630079" w:rsidP="00A03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5A0"/>
    <w:multiLevelType w:val="hybridMultilevel"/>
    <w:tmpl w:val="C74C2DE4"/>
    <w:lvl w:ilvl="0" w:tplc="0530411A">
      <w:start w:val="1"/>
      <w:numFmt w:val="decimal"/>
      <w:pStyle w:val="Nadpis2"/>
      <w:lvlText w:val="%1."/>
      <w:lvlJc w:val="left"/>
      <w:pPr>
        <w:ind w:left="504" w:hanging="360"/>
      </w:pPr>
    </w:lvl>
    <w:lvl w:ilvl="1" w:tplc="04050019">
      <w:start w:val="1"/>
      <w:numFmt w:val="lowerLetter"/>
      <w:lvlText w:val="%2."/>
      <w:lvlJc w:val="left"/>
      <w:pPr>
        <w:ind w:left="1224" w:hanging="360"/>
      </w:pPr>
    </w:lvl>
    <w:lvl w:ilvl="2" w:tplc="0405001B">
      <w:start w:val="1"/>
      <w:numFmt w:val="lowerRoman"/>
      <w:lvlText w:val="%3."/>
      <w:lvlJc w:val="right"/>
      <w:pPr>
        <w:ind w:left="1944" w:hanging="180"/>
      </w:pPr>
    </w:lvl>
    <w:lvl w:ilvl="3" w:tplc="0405000F">
      <w:start w:val="1"/>
      <w:numFmt w:val="decimal"/>
      <w:lvlText w:val="%4."/>
      <w:lvlJc w:val="left"/>
      <w:pPr>
        <w:ind w:left="2664" w:hanging="360"/>
      </w:pPr>
    </w:lvl>
    <w:lvl w:ilvl="4" w:tplc="04050019">
      <w:start w:val="1"/>
      <w:numFmt w:val="lowerLetter"/>
      <w:lvlText w:val="%5."/>
      <w:lvlJc w:val="left"/>
      <w:pPr>
        <w:ind w:left="3384" w:hanging="360"/>
      </w:pPr>
    </w:lvl>
    <w:lvl w:ilvl="5" w:tplc="0405001B">
      <w:start w:val="1"/>
      <w:numFmt w:val="lowerRoman"/>
      <w:lvlText w:val="%6."/>
      <w:lvlJc w:val="right"/>
      <w:pPr>
        <w:ind w:left="4104" w:hanging="180"/>
      </w:pPr>
    </w:lvl>
    <w:lvl w:ilvl="6" w:tplc="0405000F">
      <w:start w:val="1"/>
      <w:numFmt w:val="decimal"/>
      <w:lvlText w:val="%7."/>
      <w:lvlJc w:val="left"/>
      <w:pPr>
        <w:ind w:left="4824" w:hanging="360"/>
      </w:pPr>
    </w:lvl>
    <w:lvl w:ilvl="7" w:tplc="04050019">
      <w:start w:val="1"/>
      <w:numFmt w:val="lowerLetter"/>
      <w:lvlText w:val="%8."/>
      <w:lvlJc w:val="left"/>
      <w:pPr>
        <w:ind w:left="5544" w:hanging="360"/>
      </w:pPr>
    </w:lvl>
    <w:lvl w:ilvl="8" w:tplc="0405001B">
      <w:start w:val="1"/>
      <w:numFmt w:val="lowerRoman"/>
      <w:lvlText w:val="%9."/>
      <w:lvlJc w:val="right"/>
      <w:pPr>
        <w:ind w:left="6264" w:hanging="180"/>
      </w:pPr>
    </w:lvl>
  </w:abstractNum>
  <w:abstractNum w:abstractNumId="1" w15:restartNumberingAfterBreak="0">
    <w:nsid w:val="26D037C0"/>
    <w:multiLevelType w:val="hybridMultilevel"/>
    <w:tmpl w:val="1B52992C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C16E7"/>
    <w:multiLevelType w:val="hybridMultilevel"/>
    <w:tmpl w:val="1B52992C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EF7266"/>
    <w:multiLevelType w:val="hybridMultilevel"/>
    <w:tmpl w:val="1B52992C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8B2B9F"/>
    <w:multiLevelType w:val="multilevel"/>
    <w:tmpl w:val="6EC8652C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16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DB6"/>
    <w:rsid w:val="0001490F"/>
    <w:rsid w:val="00035DB6"/>
    <w:rsid w:val="000D6F48"/>
    <w:rsid w:val="000E0AA3"/>
    <w:rsid w:val="001904AB"/>
    <w:rsid w:val="0048640C"/>
    <w:rsid w:val="00525397"/>
    <w:rsid w:val="00630079"/>
    <w:rsid w:val="006A212B"/>
    <w:rsid w:val="00A03B39"/>
    <w:rsid w:val="00A547BA"/>
    <w:rsid w:val="00AD7A5E"/>
    <w:rsid w:val="00C22DCF"/>
    <w:rsid w:val="00DA3105"/>
    <w:rsid w:val="00E4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44DA7"/>
  <w15:chartTrackingRefBased/>
  <w15:docId w15:val="{37C1307F-2B0D-4F5D-B239-80C1F0F0F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47BA"/>
    <w:rPr>
      <w:sz w:val="1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35DB6"/>
    <w:pPr>
      <w:keepNext/>
      <w:numPr>
        <w:numId w:val="1"/>
      </w:numPr>
      <w:spacing w:after="240" w:line="240" w:lineRule="auto"/>
      <w:jc w:val="both"/>
      <w:outlineLvl w:val="1"/>
    </w:pPr>
    <w:rPr>
      <w:rFonts w:ascii="Arial" w:eastAsia="Times New Roman" w:hAnsi="Arial" w:cs="Times New Roman"/>
      <w:smallCaps/>
      <w:spacing w:val="5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035DB6"/>
    <w:rPr>
      <w:rFonts w:ascii="Arial" w:eastAsia="Times New Roman" w:hAnsi="Arial" w:cs="Times New Roman"/>
      <w:smallCaps/>
      <w:spacing w:val="5"/>
      <w:sz w:val="20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5D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0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03B39"/>
    <w:rPr>
      <w:sz w:val="18"/>
    </w:rPr>
  </w:style>
  <w:style w:type="paragraph" w:styleId="Zpat">
    <w:name w:val="footer"/>
    <w:basedOn w:val="Normln"/>
    <w:link w:val="ZpatChar"/>
    <w:uiPriority w:val="99"/>
    <w:unhideWhenUsed/>
    <w:rsid w:val="00A03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03B39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Skoda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Škoda Auto a.s.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Machan, Jaroslav Doc. 2 (ES)</dc:creator>
  <cp:keywords/>
  <dc:description/>
  <cp:lastModifiedBy>Nováková Marta</cp:lastModifiedBy>
  <cp:revision>4</cp:revision>
  <dcterms:created xsi:type="dcterms:W3CDTF">2022-06-02T11:46:00Z</dcterms:created>
  <dcterms:modified xsi:type="dcterms:W3CDTF">2022-06-06T09:36:00Z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c9b508-7c6e-42bd-bedf-808292653d6c_Enabled">
    <vt:lpwstr>true</vt:lpwstr>
  </property>
  <property fmtid="{D5CDD505-2E9C-101B-9397-08002B2CF9AE}" pid="3" name="MSIP_Label_b1c9b508-7c6e-42bd-bedf-808292653d6c_SetDate">
    <vt:lpwstr>2022-04-06T08:10:47Z</vt:lpwstr>
  </property>
  <property fmtid="{D5CDD505-2E9C-101B-9397-08002B2CF9AE}" pid="4" name="MSIP_Label_b1c9b508-7c6e-42bd-bedf-808292653d6c_Method">
    <vt:lpwstr>Standard</vt:lpwstr>
  </property>
  <property fmtid="{D5CDD505-2E9C-101B-9397-08002B2CF9AE}" pid="5" name="MSIP_Label_b1c9b508-7c6e-42bd-bedf-808292653d6c_Name">
    <vt:lpwstr>b1c9b508-7c6e-42bd-bedf-808292653d6c</vt:lpwstr>
  </property>
  <property fmtid="{D5CDD505-2E9C-101B-9397-08002B2CF9AE}" pid="6" name="MSIP_Label_b1c9b508-7c6e-42bd-bedf-808292653d6c_SiteId">
    <vt:lpwstr>2882be50-2012-4d88-ac86-544124e120c8</vt:lpwstr>
  </property>
  <property fmtid="{D5CDD505-2E9C-101B-9397-08002B2CF9AE}" pid="7" name="MSIP_Label_b1c9b508-7c6e-42bd-bedf-808292653d6c_ActionId">
    <vt:lpwstr>ccdf4872-2408-435e-af5a-a5fa2d7aac7c</vt:lpwstr>
  </property>
  <property fmtid="{D5CDD505-2E9C-101B-9397-08002B2CF9AE}" pid="8" name="MSIP_Label_b1c9b508-7c6e-42bd-bedf-808292653d6c_ContentBits">
    <vt:lpwstr>3</vt:lpwstr>
  </property>
</Properties>
</file>