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175" w:rsidRPr="005018C2" w:rsidRDefault="002F6F8A" w:rsidP="00486175">
      <w:pPr>
        <w:spacing w:before="60"/>
        <w:jc w:val="center"/>
        <w:rPr>
          <w:rFonts w:ascii="Arial" w:hAnsi="Arial" w:cs="Arial"/>
          <w:b/>
          <w:color w:val="0070C0"/>
        </w:rPr>
      </w:pPr>
      <w:r w:rsidRPr="005018C2">
        <w:rPr>
          <w:rFonts w:ascii="Arial" w:hAnsi="Arial" w:cs="Arial"/>
          <w:b/>
          <w:color w:val="0070C0"/>
        </w:rPr>
        <w:t>Stanovisko Rady pro výzkum, vývoj a inovace k </w:t>
      </w:r>
      <w:r w:rsidR="003E64BF" w:rsidRPr="005018C2">
        <w:rPr>
          <w:rFonts w:ascii="Arial" w:hAnsi="Arial" w:cs="Arial"/>
          <w:b/>
          <w:color w:val="0070C0"/>
        </w:rPr>
        <w:t>n</w:t>
      </w:r>
      <w:r w:rsidR="00856ADE" w:rsidRPr="005018C2">
        <w:rPr>
          <w:rFonts w:ascii="Arial" w:hAnsi="Arial" w:cs="Arial"/>
          <w:b/>
          <w:color w:val="0070C0"/>
        </w:rPr>
        <w:t xml:space="preserve">ávrhu </w:t>
      </w:r>
      <w:r w:rsidR="00486175" w:rsidRPr="005018C2">
        <w:rPr>
          <w:rFonts w:ascii="Arial" w:hAnsi="Arial" w:cs="Arial"/>
          <w:b/>
          <w:color w:val="0070C0"/>
        </w:rPr>
        <w:t>P</w:t>
      </w:r>
      <w:r w:rsidR="003E64BF" w:rsidRPr="005018C2">
        <w:rPr>
          <w:rFonts w:ascii="Arial" w:hAnsi="Arial" w:cs="Arial"/>
          <w:b/>
          <w:color w:val="0070C0"/>
        </w:rPr>
        <w:t xml:space="preserve">rogramu </w:t>
      </w:r>
    </w:p>
    <w:p w:rsidR="002F6F8A" w:rsidRPr="005018C2" w:rsidRDefault="007866B9" w:rsidP="00850745">
      <w:pPr>
        <w:pBdr>
          <w:bottom w:val="single" w:sz="6" w:space="1" w:color="auto"/>
        </w:pBdr>
        <w:spacing w:after="120"/>
        <w:jc w:val="center"/>
        <w:rPr>
          <w:rFonts w:ascii="Arial" w:hAnsi="Arial" w:cs="Arial"/>
          <w:b/>
          <w:color w:val="0070C0"/>
        </w:rPr>
      </w:pPr>
      <w:r w:rsidRPr="005018C2">
        <w:rPr>
          <w:rFonts w:ascii="Arial" w:hAnsi="Arial" w:cs="Arial"/>
          <w:b/>
          <w:color w:val="0070C0"/>
        </w:rPr>
        <w:t>n</w:t>
      </w:r>
      <w:r w:rsidR="00486175" w:rsidRPr="005018C2">
        <w:rPr>
          <w:rFonts w:ascii="Arial" w:hAnsi="Arial" w:cs="Arial"/>
          <w:b/>
          <w:color w:val="0070C0"/>
        </w:rPr>
        <w:t>a podporu aplikovaného výzkumu</w:t>
      </w:r>
      <w:r w:rsidRPr="005018C2">
        <w:rPr>
          <w:rFonts w:ascii="Arial" w:hAnsi="Arial" w:cs="Arial"/>
          <w:b/>
          <w:color w:val="0070C0"/>
        </w:rPr>
        <w:t xml:space="preserve"> a inovací v oblasti dopravy</w:t>
      </w:r>
      <w:r w:rsidR="00486175" w:rsidRPr="005018C2">
        <w:rPr>
          <w:rFonts w:ascii="Arial" w:hAnsi="Arial" w:cs="Arial"/>
          <w:b/>
          <w:color w:val="0070C0"/>
        </w:rPr>
        <w:t xml:space="preserve"> DOPRAVA</w:t>
      </w:r>
      <w:r w:rsidR="005018C2" w:rsidRPr="005018C2">
        <w:rPr>
          <w:rFonts w:ascii="Arial" w:hAnsi="Arial" w:cs="Arial"/>
          <w:b/>
          <w:color w:val="0070C0"/>
        </w:rPr>
        <w:t> </w:t>
      </w:r>
      <w:r w:rsidR="00486175" w:rsidRPr="005018C2">
        <w:rPr>
          <w:rFonts w:ascii="Arial" w:hAnsi="Arial" w:cs="Arial"/>
          <w:b/>
          <w:color w:val="0070C0"/>
        </w:rPr>
        <w:t>2030</w:t>
      </w:r>
    </w:p>
    <w:p w:rsidR="002F6F8A" w:rsidRPr="005018C2" w:rsidRDefault="001D724F" w:rsidP="00BD696B">
      <w:pPr>
        <w:pStyle w:val="Odstavecseseznamem"/>
        <w:numPr>
          <w:ilvl w:val="0"/>
          <w:numId w:val="1"/>
        </w:numPr>
        <w:spacing w:after="120"/>
        <w:jc w:val="both"/>
        <w:rPr>
          <w:rFonts w:ascii="Arial" w:hAnsi="Arial" w:cs="Arial"/>
          <w:b/>
          <w:color w:val="0070C0"/>
        </w:rPr>
      </w:pPr>
      <w:r w:rsidRPr="005018C2">
        <w:rPr>
          <w:rFonts w:ascii="Arial" w:hAnsi="Arial" w:cs="Arial"/>
          <w:b/>
          <w:color w:val="0070C0"/>
        </w:rPr>
        <w:t xml:space="preserve">Způsob </w:t>
      </w:r>
      <w:r w:rsidR="00C31178" w:rsidRPr="005018C2">
        <w:rPr>
          <w:rFonts w:ascii="Arial" w:hAnsi="Arial" w:cs="Arial"/>
          <w:b/>
          <w:color w:val="0070C0"/>
        </w:rPr>
        <w:t xml:space="preserve">předložení </w:t>
      </w:r>
      <w:r w:rsidR="000F2DDE" w:rsidRPr="005018C2">
        <w:rPr>
          <w:rFonts w:ascii="Arial" w:hAnsi="Arial" w:cs="Arial"/>
          <w:b/>
          <w:color w:val="0070C0"/>
        </w:rPr>
        <w:t xml:space="preserve">a projednání </w:t>
      </w:r>
      <w:r w:rsidRPr="005018C2">
        <w:rPr>
          <w:rFonts w:ascii="Arial" w:hAnsi="Arial" w:cs="Arial"/>
          <w:b/>
          <w:color w:val="0070C0"/>
        </w:rPr>
        <w:t>návrhu</w:t>
      </w:r>
    </w:p>
    <w:p w:rsidR="005018C2" w:rsidRPr="005018C2" w:rsidRDefault="005018C2" w:rsidP="00BD696B">
      <w:pPr>
        <w:pStyle w:val="Zkladntext2"/>
        <w:spacing w:after="120"/>
        <w:ind w:left="6"/>
        <w:jc w:val="both"/>
        <w:rPr>
          <w:rFonts w:ascii="Arial" w:hAnsi="Arial" w:cs="Arial"/>
          <w:szCs w:val="24"/>
        </w:rPr>
      </w:pPr>
      <w:r w:rsidRPr="005018C2">
        <w:rPr>
          <w:rFonts w:ascii="Arial" w:hAnsi="Arial" w:cs="Arial"/>
          <w:szCs w:val="24"/>
        </w:rPr>
        <w:t xml:space="preserve">Ministr dopravy </w:t>
      </w:r>
      <w:r w:rsidR="002F1467">
        <w:rPr>
          <w:rFonts w:ascii="Arial" w:hAnsi="Arial" w:cs="Arial"/>
          <w:szCs w:val="24"/>
        </w:rPr>
        <w:t xml:space="preserve">Mgr. </w:t>
      </w:r>
      <w:r w:rsidRPr="005018C2">
        <w:rPr>
          <w:rFonts w:ascii="Arial" w:hAnsi="Arial" w:cs="Arial"/>
          <w:szCs w:val="24"/>
        </w:rPr>
        <w:t>Martin Kupka předložil d</w:t>
      </w:r>
      <w:r w:rsidR="007E331C" w:rsidRPr="005018C2">
        <w:rPr>
          <w:rFonts w:ascii="Arial" w:hAnsi="Arial" w:cs="Arial"/>
          <w:szCs w:val="24"/>
        </w:rPr>
        <w:t xml:space="preserve">opisem </w:t>
      </w:r>
      <w:r w:rsidRPr="005018C2">
        <w:rPr>
          <w:rFonts w:ascii="Arial" w:hAnsi="Arial" w:cs="Arial"/>
          <w:szCs w:val="24"/>
        </w:rPr>
        <w:t xml:space="preserve">na ministryni pro vědu, výzkum a inovace a předsedkyni Rady pro výzkum, vývoj a inovace Mgr. Helenu Langšádlovou </w:t>
      </w:r>
      <w:r w:rsidR="007E331C" w:rsidRPr="005018C2">
        <w:rPr>
          <w:rFonts w:ascii="Arial" w:hAnsi="Arial" w:cs="Arial"/>
          <w:szCs w:val="24"/>
        </w:rPr>
        <w:t>ze dne 3. května 2020</w:t>
      </w:r>
      <w:r w:rsidRPr="005018C2">
        <w:rPr>
          <w:rFonts w:ascii="Arial" w:hAnsi="Arial" w:cs="Arial"/>
          <w:szCs w:val="24"/>
        </w:rPr>
        <w:t xml:space="preserve"> návrh Programu na podporu aplikovaného výzkumu a inovací v oblasti dopravy – DOPRAVA 2030 </w:t>
      </w:r>
      <w:r w:rsidR="00FA668D">
        <w:rPr>
          <w:rFonts w:ascii="Arial" w:hAnsi="Arial" w:cs="Arial"/>
          <w:szCs w:val="24"/>
        </w:rPr>
        <w:t xml:space="preserve">(dále jen „Program“) </w:t>
      </w:r>
      <w:r w:rsidRPr="005018C2">
        <w:rPr>
          <w:rFonts w:ascii="Arial" w:hAnsi="Arial" w:cs="Arial"/>
          <w:szCs w:val="24"/>
        </w:rPr>
        <w:t>s žádostí o stanovisko Rady pro výzkum, vývoj a inovace (dále jen „Rada“).</w:t>
      </w:r>
    </w:p>
    <w:p w:rsidR="00E83722" w:rsidRPr="0038445F" w:rsidRDefault="00E83722" w:rsidP="00BD696B">
      <w:pPr>
        <w:pStyle w:val="Odstavecseseznamem"/>
        <w:numPr>
          <w:ilvl w:val="0"/>
          <w:numId w:val="1"/>
        </w:numPr>
        <w:spacing w:after="120"/>
        <w:jc w:val="both"/>
        <w:rPr>
          <w:rFonts w:ascii="Arial" w:hAnsi="Arial" w:cs="Arial"/>
          <w:b/>
          <w:color w:val="0070C0"/>
        </w:rPr>
      </w:pPr>
      <w:r w:rsidRPr="0038445F">
        <w:rPr>
          <w:rFonts w:ascii="Arial" w:hAnsi="Arial" w:cs="Arial"/>
          <w:b/>
          <w:color w:val="0070C0"/>
        </w:rPr>
        <w:t>K návrhu programu</w:t>
      </w:r>
    </w:p>
    <w:p w:rsidR="005373D4" w:rsidRDefault="004E251D" w:rsidP="00BD696B">
      <w:pPr>
        <w:spacing w:after="120"/>
        <w:jc w:val="both"/>
        <w:rPr>
          <w:rFonts w:ascii="Arial" w:hAnsi="Arial" w:cs="Arial"/>
          <w:color w:val="000000"/>
        </w:rPr>
      </w:pPr>
      <w:r w:rsidRPr="000443A6">
        <w:rPr>
          <w:rFonts w:ascii="Arial" w:hAnsi="Arial" w:cs="Arial"/>
          <w:color w:val="000000"/>
        </w:rPr>
        <w:t>N</w:t>
      </w:r>
      <w:r w:rsidR="004B2B0D" w:rsidRPr="000443A6">
        <w:rPr>
          <w:rFonts w:ascii="Arial" w:hAnsi="Arial" w:cs="Arial"/>
          <w:color w:val="000000"/>
        </w:rPr>
        <w:t xml:space="preserve">ávrh </w:t>
      </w:r>
      <w:r w:rsidR="00FA668D">
        <w:rPr>
          <w:rFonts w:ascii="Arial" w:hAnsi="Arial" w:cs="Arial"/>
          <w:color w:val="000000"/>
        </w:rPr>
        <w:t>P</w:t>
      </w:r>
      <w:r w:rsidR="004B2B0D" w:rsidRPr="000443A6">
        <w:rPr>
          <w:rFonts w:ascii="Arial" w:hAnsi="Arial" w:cs="Arial"/>
          <w:color w:val="000000"/>
        </w:rPr>
        <w:t>rogramu reaguje na potřeby resortu dopravy</w:t>
      </w:r>
      <w:r w:rsidR="0038445F" w:rsidRPr="000443A6">
        <w:rPr>
          <w:rFonts w:ascii="Arial" w:hAnsi="Arial" w:cs="Arial"/>
          <w:color w:val="000000"/>
        </w:rPr>
        <w:t xml:space="preserve"> a </w:t>
      </w:r>
      <w:r w:rsidR="006C6312" w:rsidRPr="000443A6">
        <w:rPr>
          <w:rFonts w:ascii="Arial" w:hAnsi="Arial" w:cs="Arial"/>
          <w:color w:val="000000"/>
        </w:rPr>
        <w:t>nava</w:t>
      </w:r>
      <w:r w:rsidR="005373D4" w:rsidRPr="000443A6">
        <w:rPr>
          <w:rFonts w:ascii="Arial" w:hAnsi="Arial" w:cs="Arial"/>
          <w:color w:val="000000"/>
        </w:rPr>
        <w:t xml:space="preserve">zuje na </w:t>
      </w:r>
      <w:r w:rsidR="00FA668D">
        <w:rPr>
          <w:rFonts w:ascii="Arial" w:hAnsi="Arial" w:cs="Arial"/>
          <w:color w:val="000000"/>
        </w:rPr>
        <w:t xml:space="preserve">současně probíhající </w:t>
      </w:r>
      <w:r w:rsidR="005373D4" w:rsidRPr="000443A6">
        <w:rPr>
          <w:rFonts w:ascii="Arial" w:hAnsi="Arial" w:cs="Arial"/>
          <w:color w:val="000000"/>
        </w:rPr>
        <w:t>Program na podporu aplikovaného výzkumu, experimentálního vývoje a</w:t>
      </w:r>
      <w:r w:rsidR="00FA668D">
        <w:rPr>
          <w:rFonts w:ascii="Arial" w:hAnsi="Arial" w:cs="Arial"/>
          <w:color w:val="000000"/>
        </w:rPr>
        <w:t> </w:t>
      </w:r>
      <w:r w:rsidR="005373D4" w:rsidRPr="000443A6">
        <w:rPr>
          <w:rFonts w:ascii="Arial" w:hAnsi="Arial" w:cs="Arial"/>
          <w:color w:val="000000"/>
        </w:rPr>
        <w:t xml:space="preserve">inovací v oblasti dopravy – DOPRAVA 2020+, který byl schválen usnesením vlády ze dne 25. března 2019 č. 203 na období </w:t>
      </w:r>
      <w:r w:rsidR="005373D4" w:rsidRPr="000443A6">
        <w:rPr>
          <w:rFonts w:ascii="Arial" w:hAnsi="Arial" w:cs="Arial"/>
        </w:rPr>
        <w:t>2020 -2026</w:t>
      </w:r>
      <w:r w:rsidR="005373D4" w:rsidRPr="000443A6">
        <w:rPr>
          <w:rFonts w:ascii="Arial" w:hAnsi="Arial" w:cs="Arial"/>
          <w:color w:val="000000"/>
        </w:rPr>
        <w:t>.</w:t>
      </w:r>
    </w:p>
    <w:p w:rsidR="00291E86" w:rsidRPr="00634EE8" w:rsidRDefault="00291E86" w:rsidP="00BD696B">
      <w:pPr>
        <w:pStyle w:val="Odstavecseseznamem"/>
        <w:numPr>
          <w:ilvl w:val="0"/>
          <w:numId w:val="1"/>
        </w:numPr>
        <w:spacing w:after="120"/>
        <w:jc w:val="both"/>
        <w:rPr>
          <w:rFonts w:ascii="Arial" w:hAnsi="Arial" w:cs="Arial"/>
          <w:b/>
          <w:color w:val="0070C0"/>
        </w:rPr>
      </w:pPr>
      <w:r w:rsidRPr="00634EE8">
        <w:rPr>
          <w:rFonts w:ascii="Arial" w:hAnsi="Arial" w:cs="Arial"/>
          <w:b/>
          <w:color w:val="0070C0"/>
        </w:rPr>
        <w:t>Právní rámec Programu:</w:t>
      </w:r>
    </w:p>
    <w:p w:rsidR="00291E86" w:rsidRPr="002E1F95" w:rsidRDefault="00CC7E56" w:rsidP="00BD696B">
      <w:pPr>
        <w:spacing w:after="120"/>
        <w:jc w:val="both"/>
        <w:rPr>
          <w:rFonts w:ascii="Arial" w:hAnsi="Arial" w:cs="Arial"/>
          <w:i/>
        </w:rPr>
      </w:pPr>
      <w:r w:rsidRPr="002E1F95">
        <w:rPr>
          <w:rFonts w:ascii="Arial" w:hAnsi="Arial" w:cs="Arial"/>
        </w:rPr>
        <w:t>Program</w:t>
      </w:r>
      <w:r w:rsidR="00291E86" w:rsidRPr="002E1F95">
        <w:rPr>
          <w:rFonts w:ascii="Arial" w:hAnsi="Arial" w:cs="Arial"/>
        </w:rPr>
        <w:t xml:space="preserve"> bude realizován podle:</w:t>
      </w:r>
    </w:p>
    <w:p w:rsidR="00291E86" w:rsidRPr="002E1F95" w:rsidRDefault="00291E86" w:rsidP="00BD696B">
      <w:pPr>
        <w:numPr>
          <w:ilvl w:val="0"/>
          <w:numId w:val="36"/>
        </w:numPr>
        <w:spacing w:after="120"/>
        <w:jc w:val="both"/>
        <w:rPr>
          <w:rFonts w:ascii="Arial" w:hAnsi="Arial" w:cs="Arial"/>
        </w:rPr>
      </w:pPr>
      <w:r w:rsidRPr="002E1F95">
        <w:rPr>
          <w:rFonts w:ascii="Arial" w:hAnsi="Arial" w:cs="Arial"/>
        </w:rPr>
        <w:t>zákona č. 130/2002 Sb., o podpoře výzkumu, experimentálního vývoje a inovací z veřejných prostředků a o změně některých souvisejících zákonů (zákon o podpoře výzkumu, experimentálního vývoje a inovací), ve znění pozdějších předpisů;</w:t>
      </w:r>
    </w:p>
    <w:p w:rsidR="00291E86" w:rsidRPr="002E1F95" w:rsidRDefault="00291E86" w:rsidP="00BD696B">
      <w:pPr>
        <w:numPr>
          <w:ilvl w:val="0"/>
          <w:numId w:val="36"/>
        </w:numPr>
        <w:spacing w:after="120"/>
        <w:jc w:val="both"/>
        <w:rPr>
          <w:rFonts w:ascii="Arial" w:hAnsi="Arial" w:cs="Arial"/>
        </w:rPr>
      </w:pPr>
      <w:r w:rsidRPr="002E1F95">
        <w:rPr>
          <w:rFonts w:ascii="Arial" w:hAnsi="Arial" w:cs="Arial"/>
        </w:rPr>
        <w:t>Smlouvy o fungování Evropské unie 2012/C 326/01, zejména čl. 107, případně také čl. 93 a 106 (dále jen „</w:t>
      </w:r>
      <w:r w:rsidR="00056FE7" w:rsidRPr="002E1F95">
        <w:rPr>
          <w:rFonts w:ascii="Arial" w:hAnsi="Arial" w:cs="Arial"/>
        </w:rPr>
        <w:t>Smlouva“)</w:t>
      </w:r>
      <w:r w:rsidR="00056FE7" w:rsidRPr="00F63C85">
        <w:rPr>
          <w:rFonts w:ascii="Arial" w:hAnsi="Arial" w:cs="Arial"/>
        </w:rPr>
        <w:t>;</w:t>
      </w:r>
    </w:p>
    <w:p w:rsidR="00291E86" w:rsidRPr="002E1F95" w:rsidRDefault="00291E86" w:rsidP="00BD696B">
      <w:pPr>
        <w:numPr>
          <w:ilvl w:val="0"/>
          <w:numId w:val="36"/>
        </w:numPr>
        <w:spacing w:after="120"/>
        <w:jc w:val="both"/>
        <w:rPr>
          <w:rFonts w:ascii="Arial" w:hAnsi="Arial" w:cs="Arial"/>
        </w:rPr>
      </w:pPr>
      <w:r w:rsidRPr="002E1F95">
        <w:rPr>
          <w:rFonts w:ascii="Arial" w:hAnsi="Arial" w:cs="Arial"/>
        </w:rPr>
        <w:t>nařízení Komise (EU) č. 651/2014 ze dne 17. června 2014, kterým se v souladu s</w:t>
      </w:r>
      <w:r w:rsidR="008B1AF6">
        <w:rPr>
          <w:rFonts w:ascii="Arial" w:hAnsi="Arial" w:cs="Arial"/>
        </w:rPr>
        <w:t> </w:t>
      </w:r>
      <w:r w:rsidRPr="002E1F95">
        <w:rPr>
          <w:rFonts w:ascii="Arial" w:hAnsi="Arial" w:cs="Arial"/>
        </w:rPr>
        <w:t>články 107 a 108 Smlouvy prohlašují určité kategorie podpory za slučitelné s</w:t>
      </w:r>
      <w:r w:rsidR="008B1AF6">
        <w:rPr>
          <w:rFonts w:ascii="Arial" w:hAnsi="Arial" w:cs="Arial"/>
        </w:rPr>
        <w:t> </w:t>
      </w:r>
      <w:r w:rsidRPr="002E1F95">
        <w:rPr>
          <w:rFonts w:ascii="Arial" w:hAnsi="Arial" w:cs="Arial"/>
        </w:rPr>
        <w:t>vnitřním trhem, v platném znění, kterým se v souladu s čl. 107 a 108 Smlouvy o</w:t>
      </w:r>
      <w:r w:rsidR="008B1AF6">
        <w:rPr>
          <w:rFonts w:ascii="Arial" w:hAnsi="Arial" w:cs="Arial"/>
        </w:rPr>
        <w:t> </w:t>
      </w:r>
      <w:r w:rsidRPr="002E1F95">
        <w:rPr>
          <w:rFonts w:ascii="Arial" w:hAnsi="Arial" w:cs="Arial"/>
        </w:rPr>
        <w:t>fungování Evropské unie prohlašují určité kategorie podpory za slučitelné s vnitřním trhem zejm. čl. 25, 28 a 29, (dále jen „nařízení Komise“)</w:t>
      </w:r>
      <w:r w:rsidR="00BA2CC4" w:rsidRPr="002E1F95">
        <w:rPr>
          <w:rStyle w:val="Znakapoznpodarou"/>
          <w:rFonts w:ascii="Arial" w:hAnsi="Arial" w:cs="Arial"/>
        </w:rPr>
        <w:footnoteReference w:id="1"/>
      </w:r>
      <w:r w:rsidRPr="002E1F95">
        <w:rPr>
          <w:rFonts w:ascii="Arial" w:hAnsi="Arial" w:cs="Arial"/>
        </w:rPr>
        <w:t>;</w:t>
      </w:r>
    </w:p>
    <w:p w:rsidR="00B36690" w:rsidRDefault="00291E86" w:rsidP="00BD696B">
      <w:pPr>
        <w:numPr>
          <w:ilvl w:val="0"/>
          <w:numId w:val="36"/>
        </w:numPr>
        <w:spacing w:after="120"/>
        <w:jc w:val="both"/>
        <w:rPr>
          <w:rFonts w:ascii="Arial" w:hAnsi="Arial" w:cs="Arial"/>
        </w:rPr>
      </w:pPr>
      <w:r w:rsidRPr="00B36690">
        <w:rPr>
          <w:rFonts w:ascii="Arial" w:hAnsi="Arial" w:cs="Arial"/>
        </w:rPr>
        <w:t>sdělení Komise – Rámec pro státní podporu výzkumu, vývoje a inovací - Úřední věstník Evropské unie C 198, 27. 6. 2014 (dále jen „Rámec“);</w:t>
      </w:r>
    </w:p>
    <w:p w:rsidR="002E1F95" w:rsidRDefault="00291E86" w:rsidP="00BD696B">
      <w:pPr>
        <w:numPr>
          <w:ilvl w:val="0"/>
          <w:numId w:val="36"/>
        </w:numPr>
        <w:spacing w:after="120"/>
        <w:jc w:val="both"/>
        <w:rPr>
          <w:rFonts w:ascii="Arial" w:hAnsi="Arial" w:cs="Arial"/>
        </w:rPr>
      </w:pPr>
      <w:r w:rsidRPr="00B36690">
        <w:rPr>
          <w:rFonts w:ascii="Arial" w:hAnsi="Arial" w:cs="Arial"/>
        </w:rPr>
        <w:t>a podle ostatních souvisejících předpisů.</w:t>
      </w:r>
    </w:p>
    <w:p w:rsidR="00B06D4F" w:rsidRPr="00B06D4F" w:rsidRDefault="00B06D4F" w:rsidP="00B06D4F">
      <w:pPr>
        <w:pStyle w:val="Odstavecseseznamem"/>
        <w:keepNext/>
        <w:numPr>
          <w:ilvl w:val="0"/>
          <w:numId w:val="1"/>
        </w:numPr>
        <w:spacing w:after="120"/>
        <w:jc w:val="both"/>
        <w:rPr>
          <w:rFonts w:ascii="Arial" w:hAnsi="Arial" w:cs="Arial"/>
          <w:b/>
          <w:color w:val="0070C0"/>
        </w:rPr>
      </w:pPr>
      <w:r w:rsidRPr="00B06D4F">
        <w:rPr>
          <w:rFonts w:ascii="Arial" w:hAnsi="Arial" w:cs="Arial"/>
          <w:b/>
          <w:color w:val="0070C0"/>
        </w:rPr>
        <w:t xml:space="preserve">Způsob projednání návrhu </w:t>
      </w:r>
    </w:p>
    <w:p w:rsidR="00B06D4F" w:rsidRPr="00B36690" w:rsidRDefault="00B06D4F" w:rsidP="00B06D4F">
      <w:pPr>
        <w:spacing w:after="120"/>
        <w:ind w:left="3"/>
        <w:jc w:val="both"/>
        <w:rPr>
          <w:rFonts w:ascii="Arial" w:hAnsi="Arial" w:cs="Arial"/>
        </w:rPr>
      </w:pPr>
      <w:r w:rsidRPr="00095242">
        <w:rPr>
          <w:rFonts w:ascii="Arial" w:hAnsi="Arial" w:cs="Arial"/>
        </w:rPr>
        <w:t>Návrh stanoviska Rady byl předložen</w:t>
      </w:r>
      <w:r>
        <w:rPr>
          <w:rFonts w:ascii="Arial" w:hAnsi="Arial" w:cs="Arial"/>
        </w:rPr>
        <w:t xml:space="preserve"> a stanovisko bylo schváleno</w:t>
      </w:r>
      <w:r w:rsidRPr="00095242">
        <w:rPr>
          <w:rFonts w:ascii="Arial" w:hAnsi="Arial" w:cs="Arial"/>
        </w:rPr>
        <w:t xml:space="preserve"> na </w:t>
      </w:r>
      <w:r w:rsidR="00692409">
        <w:rPr>
          <w:rFonts w:ascii="Arial" w:hAnsi="Arial" w:cs="Arial"/>
        </w:rPr>
        <w:t>380</w:t>
      </w:r>
      <w:r w:rsidRPr="00095242">
        <w:rPr>
          <w:rFonts w:ascii="Arial" w:hAnsi="Arial" w:cs="Arial"/>
        </w:rPr>
        <w:t>. zasedání Rady 2</w:t>
      </w:r>
      <w:r w:rsidR="002A273C">
        <w:rPr>
          <w:rFonts w:ascii="Arial" w:hAnsi="Arial" w:cs="Arial"/>
        </w:rPr>
        <w:t>4</w:t>
      </w:r>
      <w:r w:rsidR="00692409">
        <w:rPr>
          <w:rFonts w:ascii="Arial" w:hAnsi="Arial" w:cs="Arial"/>
        </w:rPr>
        <w:t>.</w:t>
      </w:r>
      <w:r w:rsidRPr="00095242">
        <w:rPr>
          <w:rFonts w:ascii="Arial" w:hAnsi="Arial" w:cs="Arial"/>
        </w:rPr>
        <w:t xml:space="preserve"> </w:t>
      </w:r>
      <w:r w:rsidR="002A273C">
        <w:rPr>
          <w:rFonts w:ascii="Arial" w:hAnsi="Arial" w:cs="Arial"/>
        </w:rPr>
        <w:t>června</w:t>
      </w:r>
      <w:r w:rsidRPr="00095242">
        <w:rPr>
          <w:rFonts w:ascii="Arial" w:hAnsi="Arial" w:cs="Arial"/>
        </w:rPr>
        <w:t xml:space="preserve"> 2022</w:t>
      </w:r>
      <w:r w:rsidR="00BD696B">
        <w:rPr>
          <w:rFonts w:ascii="Arial" w:hAnsi="Arial" w:cs="Arial"/>
        </w:rPr>
        <w:t>.</w:t>
      </w:r>
    </w:p>
    <w:p w:rsidR="00900034" w:rsidRPr="00F63C85" w:rsidRDefault="00E81976" w:rsidP="00F63C85">
      <w:pPr>
        <w:pStyle w:val="Odstavecseseznamem"/>
        <w:numPr>
          <w:ilvl w:val="0"/>
          <w:numId w:val="1"/>
        </w:numPr>
        <w:spacing w:after="120"/>
        <w:jc w:val="both"/>
        <w:rPr>
          <w:rFonts w:ascii="Arial" w:hAnsi="Arial" w:cs="Arial"/>
          <w:b/>
          <w:color w:val="0070C0"/>
        </w:rPr>
      </w:pPr>
      <w:r w:rsidRPr="008B1AF6">
        <w:rPr>
          <w:rFonts w:ascii="Arial" w:hAnsi="Arial" w:cs="Arial"/>
          <w:b/>
          <w:color w:val="0070C0"/>
        </w:rPr>
        <w:lastRenderedPageBreak/>
        <w:t>Soulad se zákonem o podpoře výzkumu, experimentálního vývoje a</w:t>
      </w:r>
      <w:r w:rsidR="00BC5357" w:rsidRPr="008B1AF6">
        <w:rPr>
          <w:rFonts w:ascii="Arial" w:hAnsi="Arial" w:cs="Arial"/>
          <w:b/>
          <w:color w:val="0070C0"/>
        </w:rPr>
        <w:t> </w:t>
      </w:r>
      <w:r w:rsidRPr="008B1AF6">
        <w:rPr>
          <w:rFonts w:ascii="Arial" w:hAnsi="Arial" w:cs="Arial"/>
          <w:b/>
          <w:color w:val="0070C0"/>
        </w:rPr>
        <w:t>inovací</w:t>
      </w:r>
    </w:p>
    <w:p w:rsidR="00900034" w:rsidRPr="00B36690" w:rsidRDefault="00900034" w:rsidP="00E81976">
      <w:pPr>
        <w:pStyle w:val="Zkladntext2"/>
        <w:spacing w:after="120"/>
        <w:jc w:val="both"/>
        <w:rPr>
          <w:rFonts w:ascii="Arial" w:hAnsi="Arial" w:cs="Arial"/>
          <w:szCs w:val="24"/>
        </w:rPr>
      </w:pPr>
      <w:r w:rsidRPr="00B36690">
        <w:rPr>
          <w:rFonts w:ascii="Arial" w:hAnsi="Arial" w:cs="Arial"/>
          <w:szCs w:val="24"/>
        </w:rPr>
        <w:t>Rada hodnotí požadavky na obsah návrhu programu ve smyslu § 5 odst. 2 zákona č.</w:t>
      </w:r>
      <w:r w:rsidR="00BC5357" w:rsidRPr="00B36690">
        <w:rPr>
          <w:rFonts w:ascii="Arial" w:hAnsi="Arial" w:cs="Arial"/>
          <w:szCs w:val="24"/>
        </w:rPr>
        <w:t> </w:t>
      </w:r>
      <w:r w:rsidRPr="00B36690">
        <w:rPr>
          <w:rFonts w:ascii="Arial" w:hAnsi="Arial" w:cs="Arial"/>
          <w:szCs w:val="24"/>
        </w:rPr>
        <w:t xml:space="preserve">130/2002 Sb., o podpoře výzkumu, experimentálního vývoje a inovací, ve znění pozdějších předpisů na nové programy výzkumu a vývoje takto: </w:t>
      </w:r>
    </w:p>
    <w:p w:rsidR="00900034" w:rsidRPr="00B36690" w:rsidRDefault="001E7504" w:rsidP="00272598">
      <w:pPr>
        <w:pStyle w:val="Zkladntext2"/>
        <w:keepNext/>
        <w:spacing w:after="120"/>
        <w:ind w:firstLine="360"/>
        <w:jc w:val="both"/>
        <w:rPr>
          <w:rFonts w:ascii="Arial" w:hAnsi="Arial" w:cs="Arial"/>
          <w:i/>
          <w:szCs w:val="24"/>
        </w:rPr>
      </w:pPr>
      <w:r w:rsidRPr="00B36690">
        <w:rPr>
          <w:rFonts w:ascii="Arial" w:hAnsi="Arial" w:cs="Arial"/>
          <w:i/>
          <w:szCs w:val="24"/>
        </w:rPr>
        <w:t xml:space="preserve">a) </w:t>
      </w:r>
      <w:r w:rsidR="00900034" w:rsidRPr="00B36690">
        <w:rPr>
          <w:rFonts w:ascii="Arial" w:hAnsi="Arial" w:cs="Arial"/>
          <w:i/>
          <w:szCs w:val="24"/>
        </w:rPr>
        <w:t>Identi</w:t>
      </w:r>
      <w:r w:rsidRPr="00B36690">
        <w:rPr>
          <w:rFonts w:ascii="Arial" w:hAnsi="Arial" w:cs="Arial"/>
          <w:i/>
          <w:szCs w:val="24"/>
        </w:rPr>
        <w:t>fikační údaje, členění na podprogramy, termín vyhlášení a doba trvání:</w:t>
      </w:r>
    </w:p>
    <w:p w:rsidR="00900034" w:rsidRPr="00B36690" w:rsidRDefault="00557921" w:rsidP="00B6214A">
      <w:pPr>
        <w:pStyle w:val="Zkladntext2"/>
        <w:numPr>
          <w:ilvl w:val="0"/>
          <w:numId w:val="8"/>
        </w:numPr>
        <w:spacing w:after="120"/>
        <w:jc w:val="both"/>
        <w:rPr>
          <w:rFonts w:ascii="Arial" w:hAnsi="Arial" w:cs="Arial"/>
          <w:szCs w:val="24"/>
        </w:rPr>
      </w:pPr>
      <w:r w:rsidRPr="00B36690">
        <w:rPr>
          <w:rFonts w:ascii="Arial" w:hAnsi="Arial" w:cs="Arial"/>
          <w:szCs w:val="24"/>
        </w:rPr>
        <w:t>Název programu</w:t>
      </w:r>
      <w:r w:rsidR="003A365E" w:rsidRPr="00B36690">
        <w:rPr>
          <w:rFonts w:ascii="Arial" w:hAnsi="Arial" w:cs="Arial"/>
          <w:szCs w:val="24"/>
        </w:rPr>
        <w:t>:</w:t>
      </w:r>
      <w:r w:rsidRPr="00B36690">
        <w:rPr>
          <w:rFonts w:ascii="Arial" w:hAnsi="Arial" w:cs="Arial"/>
          <w:szCs w:val="24"/>
        </w:rPr>
        <w:t xml:space="preserve"> </w:t>
      </w:r>
      <w:r w:rsidR="00B36690" w:rsidRPr="00B36690">
        <w:rPr>
          <w:rFonts w:ascii="Arial" w:hAnsi="Arial" w:cs="Arial"/>
          <w:szCs w:val="24"/>
        </w:rPr>
        <w:t>Program na podporu aplikovaného výzkumu a inovací v oblasti dopravy – DOPRAVA 2030</w:t>
      </w:r>
      <w:r w:rsidR="003A365E" w:rsidRPr="00B36690">
        <w:rPr>
          <w:rFonts w:ascii="Arial" w:hAnsi="Arial" w:cs="Arial"/>
          <w:szCs w:val="24"/>
        </w:rPr>
        <w:t>;</w:t>
      </w:r>
    </w:p>
    <w:p w:rsidR="00E81976" w:rsidRPr="00B36690" w:rsidRDefault="00900034" w:rsidP="00B6214A">
      <w:pPr>
        <w:pStyle w:val="Zkladntext2"/>
        <w:numPr>
          <w:ilvl w:val="0"/>
          <w:numId w:val="7"/>
        </w:numPr>
        <w:spacing w:after="120"/>
        <w:jc w:val="both"/>
        <w:rPr>
          <w:rFonts w:ascii="Arial" w:hAnsi="Arial" w:cs="Arial"/>
          <w:szCs w:val="24"/>
        </w:rPr>
      </w:pPr>
      <w:r w:rsidRPr="00B36690">
        <w:rPr>
          <w:rFonts w:ascii="Arial" w:hAnsi="Arial" w:cs="Arial"/>
          <w:szCs w:val="24"/>
        </w:rPr>
        <w:t xml:space="preserve">Rada přiděluje </w:t>
      </w:r>
      <w:r w:rsidR="008B1AF6">
        <w:rPr>
          <w:rFonts w:ascii="Arial" w:hAnsi="Arial" w:cs="Arial"/>
          <w:szCs w:val="24"/>
        </w:rPr>
        <w:t>P</w:t>
      </w:r>
      <w:r w:rsidRPr="00B36690">
        <w:rPr>
          <w:rFonts w:ascii="Arial" w:hAnsi="Arial" w:cs="Arial"/>
          <w:szCs w:val="24"/>
        </w:rPr>
        <w:t>rogramu pro účely evidence v informačním systému výzkumu, experimentálního vývoje a inovací identifikační kód</w:t>
      </w:r>
      <w:r w:rsidR="003A365E" w:rsidRPr="00B36690">
        <w:rPr>
          <w:rFonts w:ascii="Arial" w:hAnsi="Arial" w:cs="Arial"/>
          <w:szCs w:val="24"/>
        </w:rPr>
        <w:t xml:space="preserve">: </w:t>
      </w:r>
      <w:r w:rsidR="00C64FDB" w:rsidRPr="00B36690">
        <w:rPr>
          <w:rFonts w:ascii="Arial" w:hAnsi="Arial" w:cs="Arial"/>
          <w:i/>
          <w:szCs w:val="24"/>
        </w:rPr>
        <w:t>(kód bude přidělen po projednání programu Radou)</w:t>
      </w:r>
      <w:r w:rsidR="003A365E" w:rsidRPr="00B36690">
        <w:rPr>
          <w:rFonts w:ascii="Arial" w:hAnsi="Arial" w:cs="Arial"/>
          <w:i/>
          <w:szCs w:val="24"/>
        </w:rPr>
        <w:t>;</w:t>
      </w:r>
    </w:p>
    <w:p w:rsidR="00900034" w:rsidRPr="00B36690" w:rsidRDefault="00164745" w:rsidP="00B6214A">
      <w:pPr>
        <w:pStyle w:val="Zkladntext2"/>
        <w:numPr>
          <w:ilvl w:val="0"/>
          <w:numId w:val="7"/>
        </w:numPr>
        <w:spacing w:after="120"/>
        <w:jc w:val="both"/>
        <w:rPr>
          <w:rFonts w:ascii="Arial" w:hAnsi="Arial" w:cs="Arial"/>
          <w:szCs w:val="24"/>
        </w:rPr>
      </w:pPr>
      <w:r w:rsidRPr="00B36690">
        <w:rPr>
          <w:rFonts w:ascii="Arial" w:hAnsi="Arial" w:cs="Arial"/>
          <w:szCs w:val="24"/>
        </w:rPr>
        <w:t>P</w:t>
      </w:r>
      <w:r w:rsidR="00900034" w:rsidRPr="00B36690">
        <w:rPr>
          <w:rFonts w:ascii="Arial" w:hAnsi="Arial" w:cs="Arial"/>
          <w:szCs w:val="24"/>
        </w:rPr>
        <w:t>oskytovatelem</w:t>
      </w:r>
      <w:r w:rsidRPr="00B36690">
        <w:rPr>
          <w:rFonts w:ascii="Arial" w:hAnsi="Arial" w:cs="Arial"/>
          <w:szCs w:val="24"/>
        </w:rPr>
        <w:t xml:space="preserve"> podpory</w:t>
      </w:r>
      <w:r w:rsidR="00900034" w:rsidRPr="00B36690">
        <w:rPr>
          <w:rFonts w:ascii="Arial" w:hAnsi="Arial" w:cs="Arial"/>
          <w:szCs w:val="24"/>
        </w:rPr>
        <w:t xml:space="preserve"> je </w:t>
      </w:r>
      <w:r w:rsidRPr="00B36690">
        <w:rPr>
          <w:rFonts w:ascii="Arial" w:hAnsi="Arial" w:cs="Arial"/>
          <w:szCs w:val="24"/>
        </w:rPr>
        <w:t>Technologická agentura České republiky (dále jen „TA ČR“)</w:t>
      </w:r>
      <w:r w:rsidR="003A365E" w:rsidRPr="00B36690">
        <w:rPr>
          <w:rFonts w:ascii="Arial" w:hAnsi="Arial" w:cs="Arial"/>
          <w:szCs w:val="24"/>
        </w:rPr>
        <w:t>;</w:t>
      </w:r>
    </w:p>
    <w:p w:rsidR="00900034" w:rsidRPr="005A65BC" w:rsidRDefault="00FF62A3" w:rsidP="00B6214A">
      <w:pPr>
        <w:pStyle w:val="Zkladntext2"/>
        <w:numPr>
          <w:ilvl w:val="0"/>
          <w:numId w:val="8"/>
        </w:numPr>
        <w:tabs>
          <w:tab w:val="left" w:pos="2055"/>
          <w:tab w:val="left" w:pos="3898"/>
          <w:tab w:val="left" w:pos="5740"/>
          <w:tab w:val="left" w:pos="7583"/>
        </w:tabs>
        <w:spacing w:after="120"/>
        <w:jc w:val="both"/>
        <w:rPr>
          <w:rFonts w:ascii="Arial" w:hAnsi="Arial" w:cs="Arial"/>
          <w:szCs w:val="24"/>
        </w:rPr>
      </w:pPr>
      <w:r>
        <w:rPr>
          <w:rFonts w:ascii="Arial" w:hAnsi="Arial" w:cs="Arial"/>
          <w:szCs w:val="24"/>
        </w:rPr>
        <w:t>P</w:t>
      </w:r>
      <w:r w:rsidR="00900034" w:rsidRPr="005A65BC">
        <w:rPr>
          <w:rFonts w:ascii="Arial" w:hAnsi="Arial" w:cs="Arial"/>
          <w:szCs w:val="24"/>
        </w:rPr>
        <w:t xml:space="preserve">rogram </w:t>
      </w:r>
      <w:r w:rsidR="005A65BC" w:rsidRPr="005A65BC">
        <w:rPr>
          <w:rFonts w:ascii="Arial" w:hAnsi="Arial" w:cs="Arial"/>
          <w:szCs w:val="24"/>
        </w:rPr>
        <w:t xml:space="preserve">není </w:t>
      </w:r>
      <w:r w:rsidR="00E81976" w:rsidRPr="005A65BC">
        <w:rPr>
          <w:rFonts w:ascii="Arial" w:hAnsi="Arial" w:cs="Arial"/>
          <w:szCs w:val="24"/>
        </w:rPr>
        <w:t xml:space="preserve">členěn na </w:t>
      </w:r>
      <w:r w:rsidR="00FB6313" w:rsidRPr="005A65BC">
        <w:rPr>
          <w:rFonts w:ascii="Arial" w:hAnsi="Arial" w:cs="Arial"/>
          <w:szCs w:val="24"/>
        </w:rPr>
        <w:t>podprogramy</w:t>
      </w:r>
      <w:r w:rsidR="00164745" w:rsidRPr="005A65BC">
        <w:rPr>
          <w:rFonts w:ascii="Arial" w:hAnsi="Arial" w:cs="Arial"/>
          <w:szCs w:val="24"/>
        </w:rPr>
        <w:t>;</w:t>
      </w:r>
    </w:p>
    <w:p w:rsidR="00B36690" w:rsidRPr="005A65BC" w:rsidRDefault="00B36690" w:rsidP="005A65BC">
      <w:pPr>
        <w:pStyle w:val="Odstavecseseznamem"/>
        <w:numPr>
          <w:ilvl w:val="0"/>
          <w:numId w:val="8"/>
        </w:numPr>
        <w:spacing w:after="120"/>
        <w:ind w:left="714" w:hanging="357"/>
        <w:contextualSpacing w:val="0"/>
        <w:jc w:val="both"/>
        <w:rPr>
          <w:rFonts w:ascii="Arial" w:hAnsi="Arial" w:cs="Arial"/>
        </w:rPr>
      </w:pPr>
      <w:r w:rsidRPr="005A65BC">
        <w:rPr>
          <w:rFonts w:ascii="Arial" w:hAnsi="Arial" w:cs="Arial"/>
          <w:bCs/>
        </w:rPr>
        <w:t xml:space="preserve">Doba trvání Programu je stanovena na léta 2023 – 2030 (8 let). </w:t>
      </w:r>
      <w:r w:rsidR="008B1AF6">
        <w:rPr>
          <w:rFonts w:ascii="Arial" w:hAnsi="Arial" w:cs="Arial"/>
          <w:bCs/>
        </w:rPr>
        <w:t>Počítá se s </w:t>
      </w:r>
      <w:r w:rsidRPr="005A65BC">
        <w:rPr>
          <w:rFonts w:ascii="Arial" w:hAnsi="Arial" w:cs="Arial"/>
          <w:bCs/>
        </w:rPr>
        <w:t>vyhlášen</w:t>
      </w:r>
      <w:r w:rsidR="008B1AF6">
        <w:rPr>
          <w:rFonts w:ascii="Arial" w:hAnsi="Arial" w:cs="Arial"/>
          <w:bCs/>
        </w:rPr>
        <w:t>ím</w:t>
      </w:r>
      <w:r w:rsidR="005A65BC" w:rsidRPr="005A65BC">
        <w:rPr>
          <w:rFonts w:ascii="Arial" w:hAnsi="Arial" w:cs="Arial"/>
          <w:bCs/>
        </w:rPr>
        <w:t xml:space="preserve"> čtyř veřejn</w:t>
      </w:r>
      <w:r w:rsidR="008B1AF6">
        <w:rPr>
          <w:rFonts w:ascii="Arial" w:hAnsi="Arial" w:cs="Arial"/>
          <w:bCs/>
        </w:rPr>
        <w:t>ých</w:t>
      </w:r>
      <w:r w:rsidR="005A65BC" w:rsidRPr="005A65BC">
        <w:rPr>
          <w:rFonts w:ascii="Arial" w:hAnsi="Arial" w:cs="Arial"/>
          <w:bCs/>
        </w:rPr>
        <w:t xml:space="preserve"> soutěž</w:t>
      </w:r>
      <w:r w:rsidR="008B1AF6">
        <w:rPr>
          <w:rFonts w:ascii="Arial" w:hAnsi="Arial" w:cs="Arial"/>
          <w:bCs/>
        </w:rPr>
        <w:t>í ve výzkumu, vývoji a inovacích</w:t>
      </w:r>
      <w:r w:rsidR="005A65BC" w:rsidRPr="005A65BC">
        <w:rPr>
          <w:rFonts w:ascii="Arial" w:hAnsi="Arial" w:cs="Arial"/>
          <w:bCs/>
        </w:rPr>
        <w:t xml:space="preserve">, a to v letech 2023, 2024, 2025 a 2026 se </w:t>
      </w:r>
      <w:r w:rsidRPr="005A65BC">
        <w:rPr>
          <w:rFonts w:ascii="Arial" w:hAnsi="Arial" w:cs="Arial"/>
        </w:rPr>
        <w:t xml:space="preserve">zahajováním poskytované podpory v letech 2024, 2025, 2026, a 2027. </w:t>
      </w:r>
      <w:r w:rsidRPr="005A65BC">
        <w:rPr>
          <w:rFonts w:ascii="Arial" w:hAnsi="Arial" w:cs="Arial"/>
          <w:bCs/>
        </w:rPr>
        <w:t>Předpokládaná délka řešení projektů v</w:t>
      </w:r>
      <w:r w:rsidR="008B1AF6">
        <w:rPr>
          <w:rFonts w:ascii="Arial" w:hAnsi="Arial" w:cs="Arial"/>
          <w:bCs/>
        </w:rPr>
        <w:t> </w:t>
      </w:r>
      <w:r w:rsidRPr="005A65BC">
        <w:rPr>
          <w:rFonts w:ascii="Arial" w:hAnsi="Arial" w:cs="Arial"/>
          <w:bCs/>
        </w:rPr>
        <w:t xml:space="preserve">Programu je 36 </w:t>
      </w:r>
      <w:r w:rsidRPr="005A65BC">
        <w:rPr>
          <w:rFonts w:ascii="Arial" w:hAnsi="Arial" w:cs="Arial"/>
        </w:rPr>
        <w:t>měsíců, maximální délka řešení projektů je 48 měsíců. Doba trvání projektů nesmí přesáhnout dobu trvání Programu</w:t>
      </w:r>
      <w:r w:rsidR="005A65BC" w:rsidRPr="00B36690">
        <w:rPr>
          <w:rFonts w:ascii="Arial" w:hAnsi="Arial" w:cs="Arial"/>
        </w:rPr>
        <w:t>;</w:t>
      </w:r>
    </w:p>
    <w:p w:rsidR="001E7504" w:rsidRPr="00B06D4F" w:rsidRDefault="001E7504" w:rsidP="002D5080">
      <w:pPr>
        <w:pStyle w:val="Zkladntext2"/>
        <w:spacing w:after="120"/>
        <w:ind w:left="360"/>
        <w:jc w:val="both"/>
        <w:rPr>
          <w:rFonts w:ascii="Arial" w:hAnsi="Arial" w:cs="Arial"/>
          <w:i/>
          <w:szCs w:val="24"/>
        </w:rPr>
      </w:pPr>
      <w:r w:rsidRPr="00B06D4F">
        <w:rPr>
          <w:rFonts w:ascii="Arial" w:hAnsi="Arial" w:cs="Arial"/>
          <w:i/>
          <w:szCs w:val="24"/>
        </w:rPr>
        <w:t xml:space="preserve">b) </w:t>
      </w:r>
      <w:r w:rsidR="00F63C85" w:rsidRPr="00B06D4F">
        <w:rPr>
          <w:rFonts w:ascii="Arial" w:hAnsi="Arial" w:cs="Arial"/>
          <w:i/>
          <w:szCs w:val="24"/>
        </w:rPr>
        <w:t>C</w:t>
      </w:r>
      <w:r w:rsidRPr="00B06D4F">
        <w:rPr>
          <w:rFonts w:ascii="Arial" w:hAnsi="Arial" w:cs="Arial"/>
          <w:i/>
          <w:szCs w:val="24"/>
        </w:rPr>
        <w:t xml:space="preserve">elkové výdaje na uskutečnění </w:t>
      </w:r>
      <w:r w:rsidR="008B1AF6" w:rsidRPr="00B06D4F">
        <w:rPr>
          <w:rFonts w:ascii="Arial" w:hAnsi="Arial" w:cs="Arial"/>
          <w:i/>
          <w:szCs w:val="24"/>
        </w:rPr>
        <w:t>P</w:t>
      </w:r>
      <w:r w:rsidRPr="00B06D4F">
        <w:rPr>
          <w:rFonts w:ascii="Arial" w:hAnsi="Arial" w:cs="Arial"/>
          <w:i/>
          <w:szCs w:val="24"/>
        </w:rPr>
        <w:t>rogramu</w:t>
      </w:r>
      <w:r w:rsidR="008B1AF6" w:rsidRPr="00B06D4F">
        <w:rPr>
          <w:rFonts w:ascii="Arial" w:hAnsi="Arial" w:cs="Arial"/>
          <w:i/>
          <w:szCs w:val="24"/>
        </w:rPr>
        <w:t xml:space="preserve"> a</w:t>
      </w:r>
      <w:r w:rsidRPr="00B06D4F">
        <w:rPr>
          <w:rFonts w:ascii="Arial" w:hAnsi="Arial" w:cs="Arial"/>
          <w:i/>
          <w:szCs w:val="24"/>
        </w:rPr>
        <w:t xml:space="preserve"> jejich členění v jednotlivých letech:</w:t>
      </w:r>
    </w:p>
    <w:p w:rsidR="000443A6" w:rsidRPr="00B06D4F" w:rsidRDefault="000443A6" w:rsidP="008B1AF6">
      <w:pPr>
        <w:spacing w:after="120"/>
        <w:jc w:val="both"/>
        <w:rPr>
          <w:rFonts w:ascii="Arial" w:hAnsi="Arial" w:cs="Arial"/>
        </w:rPr>
      </w:pPr>
      <w:r w:rsidRPr="00B06D4F">
        <w:rPr>
          <w:rFonts w:ascii="Arial" w:hAnsi="Arial" w:cs="Arial"/>
        </w:rPr>
        <w:t>Celkové výdaje na Program jsou rozvrženy v souladu s předpokládaným postupným vyhlašováním jednotlivých veřejných soutěží a očekávanou průměrnou intenzitou podpory</w:t>
      </w:r>
      <w:r w:rsidR="003C3CE6" w:rsidRPr="00B06D4F">
        <w:rPr>
          <w:rFonts w:ascii="Arial" w:hAnsi="Arial" w:cs="Arial"/>
        </w:rPr>
        <w:t>.</w:t>
      </w:r>
    </w:p>
    <w:p w:rsidR="000443A6" w:rsidRPr="00B06D4F" w:rsidRDefault="000443A6" w:rsidP="00B02771">
      <w:pPr>
        <w:keepNext/>
        <w:spacing w:after="120"/>
        <w:jc w:val="both"/>
        <w:rPr>
          <w:rFonts w:ascii="Arial" w:hAnsi="Arial" w:cs="Arial"/>
          <w:i/>
        </w:rPr>
      </w:pPr>
      <w:r w:rsidRPr="00B06D4F">
        <w:rPr>
          <w:rFonts w:ascii="Arial" w:hAnsi="Arial" w:cs="Arial"/>
          <w:i/>
        </w:rPr>
        <w:t>Výdaje na Program (v mil. Kč):</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907"/>
        <w:gridCol w:w="907"/>
        <w:gridCol w:w="907"/>
        <w:gridCol w:w="907"/>
        <w:gridCol w:w="907"/>
        <w:gridCol w:w="907"/>
        <w:gridCol w:w="795"/>
        <w:gridCol w:w="1105"/>
      </w:tblGrid>
      <w:tr w:rsidR="000443A6" w:rsidRPr="000443A6" w:rsidTr="000443A6">
        <w:trPr>
          <w:trHeight w:val="454"/>
        </w:trPr>
        <w:tc>
          <w:tcPr>
            <w:tcW w:w="1730"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spacing w:before="60"/>
              <w:jc w:val="both"/>
              <w:rPr>
                <w:rFonts w:ascii="Arial" w:hAnsi="Arial" w:cs="Arial"/>
                <w:sz w:val="20"/>
                <w:szCs w:val="20"/>
              </w:rPr>
            </w:pPr>
            <w:r w:rsidRPr="00574FC7">
              <w:rPr>
                <w:rFonts w:ascii="Arial" w:hAnsi="Arial" w:cs="Arial"/>
                <w:color w:val="000000"/>
                <w:sz w:val="20"/>
                <w:szCs w:val="20"/>
              </w:rPr>
              <w:t>Rok</w:t>
            </w:r>
          </w:p>
        </w:tc>
        <w:tc>
          <w:tcPr>
            <w:tcW w:w="907"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keepNext/>
              <w:spacing w:before="60"/>
              <w:jc w:val="both"/>
              <w:rPr>
                <w:rFonts w:ascii="Arial" w:hAnsi="Arial" w:cs="Arial"/>
                <w:b/>
                <w:i/>
                <w:sz w:val="20"/>
                <w:szCs w:val="20"/>
              </w:rPr>
            </w:pPr>
            <w:r w:rsidRPr="00574FC7">
              <w:rPr>
                <w:rFonts w:ascii="Arial" w:hAnsi="Arial" w:cs="Arial"/>
                <w:color w:val="000000"/>
                <w:sz w:val="20"/>
                <w:szCs w:val="20"/>
              </w:rPr>
              <w:t>2024</w:t>
            </w:r>
          </w:p>
        </w:tc>
        <w:tc>
          <w:tcPr>
            <w:tcW w:w="907"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keepNext/>
              <w:spacing w:before="60"/>
              <w:jc w:val="both"/>
              <w:rPr>
                <w:rFonts w:ascii="Arial" w:hAnsi="Arial" w:cs="Arial"/>
                <w:b/>
                <w:i/>
                <w:sz w:val="20"/>
                <w:szCs w:val="20"/>
              </w:rPr>
            </w:pPr>
            <w:r w:rsidRPr="00574FC7">
              <w:rPr>
                <w:rFonts w:ascii="Arial" w:hAnsi="Arial" w:cs="Arial"/>
                <w:color w:val="000000"/>
                <w:sz w:val="20"/>
                <w:szCs w:val="20"/>
              </w:rPr>
              <w:t>2025</w:t>
            </w:r>
          </w:p>
        </w:tc>
        <w:tc>
          <w:tcPr>
            <w:tcW w:w="907"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keepNext/>
              <w:spacing w:before="60"/>
              <w:jc w:val="both"/>
              <w:rPr>
                <w:rFonts w:ascii="Arial" w:hAnsi="Arial" w:cs="Arial"/>
                <w:b/>
                <w:i/>
                <w:sz w:val="20"/>
                <w:szCs w:val="20"/>
              </w:rPr>
            </w:pPr>
            <w:r w:rsidRPr="00574FC7">
              <w:rPr>
                <w:rFonts w:ascii="Arial" w:hAnsi="Arial" w:cs="Arial"/>
                <w:color w:val="000000"/>
                <w:sz w:val="20"/>
                <w:szCs w:val="20"/>
              </w:rPr>
              <w:t>2026</w:t>
            </w:r>
          </w:p>
        </w:tc>
        <w:tc>
          <w:tcPr>
            <w:tcW w:w="907"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keepNext/>
              <w:spacing w:before="60"/>
              <w:jc w:val="both"/>
              <w:rPr>
                <w:rFonts w:ascii="Arial" w:hAnsi="Arial" w:cs="Arial"/>
                <w:b/>
                <w:i/>
                <w:sz w:val="20"/>
                <w:szCs w:val="20"/>
              </w:rPr>
            </w:pPr>
            <w:r w:rsidRPr="00574FC7">
              <w:rPr>
                <w:rFonts w:ascii="Arial" w:hAnsi="Arial" w:cs="Arial"/>
                <w:color w:val="000000"/>
                <w:sz w:val="20"/>
                <w:szCs w:val="20"/>
              </w:rPr>
              <w:t>2027</w:t>
            </w:r>
          </w:p>
        </w:tc>
        <w:tc>
          <w:tcPr>
            <w:tcW w:w="907"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keepNext/>
              <w:spacing w:before="60"/>
              <w:jc w:val="both"/>
              <w:rPr>
                <w:rFonts w:ascii="Arial" w:hAnsi="Arial" w:cs="Arial"/>
                <w:b/>
                <w:i/>
                <w:sz w:val="20"/>
                <w:szCs w:val="20"/>
              </w:rPr>
            </w:pPr>
            <w:r w:rsidRPr="00574FC7">
              <w:rPr>
                <w:rFonts w:ascii="Arial" w:hAnsi="Arial" w:cs="Arial"/>
                <w:color w:val="000000"/>
                <w:sz w:val="20"/>
                <w:szCs w:val="20"/>
              </w:rPr>
              <w:t>2028</w:t>
            </w:r>
          </w:p>
        </w:tc>
        <w:tc>
          <w:tcPr>
            <w:tcW w:w="907"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keepNext/>
              <w:spacing w:before="60"/>
              <w:jc w:val="both"/>
              <w:rPr>
                <w:rFonts w:ascii="Arial" w:hAnsi="Arial" w:cs="Arial"/>
                <w:b/>
                <w:i/>
                <w:sz w:val="20"/>
                <w:szCs w:val="20"/>
              </w:rPr>
            </w:pPr>
            <w:r w:rsidRPr="00574FC7">
              <w:rPr>
                <w:rFonts w:ascii="Arial" w:hAnsi="Arial" w:cs="Arial"/>
                <w:color w:val="000000"/>
                <w:sz w:val="20"/>
                <w:szCs w:val="20"/>
              </w:rPr>
              <w:t>2029</w:t>
            </w:r>
          </w:p>
        </w:tc>
        <w:tc>
          <w:tcPr>
            <w:tcW w:w="795" w:type="dxa"/>
            <w:tcBorders>
              <w:top w:val="single" w:sz="4" w:space="0" w:color="auto"/>
              <w:left w:val="single" w:sz="4" w:space="0" w:color="auto"/>
              <w:bottom w:val="single" w:sz="4" w:space="0" w:color="auto"/>
              <w:right w:val="single" w:sz="4" w:space="0" w:color="auto"/>
            </w:tcBorders>
            <w:shd w:val="clear" w:color="auto" w:fill="F2F2F2"/>
            <w:vAlign w:val="bottom"/>
          </w:tcPr>
          <w:p w:rsidR="000443A6" w:rsidRPr="00574FC7" w:rsidRDefault="000443A6" w:rsidP="00423390">
            <w:pPr>
              <w:keepNext/>
              <w:spacing w:before="60"/>
              <w:jc w:val="both"/>
              <w:rPr>
                <w:rFonts w:ascii="Arial" w:hAnsi="Arial" w:cs="Arial"/>
                <w:b/>
                <w:sz w:val="20"/>
                <w:szCs w:val="20"/>
              </w:rPr>
            </w:pPr>
            <w:r w:rsidRPr="00574FC7">
              <w:rPr>
                <w:rFonts w:ascii="Arial" w:hAnsi="Arial" w:cs="Arial"/>
                <w:color w:val="000000"/>
                <w:sz w:val="20"/>
                <w:szCs w:val="20"/>
              </w:rPr>
              <w:t>2030</w:t>
            </w:r>
          </w:p>
        </w:tc>
        <w:tc>
          <w:tcPr>
            <w:tcW w:w="1105" w:type="dxa"/>
            <w:tcBorders>
              <w:top w:val="single" w:sz="4" w:space="0" w:color="auto"/>
              <w:left w:val="single" w:sz="4" w:space="0" w:color="auto"/>
              <w:bottom w:val="single" w:sz="4" w:space="0" w:color="auto"/>
              <w:right w:val="single" w:sz="4" w:space="0" w:color="auto"/>
            </w:tcBorders>
            <w:shd w:val="clear" w:color="auto" w:fill="F2F2F2"/>
            <w:vAlign w:val="bottom"/>
          </w:tcPr>
          <w:p w:rsidR="000443A6" w:rsidRPr="00574FC7" w:rsidRDefault="000443A6" w:rsidP="00423390">
            <w:pPr>
              <w:keepNext/>
              <w:spacing w:before="60"/>
              <w:jc w:val="both"/>
              <w:rPr>
                <w:rFonts w:ascii="Arial" w:hAnsi="Arial" w:cs="Arial"/>
                <w:b/>
                <w:i/>
                <w:sz w:val="20"/>
                <w:szCs w:val="20"/>
              </w:rPr>
            </w:pPr>
            <w:r w:rsidRPr="00574FC7">
              <w:rPr>
                <w:rFonts w:ascii="Arial" w:hAnsi="Arial" w:cs="Arial"/>
                <w:color w:val="000000"/>
                <w:sz w:val="20"/>
                <w:szCs w:val="20"/>
              </w:rPr>
              <w:t>CELKEM</w:t>
            </w:r>
          </w:p>
        </w:tc>
      </w:tr>
      <w:tr w:rsidR="000443A6" w:rsidRPr="000443A6" w:rsidTr="000443A6">
        <w:trPr>
          <w:trHeight w:val="454"/>
        </w:trPr>
        <w:tc>
          <w:tcPr>
            <w:tcW w:w="1730"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spacing w:before="60"/>
              <w:jc w:val="both"/>
              <w:rPr>
                <w:rFonts w:ascii="Arial" w:hAnsi="Arial" w:cs="Arial"/>
                <w:sz w:val="20"/>
                <w:szCs w:val="20"/>
              </w:rPr>
            </w:pPr>
            <w:r w:rsidRPr="00574FC7">
              <w:rPr>
                <w:rFonts w:ascii="Arial" w:hAnsi="Arial" w:cs="Arial"/>
                <w:color w:val="000000"/>
                <w:sz w:val="20"/>
                <w:szCs w:val="20"/>
              </w:rPr>
              <w:t>Výdaje státního rozpočtu</w:t>
            </w:r>
          </w:p>
        </w:tc>
        <w:tc>
          <w:tcPr>
            <w:tcW w:w="907" w:type="dxa"/>
            <w:tcBorders>
              <w:top w:val="single" w:sz="8" w:space="0" w:color="auto"/>
              <w:left w:val="single" w:sz="8" w:space="0" w:color="auto"/>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i/>
                <w:sz w:val="20"/>
                <w:szCs w:val="20"/>
              </w:rPr>
            </w:pPr>
            <w:r w:rsidRPr="00574FC7">
              <w:rPr>
                <w:rFonts w:ascii="Arial" w:hAnsi="Arial" w:cs="Arial"/>
                <w:color w:val="000000"/>
                <w:sz w:val="20"/>
                <w:szCs w:val="20"/>
              </w:rPr>
              <w:t>150</w:t>
            </w:r>
          </w:p>
        </w:tc>
        <w:tc>
          <w:tcPr>
            <w:tcW w:w="907" w:type="dxa"/>
            <w:tcBorders>
              <w:top w:val="single" w:sz="8" w:space="0" w:color="auto"/>
              <w:left w:val="nil"/>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i/>
                <w:sz w:val="20"/>
                <w:szCs w:val="20"/>
              </w:rPr>
            </w:pPr>
            <w:r w:rsidRPr="00574FC7">
              <w:rPr>
                <w:rFonts w:ascii="Arial" w:hAnsi="Arial" w:cs="Arial"/>
                <w:color w:val="000000"/>
                <w:sz w:val="20"/>
                <w:szCs w:val="20"/>
              </w:rPr>
              <w:t>250</w:t>
            </w:r>
          </w:p>
        </w:tc>
        <w:tc>
          <w:tcPr>
            <w:tcW w:w="907" w:type="dxa"/>
            <w:tcBorders>
              <w:top w:val="single" w:sz="8" w:space="0" w:color="auto"/>
              <w:left w:val="nil"/>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i/>
                <w:sz w:val="20"/>
                <w:szCs w:val="20"/>
              </w:rPr>
            </w:pPr>
            <w:r w:rsidRPr="00574FC7">
              <w:rPr>
                <w:rFonts w:ascii="Arial" w:hAnsi="Arial" w:cs="Arial"/>
                <w:color w:val="000000"/>
                <w:sz w:val="20"/>
                <w:szCs w:val="20"/>
              </w:rPr>
              <w:t>350</w:t>
            </w:r>
          </w:p>
        </w:tc>
        <w:tc>
          <w:tcPr>
            <w:tcW w:w="907" w:type="dxa"/>
            <w:tcBorders>
              <w:top w:val="single" w:sz="8" w:space="0" w:color="auto"/>
              <w:left w:val="nil"/>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i/>
                <w:sz w:val="20"/>
                <w:szCs w:val="20"/>
              </w:rPr>
            </w:pPr>
            <w:r w:rsidRPr="00574FC7">
              <w:rPr>
                <w:rFonts w:ascii="Arial" w:hAnsi="Arial" w:cs="Arial"/>
                <w:color w:val="000000"/>
                <w:sz w:val="20"/>
                <w:szCs w:val="20"/>
              </w:rPr>
              <w:t>450</w:t>
            </w:r>
          </w:p>
        </w:tc>
        <w:tc>
          <w:tcPr>
            <w:tcW w:w="907" w:type="dxa"/>
            <w:tcBorders>
              <w:top w:val="single" w:sz="8" w:space="0" w:color="auto"/>
              <w:left w:val="nil"/>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i/>
                <w:sz w:val="20"/>
                <w:szCs w:val="20"/>
              </w:rPr>
            </w:pPr>
            <w:r w:rsidRPr="00574FC7">
              <w:rPr>
                <w:rFonts w:ascii="Arial" w:hAnsi="Arial" w:cs="Arial"/>
                <w:color w:val="000000"/>
                <w:sz w:val="20"/>
                <w:szCs w:val="20"/>
              </w:rPr>
              <w:t>350</w:t>
            </w:r>
          </w:p>
        </w:tc>
        <w:tc>
          <w:tcPr>
            <w:tcW w:w="907" w:type="dxa"/>
            <w:tcBorders>
              <w:top w:val="single" w:sz="8" w:space="0" w:color="auto"/>
              <w:left w:val="nil"/>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i/>
                <w:sz w:val="20"/>
                <w:szCs w:val="20"/>
              </w:rPr>
            </w:pPr>
            <w:r w:rsidRPr="00574FC7">
              <w:rPr>
                <w:rFonts w:ascii="Arial" w:hAnsi="Arial" w:cs="Arial"/>
                <w:color w:val="000000"/>
                <w:sz w:val="20"/>
                <w:szCs w:val="20"/>
              </w:rPr>
              <w:t>250</w:t>
            </w:r>
          </w:p>
        </w:tc>
        <w:tc>
          <w:tcPr>
            <w:tcW w:w="795" w:type="dxa"/>
            <w:tcBorders>
              <w:top w:val="single" w:sz="8" w:space="0" w:color="auto"/>
              <w:left w:val="nil"/>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color w:val="000000"/>
                <w:sz w:val="20"/>
                <w:szCs w:val="20"/>
              </w:rPr>
            </w:pPr>
            <w:r w:rsidRPr="00574FC7">
              <w:rPr>
                <w:rFonts w:ascii="Arial" w:hAnsi="Arial" w:cs="Arial"/>
                <w:color w:val="000000"/>
                <w:sz w:val="20"/>
                <w:szCs w:val="20"/>
              </w:rPr>
              <w:t>150</w:t>
            </w:r>
          </w:p>
        </w:tc>
        <w:tc>
          <w:tcPr>
            <w:tcW w:w="1105" w:type="dxa"/>
            <w:tcBorders>
              <w:top w:val="single" w:sz="8" w:space="0" w:color="auto"/>
              <w:left w:val="nil"/>
              <w:bottom w:val="single" w:sz="8" w:space="0" w:color="auto"/>
              <w:right w:val="single" w:sz="8" w:space="0" w:color="auto"/>
            </w:tcBorders>
            <w:shd w:val="clear" w:color="auto" w:fill="auto"/>
            <w:vAlign w:val="bottom"/>
          </w:tcPr>
          <w:p w:rsidR="000443A6" w:rsidRPr="00574FC7" w:rsidRDefault="000443A6" w:rsidP="00423390">
            <w:pPr>
              <w:keepNext/>
              <w:spacing w:before="60"/>
              <w:jc w:val="right"/>
              <w:rPr>
                <w:rFonts w:ascii="Arial" w:hAnsi="Arial" w:cs="Arial"/>
                <w:b/>
                <w:i/>
                <w:sz w:val="20"/>
                <w:szCs w:val="20"/>
              </w:rPr>
            </w:pPr>
            <w:r w:rsidRPr="00574FC7">
              <w:rPr>
                <w:rFonts w:ascii="Arial" w:hAnsi="Arial" w:cs="Arial"/>
                <w:color w:val="000000"/>
                <w:sz w:val="20"/>
                <w:szCs w:val="20"/>
              </w:rPr>
              <w:t>1950</w:t>
            </w:r>
          </w:p>
        </w:tc>
      </w:tr>
      <w:tr w:rsidR="000443A6" w:rsidRPr="000443A6" w:rsidTr="000443A6">
        <w:trPr>
          <w:trHeight w:val="454"/>
        </w:trPr>
        <w:tc>
          <w:tcPr>
            <w:tcW w:w="1730"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0443A6" w:rsidRPr="00574FC7" w:rsidRDefault="000443A6" w:rsidP="00423390">
            <w:pPr>
              <w:spacing w:before="60"/>
              <w:jc w:val="both"/>
              <w:rPr>
                <w:rFonts w:ascii="Arial" w:hAnsi="Arial" w:cs="Arial"/>
                <w:i/>
                <w:sz w:val="20"/>
                <w:szCs w:val="20"/>
              </w:rPr>
            </w:pPr>
            <w:r w:rsidRPr="00574FC7">
              <w:rPr>
                <w:rFonts w:ascii="Arial" w:hAnsi="Arial" w:cs="Arial"/>
                <w:color w:val="000000"/>
                <w:sz w:val="20"/>
                <w:szCs w:val="20"/>
              </w:rPr>
              <w:t>Ostatní zdroje</w:t>
            </w:r>
          </w:p>
        </w:tc>
        <w:tc>
          <w:tcPr>
            <w:tcW w:w="907" w:type="dxa"/>
            <w:tcBorders>
              <w:top w:val="nil"/>
              <w:left w:val="single" w:sz="8" w:space="0" w:color="auto"/>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50</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83</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117</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150</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117</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83</w:t>
            </w:r>
          </w:p>
        </w:tc>
        <w:tc>
          <w:tcPr>
            <w:tcW w:w="795"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50</w:t>
            </w:r>
          </w:p>
        </w:tc>
        <w:tc>
          <w:tcPr>
            <w:tcW w:w="1105"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650</w:t>
            </w:r>
          </w:p>
        </w:tc>
      </w:tr>
      <w:tr w:rsidR="000443A6" w:rsidRPr="000443A6" w:rsidTr="000443A6">
        <w:trPr>
          <w:trHeight w:val="454"/>
        </w:trPr>
        <w:tc>
          <w:tcPr>
            <w:tcW w:w="1730" w:type="dxa"/>
            <w:tcBorders>
              <w:top w:val="single" w:sz="4" w:space="0" w:color="auto"/>
              <w:left w:val="single" w:sz="4" w:space="0" w:color="auto"/>
              <w:bottom w:val="single" w:sz="4" w:space="0" w:color="auto"/>
              <w:right w:val="single" w:sz="4" w:space="0" w:color="auto"/>
            </w:tcBorders>
            <w:shd w:val="clear" w:color="auto" w:fill="F2F2F2"/>
            <w:vAlign w:val="bottom"/>
          </w:tcPr>
          <w:p w:rsidR="000443A6" w:rsidRPr="00574FC7" w:rsidRDefault="000443A6" w:rsidP="00423390">
            <w:pPr>
              <w:spacing w:before="60"/>
              <w:jc w:val="both"/>
              <w:rPr>
                <w:rFonts w:ascii="Arial" w:hAnsi="Arial" w:cs="Arial"/>
                <w:sz w:val="20"/>
                <w:szCs w:val="20"/>
              </w:rPr>
            </w:pPr>
            <w:r w:rsidRPr="00574FC7">
              <w:rPr>
                <w:rFonts w:ascii="Arial" w:hAnsi="Arial" w:cs="Arial"/>
                <w:color w:val="000000"/>
                <w:sz w:val="20"/>
                <w:szCs w:val="20"/>
              </w:rPr>
              <w:t>Celkové výdaje</w:t>
            </w:r>
          </w:p>
        </w:tc>
        <w:tc>
          <w:tcPr>
            <w:tcW w:w="907" w:type="dxa"/>
            <w:tcBorders>
              <w:top w:val="nil"/>
              <w:left w:val="single" w:sz="8" w:space="0" w:color="auto"/>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200</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333</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467</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600</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467</w:t>
            </w:r>
          </w:p>
        </w:tc>
        <w:tc>
          <w:tcPr>
            <w:tcW w:w="907"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333</w:t>
            </w:r>
          </w:p>
        </w:tc>
        <w:tc>
          <w:tcPr>
            <w:tcW w:w="795"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200</w:t>
            </w:r>
          </w:p>
        </w:tc>
        <w:tc>
          <w:tcPr>
            <w:tcW w:w="1105" w:type="dxa"/>
            <w:tcBorders>
              <w:top w:val="nil"/>
              <w:left w:val="nil"/>
              <w:bottom w:val="single" w:sz="8" w:space="0" w:color="auto"/>
              <w:right w:val="single" w:sz="8" w:space="0" w:color="auto"/>
            </w:tcBorders>
            <w:shd w:val="clear" w:color="auto" w:fill="auto"/>
            <w:vAlign w:val="bottom"/>
          </w:tcPr>
          <w:p w:rsidR="000443A6" w:rsidRPr="00574FC7" w:rsidRDefault="000443A6" w:rsidP="00423390">
            <w:pPr>
              <w:jc w:val="right"/>
              <w:rPr>
                <w:rFonts w:ascii="Arial" w:hAnsi="Arial" w:cs="Arial"/>
                <w:color w:val="000000"/>
                <w:sz w:val="20"/>
                <w:szCs w:val="20"/>
              </w:rPr>
            </w:pPr>
            <w:r w:rsidRPr="00574FC7">
              <w:rPr>
                <w:rFonts w:ascii="Arial" w:hAnsi="Arial" w:cs="Arial"/>
                <w:color w:val="000000"/>
                <w:sz w:val="20"/>
                <w:szCs w:val="20"/>
              </w:rPr>
              <w:t>2600</w:t>
            </w:r>
          </w:p>
        </w:tc>
      </w:tr>
    </w:tbl>
    <w:p w:rsidR="000443A6" w:rsidRPr="00B06D4F" w:rsidRDefault="000443A6" w:rsidP="008B1AF6">
      <w:pPr>
        <w:spacing w:before="120" w:after="120"/>
        <w:jc w:val="both"/>
        <w:rPr>
          <w:rFonts w:ascii="Arial" w:hAnsi="Arial" w:cs="Arial"/>
        </w:rPr>
      </w:pPr>
      <w:r w:rsidRPr="00B06D4F">
        <w:rPr>
          <w:rFonts w:ascii="Arial" w:hAnsi="Arial" w:cs="Arial"/>
        </w:rPr>
        <w:t>Podpora bude poskytována formou dotace právnickým nebo fyzickým osobám nebo zvýšením výdajů organizačních složek státu, organizačních složek územních samosprávných celků nebo organizačních jednotek ministerstev.</w:t>
      </w:r>
    </w:p>
    <w:p w:rsidR="00F63C85" w:rsidRPr="00F63C85" w:rsidRDefault="00F63C85" w:rsidP="00F63C85">
      <w:pPr>
        <w:pStyle w:val="Textkomente"/>
        <w:spacing w:after="120"/>
        <w:jc w:val="both"/>
        <w:rPr>
          <w:rFonts w:ascii="Arial" w:hAnsi="Arial" w:cs="Arial"/>
          <w:sz w:val="24"/>
          <w:szCs w:val="24"/>
          <w:u w:val="single"/>
        </w:rPr>
      </w:pPr>
      <w:r w:rsidRPr="00F63C85">
        <w:rPr>
          <w:rFonts w:ascii="Arial" w:hAnsi="Arial" w:cs="Arial"/>
          <w:sz w:val="24"/>
          <w:szCs w:val="24"/>
          <w:u w:val="single"/>
        </w:rPr>
        <w:t>Poznámka k celkovým výdajům na Program:</w:t>
      </w:r>
    </w:p>
    <w:p w:rsidR="00F63C85" w:rsidRPr="00F63C85" w:rsidRDefault="00F63C85" w:rsidP="00F63C85">
      <w:pPr>
        <w:pStyle w:val="Textkomente"/>
        <w:spacing w:after="120"/>
        <w:jc w:val="both"/>
        <w:rPr>
          <w:rFonts w:ascii="Arial" w:hAnsi="Arial" w:cs="Arial"/>
          <w:sz w:val="24"/>
          <w:szCs w:val="24"/>
          <w:u w:val="single"/>
        </w:rPr>
      </w:pPr>
      <w:r w:rsidRPr="00F63C85">
        <w:rPr>
          <w:rStyle w:val="Siln"/>
          <w:rFonts w:ascii="Arial" w:hAnsi="Arial" w:cs="Arial"/>
          <w:b w:val="0"/>
          <w:sz w:val="24"/>
          <w:szCs w:val="24"/>
        </w:rPr>
        <w:t>Rada upozorňuje, že výdaje na Program musí být v souladu s návrhem výdajů státního rozpočtu na výzkum, experimentální vývoj a inovace na rok 20</w:t>
      </w:r>
      <w:r w:rsidR="00930FC9">
        <w:rPr>
          <w:rStyle w:val="Siln"/>
          <w:rFonts w:ascii="Arial" w:hAnsi="Arial" w:cs="Arial"/>
          <w:b w:val="0"/>
          <w:sz w:val="24"/>
          <w:szCs w:val="24"/>
        </w:rPr>
        <w:t>24</w:t>
      </w:r>
      <w:r w:rsidRPr="00F63C85">
        <w:rPr>
          <w:rStyle w:val="Siln"/>
          <w:rFonts w:ascii="Arial" w:hAnsi="Arial" w:cs="Arial"/>
          <w:b w:val="0"/>
          <w:sz w:val="24"/>
          <w:szCs w:val="24"/>
        </w:rPr>
        <w:t xml:space="preserve"> s výhledem na léta 20</w:t>
      </w:r>
      <w:r w:rsidR="00930FC9">
        <w:rPr>
          <w:rStyle w:val="Siln"/>
          <w:rFonts w:ascii="Arial" w:hAnsi="Arial" w:cs="Arial"/>
          <w:b w:val="0"/>
          <w:sz w:val="24"/>
          <w:szCs w:val="24"/>
        </w:rPr>
        <w:t>25 a 2026</w:t>
      </w:r>
      <w:r w:rsidRPr="00F63C85">
        <w:rPr>
          <w:rStyle w:val="Siln"/>
          <w:rFonts w:ascii="Arial" w:hAnsi="Arial" w:cs="Arial"/>
          <w:b w:val="0"/>
          <w:sz w:val="24"/>
          <w:szCs w:val="24"/>
        </w:rPr>
        <w:t>.</w:t>
      </w:r>
    </w:p>
    <w:p w:rsidR="001E7504" w:rsidRPr="005A65BC" w:rsidRDefault="00F63C85" w:rsidP="00F63C85">
      <w:pPr>
        <w:pStyle w:val="Zkladntext2"/>
        <w:spacing w:after="120"/>
        <w:ind w:left="708"/>
        <w:jc w:val="both"/>
        <w:rPr>
          <w:rFonts w:ascii="Arial" w:hAnsi="Arial" w:cs="Arial"/>
          <w:szCs w:val="24"/>
        </w:rPr>
      </w:pPr>
      <w:r>
        <w:rPr>
          <w:rFonts w:ascii="Arial" w:hAnsi="Arial" w:cs="Arial"/>
          <w:i/>
          <w:szCs w:val="24"/>
        </w:rPr>
        <w:t>c) V</w:t>
      </w:r>
      <w:r w:rsidR="001E7504" w:rsidRPr="005A65BC">
        <w:rPr>
          <w:rFonts w:ascii="Arial" w:hAnsi="Arial" w:cs="Arial"/>
          <w:i/>
          <w:szCs w:val="24"/>
        </w:rPr>
        <w:t>ymezení způsobilých nákladů, nejvyšší povolen</w:t>
      </w:r>
      <w:r w:rsidR="00D76653" w:rsidRPr="005A65BC">
        <w:rPr>
          <w:rFonts w:ascii="Arial" w:hAnsi="Arial" w:cs="Arial"/>
          <w:i/>
          <w:szCs w:val="24"/>
        </w:rPr>
        <w:t>á</w:t>
      </w:r>
      <w:r w:rsidR="001E7504" w:rsidRPr="005A65BC">
        <w:rPr>
          <w:rFonts w:ascii="Arial" w:hAnsi="Arial" w:cs="Arial"/>
          <w:i/>
          <w:szCs w:val="24"/>
        </w:rPr>
        <w:t xml:space="preserve"> intenzit</w:t>
      </w:r>
      <w:r w:rsidR="00D76653" w:rsidRPr="005A65BC">
        <w:rPr>
          <w:rFonts w:ascii="Arial" w:hAnsi="Arial" w:cs="Arial"/>
          <w:i/>
          <w:szCs w:val="24"/>
        </w:rPr>
        <w:t>a</w:t>
      </w:r>
      <w:r w:rsidR="001E7504" w:rsidRPr="005A65BC">
        <w:rPr>
          <w:rFonts w:ascii="Arial" w:hAnsi="Arial" w:cs="Arial"/>
          <w:i/>
          <w:szCs w:val="24"/>
        </w:rPr>
        <w:t xml:space="preserve"> podpory a její odůvodnění a další povinnosti stanovené přímo použitelnými předpisy Evropské </w:t>
      </w:r>
      <w:r w:rsidR="00112139" w:rsidRPr="005A65BC">
        <w:rPr>
          <w:rFonts w:ascii="Arial" w:hAnsi="Arial" w:cs="Arial"/>
          <w:i/>
          <w:szCs w:val="24"/>
        </w:rPr>
        <w:t>unie</w:t>
      </w:r>
      <w:r w:rsidR="00A7201A" w:rsidRPr="005A65BC">
        <w:rPr>
          <w:rFonts w:ascii="Arial" w:hAnsi="Arial" w:cs="Arial"/>
          <w:szCs w:val="24"/>
        </w:rPr>
        <w:t xml:space="preserve"> </w:t>
      </w:r>
    </w:p>
    <w:p w:rsidR="00B02771" w:rsidRPr="0084547C" w:rsidRDefault="007B0116" w:rsidP="003C3CE6">
      <w:pPr>
        <w:pStyle w:val="Zkladntext2"/>
        <w:spacing w:after="120"/>
        <w:jc w:val="both"/>
        <w:rPr>
          <w:rFonts w:ascii="Arial" w:hAnsi="Arial" w:cs="Arial"/>
        </w:rPr>
      </w:pPr>
      <w:r w:rsidRPr="005A65BC">
        <w:rPr>
          <w:rFonts w:ascii="Arial" w:hAnsi="Arial" w:cs="Arial"/>
          <w:szCs w:val="24"/>
        </w:rPr>
        <w:lastRenderedPageBreak/>
        <w:t>Vymezení způsobilých nákladů</w:t>
      </w:r>
      <w:r w:rsidR="003C3CE6">
        <w:rPr>
          <w:rFonts w:ascii="Arial" w:hAnsi="Arial" w:cs="Arial"/>
          <w:szCs w:val="24"/>
        </w:rPr>
        <w:t xml:space="preserve"> - v</w:t>
      </w:r>
      <w:r w:rsidR="005A65BC" w:rsidRPr="005A65BC">
        <w:rPr>
          <w:rFonts w:ascii="Arial" w:hAnsi="Arial" w:cs="Arial"/>
          <w:szCs w:val="24"/>
        </w:rPr>
        <w:t xml:space="preserve"> části</w:t>
      </w:r>
      <w:r w:rsidRPr="005A65BC">
        <w:rPr>
          <w:rFonts w:ascii="Arial" w:hAnsi="Arial" w:cs="Arial"/>
          <w:szCs w:val="24"/>
        </w:rPr>
        <w:t xml:space="preserve"> 1</w:t>
      </w:r>
      <w:r w:rsidR="00214A69" w:rsidRPr="005A65BC">
        <w:rPr>
          <w:rFonts w:ascii="Arial" w:hAnsi="Arial" w:cs="Arial"/>
          <w:szCs w:val="24"/>
        </w:rPr>
        <w:t>3</w:t>
      </w:r>
      <w:r w:rsidRPr="005A65BC">
        <w:rPr>
          <w:rFonts w:ascii="Arial" w:hAnsi="Arial" w:cs="Arial"/>
          <w:szCs w:val="24"/>
        </w:rPr>
        <w:t xml:space="preserve"> návrhu </w:t>
      </w:r>
      <w:r w:rsidR="003C3CE6">
        <w:rPr>
          <w:rFonts w:ascii="Arial" w:hAnsi="Arial" w:cs="Arial"/>
          <w:szCs w:val="24"/>
        </w:rPr>
        <w:t>Programu se uvádí, že p</w:t>
      </w:r>
      <w:r w:rsidR="00B02771" w:rsidRPr="0084547C">
        <w:rPr>
          <w:rFonts w:ascii="Arial" w:hAnsi="Arial" w:cs="Arial"/>
        </w:rPr>
        <w:t xml:space="preserve">odpora bude poskytována na uznané náklady projektu, tj. na ty způsobilé náklady, které poskytovatel schválí jako odůvodněné </w:t>
      </w:r>
      <w:r w:rsidR="00B02771" w:rsidRPr="0084547C">
        <w:rPr>
          <w:rFonts w:ascii="Arial" w:hAnsi="Arial" w:cs="Arial"/>
          <w:color w:val="000000"/>
          <w:lang w:bidi="cs-CZ"/>
        </w:rPr>
        <w:t>a které jsou v rozsahu nezbytném pro</w:t>
      </w:r>
      <w:r w:rsidR="0084547C">
        <w:rPr>
          <w:rFonts w:ascii="Arial" w:hAnsi="Arial" w:cs="Arial"/>
          <w:color w:val="000000"/>
          <w:lang w:bidi="cs-CZ"/>
        </w:rPr>
        <w:t> </w:t>
      </w:r>
      <w:r w:rsidR="00B02771" w:rsidRPr="0084547C">
        <w:rPr>
          <w:rFonts w:ascii="Arial" w:hAnsi="Arial" w:cs="Arial"/>
          <w:color w:val="000000"/>
          <w:lang w:bidi="cs-CZ"/>
        </w:rPr>
        <w:t>účely projektu.</w:t>
      </w:r>
      <w:r w:rsidR="00B02771" w:rsidRPr="0084547C">
        <w:rPr>
          <w:rFonts w:ascii="Arial" w:hAnsi="Arial" w:cs="Arial"/>
        </w:rPr>
        <w:t xml:space="preserve"> Uchazeč může jako způsobilé náklady navrhnout náklady vymezené v souladu se zákonem o výzkumu, experimentálním vývoji a inovacích a nařízením Komise. Veškeré způsobilé náklady projektu musí být vynaloženy na činnosti přímo související s realizací projektu a musí být přiřazeny ke konkrétní kategorii výzkumu a vývoje, tj. na průmyslový výzkum nebo experimentální vývoj nebo inovace, dle čl. 25, 28 a 29 nařízení Komise.</w:t>
      </w:r>
    </w:p>
    <w:p w:rsidR="00B02771" w:rsidRPr="0084547C" w:rsidRDefault="005C4025" w:rsidP="00214A69">
      <w:pPr>
        <w:autoSpaceDE w:val="0"/>
        <w:autoSpaceDN w:val="0"/>
        <w:adjustRightInd w:val="0"/>
        <w:spacing w:after="120"/>
        <w:jc w:val="both"/>
        <w:rPr>
          <w:rFonts w:ascii="Arial" w:hAnsi="Arial" w:cs="Arial"/>
        </w:rPr>
      </w:pPr>
      <w:r w:rsidRPr="0084547C">
        <w:rPr>
          <w:rFonts w:ascii="Arial" w:hAnsi="Arial" w:cs="Arial"/>
        </w:rPr>
        <w:t xml:space="preserve">Nejvyšší povolená intenzita </w:t>
      </w:r>
      <w:r w:rsidR="00214A69" w:rsidRPr="0084547C">
        <w:rPr>
          <w:rFonts w:ascii="Arial" w:hAnsi="Arial" w:cs="Arial"/>
        </w:rPr>
        <w:t>podpory</w:t>
      </w:r>
      <w:r w:rsidR="007176D1" w:rsidRPr="0084547C">
        <w:rPr>
          <w:rFonts w:ascii="Arial" w:hAnsi="Arial" w:cs="Arial"/>
        </w:rPr>
        <w:t xml:space="preserve"> a její odůvodnění </w:t>
      </w:r>
      <w:r w:rsidR="00B02771" w:rsidRPr="0084547C">
        <w:rPr>
          <w:rFonts w:ascii="Arial" w:hAnsi="Arial" w:cs="Arial"/>
        </w:rPr>
        <w:t>- nejvyšší povolená intenzita podpory na účastníka je 100 %</w:t>
      </w:r>
      <w:r w:rsidR="0084547C" w:rsidRPr="0084547C">
        <w:rPr>
          <w:rFonts w:ascii="Arial" w:hAnsi="Arial" w:cs="Arial"/>
        </w:rPr>
        <w:t xml:space="preserve">. U jednotlivých kategorií </w:t>
      </w:r>
      <w:r w:rsidR="00B02771" w:rsidRPr="0084547C">
        <w:rPr>
          <w:rFonts w:ascii="Arial" w:hAnsi="Arial" w:cs="Arial"/>
        </w:rPr>
        <w:t>účastníků se při stanovení míry podpory bude postupovat v limitech daných nařízením Komise.</w:t>
      </w:r>
    </w:p>
    <w:p w:rsidR="00B02771" w:rsidRPr="0084547C" w:rsidRDefault="00B02771" w:rsidP="0084547C">
      <w:pPr>
        <w:spacing w:after="120"/>
        <w:jc w:val="both"/>
        <w:rPr>
          <w:rFonts w:ascii="Arial" w:hAnsi="Arial" w:cs="Arial"/>
        </w:rPr>
      </w:pPr>
      <w:r w:rsidRPr="0084547C">
        <w:rPr>
          <w:rFonts w:ascii="Arial" w:hAnsi="Arial" w:cs="Arial"/>
        </w:rPr>
        <w:t>Intenzita podpory, stanovená jako procento uznaných nákladů projektu, bude vypočtena pro každý projekt i pro každého příjemce a dalšího účastníka samostatně s</w:t>
      </w:r>
      <w:r w:rsidR="0084547C">
        <w:rPr>
          <w:rFonts w:ascii="Arial" w:hAnsi="Arial" w:cs="Arial"/>
        </w:rPr>
        <w:t> </w:t>
      </w:r>
      <w:r w:rsidRPr="0084547C">
        <w:rPr>
          <w:rFonts w:ascii="Arial" w:hAnsi="Arial" w:cs="Arial"/>
        </w:rPr>
        <w:t>tím, že pokud bude podpora poskytována podnikům dle nařízení Komise, musí být respektovány v něm uveden</w:t>
      </w:r>
      <w:r w:rsidR="003C3CE6">
        <w:rPr>
          <w:rFonts w:ascii="Arial" w:hAnsi="Arial" w:cs="Arial"/>
        </w:rPr>
        <w:t>á maxima</w:t>
      </w:r>
      <w:r w:rsidRPr="0084547C">
        <w:rPr>
          <w:rFonts w:ascii="Arial" w:hAnsi="Arial" w:cs="Arial"/>
        </w:rPr>
        <w:t>.</w:t>
      </w:r>
    </w:p>
    <w:p w:rsidR="001E7504" w:rsidRDefault="00D76653" w:rsidP="00272598">
      <w:pPr>
        <w:pStyle w:val="Zkladntext2"/>
        <w:spacing w:after="120"/>
        <w:ind w:left="708"/>
        <w:jc w:val="both"/>
        <w:rPr>
          <w:rFonts w:ascii="Arial" w:hAnsi="Arial" w:cs="Arial"/>
          <w:i/>
          <w:szCs w:val="24"/>
        </w:rPr>
      </w:pPr>
      <w:r w:rsidRPr="00D37117">
        <w:rPr>
          <w:rFonts w:ascii="Arial" w:hAnsi="Arial" w:cs="Arial"/>
          <w:i/>
          <w:szCs w:val="24"/>
        </w:rPr>
        <w:t xml:space="preserve">d) </w:t>
      </w:r>
      <w:r w:rsidR="00F63C85">
        <w:rPr>
          <w:rFonts w:ascii="Arial" w:hAnsi="Arial" w:cs="Arial"/>
          <w:i/>
          <w:szCs w:val="24"/>
        </w:rPr>
        <w:t>S</w:t>
      </w:r>
      <w:r w:rsidRPr="00D37117">
        <w:rPr>
          <w:rFonts w:ascii="Arial" w:hAnsi="Arial" w:cs="Arial"/>
          <w:i/>
          <w:szCs w:val="24"/>
        </w:rPr>
        <w:t>pecifikace cílů programu spolu s jejich odůvodněním a způsobem jejich dosažení, kritéria splnění cílů programu, srovnání</w:t>
      </w:r>
      <w:r w:rsidRPr="0084547C">
        <w:rPr>
          <w:rFonts w:ascii="Arial" w:hAnsi="Arial" w:cs="Arial"/>
          <w:i/>
          <w:szCs w:val="24"/>
        </w:rPr>
        <w:t xml:space="preserve"> se současným stavem v České republice a</w:t>
      </w:r>
      <w:r w:rsidR="00112139" w:rsidRPr="0084547C">
        <w:rPr>
          <w:rFonts w:ascii="Arial" w:hAnsi="Arial" w:cs="Arial"/>
          <w:i/>
          <w:szCs w:val="24"/>
        </w:rPr>
        <w:t> </w:t>
      </w:r>
      <w:r w:rsidRPr="0084547C">
        <w:rPr>
          <w:rFonts w:ascii="Arial" w:hAnsi="Arial" w:cs="Arial"/>
          <w:i/>
          <w:szCs w:val="24"/>
        </w:rPr>
        <w:t xml:space="preserve">v zahraničí a očekávané </w:t>
      </w:r>
      <w:r w:rsidRPr="00C27847">
        <w:rPr>
          <w:rFonts w:ascii="Arial" w:hAnsi="Arial" w:cs="Arial"/>
          <w:i/>
          <w:szCs w:val="24"/>
        </w:rPr>
        <w:t>výsledky a přínosy</w:t>
      </w:r>
    </w:p>
    <w:p w:rsidR="00FF62A3" w:rsidRPr="00FF62A3" w:rsidRDefault="0084547C" w:rsidP="00B06D4F">
      <w:pPr>
        <w:spacing w:after="120"/>
        <w:jc w:val="both"/>
        <w:rPr>
          <w:rFonts w:ascii="Arial" w:hAnsi="Arial" w:cs="Arial"/>
        </w:rPr>
      </w:pPr>
      <w:r w:rsidRPr="00FF62A3">
        <w:rPr>
          <w:rFonts w:ascii="Arial" w:hAnsi="Arial" w:cs="Arial"/>
        </w:rPr>
        <w:t>Hlavním cílem Programu je prostřednictvím výstupů, výsledků a dopadů z</w:t>
      </w:r>
      <w:r w:rsidR="00566F7D">
        <w:rPr>
          <w:rFonts w:ascii="Arial" w:hAnsi="Arial" w:cs="Arial"/>
        </w:rPr>
        <w:t> </w:t>
      </w:r>
      <w:r w:rsidRPr="00FF62A3">
        <w:rPr>
          <w:rFonts w:ascii="Arial" w:hAnsi="Arial" w:cs="Arial"/>
        </w:rPr>
        <w:t>podpořených projektů rozvíjet dopravní sektor a všechny druhy dopravy způsobem, který bude reflektovat společenské potřeby, akceleruje technologický a znalostní rozvoj ČR a napomůže růstu konkurenceschopnosti ČR.</w:t>
      </w:r>
    </w:p>
    <w:p w:rsidR="0084547C" w:rsidRPr="00FF62A3" w:rsidRDefault="0084547C" w:rsidP="00B06D4F">
      <w:pPr>
        <w:spacing w:after="120"/>
        <w:jc w:val="both"/>
        <w:rPr>
          <w:rFonts w:ascii="Arial" w:hAnsi="Arial" w:cs="Arial"/>
          <w:lang w:bidi="cs-CZ"/>
        </w:rPr>
      </w:pPr>
      <w:r w:rsidRPr="00FF62A3">
        <w:rPr>
          <w:rFonts w:ascii="Arial" w:hAnsi="Arial" w:cs="Arial"/>
          <w:lang w:bidi="cs-CZ"/>
        </w:rPr>
        <w:t>Specifickými cíli jsou:</w:t>
      </w:r>
    </w:p>
    <w:p w:rsidR="0084547C" w:rsidRPr="00FF62A3" w:rsidRDefault="0084547C" w:rsidP="00B06D4F">
      <w:pPr>
        <w:pStyle w:val="Odstavecseseznamem"/>
        <w:numPr>
          <w:ilvl w:val="0"/>
          <w:numId w:val="37"/>
        </w:numPr>
        <w:spacing w:after="120"/>
        <w:jc w:val="both"/>
        <w:rPr>
          <w:rFonts w:ascii="Arial" w:hAnsi="Arial" w:cs="Arial"/>
          <w:lang w:bidi="cs-CZ"/>
        </w:rPr>
      </w:pPr>
      <w:r w:rsidRPr="00FF62A3">
        <w:rPr>
          <w:rFonts w:ascii="Arial" w:hAnsi="Arial" w:cs="Arial"/>
          <w:lang w:bidi="cs-CZ"/>
        </w:rPr>
        <w:t>Udržitelná, přístupná a bezpečná doprava</w:t>
      </w:r>
    </w:p>
    <w:p w:rsidR="0084547C" w:rsidRPr="00FF62A3" w:rsidRDefault="0084547C" w:rsidP="00B06D4F">
      <w:pPr>
        <w:pStyle w:val="Odstavecseseznamem"/>
        <w:numPr>
          <w:ilvl w:val="0"/>
          <w:numId w:val="37"/>
        </w:numPr>
        <w:spacing w:after="120"/>
        <w:jc w:val="both"/>
        <w:rPr>
          <w:rFonts w:ascii="Arial" w:hAnsi="Arial" w:cs="Arial"/>
          <w:lang w:bidi="cs-CZ"/>
        </w:rPr>
      </w:pPr>
      <w:r w:rsidRPr="00FF62A3">
        <w:rPr>
          <w:rFonts w:ascii="Arial" w:hAnsi="Arial" w:cs="Arial"/>
          <w:lang w:bidi="cs-CZ"/>
        </w:rPr>
        <w:t>Automatizace, digitalizace a technologicky pokročilá doprava</w:t>
      </w:r>
    </w:p>
    <w:p w:rsidR="0084547C" w:rsidRPr="00FF62A3" w:rsidRDefault="0084547C" w:rsidP="00B06D4F">
      <w:pPr>
        <w:pStyle w:val="Odstavecseseznamem"/>
        <w:numPr>
          <w:ilvl w:val="0"/>
          <w:numId w:val="37"/>
        </w:numPr>
        <w:spacing w:after="120"/>
        <w:jc w:val="both"/>
        <w:rPr>
          <w:rFonts w:ascii="Arial" w:hAnsi="Arial" w:cs="Arial"/>
          <w:lang w:bidi="cs-CZ"/>
        </w:rPr>
      </w:pPr>
      <w:r w:rsidRPr="00FF62A3">
        <w:rPr>
          <w:rFonts w:ascii="Arial" w:hAnsi="Arial" w:cs="Arial"/>
          <w:lang w:bidi="cs-CZ"/>
        </w:rPr>
        <w:t>Nízkoemisní a ekologická doprava</w:t>
      </w:r>
    </w:p>
    <w:p w:rsidR="00FA668D" w:rsidRDefault="00FF62A3" w:rsidP="00B06D4F">
      <w:pPr>
        <w:spacing w:after="120"/>
        <w:jc w:val="both"/>
        <w:rPr>
          <w:rFonts w:ascii="Arial" w:hAnsi="Arial" w:cs="Arial"/>
          <w:lang w:bidi="cs-CZ"/>
        </w:rPr>
      </w:pPr>
      <w:r w:rsidRPr="00FF62A3">
        <w:rPr>
          <w:rFonts w:ascii="Arial" w:hAnsi="Arial" w:cs="Arial"/>
        </w:rPr>
        <w:t xml:space="preserve">Konkrétní výzkumné priority v oblasti dopravy a role aplikačního garanta budou stanoveny </w:t>
      </w:r>
      <w:r w:rsidR="00C27847">
        <w:rPr>
          <w:rFonts w:ascii="Arial" w:hAnsi="Arial" w:cs="Arial"/>
        </w:rPr>
        <w:t xml:space="preserve">v </w:t>
      </w:r>
      <w:r w:rsidRPr="00FF62A3">
        <w:rPr>
          <w:rFonts w:ascii="Arial" w:hAnsi="Arial" w:cs="Arial"/>
        </w:rPr>
        <w:t>zadávacích dokumentací</w:t>
      </w:r>
      <w:r w:rsidR="00C27847">
        <w:rPr>
          <w:rFonts w:ascii="Arial" w:hAnsi="Arial" w:cs="Arial"/>
        </w:rPr>
        <w:t>ch</w:t>
      </w:r>
      <w:r w:rsidRPr="00FF62A3">
        <w:rPr>
          <w:rFonts w:ascii="Arial" w:hAnsi="Arial" w:cs="Arial"/>
        </w:rPr>
        <w:t xml:space="preserve"> veřejných soutěží. </w:t>
      </w:r>
      <w:r w:rsidRPr="00FF62A3">
        <w:rPr>
          <w:rFonts w:ascii="Arial" w:hAnsi="Arial" w:cs="Arial"/>
          <w:lang w:bidi="cs-CZ"/>
        </w:rPr>
        <w:t>Specifické cíle jsou vzájemně propojené a koncipované způsobem umožňujícím naplňovat dlouhodobé priority a</w:t>
      </w:r>
      <w:r w:rsidR="00C27847">
        <w:rPr>
          <w:rFonts w:ascii="Arial" w:hAnsi="Arial" w:cs="Arial"/>
          <w:lang w:bidi="cs-CZ"/>
        </w:rPr>
        <w:t> </w:t>
      </w:r>
      <w:r w:rsidRPr="00FF62A3">
        <w:rPr>
          <w:rFonts w:ascii="Arial" w:hAnsi="Arial" w:cs="Arial"/>
          <w:lang w:bidi="cs-CZ"/>
        </w:rPr>
        <w:t>zároveň dostatečně pružně reagovat na aktuální potřeby.</w:t>
      </w:r>
    </w:p>
    <w:p w:rsidR="000E5EC0" w:rsidRDefault="000E5EC0" w:rsidP="00B06D4F">
      <w:pPr>
        <w:spacing w:after="120"/>
        <w:jc w:val="both"/>
        <w:rPr>
          <w:rFonts w:ascii="Arial" w:hAnsi="Arial" w:cs="Arial"/>
          <w:lang w:bidi="cs-CZ"/>
        </w:rPr>
      </w:pPr>
      <w:r>
        <w:rPr>
          <w:rFonts w:ascii="Arial" w:hAnsi="Arial" w:cs="Arial"/>
          <w:lang w:bidi="cs-CZ"/>
        </w:rPr>
        <w:t>Způsoby dosažení cílů nejsou v návrhu Programu specifikovány</w:t>
      </w:r>
      <w:r w:rsidR="00C70B55">
        <w:rPr>
          <w:rFonts w:ascii="Arial" w:hAnsi="Arial" w:cs="Arial"/>
          <w:lang w:bidi="cs-CZ"/>
        </w:rPr>
        <w:t>, předpokládá se však, cílů bude dosaženo realizací veřejných soutěží.</w:t>
      </w:r>
    </w:p>
    <w:p w:rsidR="00563E1E" w:rsidRPr="00C27847" w:rsidRDefault="00566F7D" w:rsidP="00C27847">
      <w:pPr>
        <w:spacing w:after="120"/>
        <w:jc w:val="both"/>
        <w:rPr>
          <w:rFonts w:ascii="Arial" w:hAnsi="Arial" w:cs="Arial"/>
        </w:rPr>
      </w:pPr>
      <w:r w:rsidRPr="00563E1E">
        <w:rPr>
          <w:rFonts w:ascii="Arial" w:hAnsi="Arial" w:cs="Arial"/>
        </w:rPr>
        <w:t xml:space="preserve">V rámci Programu se předpokládá podpořit minimálně 120 projektů, z nichž bude </w:t>
      </w:r>
      <w:r w:rsidR="006F7DC0" w:rsidRPr="00C27847">
        <w:rPr>
          <w:rFonts w:ascii="Arial" w:hAnsi="Arial" w:cs="Arial"/>
        </w:rPr>
        <w:t xml:space="preserve">minimálně </w:t>
      </w:r>
      <w:r w:rsidRPr="00C27847">
        <w:rPr>
          <w:rFonts w:ascii="Arial" w:hAnsi="Arial" w:cs="Arial"/>
        </w:rPr>
        <w:t>80</w:t>
      </w:r>
      <w:r w:rsidR="00563E1E" w:rsidRPr="00C27847">
        <w:rPr>
          <w:rFonts w:ascii="Arial" w:hAnsi="Arial" w:cs="Arial"/>
        </w:rPr>
        <w:t> </w:t>
      </w:r>
      <w:r w:rsidRPr="00C27847">
        <w:rPr>
          <w:rFonts w:ascii="Arial" w:hAnsi="Arial" w:cs="Arial"/>
        </w:rPr>
        <w:t>%</w:t>
      </w:r>
      <w:r w:rsidR="00563E1E" w:rsidRPr="00C27847">
        <w:rPr>
          <w:rFonts w:ascii="Arial" w:hAnsi="Arial" w:cs="Arial"/>
        </w:rPr>
        <w:t xml:space="preserve"> úspěšně dokončeno</w:t>
      </w:r>
      <w:r w:rsidR="003C3CE6" w:rsidRPr="00C27847">
        <w:rPr>
          <w:rFonts w:ascii="Arial" w:hAnsi="Arial" w:cs="Arial"/>
        </w:rPr>
        <w:t>.</w:t>
      </w:r>
    </w:p>
    <w:p w:rsidR="003C3CE6" w:rsidRPr="00C27847" w:rsidRDefault="003C3CE6" w:rsidP="00C27847">
      <w:pPr>
        <w:spacing w:after="120"/>
        <w:jc w:val="both"/>
        <w:rPr>
          <w:rFonts w:ascii="Arial" w:hAnsi="Arial" w:cs="Arial"/>
        </w:rPr>
      </w:pPr>
      <w:r w:rsidRPr="00C27847">
        <w:rPr>
          <w:rFonts w:ascii="Arial" w:hAnsi="Arial" w:cs="Arial"/>
        </w:rPr>
        <w:t>V každé veřejné soutěži má být podpořeno minimálně 30 projektů a míra úspěšnosti podaných návrhů projektů by neměla klesnout pod 25 %.</w:t>
      </w:r>
    </w:p>
    <w:p w:rsidR="00566F7D" w:rsidRPr="00563E1E" w:rsidRDefault="00566F7D" w:rsidP="00BD696B">
      <w:pPr>
        <w:keepNext/>
        <w:spacing w:after="120"/>
        <w:jc w:val="both"/>
        <w:rPr>
          <w:rFonts w:ascii="Arial" w:hAnsi="Arial" w:cs="Arial"/>
        </w:rPr>
      </w:pPr>
      <w:r w:rsidRPr="00563E1E">
        <w:rPr>
          <w:rFonts w:ascii="Arial" w:hAnsi="Arial" w:cs="Arial"/>
        </w:rPr>
        <w:lastRenderedPageBreak/>
        <w:t>Počet a typ příjemců dotace a dalších účastníků projektů a počt</w:t>
      </w:r>
      <w:r w:rsidR="00B37D2C">
        <w:rPr>
          <w:rFonts w:ascii="Arial" w:hAnsi="Arial" w:cs="Arial"/>
        </w:rPr>
        <w:t>y</w:t>
      </w:r>
      <w:r w:rsidRPr="00563E1E">
        <w:rPr>
          <w:rFonts w:ascii="Arial" w:hAnsi="Arial" w:cs="Arial"/>
        </w:rPr>
        <w:t xml:space="preserve"> výsledků</w:t>
      </w:r>
      <w:r w:rsidR="00B37D2C">
        <w:rPr>
          <w:rStyle w:val="Znakapoznpodarou"/>
          <w:rFonts w:ascii="Arial" w:hAnsi="Arial" w:cs="Arial"/>
        </w:rPr>
        <w:footnoteReference w:id="2"/>
      </w:r>
      <w:r w:rsidRPr="00563E1E">
        <w:rPr>
          <w:rFonts w:ascii="Arial" w:hAnsi="Arial" w:cs="Arial"/>
        </w:rPr>
        <w:t xml:space="preserve">: </w:t>
      </w:r>
    </w:p>
    <w:tbl>
      <w:tblPr>
        <w:tblW w:w="72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3"/>
        <w:gridCol w:w="2898"/>
      </w:tblGrid>
      <w:tr w:rsidR="00566F7D" w:rsidRPr="00563E1E" w:rsidTr="00ED176E">
        <w:tc>
          <w:tcPr>
            <w:tcW w:w="4468" w:type="dxa"/>
            <w:shd w:val="clear" w:color="auto" w:fill="auto"/>
          </w:tcPr>
          <w:p w:rsidR="00566F7D" w:rsidRPr="00563E1E" w:rsidRDefault="00566F7D" w:rsidP="00BD696B">
            <w:pPr>
              <w:keepNext/>
              <w:spacing w:after="120"/>
              <w:jc w:val="both"/>
              <w:rPr>
                <w:rFonts w:ascii="Arial" w:hAnsi="Arial" w:cs="Arial"/>
              </w:rPr>
            </w:pPr>
            <w:r w:rsidRPr="00563E1E">
              <w:rPr>
                <w:rFonts w:ascii="Arial" w:hAnsi="Arial" w:cs="Arial"/>
              </w:rPr>
              <w:t>Ukazatel</w:t>
            </w:r>
          </w:p>
        </w:tc>
        <w:tc>
          <w:tcPr>
            <w:tcW w:w="2733" w:type="dxa"/>
            <w:shd w:val="clear" w:color="auto" w:fill="auto"/>
          </w:tcPr>
          <w:p w:rsidR="00566F7D" w:rsidRPr="00563E1E" w:rsidRDefault="00566F7D" w:rsidP="00BD696B">
            <w:pPr>
              <w:spacing w:after="120"/>
              <w:jc w:val="both"/>
              <w:rPr>
                <w:rFonts w:ascii="Arial" w:hAnsi="Arial" w:cs="Arial"/>
              </w:rPr>
            </w:pPr>
            <w:r w:rsidRPr="00563E1E">
              <w:rPr>
                <w:rFonts w:ascii="Arial" w:hAnsi="Arial" w:cs="Arial"/>
              </w:rPr>
              <w:t xml:space="preserve">Předpokládaný </w:t>
            </w:r>
            <w:r w:rsidR="00C27847">
              <w:rPr>
                <w:rFonts w:ascii="Arial" w:hAnsi="Arial" w:cs="Arial"/>
              </w:rPr>
              <w:t>m</w:t>
            </w:r>
            <w:r w:rsidRPr="00563E1E">
              <w:rPr>
                <w:rFonts w:ascii="Arial" w:hAnsi="Arial" w:cs="Arial"/>
              </w:rPr>
              <w:t>in</w:t>
            </w:r>
            <w:r w:rsidR="00C27847">
              <w:rPr>
                <w:rFonts w:ascii="Arial" w:hAnsi="Arial" w:cs="Arial"/>
              </w:rPr>
              <w:t>imální </w:t>
            </w:r>
            <w:r w:rsidRPr="00563E1E">
              <w:rPr>
                <w:rFonts w:ascii="Arial" w:hAnsi="Arial" w:cs="Arial"/>
              </w:rPr>
              <w:t>počet</w:t>
            </w:r>
            <w:r w:rsidR="00C27847">
              <w:rPr>
                <w:rFonts w:ascii="Arial" w:hAnsi="Arial" w:cs="Arial"/>
              </w:rPr>
              <w:t> </w:t>
            </w:r>
            <w:r w:rsidR="00563E1E">
              <w:rPr>
                <w:rFonts w:ascii="Arial" w:hAnsi="Arial" w:cs="Arial"/>
              </w:rPr>
              <w:t>výsledků</w:t>
            </w:r>
          </w:p>
        </w:tc>
      </w:tr>
      <w:tr w:rsidR="00566F7D" w:rsidRPr="00563E1E" w:rsidTr="00ED176E">
        <w:tc>
          <w:tcPr>
            <w:tcW w:w="4468" w:type="dxa"/>
            <w:shd w:val="clear" w:color="auto" w:fill="auto"/>
          </w:tcPr>
          <w:p w:rsidR="00566F7D" w:rsidRPr="00563E1E" w:rsidRDefault="00566F7D" w:rsidP="00BD696B">
            <w:pPr>
              <w:keepNext/>
              <w:spacing w:after="120"/>
              <w:jc w:val="both"/>
              <w:rPr>
                <w:rFonts w:ascii="Arial" w:hAnsi="Arial" w:cs="Arial"/>
              </w:rPr>
            </w:pPr>
            <w:r w:rsidRPr="00563E1E">
              <w:rPr>
                <w:rFonts w:ascii="Arial" w:hAnsi="Arial" w:cs="Arial"/>
              </w:rPr>
              <w:t xml:space="preserve">Příjemci dotace – </w:t>
            </w:r>
            <w:r w:rsidR="00ED176E">
              <w:rPr>
                <w:rFonts w:ascii="Arial" w:hAnsi="Arial" w:cs="Arial"/>
              </w:rPr>
              <w:t>výzkumné organizace</w:t>
            </w:r>
          </w:p>
        </w:tc>
        <w:tc>
          <w:tcPr>
            <w:tcW w:w="2733" w:type="dxa"/>
            <w:shd w:val="clear" w:color="auto" w:fill="auto"/>
          </w:tcPr>
          <w:p w:rsidR="00566F7D" w:rsidRPr="00563E1E" w:rsidRDefault="00566F7D" w:rsidP="00BD696B">
            <w:pPr>
              <w:spacing w:after="120"/>
              <w:jc w:val="right"/>
              <w:rPr>
                <w:rFonts w:ascii="Arial" w:hAnsi="Arial" w:cs="Arial"/>
              </w:rPr>
            </w:pPr>
            <w:r w:rsidRPr="00563E1E">
              <w:rPr>
                <w:rFonts w:ascii="Arial" w:hAnsi="Arial" w:cs="Arial"/>
              </w:rPr>
              <w:t>80</w:t>
            </w:r>
          </w:p>
        </w:tc>
      </w:tr>
      <w:tr w:rsidR="00566F7D" w:rsidRPr="00563E1E" w:rsidTr="00ED176E">
        <w:tc>
          <w:tcPr>
            <w:tcW w:w="4468" w:type="dxa"/>
            <w:shd w:val="clear" w:color="auto" w:fill="auto"/>
          </w:tcPr>
          <w:p w:rsidR="00566F7D" w:rsidRPr="00563E1E" w:rsidRDefault="00566F7D" w:rsidP="00BD696B">
            <w:pPr>
              <w:spacing w:after="120"/>
              <w:jc w:val="both"/>
              <w:rPr>
                <w:rFonts w:ascii="Arial" w:hAnsi="Arial" w:cs="Arial"/>
              </w:rPr>
            </w:pPr>
            <w:r w:rsidRPr="00563E1E">
              <w:rPr>
                <w:rFonts w:ascii="Arial" w:hAnsi="Arial" w:cs="Arial"/>
              </w:rPr>
              <w:t>Příjemci dotace – podnik</w:t>
            </w:r>
            <w:r w:rsidR="00ED176E">
              <w:rPr>
                <w:rFonts w:ascii="Arial" w:hAnsi="Arial" w:cs="Arial"/>
              </w:rPr>
              <w:t>y</w:t>
            </w:r>
          </w:p>
        </w:tc>
        <w:tc>
          <w:tcPr>
            <w:tcW w:w="2733" w:type="dxa"/>
            <w:shd w:val="clear" w:color="auto" w:fill="auto"/>
          </w:tcPr>
          <w:p w:rsidR="00566F7D" w:rsidRPr="00563E1E" w:rsidRDefault="00566F7D" w:rsidP="00BD696B">
            <w:pPr>
              <w:spacing w:after="120"/>
              <w:jc w:val="right"/>
              <w:rPr>
                <w:rFonts w:ascii="Arial" w:hAnsi="Arial" w:cs="Arial"/>
              </w:rPr>
            </w:pPr>
            <w:r w:rsidRPr="00563E1E">
              <w:rPr>
                <w:rFonts w:ascii="Arial" w:hAnsi="Arial" w:cs="Arial"/>
              </w:rPr>
              <w:t>40</w:t>
            </w:r>
          </w:p>
        </w:tc>
      </w:tr>
      <w:tr w:rsidR="00566F7D" w:rsidRPr="00563E1E" w:rsidTr="00ED176E">
        <w:tc>
          <w:tcPr>
            <w:tcW w:w="4468" w:type="dxa"/>
            <w:shd w:val="clear" w:color="auto" w:fill="auto"/>
          </w:tcPr>
          <w:p w:rsidR="00566F7D" w:rsidRPr="00563E1E" w:rsidRDefault="00566F7D" w:rsidP="00BD696B">
            <w:pPr>
              <w:spacing w:after="120"/>
              <w:jc w:val="both"/>
              <w:rPr>
                <w:rFonts w:ascii="Arial" w:hAnsi="Arial" w:cs="Arial"/>
              </w:rPr>
            </w:pPr>
            <w:r w:rsidRPr="00563E1E">
              <w:rPr>
                <w:rFonts w:ascii="Arial" w:hAnsi="Arial" w:cs="Arial"/>
              </w:rPr>
              <w:t xml:space="preserve">Další účastníci projektu – </w:t>
            </w:r>
            <w:r w:rsidR="00ED176E">
              <w:rPr>
                <w:rFonts w:ascii="Arial" w:hAnsi="Arial" w:cs="Arial"/>
              </w:rPr>
              <w:t>výzkumné organizace</w:t>
            </w:r>
          </w:p>
        </w:tc>
        <w:tc>
          <w:tcPr>
            <w:tcW w:w="2733" w:type="dxa"/>
            <w:shd w:val="clear" w:color="auto" w:fill="auto"/>
          </w:tcPr>
          <w:p w:rsidR="00566F7D" w:rsidRPr="00563E1E" w:rsidRDefault="00566F7D" w:rsidP="00BD696B">
            <w:pPr>
              <w:spacing w:after="120"/>
              <w:jc w:val="right"/>
              <w:rPr>
                <w:rFonts w:ascii="Arial" w:hAnsi="Arial" w:cs="Arial"/>
              </w:rPr>
            </w:pPr>
            <w:r w:rsidRPr="00563E1E">
              <w:rPr>
                <w:rFonts w:ascii="Arial" w:hAnsi="Arial" w:cs="Arial"/>
              </w:rPr>
              <w:t>80</w:t>
            </w:r>
          </w:p>
        </w:tc>
      </w:tr>
      <w:tr w:rsidR="00566F7D" w:rsidRPr="00563E1E" w:rsidTr="00ED176E">
        <w:tc>
          <w:tcPr>
            <w:tcW w:w="4468" w:type="dxa"/>
            <w:shd w:val="clear" w:color="auto" w:fill="auto"/>
          </w:tcPr>
          <w:p w:rsidR="00566F7D" w:rsidRPr="00563E1E" w:rsidRDefault="00566F7D" w:rsidP="00BD696B">
            <w:pPr>
              <w:spacing w:after="120"/>
              <w:jc w:val="both"/>
              <w:rPr>
                <w:rFonts w:ascii="Arial" w:hAnsi="Arial" w:cs="Arial"/>
              </w:rPr>
            </w:pPr>
            <w:r w:rsidRPr="00563E1E">
              <w:rPr>
                <w:rFonts w:ascii="Arial" w:hAnsi="Arial" w:cs="Arial"/>
              </w:rPr>
              <w:t>Další účastníci projektu – podnik</w:t>
            </w:r>
            <w:r w:rsidR="00ED176E">
              <w:rPr>
                <w:rFonts w:ascii="Arial" w:hAnsi="Arial" w:cs="Arial"/>
              </w:rPr>
              <w:t>y</w:t>
            </w:r>
          </w:p>
        </w:tc>
        <w:tc>
          <w:tcPr>
            <w:tcW w:w="2733" w:type="dxa"/>
            <w:shd w:val="clear" w:color="auto" w:fill="auto"/>
          </w:tcPr>
          <w:p w:rsidR="00566F7D" w:rsidRPr="00563E1E" w:rsidRDefault="00566F7D" w:rsidP="00BD696B">
            <w:pPr>
              <w:spacing w:after="120"/>
              <w:jc w:val="right"/>
              <w:rPr>
                <w:rFonts w:ascii="Arial" w:hAnsi="Arial" w:cs="Arial"/>
              </w:rPr>
            </w:pPr>
            <w:r w:rsidRPr="00563E1E">
              <w:rPr>
                <w:rFonts w:ascii="Arial" w:hAnsi="Arial" w:cs="Arial"/>
              </w:rPr>
              <w:t>80</w:t>
            </w:r>
          </w:p>
        </w:tc>
      </w:tr>
      <w:tr w:rsidR="00566F7D" w:rsidRPr="00563E1E" w:rsidTr="00ED176E">
        <w:tc>
          <w:tcPr>
            <w:tcW w:w="4468" w:type="dxa"/>
            <w:shd w:val="clear" w:color="auto" w:fill="auto"/>
          </w:tcPr>
          <w:p w:rsidR="00566F7D" w:rsidRPr="00563E1E" w:rsidRDefault="00566F7D" w:rsidP="00BD696B">
            <w:pPr>
              <w:spacing w:after="120"/>
              <w:jc w:val="both"/>
              <w:rPr>
                <w:rFonts w:ascii="Arial" w:hAnsi="Arial" w:cs="Arial"/>
              </w:rPr>
            </w:pPr>
            <w:r w:rsidRPr="00563E1E">
              <w:rPr>
                <w:rFonts w:ascii="Arial" w:hAnsi="Arial" w:cs="Arial"/>
              </w:rPr>
              <w:t>Výsledky H a N</w:t>
            </w:r>
          </w:p>
        </w:tc>
        <w:tc>
          <w:tcPr>
            <w:tcW w:w="2733" w:type="dxa"/>
            <w:shd w:val="clear" w:color="auto" w:fill="auto"/>
          </w:tcPr>
          <w:p w:rsidR="00566F7D" w:rsidRPr="00563E1E" w:rsidRDefault="00566F7D" w:rsidP="00BD696B">
            <w:pPr>
              <w:spacing w:after="120"/>
              <w:jc w:val="right"/>
              <w:rPr>
                <w:rFonts w:ascii="Arial" w:hAnsi="Arial" w:cs="Arial"/>
              </w:rPr>
            </w:pPr>
            <w:r w:rsidRPr="00563E1E">
              <w:rPr>
                <w:rFonts w:ascii="Arial" w:hAnsi="Arial" w:cs="Arial"/>
              </w:rPr>
              <w:t>80</w:t>
            </w:r>
          </w:p>
        </w:tc>
      </w:tr>
      <w:tr w:rsidR="00566F7D" w:rsidRPr="00563E1E" w:rsidTr="00ED176E">
        <w:tc>
          <w:tcPr>
            <w:tcW w:w="4468" w:type="dxa"/>
            <w:shd w:val="clear" w:color="auto" w:fill="auto"/>
          </w:tcPr>
          <w:p w:rsidR="00566F7D" w:rsidRPr="00563E1E" w:rsidRDefault="00566F7D" w:rsidP="00BD696B">
            <w:pPr>
              <w:spacing w:after="120"/>
              <w:jc w:val="both"/>
              <w:rPr>
                <w:rFonts w:ascii="Arial" w:hAnsi="Arial" w:cs="Arial"/>
              </w:rPr>
            </w:pPr>
            <w:r w:rsidRPr="00563E1E">
              <w:rPr>
                <w:rFonts w:ascii="Arial" w:hAnsi="Arial" w:cs="Arial"/>
              </w:rPr>
              <w:t xml:space="preserve">Výsledky F, G, R, S, P, Z </w:t>
            </w:r>
          </w:p>
        </w:tc>
        <w:tc>
          <w:tcPr>
            <w:tcW w:w="2733" w:type="dxa"/>
            <w:shd w:val="clear" w:color="auto" w:fill="auto"/>
          </w:tcPr>
          <w:p w:rsidR="00566F7D" w:rsidRPr="00563E1E" w:rsidRDefault="00566F7D" w:rsidP="00BD696B">
            <w:pPr>
              <w:spacing w:after="120"/>
              <w:jc w:val="right"/>
              <w:rPr>
                <w:rFonts w:ascii="Arial" w:hAnsi="Arial" w:cs="Arial"/>
              </w:rPr>
            </w:pPr>
            <w:r w:rsidRPr="00563E1E">
              <w:rPr>
                <w:rFonts w:ascii="Arial" w:hAnsi="Arial" w:cs="Arial"/>
              </w:rPr>
              <w:t>200</w:t>
            </w:r>
          </w:p>
        </w:tc>
      </w:tr>
      <w:tr w:rsidR="00566F7D" w:rsidRPr="00563E1E" w:rsidTr="00ED176E">
        <w:tc>
          <w:tcPr>
            <w:tcW w:w="4468" w:type="dxa"/>
            <w:shd w:val="clear" w:color="auto" w:fill="auto"/>
          </w:tcPr>
          <w:p w:rsidR="00566F7D" w:rsidRPr="00563E1E" w:rsidRDefault="00566F7D" w:rsidP="00BD696B">
            <w:pPr>
              <w:spacing w:after="120"/>
              <w:jc w:val="both"/>
              <w:rPr>
                <w:rFonts w:ascii="Arial" w:hAnsi="Arial" w:cs="Arial"/>
              </w:rPr>
            </w:pPr>
            <w:r w:rsidRPr="00563E1E">
              <w:rPr>
                <w:rFonts w:ascii="Arial" w:hAnsi="Arial" w:cs="Arial"/>
              </w:rPr>
              <w:t>Výsledky O</w:t>
            </w:r>
          </w:p>
        </w:tc>
        <w:tc>
          <w:tcPr>
            <w:tcW w:w="2733" w:type="dxa"/>
            <w:shd w:val="clear" w:color="auto" w:fill="auto"/>
          </w:tcPr>
          <w:p w:rsidR="00566F7D" w:rsidRPr="00563E1E" w:rsidRDefault="00566F7D" w:rsidP="00BD696B">
            <w:pPr>
              <w:spacing w:after="120"/>
              <w:jc w:val="right"/>
              <w:rPr>
                <w:rFonts w:ascii="Arial" w:hAnsi="Arial" w:cs="Arial"/>
              </w:rPr>
            </w:pPr>
            <w:r w:rsidRPr="00563E1E">
              <w:rPr>
                <w:rFonts w:ascii="Arial" w:hAnsi="Arial" w:cs="Arial"/>
              </w:rPr>
              <w:t>80</w:t>
            </w:r>
          </w:p>
        </w:tc>
      </w:tr>
    </w:tbl>
    <w:p w:rsidR="00FA668D" w:rsidRPr="006F7DC0" w:rsidRDefault="00FA668D" w:rsidP="00D30CE9">
      <w:pPr>
        <w:spacing w:before="120" w:after="120"/>
        <w:jc w:val="both"/>
        <w:rPr>
          <w:rFonts w:ascii="Arial" w:hAnsi="Arial" w:cs="Arial"/>
        </w:rPr>
      </w:pPr>
      <w:r w:rsidRPr="006F7DC0">
        <w:rPr>
          <w:rFonts w:ascii="Arial" w:hAnsi="Arial" w:cs="Arial"/>
        </w:rPr>
        <w:t xml:space="preserve">Vyhodnocování splnění hlavního cíle Programu a jeho specifických cílů bude probíhat v souladu s Metodikou </w:t>
      </w:r>
      <w:r w:rsidR="006F7DC0" w:rsidRPr="006F7DC0">
        <w:rPr>
          <w:rFonts w:ascii="Arial" w:hAnsi="Arial" w:cs="Arial"/>
        </w:rPr>
        <w:t xml:space="preserve">hodnocení výzkumných organizací a hodnocení programů účelové podpory výzkumu, vývoje a inovací </w:t>
      </w:r>
      <w:r w:rsidR="008238D8" w:rsidRPr="006F7DC0">
        <w:rPr>
          <w:rFonts w:ascii="Arial" w:hAnsi="Arial" w:cs="Arial"/>
        </w:rPr>
        <w:t>platno</w:t>
      </w:r>
      <w:r w:rsidR="006F7DC0" w:rsidRPr="006F7DC0">
        <w:rPr>
          <w:rFonts w:ascii="Arial" w:hAnsi="Arial" w:cs="Arial"/>
        </w:rPr>
        <w:t>u</w:t>
      </w:r>
      <w:r w:rsidRPr="006F7DC0">
        <w:rPr>
          <w:rFonts w:ascii="Arial" w:hAnsi="Arial" w:cs="Arial"/>
        </w:rPr>
        <w:t xml:space="preserve"> v době hodnocení Programu</w:t>
      </w:r>
      <w:r w:rsidR="006F7DC0" w:rsidRPr="006F7DC0">
        <w:rPr>
          <w:rFonts w:ascii="Arial" w:hAnsi="Arial" w:cs="Arial"/>
        </w:rPr>
        <w:t>.</w:t>
      </w:r>
    </w:p>
    <w:p w:rsidR="006F7DC0" w:rsidRDefault="006F7DC0" w:rsidP="00BD696B">
      <w:pPr>
        <w:spacing w:after="120"/>
        <w:jc w:val="both"/>
        <w:rPr>
          <w:rFonts w:ascii="Arial" w:hAnsi="Arial" w:cs="Arial"/>
        </w:rPr>
      </w:pPr>
      <w:r w:rsidRPr="006F7DC0">
        <w:rPr>
          <w:rFonts w:ascii="Arial" w:hAnsi="Arial" w:cs="Arial"/>
        </w:rPr>
        <w:t>Sledován</w:t>
      </w:r>
      <w:r>
        <w:rPr>
          <w:rFonts w:ascii="Arial" w:hAnsi="Arial" w:cs="Arial"/>
        </w:rPr>
        <w:t>o</w:t>
      </w:r>
      <w:r w:rsidRPr="006F7DC0">
        <w:rPr>
          <w:rFonts w:ascii="Arial" w:hAnsi="Arial" w:cs="Arial"/>
        </w:rPr>
        <w:t xml:space="preserve"> bude také </w:t>
      </w:r>
      <w:r w:rsidR="00FA668D" w:rsidRPr="006F7DC0">
        <w:rPr>
          <w:rFonts w:ascii="Arial" w:hAnsi="Arial" w:cs="Arial"/>
        </w:rPr>
        <w:t>pokrytí jednotli</w:t>
      </w:r>
      <w:r w:rsidR="007701B4">
        <w:rPr>
          <w:rFonts w:ascii="Arial" w:hAnsi="Arial" w:cs="Arial"/>
        </w:rPr>
        <w:t>vých specifických cílů Programu.</w:t>
      </w:r>
    </w:p>
    <w:p w:rsidR="00C27847" w:rsidRPr="00C27847" w:rsidRDefault="00C27847" w:rsidP="00BD696B">
      <w:pPr>
        <w:spacing w:after="120"/>
        <w:jc w:val="both"/>
        <w:rPr>
          <w:rFonts w:ascii="Arial" w:hAnsi="Arial" w:cs="Arial"/>
        </w:rPr>
      </w:pPr>
      <w:r w:rsidRPr="00C27847">
        <w:rPr>
          <w:rFonts w:ascii="Arial" w:hAnsi="Arial" w:cs="Arial"/>
        </w:rPr>
        <w:t xml:space="preserve">V návrhu Programu je </w:t>
      </w:r>
      <w:r>
        <w:rPr>
          <w:rFonts w:ascii="Arial" w:hAnsi="Arial" w:cs="Arial"/>
        </w:rPr>
        <w:t xml:space="preserve">rovněž </w:t>
      </w:r>
      <w:r w:rsidRPr="00C27847">
        <w:rPr>
          <w:rFonts w:ascii="Arial" w:hAnsi="Arial" w:cs="Arial"/>
        </w:rPr>
        <w:t>konstatováno, že v závislosti na časovém horizontu budou sledovány celospolečenské přínosy.</w:t>
      </w:r>
    </w:p>
    <w:p w:rsidR="00B37D2C" w:rsidRDefault="00323728" w:rsidP="00BD696B">
      <w:pPr>
        <w:pStyle w:val="Default"/>
        <w:spacing w:after="120"/>
        <w:jc w:val="both"/>
        <w:rPr>
          <w:rFonts w:ascii="Arial" w:hAnsi="Arial" w:cs="Arial"/>
        </w:rPr>
      </w:pPr>
      <w:r w:rsidRPr="00D37117">
        <w:rPr>
          <w:rFonts w:ascii="Arial" w:hAnsi="Arial" w:cs="Arial"/>
        </w:rPr>
        <w:t xml:space="preserve">Srovnání se současným stavem v České republice a v zahraničí </w:t>
      </w:r>
      <w:r w:rsidR="00E07BBA" w:rsidRPr="00D37117">
        <w:rPr>
          <w:rFonts w:ascii="Arial" w:hAnsi="Arial" w:cs="Arial"/>
        </w:rPr>
        <w:t xml:space="preserve">– </w:t>
      </w:r>
      <w:r w:rsidR="00B37D2C">
        <w:rPr>
          <w:rFonts w:ascii="Arial" w:hAnsi="Arial" w:cs="Arial"/>
        </w:rPr>
        <w:t>je v části 18 návrhu Programu.</w:t>
      </w:r>
    </w:p>
    <w:p w:rsidR="00F75CAD" w:rsidRPr="00234983" w:rsidRDefault="00F75CAD" w:rsidP="00BD696B">
      <w:pPr>
        <w:pStyle w:val="Odstavecseseznamem"/>
        <w:keepNext/>
        <w:numPr>
          <w:ilvl w:val="0"/>
          <w:numId w:val="1"/>
        </w:numPr>
        <w:spacing w:after="120"/>
        <w:contextualSpacing w:val="0"/>
        <w:jc w:val="both"/>
        <w:rPr>
          <w:rFonts w:ascii="Arial" w:hAnsi="Arial" w:cs="Arial"/>
          <w:color w:val="000000"/>
        </w:rPr>
      </w:pPr>
      <w:r w:rsidRPr="00234983">
        <w:rPr>
          <w:rFonts w:ascii="Arial" w:hAnsi="Arial" w:cs="Arial"/>
          <w:b/>
          <w:color w:val="0070C0"/>
        </w:rPr>
        <w:t>Soulad s ostatními koncepčními dokumenty</w:t>
      </w:r>
      <w:r w:rsidR="00B37D2C">
        <w:rPr>
          <w:rFonts w:ascii="Arial" w:hAnsi="Arial" w:cs="Arial"/>
          <w:b/>
          <w:color w:val="0070C0"/>
        </w:rPr>
        <w:t xml:space="preserve"> z oblasti výzkumu, vývoje </w:t>
      </w:r>
      <w:r w:rsidR="002A273C">
        <w:rPr>
          <w:rFonts w:ascii="Arial" w:hAnsi="Arial" w:cs="Arial"/>
          <w:b/>
          <w:color w:val="0070C0"/>
        </w:rPr>
        <w:t> </w:t>
      </w:r>
      <w:r w:rsidR="00B37D2C">
        <w:rPr>
          <w:rFonts w:ascii="Arial" w:hAnsi="Arial" w:cs="Arial"/>
          <w:b/>
          <w:color w:val="0070C0"/>
        </w:rPr>
        <w:t xml:space="preserve"> inovací:</w:t>
      </w:r>
      <w:r w:rsidRPr="00234983">
        <w:rPr>
          <w:rFonts w:ascii="Arial" w:hAnsi="Arial" w:cs="Arial"/>
          <w:b/>
          <w:color w:val="0070C0"/>
        </w:rPr>
        <w:t xml:space="preserve"> </w:t>
      </w:r>
    </w:p>
    <w:p w:rsidR="00B160A8" w:rsidRDefault="00234983" w:rsidP="00BD696B">
      <w:pPr>
        <w:spacing w:after="120"/>
        <w:ind w:left="3"/>
        <w:jc w:val="both"/>
        <w:rPr>
          <w:rFonts w:ascii="Arial" w:hAnsi="Arial" w:cs="Arial"/>
        </w:rPr>
      </w:pPr>
      <w:r w:rsidRPr="00234983">
        <w:rPr>
          <w:rFonts w:ascii="Arial" w:hAnsi="Arial" w:cs="Arial"/>
        </w:rPr>
        <w:t>Program bude realizován v souladu s</w:t>
      </w:r>
      <w:r w:rsidR="00930FC9">
        <w:rPr>
          <w:rFonts w:ascii="Arial" w:hAnsi="Arial" w:cs="Arial"/>
        </w:rPr>
        <w:t>:</w:t>
      </w:r>
    </w:p>
    <w:p w:rsidR="00B160A8" w:rsidRDefault="00234983" w:rsidP="00BD696B">
      <w:pPr>
        <w:pStyle w:val="Odstavecseseznamem"/>
        <w:numPr>
          <w:ilvl w:val="0"/>
          <w:numId w:val="44"/>
        </w:numPr>
        <w:spacing w:after="120"/>
        <w:jc w:val="both"/>
        <w:rPr>
          <w:rFonts w:ascii="Arial" w:hAnsi="Arial" w:cs="Arial"/>
        </w:rPr>
      </w:pPr>
      <w:r w:rsidRPr="00B160A8">
        <w:rPr>
          <w:rFonts w:ascii="Arial" w:hAnsi="Arial" w:cs="Arial"/>
        </w:rPr>
        <w:t>Národní politikou výzkumu, vývoje a inovací České republiky 2021+, schválenou usnesením vlády ČR ze dne 20. července 2020 č. 759 (dále jen „NP VaVaI“),</w:t>
      </w:r>
    </w:p>
    <w:p w:rsidR="00B160A8" w:rsidRDefault="00234983" w:rsidP="00BD696B">
      <w:pPr>
        <w:pStyle w:val="Odstavecseseznamem"/>
        <w:numPr>
          <w:ilvl w:val="0"/>
          <w:numId w:val="44"/>
        </w:numPr>
        <w:spacing w:after="120"/>
        <w:jc w:val="both"/>
        <w:rPr>
          <w:rFonts w:ascii="Arial" w:hAnsi="Arial" w:cs="Arial"/>
        </w:rPr>
      </w:pPr>
      <w:r w:rsidRPr="00B160A8">
        <w:rPr>
          <w:rFonts w:ascii="Arial" w:hAnsi="Arial" w:cs="Arial"/>
        </w:rPr>
        <w:t>Národní výzkumnou a inovační strategií pro inteligentní specializaci České republiky 2021-2027, schválenou usnesením vlády ČR ze dne 25. ledna 2021 č. 66 (dále</w:t>
      </w:r>
      <w:r w:rsidR="00BD696B">
        <w:rPr>
          <w:rFonts w:ascii="Arial" w:hAnsi="Arial" w:cs="Arial"/>
        </w:rPr>
        <w:t xml:space="preserve"> jen „Národní RIS3 strategie“),</w:t>
      </w:r>
    </w:p>
    <w:p w:rsidR="0020486F" w:rsidRDefault="00234983" w:rsidP="00BD696B">
      <w:pPr>
        <w:pStyle w:val="Odstavecseseznamem"/>
        <w:numPr>
          <w:ilvl w:val="0"/>
          <w:numId w:val="44"/>
        </w:numPr>
        <w:spacing w:after="120"/>
        <w:jc w:val="both"/>
        <w:rPr>
          <w:rFonts w:ascii="Arial" w:hAnsi="Arial" w:cs="Arial"/>
        </w:rPr>
      </w:pPr>
      <w:r w:rsidRPr="00B160A8">
        <w:rPr>
          <w:rFonts w:ascii="Arial" w:hAnsi="Arial" w:cs="Arial"/>
        </w:rPr>
        <w:t>Národními prioritami orientovaného výzkumu, experimentálního vývoje a</w:t>
      </w:r>
      <w:r w:rsidR="00B37D2C">
        <w:rPr>
          <w:rFonts w:ascii="Arial" w:hAnsi="Arial" w:cs="Arial"/>
        </w:rPr>
        <w:t> </w:t>
      </w:r>
      <w:r w:rsidRPr="00B160A8">
        <w:rPr>
          <w:rFonts w:ascii="Arial" w:hAnsi="Arial" w:cs="Arial"/>
        </w:rPr>
        <w:t>inovací, které byly přijaty usnesením vlády ze dne 19. července 2012 č. 552 (dále jen „NPOV“),</w:t>
      </w:r>
    </w:p>
    <w:p w:rsidR="0020486F" w:rsidRDefault="00234983" w:rsidP="00BD696B">
      <w:pPr>
        <w:pStyle w:val="Odstavecseseznamem"/>
        <w:numPr>
          <w:ilvl w:val="0"/>
          <w:numId w:val="44"/>
        </w:numPr>
        <w:spacing w:after="120"/>
        <w:jc w:val="both"/>
        <w:rPr>
          <w:rFonts w:ascii="Arial" w:hAnsi="Arial" w:cs="Arial"/>
        </w:rPr>
      </w:pPr>
      <w:r w:rsidRPr="00B160A8">
        <w:rPr>
          <w:rFonts w:ascii="Arial" w:hAnsi="Arial" w:cs="Arial"/>
        </w:rPr>
        <w:t xml:space="preserve">Inovační strategií České republiky 2019-2030 schválenou usnesením vlády </w:t>
      </w:r>
      <w:r w:rsidR="00BD696B">
        <w:rPr>
          <w:rFonts w:ascii="Arial" w:hAnsi="Arial" w:cs="Arial"/>
        </w:rPr>
        <w:t>ČR ze dne 4. února 2019 č. 104,</w:t>
      </w:r>
    </w:p>
    <w:p w:rsidR="0020486F" w:rsidRDefault="00234983" w:rsidP="00BD696B">
      <w:pPr>
        <w:pStyle w:val="Odstavecseseznamem"/>
        <w:numPr>
          <w:ilvl w:val="0"/>
          <w:numId w:val="44"/>
        </w:numPr>
        <w:spacing w:after="120"/>
        <w:jc w:val="both"/>
        <w:rPr>
          <w:rFonts w:ascii="Arial" w:hAnsi="Arial" w:cs="Arial"/>
        </w:rPr>
      </w:pPr>
      <w:r w:rsidRPr="00B160A8">
        <w:rPr>
          <w:rFonts w:ascii="Arial" w:hAnsi="Arial" w:cs="Arial"/>
        </w:rPr>
        <w:lastRenderedPageBreak/>
        <w:t>Dopravní politik</w:t>
      </w:r>
      <w:r w:rsidR="00B37D2C">
        <w:rPr>
          <w:rFonts w:ascii="Arial" w:hAnsi="Arial" w:cs="Arial"/>
        </w:rPr>
        <w:t>o</w:t>
      </w:r>
      <w:r w:rsidRPr="00B160A8">
        <w:rPr>
          <w:rFonts w:ascii="Arial" w:hAnsi="Arial" w:cs="Arial"/>
        </w:rPr>
        <w:t>u ČR pro období 2021 – 2027 s výhledem do roku 2050 (dále jen „Dopravní politika ČR“) schválenou usnesením vlády ČR ze dne 8. března 2021 č. 259</w:t>
      </w:r>
      <w:r w:rsidR="0020486F">
        <w:rPr>
          <w:rFonts w:ascii="Arial" w:hAnsi="Arial" w:cs="Arial"/>
        </w:rPr>
        <w:t>,</w:t>
      </w:r>
    </w:p>
    <w:p w:rsidR="00234983" w:rsidRPr="00B160A8" w:rsidRDefault="00234983" w:rsidP="00BD696B">
      <w:pPr>
        <w:pStyle w:val="Odstavecseseznamem"/>
        <w:numPr>
          <w:ilvl w:val="0"/>
          <w:numId w:val="44"/>
        </w:numPr>
        <w:spacing w:after="120"/>
        <w:ind w:left="782" w:hanging="357"/>
        <w:contextualSpacing w:val="0"/>
        <w:jc w:val="both"/>
        <w:rPr>
          <w:rFonts w:ascii="Arial" w:hAnsi="Arial" w:cs="Arial"/>
        </w:rPr>
      </w:pPr>
      <w:r w:rsidRPr="00B160A8">
        <w:rPr>
          <w:rFonts w:ascii="Arial" w:hAnsi="Arial" w:cs="Arial"/>
        </w:rPr>
        <w:t>dalšími národními a resortními strategiemi, včetně Koncepce výzkumu, vývoje a inovací v resortu dopravy do roku 2030 (dále jen „Dopravní koncepce VaVaI“).</w:t>
      </w:r>
    </w:p>
    <w:p w:rsidR="00056FE7" w:rsidRDefault="00234983" w:rsidP="00BD696B">
      <w:pPr>
        <w:spacing w:after="120"/>
        <w:ind w:left="6"/>
        <w:jc w:val="both"/>
        <w:rPr>
          <w:rFonts w:ascii="Arial" w:hAnsi="Arial" w:cs="Arial"/>
        </w:rPr>
      </w:pPr>
      <w:r w:rsidRPr="00234983">
        <w:rPr>
          <w:rFonts w:ascii="Arial" w:hAnsi="Arial" w:cs="Arial"/>
        </w:rPr>
        <w:t>Program bude rovněž realizován v souladu s Metodikou hodnocení výzkumných organizací a hodnocení programů účelové podpory, schválené usnesením vlády ze dne 8. února 2017 č. 107 (dále jen „Metodika“), či s metodikou hodnocení výzkumných organizací a hodnocení programů účelové podpory platnou v době jejího uplatňování</w:t>
      </w:r>
      <w:r w:rsidR="00056FE7">
        <w:rPr>
          <w:rFonts w:ascii="Arial" w:hAnsi="Arial" w:cs="Arial"/>
        </w:rPr>
        <w:t xml:space="preserve"> a Zá</w:t>
      </w:r>
      <w:r w:rsidR="00056FE7" w:rsidRPr="003055CE">
        <w:rPr>
          <w:rFonts w:ascii="Arial" w:hAnsi="Arial" w:cs="Arial"/>
          <w:color w:val="000000"/>
        </w:rPr>
        <w:t>kladní</w:t>
      </w:r>
      <w:r w:rsidR="00056FE7">
        <w:rPr>
          <w:rFonts w:ascii="Arial" w:hAnsi="Arial" w:cs="Arial"/>
          <w:color w:val="000000"/>
        </w:rPr>
        <w:t>mi principy</w:t>
      </w:r>
      <w:r w:rsidR="00056FE7" w:rsidRPr="003055CE">
        <w:rPr>
          <w:rFonts w:ascii="Arial" w:hAnsi="Arial" w:cs="Arial"/>
          <w:color w:val="000000"/>
        </w:rPr>
        <w:t xml:space="preserve"> přípravy a hodnocení programů a skupin grantových projektů výzkumu, vývoje a inovací (příloha k usnesení vlády ze dne 13. května 2015 č. 351), (dále jen „Principy“)</w:t>
      </w:r>
      <w:r w:rsidR="00056FE7">
        <w:rPr>
          <w:rFonts w:ascii="Arial" w:hAnsi="Arial" w:cs="Arial"/>
          <w:color w:val="000000"/>
        </w:rPr>
        <w:t>.</w:t>
      </w:r>
    </w:p>
    <w:p w:rsidR="00056FE7" w:rsidRPr="00056FE7" w:rsidRDefault="00056FE7" w:rsidP="00BD696B">
      <w:pPr>
        <w:pStyle w:val="Odstavecseseznamem"/>
        <w:keepNext/>
        <w:numPr>
          <w:ilvl w:val="0"/>
          <w:numId w:val="1"/>
        </w:numPr>
        <w:spacing w:after="120"/>
        <w:jc w:val="both"/>
        <w:rPr>
          <w:rFonts w:ascii="Arial" w:hAnsi="Arial" w:cs="Arial"/>
          <w:b/>
          <w:color w:val="0070C0"/>
        </w:rPr>
      </w:pPr>
      <w:r w:rsidRPr="00056FE7">
        <w:rPr>
          <w:rFonts w:ascii="Arial" w:hAnsi="Arial" w:cs="Arial"/>
          <w:b/>
          <w:color w:val="0070C0"/>
        </w:rPr>
        <w:t xml:space="preserve">Soulad s Principy </w:t>
      </w:r>
    </w:p>
    <w:p w:rsidR="00056FE7" w:rsidRPr="00DD465B" w:rsidRDefault="00056FE7" w:rsidP="00BD696B">
      <w:pPr>
        <w:autoSpaceDE w:val="0"/>
        <w:autoSpaceDN w:val="0"/>
        <w:adjustRightInd w:val="0"/>
        <w:spacing w:after="120"/>
        <w:jc w:val="both"/>
        <w:rPr>
          <w:rFonts w:ascii="Arial" w:eastAsiaTheme="minorHAnsi" w:hAnsi="Arial" w:cs="Arial"/>
          <w:bCs/>
          <w:lang w:eastAsia="en-US"/>
        </w:rPr>
      </w:pPr>
      <w:r w:rsidRPr="00DD465B">
        <w:rPr>
          <w:rFonts w:ascii="Arial" w:eastAsiaTheme="minorHAnsi" w:hAnsi="Arial" w:cs="Arial"/>
          <w:lang w:eastAsia="en-US"/>
        </w:rPr>
        <w:t xml:space="preserve">Při posouzení souladu s Principy Rada vycházela z </w:t>
      </w:r>
      <w:r w:rsidRPr="00DD465B">
        <w:rPr>
          <w:rFonts w:ascii="Arial" w:eastAsiaTheme="minorHAnsi" w:hAnsi="Arial" w:cs="Arial"/>
          <w:bCs/>
          <w:lang w:eastAsia="en-US"/>
        </w:rPr>
        <w:t xml:space="preserve">Ex-ante analýzy návrhu </w:t>
      </w:r>
      <w:r w:rsidR="00B37D2C" w:rsidRPr="00DD465B">
        <w:rPr>
          <w:rFonts w:ascii="Arial" w:eastAsiaTheme="minorHAnsi" w:hAnsi="Arial" w:cs="Arial"/>
          <w:bCs/>
          <w:lang w:eastAsia="en-US"/>
        </w:rPr>
        <w:t>P</w:t>
      </w:r>
      <w:r w:rsidRPr="00DD465B">
        <w:rPr>
          <w:rFonts w:ascii="Arial" w:eastAsiaTheme="minorHAnsi" w:hAnsi="Arial" w:cs="Arial"/>
          <w:bCs/>
          <w:lang w:eastAsia="en-US"/>
        </w:rPr>
        <w:t>rogramu na podporu aplikovaného výzkumu a inovací v oblasti dopravy – DOPRAVA 2030 a dalších příloh.</w:t>
      </w:r>
    </w:p>
    <w:p w:rsidR="00056FE7" w:rsidRPr="00DD465B" w:rsidRDefault="00056FE7" w:rsidP="00BD696B">
      <w:pPr>
        <w:autoSpaceDE w:val="0"/>
        <w:autoSpaceDN w:val="0"/>
        <w:adjustRightInd w:val="0"/>
        <w:spacing w:after="120"/>
        <w:jc w:val="both"/>
        <w:rPr>
          <w:rFonts w:ascii="Arial" w:eastAsiaTheme="minorHAnsi" w:hAnsi="Arial" w:cs="Arial"/>
          <w:lang w:eastAsia="en-US"/>
        </w:rPr>
      </w:pPr>
      <w:r w:rsidRPr="00DD465B">
        <w:rPr>
          <w:rFonts w:ascii="Arial" w:eastAsiaTheme="minorHAnsi" w:hAnsi="Arial" w:cs="Arial"/>
          <w:lang w:eastAsia="en-US"/>
        </w:rPr>
        <w:t xml:space="preserve">Návrh Programu je v souladu s částí 2. dokumentu Principy, který obsahuje Pravidla pro přípravu programů a skupiny grantových projektů. </w:t>
      </w:r>
    </w:p>
    <w:p w:rsidR="00B833B4" w:rsidRPr="00DD465B" w:rsidRDefault="00B833B4" w:rsidP="00B833B4">
      <w:pPr>
        <w:pStyle w:val="Odstavecseseznamem"/>
        <w:keepNext/>
        <w:numPr>
          <w:ilvl w:val="0"/>
          <w:numId w:val="1"/>
        </w:numPr>
        <w:spacing w:after="120"/>
        <w:jc w:val="both"/>
        <w:rPr>
          <w:rFonts w:ascii="Arial" w:hAnsi="Arial" w:cs="Arial"/>
          <w:b/>
          <w:color w:val="0070C0"/>
        </w:rPr>
      </w:pPr>
      <w:r w:rsidRPr="00DD465B">
        <w:rPr>
          <w:rFonts w:ascii="Arial" w:hAnsi="Arial" w:cs="Arial"/>
          <w:b/>
          <w:color w:val="0070C0"/>
        </w:rPr>
        <w:t>Vyjádření Komise pro hodnocení výzkumných organizací a ukončených programů</w:t>
      </w:r>
    </w:p>
    <w:p w:rsidR="00B833B4" w:rsidRPr="00DD465B" w:rsidRDefault="00B833B4" w:rsidP="00DD465B">
      <w:pPr>
        <w:spacing w:after="120"/>
        <w:jc w:val="both"/>
        <w:rPr>
          <w:rFonts w:ascii="Arial" w:hAnsi="Arial" w:cs="Arial"/>
        </w:rPr>
      </w:pPr>
      <w:r w:rsidRPr="00DD465B">
        <w:rPr>
          <w:rFonts w:ascii="Arial" w:hAnsi="Arial" w:cs="Arial"/>
          <w:bCs/>
        </w:rPr>
        <w:t xml:space="preserve">K dokumentu se vyjádřila na svém zasedání dne 6. dubna 2022 Komise pro hodnocení výzkumných organizací a ukončených programů, která konstatovala, že návrh Programu </w:t>
      </w:r>
      <w:r w:rsidRPr="00DD465B">
        <w:rPr>
          <w:rFonts w:ascii="Arial" w:hAnsi="Arial" w:cs="Arial"/>
        </w:rPr>
        <w:t xml:space="preserve"> plní z 91 % požadavky na kvalitu </w:t>
      </w:r>
      <w:r w:rsidR="00DD465B">
        <w:rPr>
          <w:rFonts w:ascii="Arial" w:hAnsi="Arial" w:cs="Arial"/>
        </w:rPr>
        <w:t>P</w:t>
      </w:r>
      <w:r w:rsidRPr="00DD465B">
        <w:rPr>
          <w:rFonts w:ascii="Arial" w:hAnsi="Arial" w:cs="Arial"/>
        </w:rPr>
        <w:t>rogramu a doporučila jeho předložení na zasedání Rady.</w:t>
      </w:r>
    </w:p>
    <w:p w:rsidR="001D680B" w:rsidRPr="00DD465B" w:rsidRDefault="001D680B" w:rsidP="00B833B4">
      <w:pPr>
        <w:pStyle w:val="Odstavecseseznamem"/>
        <w:numPr>
          <w:ilvl w:val="0"/>
          <w:numId w:val="1"/>
        </w:numPr>
        <w:spacing w:after="120"/>
        <w:jc w:val="both"/>
        <w:rPr>
          <w:rFonts w:ascii="Arial" w:hAnsi="Arial" w:cs="Arial"/>
          <w:color w:val="000000"/>
        </w:rPr>
      </w:pPr>
      <w:r w:rsidRPr="00DD465B">
        <w:rPr>
          <w:rFonts w:ascii="Arial" w:hAnsi="Arial" w:cs="Arial"/>
          <w:b/>
          <w:color w:val="0070C0"/>
        </w:rPr>
        <w:t>K materiálu předkládanému na jednání vlády</w:t>
      </w:r>
    </w:p>
    <w:p w:rsidR="00B37D2C" w:rsidRPr="00DD465B" w:rsidRDefault="001D680B" w:rsidP="00BD696B">
      <w:pPr>
        <w:suppressAutoHyphens/>
        <w:spacing w:after="120"/>
        <w:ind w:left="3"/>
        <w:jc w:val="both"/>
        <w:rPr>
          <w:rFonts w:ascii="Arial" w:hAnsi="Arial" w:cs="Arial"/>
        </w:rPr>
      </w:pPr>
      <w:r w:rsidRPr="00DD465B">
        <w:rPr>
          <w:rFonts w:ascii="Arial" w:hAnsi="Arial" w:cs="Arial"/>
        </w:rPr>
        <w:t>Předložený dokument obsahuje dle Jednacího řádu vlády všechny náležitosti materiálu předkládaného na jednání vlády.</w:t>
      </w:r>
    </w:p>
    <w:p w:rsidR="003A1C65" w:rsidRPr="00DD465B" w:rsidRDefault="005E49BE" w:rsidP="00B833B4">
      <w:pPr>
        <w:pStyle w:val="Odstavecseseznamem"/>
        <w:numPr>
          <w:ilvl w:val="0"/>
          <w:numId w:val="1"/>
        </w:numPr>
        <w:spacing w:after="120"/>
        <w:jc w:val="both"/>
        <w:rPr>
          <w:rFonts w:ascii="Arial" w:hAnsi="Arial" w:cs="Arial"/>
          <w:color w:val="000000"/>
        </w:rPr>
      </w:pPr>
      <w:r w:rsidRPr="00DD465B">
        <w:rPr>
          <w:rFonts w:ascii="Arial" w:hAnsi="Arial" w:cs="Arial"/>
          <w:b/>
          <w:color w:val="0070C0"/>
        </w:rPr>
        <w:t>Souhrnné věcné zhodnocení návrhu programu Radou</w:t>
      </w:r>
      <w:r w:rsidR="003A1C65" w:rsidRPr="00DD465B">
        <w:rPr>
          <w:rFonts w:ascii="Arial" w:hAnsi="Arial" w:cs="Arial"/>
          <w:b/>
          <w:color w:val="0070C0"/>
        </w:rPr>
        <w:t xml:space="preserve"> </w:t>
      </w:r>
    </w:p>
    <w:p w:rsidR="0020486F" w:rsidRPr="0020486F" w:rsidRDefault="0020486F" w:rsidP="00BD696B">
      <w:pPr>
        <w:pStyle w:val="Default"/>
        <w:spacing w:after="120"/>
        <w:jc w:val="both"/>
        <w:rPr>
          <w:rFonts w:ascii="Arial" w:eastAsiaTheme="minorHAnsi" w:hAnsi="Arial" w:cs="Arial"/>
          <w:lang w:eastAsia="en-US"/>
        </w:rPr>
      </w:pPr>
      <w:r w:rsidRPr="0020486F">
        <w:rPr>
          <w:rFonts w:ascii="Arial" w:eastAsiaTheme="minorHAnsi" w:hAnsi="Arial" w:cs="Arial"/>
          <w:lang w:eastAsia="en-US"/>
        </w:rPr>
        <w:t>Rada konstatuje, že n</w:t>
      </w:r>
      <w:r w:rsidR="00234983" w:rsidRPr="00234983">
        <w:rPr>
          <w:rFonts w:ascii="Arial" w:eastAsiaTheme="minorHAnsi" w:hAnsi="Arial" w:cs="Arial"/>
          <w:lang w:eastAsia="en-US"/>
        </w:rPr>
        <w:t xml:space="preserve">ávrh </w:t>
      </w:r>
      <w:r w:rsidR="00234983" w:rsidRPr="0020486F">
        <w:rPr>
          <w:rFonts w:ascii="Arial" w:eastAsiaTheme="minorHAnsi" w:hAnsi="Arial" w:cs="Arial"/>
          <w:lang w:eastAsia="en-US"/>
        </w:rPr>
        <w:t>P</w:t>
      </w:r>
      <w:r w:rsidR="00234983" w:rsidRPr="00234983">
        <w:rPr>
          <w:rFonts w:ascii="Arial" w:eastAsiaTheme="minorHAnsi" w:hAnsi="Arial" w:cs="Arial"/>
          <w:lang w:eastAsia="en-US"/>
        </w:rPr>
        <w:t>rogramu je zpracován v</w:t>
      </w:r>
      <w:r w:rsidR="00234983" w:rsidRPr="0020486F">
        <w:rPr>
          <w:rFonts w:ascii="Arial" w:eastAsiaTheme="minorHAnsi" w:hAnsi="Arial" w:cs="Arial"/>
          <w:lang w:eastAsia="en-US"/>
        </w:rPr>
        <w:t> souladu s p</w:t>
      </w:r>
      <w:r w:rsidR="00234983" w:rsidRPr="00234983">
        <w:rPr>
          <w:rFonts w:ascii="Arial" w:eastAsiaTheme="minorHAnsi" w:hAnsi="Arial" w:cs="Arial"/>
          <w:lang w:eastAsia="en-US"/>
        </w:rPr>
        <w:t>rávní</w:t>
      </w:r>
      <w:r w:rsidR="00234983" w:rsidRPr="0020486F">
        <w:rPr>
          <w:rFonts w:ascii="Arial" w:eastAsiaTheme="minorHAnsi" w:hAnsi="Arial" w:cs="Arial"/>
          <w:lang w:eastAsia="en-US"/>
        </w:rPr>
        <w:t>mi</w:t>
      </w:r>
      <w:r w:rsidR="00234983" w:rsidRPr="00234983">
        <w:rPr>
          <w:rFonts w:ascii="Arial" w:eastAsiaTheme="minorHAnsi" w:hAnsi="Arial" w:cs="Arial"/>
          <w:lang w:eastAsia="en-US"/>
        </w:rPr>
        <w:t xml:space="preserve"> předpisy i</w:t>
      </w:r>
      <w:r w:rsidRPr="0020486F">
        <w:rPr>
          <w:rFonts w:ascii="Arial" w:eastAsiaTheme="minorHAnsi" w:hAnsi="Arial" w:cs="Arial"/>
          <w:lang w:eastAsia="en-US"/>
        </w:rPr>
        <w:t> </w:t>
      </w:r>
      <w:r w:rsidR="00234983" w:rsidRPr="00234983">
        <w:rPr>
          <w:rFonts w:ascii="Arial" w:eastAsiaTheme="minorHAnsi" w:hAnsi="Arial" w:cs="Arial"/>
          <w:lang w:eastAsia="en-US"/>
        </w:rPr>
        <w:t>strategick</w:t>
      </w:r>
      <w:r w:rsidR="00234983" w:rsidRPr="0020486F">
        <w:rPr>
          <w:rFonts w:ascii="Arial" w:eastAsiaTheme="minorHAnsi" w:hAnsi="Arial" w:cs="Arial"/>
          <w:lang w:eastAsia="en-US"/>
        </w:rPr>
        <w:t>ými</w:t>
      </w:r>
      <w:r w:rsidR="00234983" w:rsidRPr="00234983">
        <w:rPr>
          <w:rFonts w:ascii="Arial" w:eastAsiaTheme="minorHAnsi" w:hAnsi="Arial" w:cs="Arial"/>
          <w:lang w:eastAsia="en-US"/>
        </w:rPr>
        <w:t xml:space="preserve"> dokumenty v oblasti výzkumu</w:t>
      </w:r>
      <w:r w:rsidR="00234983" w:rsidRPr="0020486F">
        <w:rPr>
          <w:rFonts w:ascii="Arial" w:eastAsiaTheme="minorHAnsi" w:hAnsi="Arial" w:cs="Arial"/>
          <w:lang w:eastAsia="en-US"/>
        </w:rPr>
        <w:t>, vývoje a inovací, které jsou platné v ČR i v zahraničí a dalšími požadavky a doporučeními Rady při přípravě nových programů výzkumu, vývoje a inovací.</w:t>
      </w:r>
    </w:p>
    <w:p w:rsidR="0020486F" w:rsidRPr="0020486F" w:rsidRDefault="002129E3" w:rsidP="00BD696B">
      <w:pPr>
        <w:pStyle w:val="Default"/>
        <w:spacing w:after="120"/>
        <w:jc w:val="both"/>
        <w:rPr>
          <w:rFonts w:ascii="Arial" w:eastAsiaTheme="minorHAnsi" w:hAnsi="Arial" w:cs="Arial"/>
          <w:lang w:eastAsia="en-US"/>
        </w:rPr>
      </w:pPr>
      <w:r w:rsidRPr="0020486F">
        <w:rPr>
          <w:rFonts w:ascii="Arial" w:eastAsiaTheme="minorHAnsi" w:hAnsi="Arial" w:cs="Arial"/>
          <w:lang w:eastAsia="en-US"/>
        </w:rPr>
        <w:t>Program má navázat na program DOPRAVA 2020+, který implementuje TA ČR.</w:t>
      </w:r>
    </w:p>
    <w:p w:rsidR="00234983" w:rsidRPr="0020486F" w:rsidRDefault="002129E3" w:rsidP="00BD696B">
      <w:pPr>
        <w:pStyle w:val="Default"/>
        <w:spacing w:after="120"/>
        <w:jc w:val="both"/>
        <w:rPr>
          <w:rFonts w:ascii="Arial" w:eastAsiaTheme="minorHAnsi" w:hAnsi="Arial" w:cs="Arial"/>
          <w:lang w:eastAsia="en-US"/>
        </w:rPr>
      </w:pPr>
      <w:r w:rsidRPr="0020486F">
        <w:rPr>
          <w:rFonts w:ascii="Arial" w:eastAsiaTheme="minorHAnsi" w:hAnsi="Arial" w:cs="Arial"/>
          <w:lang w:eastAsia="en-US"/>
        </w:rPr>
        <w:t xml:space="preserve">Pro úspěšnou realizaci Programu bude třeba vysoká míra spolupráce </w:t>
      </w:r>
      <w:r w:rsidR="00D83D55">
        <w:rPr>
          <w:rFonts w:ascii="Arial" w:eastAsiaTheme="minorHAnsi" w:hAnsi="Arial" w:cs="Arial"/>
          <w:lang w:eastAsia="en-US"/>
        </w:rPr>
        <w:t>Ministerstvo dopravy (dále jen „</w:t>
      </w:r>
      <w:r w:rsidRPr="0020486F">
        <w:rPr>
          <w:rFonts w:ascii="Arial" w:eastAsiaTheme="minorHAnsi" w:hAnsi="Arial" w:cs="Arial"/>
          <w:lang w:eastAsia="en-US"/>
        </w:rPr>
        <w:t>MD</w:t>
      </w:r>
      <w:r w:rsidR="00D83D55">
        <w:rPr>
          <w:rFonts w:ascii="Arial" w:eastAsiaTheme="minorHAnsi" w:hAnsi="Arial" w:cs="Arial"/>
          <w:lang w:eastAsia="en-US"/>
        </w:rPr>
        <w:t xml:space="preserve">“) </w:t>
      </w:r>
      <w:r w:rsidRPr="0020486F">
        <w:rPr>
          <w:rFonts w:ascii="Arial" w:eastAsiaTheme="minorHAnsi" w:hAnsi="Arial" w:cs="Arial"/>
          <w:lang w:eastAsia="en-US"/>
        </w:rPr>
        <w:t>a TA ČR.</w:t>
      </w:r>
    </w:p>
    <w:p w:rsidR="002129E3" w:rsidRDefault="002129E3" w:rsidP="00BD696B">
      <w:pPr>
        <w:pStyle w:val="Default"/>
        <w:spacing w:after="120"/>
        <w:jc w:val="both"/>
        <w:rPr>
          <w:rFonts w:ascii="Arial" w:eastAsiaTheme="minorHAnsi" w:hAnsi="Arial" w:cs="Arial"/>
          <w:lang w:eastAsia="en-US"/>
        </w:rPr>
      </w:pPr>
      <w:r w:rsidRPr="0020486F">
        <w:rPr>
          <w:rFonts w:ascii="Arial" w:eastAsiaTheme="minorHAnsi" w:hAnsi="Arial" w:cs="Arial"/>
          <w:lang w:eastAsia="en-US"/>
        </w:rPr>
        <w:t>Rada současně doporučuje MD, aby akceptovalo připomínky</w:t>
      </w:r>
      <w:r w:rsidR="0020486F">
        <w:rPr>
          <w:rFonts w:ascii="Arial" w:eastAsiaTheme="minorHAnsi" w:hAnsi="Arial" w:cs="Arial"/>
          <w:lang w:eastAsia="en-US"/>
        </w:rPr>
        <w:t xml:space="preserve"> a doporučení </w:t>
      </w:r>
      <w:r w:rsidRPr="0020486F">
        <w:rPr>
          <w:rFonts w:ascii="Arial" w:eastAsiaTheme="minorHAnsi" w:hAnsi="Arial" w:cs="Arial"/>
          <w:lang w:eastAsia="en-US"/>
        </w:rPr>
        <w:t>obsažen</w:t>
      </w:r>
      <w:r w:rsidR="0020486F">
        <w:rPr>
          <w:rFonts w:ascii="Arial" w:eastAsiaTheme="minorHAnsi" w:hAnsi="Arial" w:cs="Arial"/>
          <w:lang w:eastAsia="en-US"/>
        </w:rPr>
        <w:t>á</w:t>
      </w:r>
      <w:r w:rsidRPr="0020486F">
        <w:rPr>
          <w:rFonts w:ascii="Arial" w:eastAsiaTheme="minorHAnsi" w:hAnsi="Arial" w:cs="Arial"/>
          <w:lang w:eastAsia="en-US"/>
        </w:rPr>
        <w:t xml:space="preserve"> ve stanoviscích odborných garantů.</w:t>
      </w:r>
    </w:p>
    <w:p w:rsidR="0020486F" w:rsidRDefault="0020486F" w:rsidP="00BD696B">
      <w:pPr>
        <w:spacing w:after="120"/>
        <w:jc w:val="both"/>
        <w:rPr>
          <w:rFonts w:ascii="Arial" w:eastAsiaTheme="minorHAnsi" w:hAnsi="Arial" w:cs="Arial"/>
          <w:bCs/>
          <w:color w:val="000000"/>
          <w:lang w:eastAsia="en-US"/>
        </w:rPr>
      </w:pPr>
      <w:r w:rsidRPr="0020486F">
        <w:rPr>
          <w:rFonts w:ascii="Arial" w:eastAsiaTheme="minorHAnsi" w:hAnsi="Arial" w:cs="Arial"/>
          <w:bCs/>
          <w:color w:val="000000"/>
          <w:lang w:eastAsia="en-US"/>
        </w:rPr>
        <w:t xml:space="preserve">Přílohou návrhu Programu je ex-ante analýza, </w:t>
      </w:r>
      <w:r>
        <w:rPr>
          <w:rFonts w:ascii="Arial" w:eastAsiaTheme="minorHAnsi" w:hAnsi="Arial" w:cs="Arial"/>
          <w:bCs/>
          <w:color w:val="000000"/>
          <w:lang w:eastAsia="en-US"/>
        </w:rPr>
        <w:t xml:space="preserve">posudky expertů i vyjádření </w:t>
      </w:r>
      <w:r w:rsidRPr="0020486F">
        <w:rPr>
          <w:rFonts w:ascii="Arial" w:eastAsiaTheme="minorHAnsi" w:hAnsi="Arial" w:cs="Arial"/>
          <w:bCs/>
          <w:color w:val="000000"/>
          <w:lang w:eastAsia="en-US"/>
        </w:rPr>
        <w:t xml:space="preserve"> </w:t>
      </w:r>
      <w:r w:rsidR="00A5787F" w:rsidRPr="00A5787F">
        <w:rPr>
          <w:rFonts w:ascii="Arial" w:eastAsiaTheme="minorHAnsi" w:hAnsi="Arial" w:cs="Arial"/>
          <w:bCs/>
          <w:color w:val="000000"/>
          <w:lang w:eastAsia="en-US"/>
        </w:rPr>
        <w:t>Komise pro hodnocení výzkumných organizací a ukončených programů</w:t>
      </w:r>
      <w:r w:rsidR="00F63C85">
        <w:rPr>
          <w:rFonts w:ascii="Arial" w:eastAsiaTheme="minorHAnsi" w:hAnsi="Arial" w:cs="Arial"/>
          <w:bCs/>
          <w:color w:val="000000"/>
          <w:lang w:eastAsia="en-US"/>
        </w:rPr>
        <w:t>.</w:t>
      </w:r>
      <w:bookmarkStart w:id="0" w:name="_GoBack"/>
      <w:bookmarkEnd w:id="0"/>
    </w:p>
    <w:p w:rsidR="00CD4315" w:rsidRDefault="00A30498" w:rsidP="00B833B4">
      <w:pPr>
        <w:pStyle w:val="Odstavecseseznamem"/>
        <w:keepNext/>
        <w:numPr>
          <w:ilvl w:val="0"/>
          <w:numId w:val="1"/>
        </w:numPr>
        <w:spacing w:after="120"/>
        <w:jc w:val="both"/>
        <w:rPr>
          <w:rFonts w:ascii="Arial" w:hAnsi="Arial" w:cs="Arial"/>
          <w:b/>
          <w:color w:val="0070C0"/>
        </w:rPr>
      </w:pPr>
      <w:r w:rsidRPr="00901AD6">
        <w:rPr>
          <w:rFonts w:ascii="Arial" w:hAnsi="Arial" w:cs="Arial"/>
          <w:b/>
          <w:color w:val="0070C0"/>
        </w:rPr>
        <w:lastRenderedPageBreak/>
        <w:t>Připomínky a doporučení Rady:</w:t>
      </w:r>
    </w:p>
    <w:p w:rsidR="00D44B49" w:rsidRDefault="00D44B49" w:rsidP="00D44B49">
      <w:pPr>
        <w:pStyle w:val="Zkladntext2"/>
        <w:keepNext/>
        <w:numPr>
          <w:ilvl w:val="0"/>
          <w:numId w:val="34"/>
        </w:numPr>
        <w:spacing w:after="120"/>
        <w:jc w:val="both"/>
        <w:rPr>
          <w:rFonts w:ascii="Arial" w:hAnsi="Arial" w:cs="Arial"/>
          <w:szCs w:val="24"/>
          <w:u w:val="single"/>
        </w:rPr>
      </w:pPr>
      <w:r w:rsidRPr="00D44B49">
        <w:rPr>
          <w:rFonts w:ascii="Arial" w:hAnsi="Arial" w:cs="Arial"/>
          <w:szCs w:val="24"/>
          <w:u w:val="single"/>
        </w:rPr>
        <w:t>Zásadní připomínka k návrhu rozpočtu Programu</w:t>
      </w:r>
    </w:p>
    <w:p w:rsidR="00E90237" w:rsidRDefault="00E90237" w:rsidP="00E90237">
      <w:pPr>
        <w:pStyle w:val="Default"/>
        <w:ind w:left="708"/>
        <w:jc w:val="both"/>
        <w:rPr>
          <w:rFonts w:ascii="Arial" w:hAnsi="Arial" w:cs="Arial"/>
        </w:rPr>
      </w:pPr>
      <w:r w:rsidRPr="00E90237">
        <w:rPr>
          <w:rFonts w:ascii="Arial" w:hAnsi="Arial" w:cs="Arial"/>
        </w:rPr>
        <w:t xml:space="preserve">Rada požaduje </w:t>
      </w:r>
      <w:r w:rsidR="005D74BC">
        <w:rPr>
          <w:rFonts w:ascii="Arial" w:hAnsi="Arial" w:cs="Arial"/>
        </w:rPr>
        <w:t>uvést do souladu</w:t>
      </w:r>
      <w:r>
        <w:rPr>
          <w:rFonts w:ascii="Arial" w:hAnsi="Arial" w:cs="Arial"/>
        </w:rPr>
        <w:t xml:space="preserve"> výši celkových </w:t>
      </w:r>
      <w:r w:rsidR="005D74BC">
        <w:rPr>
          <w:rFonts w:ascii="Arial" w:hAnsi="Arial" w:cs="Arial"/>
        </w:rPr>
        <w:t xml:space="preserve">plánovaných </w:t>
      </w:r>
      <w:r>
        <w:rPr>
          <w:rFonts w:ascii="Arial" w:hAnsi="Arial" w:cs="Arial"/>
        </w:rPr>
        <w:t>výdajů na</w:t>
      </w:r>
      <w:r w:rsidR="005D74BC">
        <w:rPr>
          <w:rFonts w:ascii="Arial" w:hAnsi="Arial" w:cs="Arial"/>
        </w:rPr>
        <w:t> </w:t>
      </w:r>
      <w:r>
        <w:rPr>
          <w:rFonts w:ascii="Arial" w:hAnsi="Arial" w:cs="Arial"/>
        </w:rPr>
        <w:t>Program s usnesením vlády</w:t>
      </w:r>
      <w:r w:rsidRPr="00E90237">
        <w:rPr>
          <w:rFonts w:ascii="Arial" w:hAnsi="Arial" w:cs="Arial"/>
        </w:rPr>
        <w:t xml:space="preserve"> </w:t>
      </w:r>
      <w:r w:rsidRPr="00AC76AA">
        <w:rPr>
          <w:rFonts w:ascii="Arial" w:hAnsi="Arial" w:cs="Arial"/>
        </w:rPr>
        <w:t>ze dne 1. 6. 2022 č. 471, k přípravě státního rozpočtu na rok 2023 a střednědobého výhledu na léta 2024 a 2025</w:t>
      </w:r>
      <w:r w:rsidR="005D74BC">
        <w:rPr>
          <w:rFonts w:ascii="Arial" w:hAnsi="Arial" w:cs="Arial"/>
        </w:rPr>
        <w:t>. Pl</w:t>
      </w:r>
      <w:r w:rsidRPr="00EB275A">
        <w:rPr>
          <w:rStyle w:val="Siln"/>
          <w:rFonts w:ascii="Arial" w:hAnsi="Arial" w:cs="Arial"/>
          <w:b w:val="0"/>
        </w:rPr>
        <w:t xml:space="preserve">ánované výdaje </w:t>
      </w:r>
      <w:r w:rsidR="005D74BC">
        <w:rPr>
          <w:rStyle w:val="Siln"/>
          <w:rFonts w:ascii="Arial" w:hAnsi="Arial" w:cs="Arial"/>
          <w:b w:val="0"/>
        </w:rPr>
        <w:t>musí k</w:t>
      </w:r>
      <w:r w:rsidRPr="00EB275A">
        <w:rPr>
          <w:rStyle w:val="Siln"/>
          <w:rFonts w:ascii="Arial" w:hAnsi="Arial" w:cs="Arial"/>
          <w:b w:val="0"/>
        </w:rPr>
        <w:t>orespondova</w:t>
      </w:r>
      <w:r w:rsidR="005D74BC">
        <w:rPr>
          <w:rStyle w:val="Siln"/>
          <w:rFonts w:ascii="Arial" w:hAnsi="Arial" w:cs="Arial"/>
          <w:b w:val="0"/>
        </w:rPr>
        <w:t>t</w:t>
      </w:r>
      <w:r w:rsidRPr="00EB275A">
        <w:rPr>
          <w:rStyle w:val="Siln"/>
          <w:rFonts w:ascii="Arial" w:hAnsi="Arial" w:cs="Arial"/>
          <w:b w:val="0"/>
        </w:rPr>
        <w:t xml:space="preserve"> s návrhem výdajů </w:t>
      </w:r>
      <w:r w:rsidRPr="00EB275A">
        <w:rPr>
          <w:rFonts w:ascii="Arial" w:hAnsi="Arial" w:cs="Arial"/>
        </w:rPr>
        <w:t xml:space="preserve"> státního rozpočtu na rok 2023 a</w:t>
      </w:r>
      <w:r w:rsidR="005D74BC">
        <w:rPr>
          <w:rFonts w:ascii="Arial" w:hAnsi="Arial" w:cs="Arial"/>
        </w:rPr>
        <w:t> </w:t>
      </w:r>
      <w:r w:rsidRPr="00EB275A">
        <w:rPr>
          <w:rFonts w:ascii="Arial" w:hAnsi="Arial" w:cs="Arial"/>
        </w:rPr>
        <w:t>střednědobého výhledu na léta 2024 a 2025</w:t>
      </w:r>
      <w:r>
        <w:rPr>
          <w:rFonts w:ascii="Arial" w:hAnsi="Arial" w:cs="Arial"/>
        </w:rPr>
        <w:t>.</w:t>
      </w:r>
    </w:p>
    <w:p w:rsidR="00E90237" w:rsidRDefault="00E90237" w:rsidP="00E90237">
      <w:pPr>
        <w:pStyle w:val="Default"/>
        <w:jc w:val="both"/>
        <w:rPr>
          <w:rFonts w:ascii="Arial" w:hAnsi="Arial" w:cs="Arial"/>
        </w:rPr>
      </w:pPr>
    </w:p>
    <w:p w:rsidR="001A4690" w:rsidRPr="001B4B18" w:rsidRDefault="001A4690" w:rsidP="005D74BC">
      <w:pPr>
        <w:pStyle w:val="Default"/>
        <w:numPr>
          <w:ilvl w:val="0"/>
          <w:numId w:val="34"/>
        </w:numPr>
        <w:jc w:val="both"/>
        <w:rPr>
          <w:rFonts w:ascii="Arial" w:hAnsi="Arial" w:cs="Arial"/>
          <w:u w:val="single"/>
        </w:rPr>
      </w:pPr>
      <w:r w:rsidRPr="001B4B18">
        <w:rPr>
          <w:rFonts w:ascii="Arial" w:hAnsi="Arial" w:cs="Arial"/>
          <w:u w:val="single"/>
        </w:rPr>
        <w:t>Zásadní připomínka k</w:t>
      </w:r>
      <w:r w:rsidR="00396513" w:rsidRPr="001B4B18">
        <w:rPr>
          <w:rFonts w:ascii="Arial" w:hAnsi="Arial" w:cs="Arial"/>
          <w:u w:val="single"/>
        </w:rPr>
        <w:t> návrhu usnesení vlády</w:t>
      </w:r>
    </w:p>
    <w:p w:rsidR="00396513" w:rsidRPr="001B4B18" w:rsidRDefault="00396513" w:rsidP="00BD696B">
      <w:pPr>
        <w:pStyle w:val="Zkladntext2"/>
        <w:spacing w:after="120"/>
        <w:ind w:left="720"/>
        <w:jc w:val="both"/>
        <w:rPr>
          <w:rFonts w:ascii="Arial" w:hAnsi="Arial" w:cs="Arial"/>
          <w:szCs w:val="24"/>
        </w:rPr>
      </w:pPr>
      <w:r w:rsidRPr="001B4B18">
        <w:rPr>
          <w:rFonts w:ascii="Arial" w:hAnsi="Arial" w:cs="Arial"/>
          <w:szCs w:val="24"/>
        </w:rPr>
        <w:t>Rada žádá o změnu bodu č. I usnesení vlády na:</w:t>
      </w:r>
    </w:p>
    <w:p w:rsidR="00396513" w:rsidRDefault="00396513" w:rsidP="00BD696B">
      <w:pPr>
        <w:pStyle w:val="Odstavecseseznamem"/>
        <w:autoSpaceDE w:val="0"/>
        <w:autoSpaceDN w:val="0"/>
        <w:adjustRightInd w:val="0"/>
        <w:spacing w:after="120"/>
        <w:contextualSpacing w:val="0"/>
        <w:jc w:val="both"/>
        <w:rPr>
          <w:rFonts w:ascii="Arial" w:hAnsi="Arial" w:cs="Arial"/>
          <w:i/>
        </w:rPr>
      </w:pPr>
      <w:r w:rsidRPr="001B4B18">
        <w:rPr>
          <w:rFonts w:ascii="Arial" w:eastAsiaTheme="minorHAnsi" w:hAnsi="Arial" w:cs="Arial"/>
          <w:b/>
          <w:bCs/>
          <w:i/>
          <w:lang w:eastAsia="en-US"/>
        </w:rPr>
        <w:t xml:space="preserve">„Vláda schvaluje </w:t>
      </w:r>
      <w:r w:rsidRPr="001B4B18">
        <w:rPr>
          <w:rFonts w:ascii="Arial" w:eastAsiaTheme="minorHAnsi" w:hAnsi="Arial" w:cs="Arial"/>
          <w:i/>
          <w:lang w:eastAsia="en-US"/>
        </w:rPr>
        <w:t xml:space="preserve">návrh programu na podporu aplikovaného </w:t>
      </w:r>
      <w:r w:rsidRPr="001B4B18">
        <w:rPr>
          <w:rFonts w:ascii="Arial" w:hAnsi="Arial" w:cs="Arial"/>
        </w:rPr>
        <w:t>experimentálního vývoje a inovací v oblasti dopravy</w:t>
      </w:r>
      <w:r w:rsidR="001B4B18" w:rsidRPr="001B4B18">
        <w:rPr>
          <w:rFonts w:ascii="Arial" w:eastAsiaTheme="minorHAnsi" w:hAnsi="Arial" w:cs="Arial"/>
          <w:i/>
          <w:lang w:eastAsia="en-US"/>
        </w:rPr>
        <w:t xml:space="preserve"> </w:t>
      </w:r>
      <w:r w:rsidR="009A0FFB">
        <w:rPr>
          <w:rFonts w:ascii="Arial" w:eastAsiaTheme="minorHAnsi" w:hAnsi="Arial" w:cs="Arial"/>
          <w:i/>
          <w:lang w:eastAsia="en-US"/>
        </w:rPr>
        <w:t>„</w:t>
      </w:r>
      <w:r w:rsidR="009A0FFB" w:rsidRPr="009A0FFB">
        <w:rPr>
          <w:rFonts w:ascii="Arial" w:eastAsiaTheme="minorHAnsi" w:hAnsi="Arial" w:cs="Arial"/>
          <w:i/>
          <w:lang w:eastAsia="en-US"/>
        </w:rPr>
        <w:t xml:space="preserve">Program na podporu aplikovaného výzkumu a inovací v oblasti dopravy – </w:t>
      </w:r>
      <w:r w:rsidR="001B4B18" w:rsidRPr="001B4B18">
        <w:rPr>
          <w:rFonts w:ascii="Arial" w:eastAsiaTheme="minorHAnsi" w:hAnsi="Arial" w:cs="Arial"/>
          <w:i/>
          <w:lang w:eastAsia="en-US"/>
        </w:rPr>
        <w:t>DOPRAVA 2030</w:t>
      </w:r>
      <w:r w:rsidR="009A0FFB">
        <w:rPr>
          <w:rFonts w:ascii="Arial" w:eastAsiaTheme="minorHAnsi" w:hAnsi="Arial" w:cs="Arial"/>
          <w:i/>
          <w:lang w:eastAsia="en-US"/>
        </w:rPr>
        <w:t>“</w:t>
      </w:r>
      <w:r w:rsidRPr="001B4B18">
        <w:rPr>
          <w:rFonts w:ascii="Arial" w:hAnsi="Arial" w:cs="Arial"/>
          <w:i/>
        </w:rPr>
        <w:t xml:space="preserve"> s tím, že financování </w:t>
      </w:r>
      <w:r w:rsidR="00901AD6">
        <w:rPr>
          <w:rFonts w:ascii="Arial" w:hAnsi="Arial" w:cs="Arial"/>
          <w:i/>
        </w:rPr>
        <w:t>p</w:t>
      </w:r>
      <w:r w:rsidRPr="001B4B18">
        <w:rPr>
          <w:rFonts w:ascii="Arial" w:hAnsi="Arial" w:cs="Arial"/>
          <w:i/>
        </w:rPr>
        <w:t>rogramu bude zajištěno podle možností státního rozpočtu.“</w:t>
      </w:r>
    </w:p>
    <w:p w:rsidR="00CB4E7D" w:rsidRDefault="00CB4E7D" w:rsidP="00BD696B">
      <w:pPr>
        <w:pStyle w:val="Default"/>
        <w:numPr>
          <w:ilvl w:val="0"/>
          <w:numId w:val="34"/>
        </w:numPr>
        <w:spacing w:after="120"/>
        <w:jc w:val="both"/>
        <w:rPr>
          <w:rFonts w:ascii="Arial" w:hAnsi="Arial" w:cs="Arial"/>
        </w:rPr>
      </w:pPr>
      <w:r w:rsidRPr="002C5AEC">
        <w:rPr>
          <w:rFonts w:ascii="Arial" w:hAnsi="Arial" w:cs="Arial"/>
          <w:color w:val="auto"/>
        </w:rPr>
        <w:t>Připomínka k části 18 návrhu Programu - Srovnání se současným stavem</w:t>
      </w:r>
      <w:r w:rsidRPr="00D37117">
        <w:rPr>
          <w:rFonts w:ascii="Arial" w:hAnsi="Arial" w:cs="Arial"/>
        </w:rPr>
        <w:t xml:space="preserve"> v České republice a v zahraničí</w:t>
      </w:r>
    </w:p>
    <w:p w:rsidR="00820BA7" w:rsidRPr="00820BA7" w:rsidRDefault="0002472F" w:rsidP="00820BA7">
      <w:pPr>
        <w:pStyle w:val="Default"/>
        <w:spacing w:after="120"/>
        <w:ind w:left="708"/>
        <w:jc w:val="both"/>
        <w:rPr>
          <w:rFonts w:ascii="Arial" w:hAnsi="Arial" w:cs="Arial"/>
        </w:rPr>
      </w:pPr>
      <w:r w:rsidRPr="00820BA7">
        <w:rPr>
          <w:rFonts w:ascii="Arial" w:hAnsi="Arial" w:cs="Arial"/>
        </w:rPr>
        <w:t xml:space="preserve">Uvedenou část Programu Rada doporučuje upravit tak, aby popisovala, zda obdobná problematika je nebo byla v ČR řešena, a popřípadě čím se návrh liší od předchozího a co nového </w:t>
      </w:r>
      <w:r w:rsidR="00820BA7" w:rsidRPr="00820BA7">
        <w:rPr>
          <w:rFonts w:ascii="Arial" w:hAnsi="Arial" w:cs="Arial"/>
        </w:rPr>
        <w:t xml:space="preserve">přinese apod. </w:t>
      </w:r>
    </w:p>
    <w:p w:rsidR="00CB4E7D" w:rsidRDefault="00820BA7" w:rsidP="00820BA7">
      <w:pPr>
        <w:pStyle w:val="Default"/>
        <w:spacing w:after="120"/>
        <w:ind w:left="708"/>
        <w:jc w:val="both"/>
        <w:rPr>
          <w:rFonts w:ascii="Arial" w:hAnsi="Arial" w:cs="Arial"/>
          <w:color w:val="auto"/>
        </w:rPr>
      </w:pPr>
      <w:r w:rsidRPr="00930FC9">
        <w:rPr>
          <w:rFonts w:ascii="Arial" w:hAnsi="Arial" w:cs="Arial"/>
          <w:color w:val="auto"/>
        </w:rPr>
        <w:t xml:space="preserve">Protože Program navazuje na předcházející, bylo by vhodné stručně informovat o výsledcích průběžného hodnocení a popř. zda z těchto průběžných výsledků vyplývá potřeba nového programu. </w:t>
      </w:r>
    </w:p>
    <w:p w:rsidR="00450526" w:rsidRDefault="00450526" w:rsidP="002C5AEC">
      <w:pPr>
        <w:pStyle w:val="Default"/>
        <w:numPr>
          <w:ilvl w:val="0"/>
          <w:numId w:val="34"/>
        </w:numPr>
        <w:spacing w:after="120"/>
        <w:jc w:val="both"/>
        <w:rPr>
          <w:rFonts w:ascii="Arial" w:hAnsi="Arial" w:cs="Arial"/>
          <w:color w:val="auto"/>
        </w:rPr>
      </w:pPr>
      <w:r>
        <w:rPr>
          <w:rFonts w:ascii="Arial" w:hAnsi="Arial" w:cs="Arial"/>
          <w:color w:val="auto"/>
        </w:rPr>
        <w:t>Připomínky k obálce dokumentu:</w:t>
      </w:r>
    </w:p>
    <w:p w:rsidR="002C5AEC" w:rsidRDefault="00956B9F" w:rsidP="009A0FFB">
      <w:pPr>
        <w:pStyle w:val="Default"/>
        <w:spacing w:after="120"/>
        <w:ind w:left="720"/>
        <w:jc w:val="both"/>
        <w:rPr>
          <w:rFonts w:ascii="Arial" w:hAnsi="Arial" w:cs="Arial"/>
          <w:color w:val="auto"/>
        </w:rPr>
      </w:pPr>
      <w:r>
        <w:rPr>
          <w:rFonts w:ascii="Arial" w:hAnsi="Arial" w:cs="Arial"/>
          <w:color w:val="auto"/>
        </w:rPr>
        <w:t>Č</w:t>
      </w:r>
      <w:r w:rsidR="00450526" w:rsidRPr="00450526">
        <w:rPr>
          <w:rFonts w:ascii="Arial" w:hAnsi="Arial" w:cs="Arial"/>
          <w:color w:val="auto"/>
        </w:rPr>
        <w:t>ást Obsah je třeba doplnit</w:t>
      </w:r>
      <w:r w:rsidR="002C5AEC" w:rsidRPr="00450526">
        <w:rPr>
          <w:rFonts w:ascii="Arial" w:hAnsi="Arial" w:cs="Arial"/>
          <w:color w:val="auto"/>
        </w:rPr>
        <w:t xml:space="preserve"> o bod VI. Stanovisko Rady pro výzkum, vývoj a</w:t>
      </w:r>
      <w:r w:rsidR="00450526">
        <w:rPr>
          <w:rFonts w:ascii="Arial" w:hAnsi="Arial" w:cs="Arial"/>
          <w:color w:val="auto"/>
        </w:rPr>
        <w:t> </w:t>
      </w:r>
      <w:r w:rsidR="002C5AEC" w:rsidRPr="00450526">
        <w:rPr>
          <w:rFonts w:ascii="Arial" w:hAnsi="Arial" w:cs="Arial"/>
          <w:color w:val="auto"/>
        </w:rPr>
        <w:t>inovace</w:t>
      </w:r>
      <w:r w:rsidR="00450526">
        <w:rPr>
          <w:rFonts w:ascii="Arial" w:hAnsi="Arial" w:cs="Arial"/>
          <w:color w:val="auto"/>
        </w:rPr>
        <w:t>.</w:t>
      </w:r>
    </w:p>
    <w:p w:rsidR="00450526" w:rsidRDefault="00450526" w:rsidP="00450526">
      <w:pPr>
        <w:pStyle w:val="Default"/>
        <w:numPr>
          <w:ilvl w:val="0"/>
          <w:numId w:val="34"/>
        </w:numPr>
        <w:spacing w:after="120"/>
        <w:jc w:val="both"/>
        <w:rPr>
          <w:rFonts w:ascii="Arial" w:hAnsi="Arial" w:cs="Arial"/>
          <w:color w:val="auto"/>
        </w:rPr>
      </w:pPr>
      <w:r>
        <w:rPr>
          <w:rFonts w:ascii="Arial" w:hAnsi="Arial" w:cs="Arial"/>
          <w:color w:val="auto"/>
        </w:rPr>
        <w:t>K materiálu jako celku:</w:t>
      </w:r>
    </w:p>
    <w:p w:rsidR="00450526" w:rsidRDefault="00450526" w:rsidP="00301015">
      <w:pPr>
        <w:pStyle w:val="Default"/>
        <w:spacing w:after="120"/>
        <w:ind w:left="720"/>
        <w:jc w:val="both"/>
        <w:rPr>
          <w:rFonts w:ascii="Arial" w:hAnsi="Arial" w:cs="Arial"/>
          <w:color w:val="auto"/>
        </w:rPr>
      </w:pPr>
      <w:r>
        <w:rPr>
          <w:rFonts w:ascii="Arial" w:hAnsi="Arial" w:cs="Arial"/>
          <w:color w:val="auto"/>
        </w:rPr>
        <w:t>Rada</w:t>
      </w:r>
      <w:r w:rsidR="00301015">
        <w:rPr>
          <w:rFonts w:ascii="Arial" w:hAnsi="Arial" w:cs="Arial"/>
          <w:color w:val="auto"/>
        </w:rPr>
        <w:t xml:space="preserve"> doporučuje provést celkovou korekturu textu dokumentu předkládaného na jednání vlády a odstranit některé drobné chyby a překlepy</w:t>
      </w:r>
    </w:p>
    <w:p w:rsidR="00956B9F" w:rsidRPr="009A0FFB" w:rsidRDefault="00956B9F" w:rsidP="009A0FFB">
      <w:pPr>
        <w:pStyle w:val="Default"/>
        <w:numPr>
          <w:ilvl w:val="0"/>
          <w:numId w:val="34"/>
        </w:numPr>
        <w:spacing w:after="120"/>
        <w:jc w:val="both"/>
        <w:rPr>
          <w:rFonts w:ascii="Arial" w:hAnsi="Arial" w:cs="Arial"/>
          <w:color w:val="auto"/>
        </w:rPr>
      </w:pPr>
      <w:r w:rsidRPr="009A0FFB">
        <w:rPr>
          <w:rFonts w:ascii="Arial" w:hAnsi="Arial" w:cs="Arial"/>
          <w:color w:val="auto"/>
        </w:rPr>
        <w:t>Poznámka k návrhu Programu:</w:t>
      </w:r>
    </w:p>
    <w:p w:rsidR="0081356B" w:rsidRPr="009A0FFB" w:rsidRDefault="0081356B" w:rsidP="009A0FFB">
      <w:pPr>
        <w:pStyle w:val="Default"/>
        <w:spacing w:after="120"/>
        <w:ind w:left="720"/>
        <w:jc w:val="both"/>
        <w:rPr>
          <w:rFonts w:ascii="Arial" w:hAnsi="Arial" w:cs="Arial"/>
          <w:color w:val="auto"/>
        </w:rPr>
      </w:pPr>
      <w:r w:rsidRPr="004255E2">
        <w:rPr>
          <w:rFonts w:ascii="Arial" w:hAnsi="Arial" w:cs="Arial"/>
          <w:color w:val="auto"/>
        </w:rPr>
        <w:t xml:space="preserve">Rada upozorňuje, že v příloze č. 4 (Stanovisko TA ČR </w:t>
      </w:r>
      <w:r w:rsidRPr="009A0FFB">
        <w:rPr>
          <w:rFonts w:ascii="Arial" w:hAnsi="Arial" w:cs="Arial"/>
          <w:color w:val="auto"/>
        </w:rPr>
        <w:t>k návrhu programu</w:t>
      </w:r>
      <w:r w:rsidR="009A0FFB">
        <w:rPr>
          <w:rFonts w:ascii="Arial" w:hAnsi="Arial" w:cs="Arial"/>
          <w:color w:val="auto"/>
        </w:rPr>
        <w:t xml:space="preserve"> na </w:t>
      </w:r>
      <w:r w:rsidRPr="009A0FFB">
        <w:rPr>
          <w:rFonts w:ascii="Arial" w:hAnsi="Arial" w:cs="Arial"/>
          <w:color w:val="auto"/>
        </w:rPr>
        <w:t xml:space="preserve">podporu aplikovaného výzkumu, experimentálního vývoje a inovací v oblasti dopravy – DOPRAVA 2030) je v části f) konstatováno, že: </w:t>
      </w:r>
      <w:r w:rsidR="004C189F" w:rsidRPr="009A0FFB">
        <w:rPr>
          <w:rFonts w:ascii="Arial" w:hAnsi="Arial" w:cs="Arial"/>
          <w:color w:val="auto"/>
        </w:rPr>
        <w:t>„</w:t>
      </w:r>
      <w:r w:rsidRPr="009A0FFB">
        <w:rPr>
          <w:rFonts w:ascii="Arial" w:hAnsi="Arial" w:cs="Arial"/>
          <w:color w:val="auto"/>
        </w:rPr>
        <w:t>TA ČR nemůže zaručit dostatek personálních kapacit na tvorbu analýz a přípravu rozsáhlejších dat pro vnitřní účely Ministerstva dopravy a evaluaci programu.</w:t>
      </w:r>
      <w:r w:rsidR="004C189F" w:rsidRPr="009A0FFB">
        <w:rPr>
          <w:rFonts w:ascii="Arial" w:hAnsi="Arial" w:cs="Arial"/>
          <w:color w:val="auto"/>
        </w:rPr>
        <w:t>“</w:t>
      </w:r>
    </w:p>
    <w:p w:rsidR="0081356B" w:rsidRPr="009A0FFB" w:rsidRDefault="0081356B" w:rsidP="009A0FFB">
      <w:pPr>
        <w:pStyle w:val="Default"/>
        <w:spacing w:after="120"/>
        <w:ind w:left="720"/>
        <w:jc w:val="both"/>
        <w:rPr>
          <w:rFonts w:ascii="Arial" w:hAnsi="Arial" w:cs="Arial"/>
          <w:color w:val="auto"/>
        </w:rPr>
      </w:pPr>
      <w:r w:rsidRPr="009A0FFB">
        <w:rPr>
          <w:rFonts w:ascii="Arial" w:hAnsi="Arial" w:cs="Arial"/>
          <w:color w:val="auto"/>
        </w:rPr>
        <w:t xml:space="preserve">Protože se jedná o podmínku implementace </w:t>
      </w:r>
      <w:r w:rsidR="009A0FFB">
        <w:rPr>
          <w:rFonts w:ascii="Arial" w:hAnsi="Arial" w:cs="Arial"/>
          <w:color w:val="auto"/>
        </w:rPr>
        <w:t>Programu, považuje Rada za </w:t>
      </w:r>
      <w:r w:rsidRPr="009A0FFB">
        <w:rPr>
          <w:rFonts w:ascii="Arial" w:hAnsi="Arial" w:cs="Arial"/>
          <w:color w:val="auto"/>
        </w:rPr>
        <w:t xml:space="preserve">nutné upozornit na skutečnost, že Ministerstvo dopravy bude muset </w:t>
      </w:r>
      <w:r w:rsidR="004C189F" w:rsidRPr="009A0FFB">
        <w:rPr>
          <w:rFonts w:ascii="Arial" w:hAnsi="Arial" w:cs="Arial"/>
          <w:color w:val="auto"/>
        </w:rPr>
        <w:t xml:space="preserve">zabezpečit </w:t>
      </w:r>
      <w:r w:rsidRPr="009A0FFB">
        <w:rPr>
          <w:rFonts w:ascii="Arial" w:hAnsi="Arial" w:cs="Arial"/>
          <w:color w:val="auto"/>
        </w:rPr>
        <w:t>průběžné</w:t>
      </w:r>
      <w:r w:rsidR="004C189F" w:rsidRPr="009A0FFB">
        <w:rPr>
          <w:rFonts w:ascii="Arial" w:hAnsi="Arial" w:cs="Arial"/>
          <w:color w:val="auto"/>
        </w:rPr>
        <w:t xml:space="preserve"> i </w:t>
      </w:r>
      <w:r w:rsidRPr="009A0FFB">
        <w:rPr>
          <w:rFonts w:ascii="Arial" w:hAnsi="Arial" w:cs="Arial"/>
          <w:color w:val="auto"/>
        </w:rPr>
        <w:t xml:space="preserve">závěrečné hodnocení </w:t>
      </w:r>
      <w:r w:rsidR="004C189F" w:rsidRPr="009A0FFB">
        <w:rPr>
          <w:rFonts w:ascii="Arial" w:hAnsi="Arial" w:cs="Arial"/>
          <w:color w:val="auto"/>
        </w:rPr>
        <w:t>z</w:t>
      </w:r>
      <w:r w:rsidRPr="009A0FFB">
        <w:rPr>
          <w:rFonts w:ascii="Arial" w:hAnsi="Arial" w:cs="Arial"/>
          <w:color w:val="auto"/>
        </w:rPr>
        <w:t xml:space="preserve"> vlastních zdroj</w:t>
      </w:r>
      <w:r w:rsidR="004C189F" w:rsidRPr="009A0FFB">
        <w:rPr>
          <w:rFonts w:ascii="Arial" w:hAnsi="Arial" w:cs="Arial"/>
          <w:color w:val="auto"/>
        </w:rPr>
        <w:t>ů</w:t>
      </w:r>
      <w:r w:rsidRPr="009A0FFB">
        <w:rPr>
          <w:rFonts w:ascii="Arial" w:hAnsi="Arial" w:cs="Arial"/>
          <w:color w:val="auto"/>
        </w:rPr>
        <w:t>.</w:t>
      </w:r>
    </w:p>
    <w:p w:rsidR="00C22212" w:rsidRPr="00901AD6" w:rsidRDefault="00C22212" w:rsidP="00B833B4">
      <w:pPr>
        <w:pStyle w:val="Odstavecseseznamem"/>
        <w:keepNext/>
        <w:numPr>
          <w:ilvl w:val="0"/>
          <w:numId w:val="1"/>
        </w:numPr>
        <w:spacing w:before="120" w:after="120"/>
        <w:contextualSpacing w:val="0"/>
        <w:jc w:val="both"/>
        <w:rPr>
          <w:rFonts w:ascii="Arial" w:hAnsi="Arial" w:cs="Arial"/>
          <w:b/>
          <w:color w:val="0070C0"/>
        </w:rPr>
      </w:pPr>
      <w:r w:rsidRPr="00901AD6">
        <w:rPr>
          <w:rFonts w:ascii="Arial" w:hAnsi="Arial" w:cs="Arial"/>
          <w:b/>
          <w:color w:val="0070C0"/>
        </w:rPr>
        <w:lastRenderedPageBreak/>
        <w:t>Závěr</w:t>
      </w:r>
    </w:p>
    <w:p w:rsidR="00901AD6" w:rsidRPr="00901AD6" w:rsidRDefault="00901AD6" w:rsidP="00901AD6">
      <w:pPr>
        <w:pStyle w:val="Odstavecseseznamem"/>
        <w:keepNext/>
        <w:spacing w:before="120" w:after="120"/>
        <w:ind w:left="723"/>
        <w:jc w:val="both"/>
        <w:rPr>
          <w:rFonts w:ascii="Arial" w:hAnsi="Arial" w:cs="Arial"/>
        </w:rPr>
      </w:pPr>
      <w:r w:rsidRPr="00901AD6">
        <w:rPr>
          <w:rFonts w:ascii="Arial" w:hAnsi="Arial" w:cs="Arial"/>
        </w:rPr>
        <w:t>Rada</w:t>
      </w:r>
    </w:p>
    <w:p w:rsidR="00E76D6A" w:rsidRPr="00901AD6" w:rsidRDefault="00012560" w:rsidP="007A0945">
      <w:pPr>
        <w:pStyle w:val="Zkladntext2"/>
        <w:keepNext/>
        <w:numPr>
          <w:ilvl w:val="0"/>
          <w:numId w:val="35"/>
        </w:numPr>
        <w:spacing w:after="120"/>
        <w:ind w:left="1134" w:hanging="425"/>
        <w:jc w:val="both"/>
        <w:rPr>
          <w:rFonts w:ascii="Arial" w:hAnsi="Arial" w:cs="Arial"/>
          <w:szCs w:val="24"/>
        </w:rPr>
      </w:pPr>
      <w:r w:rsidRPr="00901AD6">
        <w:rPr>
          <w:rFonts w:ascii="Arial" w:hAnsi="Arial" w:cs="Arial"/>
          <w:szCs w:val="24"/>
        </w:rPr>
        <w:t>schvaluje stanovisko k</w:t>
      </w:r>
      <w:r w:rsidR="0008444A" w:rsidRPr="00901AD6">
        <w:rPr>
          <w:rFonts w:ascii="Arial" w:hAnsi="Arial" w:cs="Arial"/>
          <w:szCs w:val="24"/>
        </w:rPr>
        <w:t> </w:t>
      </w:r>
      <w:r w:rsidR="00CF332B" w:rsidRPr="00901AD6">
        <w:rPr>
          <w:rFonts w:ascii="Arial" w:hAnsi="Arial" w:cs="Arial"/>
          <w:szCs w:val="24"/>
        </w:rPr>
        <w:t>n</w:t>
      </w:r>
      <w:r w:rsidRPr="00901AD6">
        <w:rPr>
          <w:rFonts w:ascii="Arial" w:hAnsi="Arial" w:cs="Arial"/>
          <w:szCs w:val="24"/>
        </w:rPr>
        <w:t>ávrhu</w:t>
      </w:r>
      <w:r w:rsidR="0008444A" w:rsidRPr="00901AD6">
        <w:rPr>
          <w:rFonts w:ascii="Arial" w:hAnsi="Arial" w:cs="Arial"/>
          <w:szCs w:val="24"/>
        </w:rPr>
        <w:t xml:space="preserve"> </w:t>
      </w:r>
      <w:r w:rsidR="00901AD6" w:rsidRPr="00901AD6">
        <w:rPr>
          <w:rFonts w:ascii="Arial" w:hAnsi="Arial" w:cs="Arial"/>
          <w:szCs w:val="24"/>
        </w:rPr>
        <w:t>P</w:t>
      </w:r>
      <w:r w:rsidR="0008444A" w:rsidRPr="00901AD6">
        <w:rPr>
          <w:rFonts w:ascii="Arial" w:hAnsi="Arial" w:cs="Arial"/>
          <w:szCs w:val="24"/>
        </w:rPr>
        <w:t xml:space="preserve">rogramu </w:t>
      </w:r>
      <w:r w:rsidR="00CF332B" w:rsidRPr="00901AD6">
        <w:rPr>
          <w:rFonts w:ascii="Arial" w:hAnsi="Arial" w:cs="Arial"/>
          <w:szCs w:val="24"/>
        </w:rPr>
        <w:t>aplikovaného výzkumu</w:t>
      </w:r>
      <w:r w:rsidR="00901AD6" w:rsidRPr="00901AD6">
        <w:rPr>
          <w:rFonts w:ascii="Arial" w:hAnsi="Arial" w:cs="Arial"/>
          <w:szCs w:val="24"/>
        </w:rPr>
        <w:t> a</w:t>
      </w:r>
      <w:r w:rsidR="00CF332B" w:rsidRPr="00901AD6">
        <w:rPr>
          <w:rFonts w:ascii="Arial" w:hAnsi="Arial" w:cs="Arial"/>
          <w:szCs w:val="24"/>
        </w:rPr>
        <w:t xml:space="preserve"> inovací </w:t>
      </w:r>
      <w:r w:rsidR="00901AD6" w:rsidRPr="00901AD6">
        <w:rPr>
          <w:rFonts w:ascii="Arial" w:hAnsi="Arial" w:cs="Arial"/>
          <w:szCs w:val="24"/>
        </w:rPr>
        <w:t>DOPRAVA 2030,</w:t>
      </w:r>
    </w:p>
    <w:p w:rsidR="005E4F01" w:rsidRPr="00901AD6" w:rsidRDefault="00E76D6A" w:rsidP="007A0945">
      <w:pPr>
        <w:pStyle w:val="Zkladntext2"/>
        <w:numPr>
          <w:ilvl w:val="0"/>
          <w:numId w:val="35"/>
        </w:numPr>
        <w:spacing w:after="120"/>
        <w:ind w:left="1134" w:hanging="425"/>
        <w:jc w:val="both"/>
        <w:rPr>
          <w:rFonts w:ascii="Arial" w:hAnsi="Arial" w:cs="Arial"/>
          <w:szCs w:val="24"/>
        </w:rPr>
      </w:pPr>
      <w:r w:rsidRPr="00901AD6">
        <w:rPr>
          <w:rFonts w:ascii="Arial" w:hAnsi="Arial" w:cs="Arial"/>
          <w:szCs w:val="24"/>
        </w:rPr>
        <w:t xml:space="preserve">žádá </w:t>
      </w:r>
      <w:r w:rsidR="007A0945" w:rsidRPr="00901AD6">
        <w:rPr>
          <w:rFonts w:ascii="Arial" w:hAnsi="Arial" w:cs="Arial"/>
          <w:szCs w:val="24"/>
        </w:rPr>
        <w:t xml:space="preserve">Ministerstvo dopravy o </w:t>
      </w:r>
      <w:r w:rsidR="00836D8A" w:rsidRPr="00901AD6">
        <w:rPr>
          <w:rFonts w:ascii="Arial" w:hAnsi="Arial" w:cs="Calibri"/>
          <w:color w:val="000000"/>
          <w:szCs w:val="24"/>
        </w:rPr>
        <w:t>zapracování připomínek Rady do</w:t>
      </w:r>
      <w:r w:rsidR="007A0945" w:rsidRPr="00901AD6">
        <w:rPr>
          <w:rFonts w:ascii="Arial" w:hAnsi="Arial" w:cs="Calibri"/>
          <w:color w:val="000000"/>
          <w:szCs w:val="24"/>
        </w:rPr>
        <w:t> </w:t>
      </w:r>
      <w:r w:rsidR="00836D8A" w:rsidRPr="00901AD6">
        <w:rPr>
          <w:rFonts w:ascii="Arial" w:hAnsi="Arial" w:cs="Calibri"/>
          <w:color w:val="000000"/>
          <w:szCs w:val="24"/>
        </w:rPr>
        <w:t xml:space="preserve">návrhu </w:t>
      </w:r>
      <w:r w:rsidR="001E4B8D">
        <w:rPr>
          <w:rFonts w:ascii="Arial" w:hAnsi="Arial" w:cs="Calibri"/>
          <w:color w:val="000000"/>
          <w:szCs w:val="24"/>
        </w:rPr>
        <w:t>P</w:t>
      </w:r>
      <w:r w:rsidR="00836D8A" w:rsidRPr="00901AD6">
        <w:rPr>
          <w:rFonts w:ascii="Arial" w:hAnsi="Arial" w:cs="Calibri"/>
          <w:color w:val="000000"/>
          <w:szCs w:val="24"/>
        </w:rPr>
        <w:t xml:space="preserve">rogramu </w:t>
      </w:r>
      <w:r w:rsidR="00FE368E" w:rsidRPr="00901AD6">
        <w:rPr>
          <w:rFonts w:ascii="Arial" w:hAnsi="Arial" w:cs="Calibri"/>
          <w:color w:val="000000"/>
          <w:szCs w:val="24"/>
        </w:rPr>
        <w:t>před přeložením dokumentu do</w:t>
      </w:r>
      <w:r w:rsidR="001E4B8D">
        <w:rPr>
          <w:rFonts w:ascii="Arial" w:hAnsi="Arial" w:cs="Calibri"/>
          <w:color w:val="000000"/>
          <w:szCs w:val="24"/>
        </w:rPr>
        <w:t> </w:t>
      </w:r>
      <w:r w:rsidR="00FE368E" w:rsidRPr="00901AD6">
        <w:rPr>
          <w:rFonts w:ascii="Arial" w:hAnsi="Arial" w:cs="Calibri"/>
          <w:color w:val="000000"/>
          <w:szCs w:val="24"/>
        </w:rPr>
        <w:t>meziresortního připomínkového řízení.</w:t>
      </w:r>
      <w:r w:rsidR="00836D8A" w:rsidRPr="00901AD6">
        <w:rPr>
          <w:rFonts w:ascii="Arial" w:hAnsi="Arial" w:cs="Calibri"/>
          <w:color w:val="000000"/>
          <w:szCs w:val="24"/>
        </w:rPr>
        <w:t xml:space="preserve"> </w:t>
      </w:r>
    </w:p>
    <w:p w:rsidR="006537FD" w:rsidRPr="00E76D6A" w:rsidRDefault="006537FD" w:rsidP="006537FD">
      <w:pPr>
        <w:pStyle w:val="Zkladntext2"/>
        <w:spacing w:after="120"/>
        <w:jc w:val="both"/>
        <w:rPr>
          <w:rFonts w:ascii="Arial" w:hAnsi="Arial" w:cs="Arial"/>
          <w:szCs w:val="24"/>
        </w:rPr>
      </w:pPr>
      <w:r w:rsidRPr="00901AD6">
        <w:rPr>
          <w:rFonts w:ascii="Arial" w:hAnsi="Arial" w:cs="Calibri"/>
          <w:color w:val="000000"/>
          <w:szCs w:val="24"/>
        </w:rPr>
        <w:t xml:space="preserve">Praha, </w:t>
      </w:r>
      <w:r w:rsidR="002A273C">
        <w:rPr>
          <w:rFonts w:ascii="Arial" w:hAnsi="Arial" w:cs="Calibri"/>
          <w:color w:val="000000"/>
          <w:szCs w:val="24"/>
        </w:rPr>
        <w:t>2</w:t>
      </w:r>
      <w:r w:rsidR="00D30CE9">
        <w:rPr>
          <w:rFonts w:ascii="Arial" w:hAnsi="Arial" w:cs="Calibri"/>
          <w:color w:val="000000"/>
          <w:szCs w:val="24"/>
        </w:rPr>
        <w:t>4</w:t>
      </w:r>
      <w:r w:rsidRPr="00901AD6">
        <w:rPr>
          <w:rFonts w:ascii="Arial" w:hAnsi="Arial" w:cs="Calibri"/>
          <w:color w:val="000000"/>
          <w:szCs w:val="24"/>
        </w:rPr>
        <w:t>.</w:t>
      </w:r>
      <w:r w:rsidR="00D30CE9">
        <w:rPr>
          <w:rFonts w:ascii="Arial" w:hAnsi="Arial" w:cs="Calibri"/>
          <w:color w:val="000000"/>
          <w:szCs w:val="24"/>
        </w:rPr>
        <w:t xml:space="preserve"> června</w:t>
      </w:r>
      <w:r w:rsidR="00901AD6" w:rsidRPr="00901AD6">
        <w:rPr>
          <w:rFonts w:ascii="Arial" w:hAnsi="Arial" w:cs="Calibri"/>
          <w:color w:val="000000"/>
          <w:szCs w:val="24"/>
        </w:rPr>
        <w:t xml:space="preserve"> 2022</w:t>
      </w:r>
    </w:p>
    <w:sectPr w:rsidR="006537FD" w:rsidRPr="00E76D6A" w:rsidSect="009758E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9BB" w:rsidRDefault="00BF49BB" w:rsidP="008F77F6">
      <w:r>
        <w:separator/>
      </w:r>
    </w:p>
  </w:endnote>
  <w:endnote w:type="continuationSeparator" w:id="0">
    <w:p w:rsidR="00BF49BB" w:rsidRDefault="00BF49BB"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3D0" w:rsidRDefault="005F53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520AC1" w:rsidP="00146207">
    <w:pPr>
      <w:pStyle w:val="Zkladntext2"/>
      <w:spacing w:after="120"/>
      <w:ind w:left="6"/>
      <w:jc w:val="both"/>
      <w:rPr>
        <w:rFonts w:ascii="Arial" w:hAnsi="Arial" w:cs="Arial"/>
        <w:sz w:val="18"/>
        <w:szCs w:val="18"/>
      </w:rPr>
    </w:pPr>
    <w:r w:rsidRPr="00146207">
      <w:rPr>
        <w:rFonts w:ascii="Arial" w:hAnsi="Arial" w:cs="Arial"/>
        <w:sz w:val="16"/>
        <w:szCs w:val="16"/>
      </w:rPr>
      <w:t>Stanovisko Rady</w:t>
    </w:r>
    <w:r w:rsidR="009F6828" w:rsidRPr="00146207">
      <w:rPr>
        <w:rFonts w:ascii="Arial" w:hAnsi="Arial" w:cs="Arial"/>
        <w:sz w:val="16"/>
        <w:szCs w:val="16"/>
      </w:rPr>
      <w:t xml:space="preserve"> pro výzkum, vývoj a inovace k </w:t>
    </w:r>
    <w:r w:rsidR="005A65BC">
      <w:rPr>
        <w:rFonts w:ascii="Arial" w:hAnsi="Arial" w:cs="Arial"/>
        <w:sz w:val="16"/>
        <w:szCs w:val="16"/>
      </w:rPr>
      <w:t>n</w:t>
    </w:r>
    <w:r w:rsidRPr="00146207">
      <w:rPr>
        <w:rFonts w:ascii="Arial" w:hAnsi="Arial" w:cs="Arial"/>
        <w:sz w:val="16"/>
        <w:szCs w:val="16"/>
      </w:rPr>
      <w:t xml:space="preserve">ávrhu </w:t>
    </w:r>
    <w:r w:rsidR="005A65BC">
      <w:rPr>
        <w:rFonts w:ascii="Arial" w:hAnsi="Arial" w:cs="Arial"/>
        <w:sz w:val="16"/>
        <w:szCs w:val="16"/>
      </w:rPr>
      <w:t>P</w:t>
    </w:r>
    <w:r w:rsidR="0095446E" w:rsidRPr="00146207">
      <w:rPr>
        <w:rFonts w:ascii="Arial" w:hAnsi="Arial" w:cs="Arial"/>
        <w:sz w:val="16"/>
        <w:szCs w:val="16"/>
      </w:rPr>
      <w:t xml:space="preserve">rogramu </w:t>
    </w:r>
    <w:r w:rsidR="00146207" w:rsidRPr="00146207">
      <w:rPr>
        <w:rFonts w:ascii="Arial" w:hAnsi="Arial" w:cs="Arial"/>
        <w:sz w:val="16"/>
        <w:szCs w:val="16"/>
      </w:rPr>
      <w:t>aplikovaného výzkumu</w:t>
    </w:r>
    <w:r w:rsidR="00B02771">
      <w:rPr>
        <w:rFonts w:ascii="Arial" w:hAnsi="Arial" w:cs="Arial"/>
        <w:sz w:val="16"/>
        <w:szCs w:val="16"/>
      </w:rPr>
      <w:t xml:space="preserve"> a</w:t>
    </w:r>
    <w:r w:rsidR="00146207" w:rsidRPr="00146207">
      <w:rPr>
        <w:rFonts w:ascii="Arial" w:hAnsi="Arial" w:cs="Arial"/>
        <w:sz w:val="16"/>
        <w:szCs w:val="16"/>
      </w:rPr>
      <w:t> inovací</w:t>
    </w:r>
    <w:r w:rsidR="00B02771">
      <w:rPr>
        <w:rFonts w:ascii="Arial" w:hAnsi="Arial" w:cs="Arial"/>
        <w:sz w:val="16"/>
        <w:szCs w:val="16"/>
      </w:rPr>
      <w:t xml:space="preserve"> DOPRAVA 2030</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A5787F">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A5787F">
          <w:rPr>
            <w:rFonts w:ascii="Arial" w:hAnsi="Arial" w:cs="Arial"/>
            <w:noProof/>
            <w:sz w:val="18"/>
            <w:szCs w:val="18"/>
          </w:rPr>
          <w:t>7</w:t>
        </w:r>
        <w:r w:rsidR="00CC370F"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5787F">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5787F">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9BB" w:rsidRDefault="00BF49BB" w:rsidP="008F77F6">
      <w:r>
        <w:separator/>
      </w:r>
    </w:p>
  </w:footnote>
  <w:footnote w:type="continuationSeparator" w:id="0">
    <w:p w:rsidR="00BF49BB" w:rsidRDefault="00BF49BB" w:rsidP="008F77F6">
      <w:r>
        <w:continuationSeparator/>
      </w:r>
    </w:p>
  </w:footnote>
  <w:footnote w:id="1">
    <w:p w:rsidR="00BA2CC4" w:rsidRPr="00B36690" w:rsidRDefault="00BA2CC4" w:rsidP="00BA2CC4">
      <w:pPr>
        <w:widowControl w:val="0"/>
        <w:jc w:val="both"/>
        <w:rPr>
          <w:rFonts w:ascii="Arial" w:hAnsi="Arial" w:cs="Arial"/>
          <w:sz w:val="16"/>
          <w:szCs w:val="16"/>
        </w:rPr>
      </w:pPr>
      <w:r w:rsidRPr="00B36690">
        <w:rPr>
          <w:rStyle w:val="Znakapoznpodarou"/>
          <w:rFonts w:ascii="Arial" w:hAnsi="Arial" w:cs="Arial"/>
          <w:sz w:val="18"/>
          <w:szCs w:val="18"/>
        </w:rPr>
        <w:footnoteRef/>
      </w:r>
      <w:r w:rsidRPr="00B36690">
        <w:rPr>
          <w:rFonts w:ascii="Arial" w:hAnsi="Arial" w:cs="Arial"/>
          <w:sz w:val="18"/>
          <w:szCs w:val="18"/>
        </w:rPr>
        <w:t xml:space="preserve"> </w:t>
      </w:r>
      <w:r w:rsidRPr="00B36690">
        <w:rPr>
          <w:rFonts w:ascii="Arial" w:hAnsi="Arial" w:cs="Arial"/>
          <w:sz w:val="16"/>
          <w:szCs w:val="16"/>
        </w:rPr>
        <w:t>Pokud podpora projektu zakládá veřejnou podporu podle článku 107 odst. 1 Smlouvy, řídí se podmínkami nařízení Komise. Příjemcům typu podnik bude poskytována podpora dle nařízení Komise. Příjemcům typu výzkumná organizace bude podpora poskytována na činnosti dle bodu 19 Rámce.</w:t>
      </w:r>
    </w:p>
    <w:p w:rsidR="00BA2CC4" w:rsidRPr="00B36690" w:rsidRDefault="00BA2CC4" w:rsidP="00BA2CC4">
      <w:pPr>
        <w:spacing w:before="60"/>
        <w:jc w:val="both"/>
        <w:rPr>
          <w:rFonts w:ascii="Arial" w:hAnsi="Arial" w:cs="Arial"/>
          <w:sz w:val="16"/>
          <w:szCs w:val="16"/>
        </w:rPr>
      </w:pPr>
      <w:r w:rsidRPr="00B36690">
        <w:rPr>
          <w:rFonts w:ascii="Arial" w:hAnsi="Arial" w:cs="Arial"/>
          <w:sz w:val="16"/>
          <w:szCs w:val="16"/>
        </w:rPr>
        <w:t>Na základě ustanovení čl. 1 odst. 4 písm. a) nařízení Komise je vyloučeno vyplacení podpory ve prospěch podniku, vůči němuž byl v návaznosti na rozhodnutí Komise, jímž je podpora prohlášena za protiprávní a neslučitelnou s</w:t>
      </w:r>
      <w:r w:rsidR="00B36690" w:rsidRPr="00B36690">
        <w:rPr>
          <w:rFonts w:ascii="Arial" w:hAnsi="Arial" w:cs="Arial"/>
          <w:sz w:val="16"/>
          <w:szCs w:val="16"/>
        </w:rPr>
        <w:t> </w:t>
      </w:r>
      <w:r w:rsidRPr="00B36690">
        <w:rPr>
          <w:rFonts w:ascii="Arial" w:hAnsi="Arial" w:cs="Arial"/>
          <w:sz w:val="16"/>
          <w:szCs w:val="16"/>
        </w:rPr>
        <w:t>vnitřním trhem, vystaven inkasní příkaz, který je nesplacený. Je vyloučeno vyplacení podpory ve prospěch podniku splňujícího definici podniku v obtížích na základě ustanovení čl. 2 odst. 18 nařízení Komise.</w:t>
      </w:r>
    </w:p>
    <w:p w:rsidR="00BA2CC4" w:rsidRPr="00B36690" w:rsidRDefault="00BA2CC4" w:rsidP="00BA2CC4">
      <w:pPr>
        <w:spacing w:before="60"/>
        <w:jc w:val="both"/>
        <w:rPr>
          <w:rFonts w:ascii="Arial" w:hAnsi="Arial" w:cs="Arial"/>
          <w:sz w:val="16"/>
          <w:szCs w:val="16"/>
        </w:rPr>
      </w:pPr>
      <w:r w:rsidRPr="00B36690">
        <w:rPr>
          <w:rFonts w:ascii="Arial" w:hAnsi="Arial" w:cs="Arial"/>
          <w:sz w:val="16"/>
          <w:szCs w:val="16"/>
        </w:rPr>
        <w:t>Pokud jeden podnik obdrží v rámci Programu veřejnou podporu vyšší než 500 tis. EUR, budou informace o příjemci a jemu poskytnuté podpoře (v rozsahu dle přílohy III nařízení Komise) zveřejněny na centrální webové stránce ve</w:t>
      </w:r>
      <w:r w:rsidR="00B36690" w:rsidRPr="00B36690">
        <w:rPr>
          <w:rFonts w:ascii="Arial" w:hAnsi="Arial" w:cs="Arial"/>
          <w:sz w:val="16"/>
          <w:szCs w:val="16"/>
        </w:rPr>
        <w:t> </w:t>
      </w:r>
      <w:r w:rsidRPr="00B36690">
        <w:rPr>
          <w:rFonts w:ascii="Arial" w:hAnsi="Arial" w:cs="Arial"/>
          <w:sz w:val="16"/>
          <w:szCs w:val="16"/>
        </w:rPr>
        <w:t>smyslu čl. 9 nařízení Komise.</w:t>
      </w:r>
    </w:p>
    <w:p w:rsidR="00BA2CC4" w:rsidRPr="00B36690" w:rsidRDefault="00BA2CC4" w:rsidP="00BA2CC4">
      <w:pPr>
        <w:spacing w:before="60"/>
        <w:jc w:val="both"/>
        <w:rPr>
          <w:rFonts w:ascii="Arial" w:hAnsi="Arial" w:cs="Arial"/>
          <w:b/>
          <w:sz w:val="18"/>
          <w:szCs w:val="18"/>
        </w:rPr>
      </w:pPr>
      <w:r w:rsidRPr="00B36690">
        <w:rPr>
          <w:rFonts w:ascii="Arial" w:hAnsi="Arial" w:cs="Arial"/>
          <w:sz w:val="18"/>
          <w:szCs w:val="18"/>
        </w:rPr>
        <w:t xml:space="preserve"> </w:t>
      </w:r>
    </w:p>
    <w:p w:rsidR="00BA2CC4" w:rsidRDefault="00BA2CC4">
      <w:pPr>
        <w:pStyle w:val="Textpoznpodarou"/>
      </w:pPr>
    </w:p>
  </w:footnote>
  <w:footnote w:id="2">
    <w:p w:rsidR="00B37D2C" w:rsidRPr="00B160A8" w:rsidRDefault="00B37D2C" w:rsidP="00B37D2C">
      <w:pPr>
        <w:autoSpaceDE w:val="0"/>
        <w:autoSpaceDN w:val="0"/>
        <w:adjustRightInd w:val="0"/>
        <w:spacing w:after="120"/>
        <w:jc w:val="both"/>
        <w:rPr>
          <w:rFonts w:ascii="Arial" w:eastAsia="Arial" w:hAnsi="Arial" w:cs="Arial"/>
          <w:sz w:val="16"/>
          <w:szCs w:val="16"/>
        </w:rPr>
      </w:pPr>
      <w:r w:rsidRPr="00B160A8">
        <w:rPr>
          <w:rStyle w:val="Znakapoznpodarou"/>
          <w:rFonts w:ascii="Arial" w:hAnsi="Arial" w:cs="Arial"/>
          <w:sz w:val="16"/>
          <w:szCs w:val="16"/>
        </w:rPr>
        <w:footnoteRef/>
      </w:r>
      <w:r w:rsidRPr="00B160A8">
        <w:rPr>
          <w:rFonts w:ascii="Arial" w:hAnsi="Arial" w:cs="Arial"/>
          <w:sz w:val="16"/>
          <w:szCs w:val="16"/>
        </w:rPr>
        <w:t xml:space="preserve"> Výsledky typu H jsou výsledky </w:t>
      </w:r>
      <w:r w:rsidRPr="00B160A8">
        <w:rPr>
          <w:rFonts w:ascii="Arial" w:eastAsia="Arial" w:hAnsi="Arial" w:cs="Arial"/>
          <w:sz w:val="16"/>
          <w:szCs w:val="16"/>
        </w:rPr>
        <w:t>promítnuté do právních předpisů a norem, směrnic a předpisů nelegislativní povahy závazných v rámci kompetence příslušného poskytovatele nebo výsledky promítnuté do schválených strategických a koncepčních dokumentů výzkumu a vývoje veřejnosprávních úřadů, N certifikovaná metodika, specializovaná mapa s odborným obsahem, výsledky typu F jsou výsledky s právní ochranou (užitný vzor, průmyslový vzor), G - technicky realizované výsledky – prototyp, funkční vzorek,</w:t>
      </w:r>
      <w:r w:rsidRPr="00B160A8">
        <w:rPr>
          <w:rFonts w:ascii="Arial" w:hAnsi="Arial" w:cs="Arial"/>
          <w:sz w:val="16"/>
          <w:szCs w:val="16"/>
        </w:rPr>
        <w:t xml:space="preserve"> </w:t>
      </w:r>
      <w:r w:rsidRPr="00B160A8">
        <w:rPr>
          <w:rFonts w:ascii="Arial" w:eastAsia="Arial" w:hAnsi="Arial" w:cs="Arial"/>
          <w:sz w:val="16"/>
          <w:szCs w:val="16"/>
        </w:rPr>
        <w:t>R - software, S - specializovaná veřejná databáze, P -  patent, Z - poloprovoz, ověřená technologie výsledky typu O -  další výsledky.</w:t>
      </w:r>
    </w:p>
    <w:p w:rsidR="00B37D2C" w:rsidRDefault="00B37D2C">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3D0" w:rsidRDefault="005F53D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EA0A9D" wp14:editId="3AA625A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12A37107" wp14:editId="2333C4DB">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AA5A8D" w:rsidP="00643D82">
          <w:pPr>
            <w:pStyle w:val="Zhlav"/>
            <w:jc w:val="center"/>
            <w:rPr>
              <w:rFonts w:ascii="Arial" w:hAnsi="Arial" w:cs="Arial"/>
              <w:b/>
              <w:color w:val="0070C0"/>
              <w:sz w:val="28"/>
              <w:szCs w:val="28"/>
            </w:rPr>
          </w:pPr>
          <w:r>
            <w:rPr>
              <w:rFonts w:ascii="Arial" w:hAnsi="Arial" w:cs="Arial"/>
              <w:b/>
              <w:color w:val="0070C0"/>
              <w:sz w:val="28"/>
              <w:szCs w:val="28"/>
            </w:rPr>
            <w:t>3</w:t>
          </w:r>
          <w:r w:rsidR="002C5AEC">
            <w:rPr>
              <w:rFonts w:ascii="Arial" w:hAnsi="Arial" w:cs="Arial"/>
              <w:b/>
              <w:color w:val="0070C0"/>
              <w:sz w:val="28"/>
              <w:szCs w:val="28"/>
            </w:rPr>
            <w:t>80</w:t>
          </w:r>
          <w:r>
            <w:rPr>
              <w:rFonts w:ascii="Arial" w:hAnsi="Arial" w:cs="Arial"/>
              <w:b/>
              <w:color w:val="0070C0"/>
              <w:sz w:val="28"/>
              <w:szCs w:val="28"/>
            </w:rPr>
            <w:t>/</w:t>
          </w:r>
          <w:r w:rsidR="004F05B4">
            <w:rPr>
              <w:rFonts w:ascii="Arial" w:hAnsi="Arial" w:cs="Arial"/>
              <w:b/>
              <w:color w:val="0070C0"/>
              <w:sz w:val="28"/>
              <w:szCs w:val="28"/>
            </w:rPr>
            <w:t>A</w:t>
          </w:r>
          <w:r w:rsidR="00667B85">
            <w:rPr>
              <w:rFonts w:ascii="Arial" w:hAnsi="Arial" w:cs="Arial"/>
              <w:b/>
              <w:color w:val="0070C0"/>
              <w:sz w:val="28"/>
              <w:szCs w:val="28"/>
            </w:rPr>
            <w:t>11</w:t>
          </w: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680252"/>
    <w:multiLevelType w:val="hybridMultilevel"/>
    <w:tmpl w:val="DD7FC15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62E08"/>
    <w:multiLevelType w:val="hybridMultilevel"/>
    <w:tmpl w:val="2D8A60A0"/>
    <w:lvl w:ilvl="0" w:tplc="C45C9ACC">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38D557C"/>
    <w:multiLevelType w:val="hybridMultilevel"/>
    <w:tmpl w:val="9ED83F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4" w15:restartNumberingAfterBreak="0">
    <w:nsid w:val="0F695068"/>
    <w:multiLevelType w:val="hybridMultilevel"/>
    <w:tmpl w:val="D812C0BC"/>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13C93EF1"/>
    <w:multiLevelType w:val="hybridMultilevel"/>
    <w:tmpl w:val="067C20E8"/>
    <w:lvl w:ilvl="0" w:tplc="2A38F2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65285A"/>
    <w:multiLevelType w:val="hybridMultilevel"/>
    <w:tmpl w:val="A3E2B4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BD1DE1"/>
    <w:multiLevelType w:val="hybridMultilevel"/>
    <w:tmpl w:val="318C1E24"/>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EA3396"/>
    <w:multiLevelType w:val="hybridMultilevel"/>
    <w:tmpl w:val="7DC4488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9" w15:restartNumberingAfterBreak="0">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5842FB"/>
    <w:multiLevelType w:val="hybridMultilevel"/>
    <w:tmpl w:val="3F2A99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2" w15:restartNumberingAfterBreak="0">
    <w:nsid w:val="2DF265A7"/>
    <w:multiLevelType w:val="hybridMultilevel"/>
    <w:tmpl w:val="E95C0B9A"/>
    <w:lvl w:ilvl="0" w:tplc="04050011">
      <w:start w:val="1"/>
      <w:numFmt w:val="decimal"/>
      <w:lvlText w:val="%1)"/>
      <w:lvlJc w:val="left"/>
      <w:pPr>
        <w:ind w:left="726" w:hanging="360"/>
      </w:pPr>
    </w:lvl>
    <w:lvl w:ilvl="1" w:tplc="04050019" w:tentative="1">
      <w:start w:val="1"/>
      <w:numFmt w:val="lowerLetter"/>
      <w:lvlText w:val="%2."/>
      <w:lvlJc w:val="left"/>
      <w:pPr>
        <w:ind w:left="1446" w:hanging="360"/>
      </w:pPr>
    </w:lvl>
    <w:lvl w:ilvl="2" w:tplc="0405001B" w:tentative="1">
      <w:start w:val="1"/>
      <w:numFmt w:val="lowerRoman"/>
      <w:lvlText w:val="%3."/>
      <w:lvlJc w:val="right"/>
      <w:pPr>
        <w:ind w:left="2166" w:hanging="180"/>
      </w:pPr>
    </w:lvl>
    <w:lvl w:ilvl="3" w:tplc="0405000F" w:tentative="1">
      <w:start w:val="1"/>
      <w:numFmt w:val="decimal"/>
      <w:lvlText w:val="%4."/>
      <w:lvlJc w:val="left"/>
      <w:pPr>
        <w:ind w:left="2886" w:hanging="360"/>
      </w:pPr>
    </w:lvl>
    <w:lvl w:ilvl="4" w:tplc="04050019" w:tentative="1">
      <w:start w:val="1"/>
      <w:numFmt w:val="lowerLetter"/>
      <w:lvlText w:val="%5."/>
      <w:lvlJc w:val="left"/>
      <w:pPr>
        <w:ind w:left="3606" w:hanging="360"/>
      </w:pPr>
    </w:lvl>
    <w:lvl w:ilvl="5" w:tplc="0405001B" w:tentative="1">
      <w:start w:val="1"/>
      <w:numFmt w:val="lowerRoman"/>
      <w:lvlText w:val="%6."/>
      <w:lvlJc w:val="right"/>
      <w:pPr>
        <w:ind w:left="4326" w:hanging="180"/>
      </w:pPr>
    </w:lvl>
    <w:lvl w:ilvl="6" w:tplc="0405000F" w:tentative="1">
      <w:start w:val="1"/>
      <w:numFmt w:val="decimal"/>
      <w:lvlText w:val="%7."/>
      <w:lvlJc w:val="left"/>
      <w:pPr>
        <w:ind w:left="5046" w:hanging="360"/>
      </w:pPr>
    </w:lvl>
    <w:lvl w:ilvl="7" w:tplc="04050019" w:tentative="1">
      <w:start w:val="1"/>
      <w:numFmt w:val="lowerLetter"/>
      <w:lvlText w:val="%8."/>
      <w:lvlJc w:val="left"/>
      <w:pPr>
        <w:ind w:left="5766" w:hanging="360"/>
      </w:pPr>
    </w:lvl>
    <w:lvl w:ilvl="8" w:tplc="0405001B" w:tentative="1">
      <w:start w:val="1"/>
      <w:numFmt w:val="lowerRoman"/>
      <w:lvlText w:val="%9."/>
      <w:lvlJc w:val="right"/>
      <w:pPr>
        <w:ind w:left="6486" w:hanging="180"/>
      </w:pPr>
    </w:lvl>
  </w:abstractNum>
  <w:abstractNum w:abstractNumId="13" w15:restartNumberingAfterBreak="0">
    <w:nsid w:val="3118226E"/>
    <w:multiLevelType w:val="hybridMultilevel"/>
    <w:tmpl w:val="278EED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680507"/>
    <w:multiLevelType w:val="hybridMultilevel"/>
    <w:tmpl w:val="BC9422D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9B21E4C"/>
    <w:multiLevelType w:val="hybridMultilevel"/>
    <w:tmpl w:val="F92CD532"/>
    <w:lvl w:ilvl="0" w:tplc="0D8C01CA">
      <w:start w:val="1"/>
      <w:numFmt w:val="bullet"/>
      <w:lvlText w:val="-"/>
      <w:lvlJc w:val="left"/>
      <w:pPr>
        <w:ind w:left="927" w:hanging="360"/>
      </w:pPr>
      <w:rPr>
        <w:rFonts w:ascii="Arial" w:eastAsia="Calibri"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3B23666F"/>
    <w:multiLevelType w:val="hybridMultilevel"/>
    <w:tmpl w:val="D70EE5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BEF7266"/>
    <w:multiLevelType w:val="hybridMultilevel"/>
    <w:tmpl w:val="1B52992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D8B2B9F"/>
    <w:multiLevelType w:val="multilevel"/>
    <w:tmpl w:val="6EC8652C"/>
    <w:lvl w:ilvl="0">
      <w:start w:val="1"/>
      <w:numFmt w:val="decimal"/>
      <w:lvlText w:val="%1."/>
      <w:lvlJc w:val="left"/>
      <w:pPr>
        <w:ind w:left="1352" w:hanging="360"/>
      </w:pPr>
      <w:rPr>
        <w:rFonts w:hint="default"/>
      </w:rPr>
    </w:lvl>
    <w:lvl w:ilvl="1">
      <w:start w:val="1"/>
      <w:numFmt w:val="decimal"/>
      <w:isLgl/>
      <w:lvlText w:val="%1.%2"/>
      <w:lvlJc w:val="left"/>
      <w:pPr>
        <w:ind w:left="1122" w:hanging="420"/>
      </w:pPr>
      <w:rPr>
        <w:rFonts w:hint="default"/>
      </w:rPr>
    </w:lvl>
    <w:lvl w:ilvl="2">
      <w:start w:val="1"/>
      <w:numFmt w:val="decimal"/>
      <w:isLgl/>
      <w:lvlText w:val="%1.%2.%3"/>
      <w:lvlJc w:val="left"/>
      <w:pPr>
        <w:ind w:left="2124" w:hanging="720"/>
      </w:pPr>
      <w:rPr>
        <w:rFonts w:hint="default"/>
      </w:rPr>
    </w:lvl>
    <w:lvl w:ilvl="3">
      <w:start w:val="1"/>
      <w:numFmt w:val="decimal"/>
      <w:isLgl/>
      <w:lvlText w:val="%1.%2.%3.%4"/>
      <w:lvlJc w:val="left"/>
      <w:pPr>
        <w:ind w:left="2826" w:hanging="720"/>
      </w:pPr>
      <w:rPr>
        <w:rFonts w:hint="default"/>
      </w:rPr>
    </w:lvl>
    <w:lvl w:ilvl="4">
      <w:start w:val="1"/>
      <w:numFmt w:val="decimal"/>
      <w:isLgl/>
      <w:lvlText w:val="%1.%2.%3.%4.%5"/>
      <w:lvlJc w:val="left"/>
      <w:pPr>
        <w:ind w:left="3888" w:hanging="1080"/>
      </w:pPr>
      <w:rPr>
        <w:rFonts w:hint="default"/>
      </w:rPr>
    </w:lvl>
    <w:lvl w:ilvl="5">
      <w:start w:val="1"/>
      <w:numFmt w:val="decimal"/>
      <w:isLgl/>
      <w:lvlText w:val="%1.%2.%3.%4.%5.%6"/>
      <w:lvlJc w:val="left"/>
      <w:pPr>
        <w:ind w:left="4590" w:hanging="1080"/>
      </w:pPr>
      <w:rPr>
        <w:rFonts w:hint="default"/>
      </w:rPr>
    </w:lvl>
    <w:lvl w:ilvl="6">
      <w:start w:val="1"/>
      <w:numFmt w:val="decimal"/>
      <w:isLgl/>
      <w:lvlText w:val="%1.%2.%3.%4.%5.%6.%7"/>
      <w:lvlJc w:val="left"/>
      <w:pPr>
        <w:ind w:left="5652" w:hanging="1440"/>
      </w:pPr>
      <w:rPr>
        <w:rFonts w:hint="default"/>
      </w:rPr>
    </w:lvl>
    <w:lvl w:ilvl="7">
      <w:start w:val="1"/>
      <w:numFmt w:val="decimal"/>
      <w:isLgl/>
      <w:lvlText w:val="%1.%2.%3.%4.%5.%6.%7.%8"/>
      <w:lvlJc w:val="left"/>
      <w:pPr>
        <w:ind w:left="6714" w:hanging="1800"/>
      </w:pPr>
      <w:rPr>
        <w:rFonts w:hint="default"/>
      </w:rPr>
    </w:lvl>
    <w:lvl w:ilvl="8">
      <w:start w:val="1"/>
      <w:numFmt w:val="decimal"/>
      <w:isLgl/>
      <w:lvlText w:val="%1.%2.%3.%4.%5.%6.%7.%8.%9"/>
      <w:lvlJc w:val="left"/>
      <w:pPr>
        <w:ind w:left="7416" w:hanging="1800"/>
      </w:pPr>
      <w:rPr>
        <w:rFonts w:hint="default"/>
      </w:rPr>
    </w:lvl>
  </w:abstractNum>
  <w:abstractNum w:abstractNumId="20" w15:restartNumberingAfterBreak="0">
    <w:nsid w:val="41157377"/>
    <w:multiLevelType w:val="hybridMultilevel"/>
    <w:tmpl w:val="FA1CB4D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90502B2"/>
    <w:multiLevelType w:val="hybridMultilevel"/>
    <w:tmpl w:val="709CAF68"/>
    <w:lvl w:ilvl="0" w:tplc="04050011">
      <w:start w:val="1"/>
      <w:numFmt w:val="decimal"/>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2" w15:restartNumberingAfterBreak="0">
    <w:nsid w:val="4CAC2C8A"/>
    <w:multiLevelType w:val="hybridMultilevel"/>
    <w:tmpl w:val="742668D8"/>
    <w:lvl w:ilvl="0" w:tplc="04050011">
      <w:start w:val="1"/>
      <w:numFmt w:val="decimal"/>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3" w15:restartNumberingAfterBreak="0">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0A5A64"/>
    <w:multiLevelType w:val="hybridMultilevel"/>
    <w:tmpl w:val="9A868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A13236"/>
    <w:multiLevelType w:val="hybridMultilevel"/>
    <w:tmpl w:val="1FC8B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1EA164D"/>
    <w:multiLevelType w:val="hybridMultilevel"/>
    <w:tmpl w:val="5A4C8A32"/>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8" w15:restartNumberingAfterBreak="0">
    <w:nsid w:val="63324BA0"/>
    <w:multiLevelType w:val="hybridMultilevel"/>
    <w:tmpl w:val="A53A1DD0"/>
    <w:lvl w:ilvl="0" w:tplc="2A38F2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8C2C36"/>
    <w:multiLevelType w:val="hybridMultilevel"/>
    <w:tmpl w:val="878CA05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8B4933"/>
    <w:multiLevelType w:val="hybridMultilevel"/>
    <w:tmpl w:val="CDB8BA76"/>
    <w:lvl w:ilvl="0" w:tplc="04050011">
      <w:start w:val="1"/>
      <w:numFmt w:val="decimal"/>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1" w15:restartNumberingAfterBreak="0">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5EE19E1"/>
    <w:multiLevelType w:val="hybridMultilevel"/>
    <w:tmpl w:val="96C0DBD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8D044CF"/>
    <w:multiLevelType w:val="hybridMultilevel"/>
    <w:tmpl w:val="19040ABC"/>
    <w:lvl w:ilvl="0" w:tplc="04050011">
      <w:start w:val="1"/>
      <w:numFmt w:val="decimal"/>
      <w:lvlText w:val="%1)"/>
      <w:lvlJc w:val="left"/>
      <w:pPr>
        <w:ind w:left="726" w:hanging="360"/>
      </w:pPr>
    </w:lvl>
    <w:lvl w:ilvl="1" w:tplc="04050019" w:tentative="1">
      <w:start w:val="1"/>
      <w:numFmt w:val="lowerLetter"/>
      <w:lvlText w:val="%2."/>
      <w:lvlJc w:val="left"/>
      <w:pPr>
        <w:ind w:left="1446" w:hanging="360"/>
      </w:pPr>
    </w:lvl>
    <w:lvl w:ilvl="2" w:tplc="0405001B" w:tentative="1">
      <w:start w:val="1"/>
      <w:numFmt w:val="lowerRoman"/>
      <w:lvlText w:val="%3."/>
      <w:lvlJc w:val="right"/>
      <w:pPr>
        <w:ind w:left="2166" w:hanging="180"/>
      </w:pPr>
    </w:lvl>
    <w:lvl w:ilvl="3" w:tplc="0405000F" w:tentative="1">
      <w:start w:val="1"/>
      <w:numFmt w:val="decimal"/>
      <w:lvlText w:val="%4."/>
      <w:lvlJc w:val="left"/>
      <w:pPr>
        <w:ind w:left="2886" w:hanging="360"/>
      </w:pPr>
    </w:lvl>
    <w:lvl w:ilvl="4" w:tplc="04050019" w:tentative="1">
      <w:start w:val="1"/>
      <w:numFmt w:val="lowerLetter"/>
      <w:lvlText w:val="%5."/>
      <w:lvlJc w:val="left"/>
      <w:pPr>
        <w:ind w:left="3606" w:hanging="360"/>
      </w:pPr>
    </w:lvl>
    <w:lvl w:ilvl="5" w:tplc="0405001B" w:tentative="1">
      <w:start w:val="1"/>
      <w:numFmt w:val="lowerRoman"/>
      <w:lvlText w:val="%6."/>
      <w:lvlJc w:val="right"/>
      <w:pPr>
        <w:ind w:left="4326" w:hanging="180"/>
      </w:pPr>
    </w:lvl>
    <w:lvl w:ilvl="6" w:tplc="0405000F" w:tentative="1">
      <w:start w:val="1"/>
      <w:numFmt w:val="decimal"/>
      <w:lvlText w:val="%7."/>
      <w:lvlJc w:val="left"/>
      <w:pPr>
        <w:ind w:left="5046" w:hanging="360"/>
      </w:pPr>
    </w:lvl>
    <w:lvl w:ilvl="7" w:tplc="04050019" w:tentative="1">
      <w:start w:val="1"/>
      <w:numFmt w:val="lowerLetter"/>
      <w:lvlText w:val="%8."/>
      <w:lvlJc w:val="left"/>
      <w:pPr>
        <w:ind w:left="5766" w:hanging="360"/>
      </w:pPr>
    </w:lvl>
    <w:lvl w:ilvl="8" w:tplc="0405001B" w:tentative="1">
      <w:start w:val="1"/>
      <w:numFmt w:val="lowerRoman"/>
      <w:lvlText w:val="%9."/>
      <w:lvlJc w:val="right"/>
      <w:pPr>
        <w:ind w:left="6486" w:hanging="180"/>
      </w:pPr>
    </w:lvl>
  </w:abstractNum>
  <w:abstractNum w:abstractNumId="34" w15:restartNumberingAfterBreak="0">
    <w:nsid w:val="6CBA645D"/>
    <w:multiLevelType w:val="hybridMultilevel"/>
    <w:tmpl w:val="06FC2C2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2576CB"/>
    <w:multiLevelType w:val="hybridMultilevel"/>
    <w:tmpl w:val="31B43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DB1442"/>
    <w:multiLevelType w:val="hybridMultilevel"/>
    <w:tmpl w:val="DDEC5866"/>
    <w:lvl w:ilvl="0" w:tplc="0D8C01CA">
      <w:start w:val="1"/>
      <w:numFmt w:val="bullet"/>
      <w:lvlText w:val="-"/>
      <w:lvlJc w:val="left"/>
      <w:pPr>
        <w:ind w:left="360" w:hanging="360"/>
      </w:pPr>
      <w:rPr>
        <w:rFonts w:ascii="Arial" w:eastAsia="Calibr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7" w15:restartNumberingAfterBreak="0">
    <w:nsid w:val="6F6423B8"/>
    <w:multiLevelType w:val="hybridMultilevel"/>
    <w:tmpl w:val="F9D2AB36"/>
    <w:lvl w:ilvl="0" w:tplc="B84A96D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12B519B"/>
    <w:multiLevelType w:val="hybridMultilevel"/>
    <w:tmpl w:val="2256BFAA"/>
    <w:lvl w:ilvl="0" w:tplc="2A38F25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671086"/>
    <w:multiLevelType w:val="multilevel"/>
    <w:tmpl w:val="38E8985E"/>
    <w:lvl w:ilvl="0">
      <w:start w:val="1"/>
      <w:numFmt w:val="upperRoman"/>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lvlText w:val="%3)"/>
      <w:lvlJc w:val="left"/>
      <w:pPr>
        <w:ind w:left="504" w:hanging="504"/>
      </w:pPr>
      <w:rPr>
        <w:rFonts w:hint="default"/>
      </w:rPr>
    </w:lvl>
    <w:lvl w:ilvl="3">
      <w:start w:val="1"/>
      <w:numFmt w:val="lowerLetter"/>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45D635C"/>
    <w:multiLevelType w:val="hybridMultilevel"/>
    <w:tmpl w:val="F732C09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8B7293"/>
    <w:multiLevelType w:val="hybridMultilevel"/>
    <w:tmpl w:val="8E2EF63E"/>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43" w15:restartNumberingAfterBreak="0">
    <w:nsid w:val="7EDA569D"/>
    <w:multiLevelType w:val="hybridMultilevel"/>
    <w:tmpl w:val="045A5CF2"/>
    <w:lvl w:ilvl="0" w:tplc="04050001">
      <w:start w:val="1"/>
      <w:numFmt w:val="bullet"/>
      <w:lvlText w:val=""/>
      <w:lvlJc w:val="left"/>
      <w:pPr>
        <w:ind w:left="787" w:hanging="360"/>
      </w:pPr>
      <w:rPr>
        <w:rFonts w:ascii="Symbol" w:hAnsi="Symbol" w:hint="default"/>
      </w:rPr>
    </w:lvl>
    <w:lvl w:ilvl="1" w:tplc="04050003" w:tentative="1">
      <w:start w:val="1"/>
      <w:numFmt w:val="bullet"/>
      <w:lvlText w:val="o"/>
      <w:lvlJc w:val="left"/>
      <w:pPr>
        <w:ind w:left="1507" w:hanging="360"/>
      </w:pPr>
      <w:rPr>
        <w:rFonts w:ascii="Courier New" w:hAnsi="Courier New" w:cs="Courier New" w:hint="default"/>
      </w:rPr>
    </w:lvl>
    <w:lvl w:ilvl="2" w:tplc="04050005" w:tentative="1">
      <w:start w:val="1"/>
      <w:numFmt w:val="bullet"/>
      <w:lvlText w:val=""/>
      <w:lvlJc w:val="left"/>
      <w:pPr>
        <w:ind w:left="2227" w:hanging="360"/>
      </w:pPr>
      <w:rPr>
        <w:rFonts w:ascii="Wingdings" w:hAnsi="Wingdings" w:hint="default"/>
      </w:rPr>
    </w:lvl>
    <w:lvl w:ilvl="3" w:tplc="04050001" w:tentative="1">
      <w:start w:val="1"/>
      <w:numFmt w:val="bullet"/>
      <w:lvlText w:val=""/>
      <w:lvlJc w:val="left"/>
      <w:pPr>
        <w:ind w:left="2947" w:hanging="360"/>
      </w:pPr>
      <w:rPr>
        <w:rFonts w:ascii="Symbol" w:hAnsi="Symbol" w:hint="default"/>
      </w:rPr>
    </w:lvl>
    <w:lvl w:ilvl="4" w:tplc="04050003" w:tentative="1">
      <w:start w:val="1"/>
      <w:numFmt w:val="bullet"/>
      <w:lvlText w:val="o"/>
      <w:lvlJc w:val="left"/>
      <w:pPr>
        <w:ind w:left="3667" w:hanging="360"/>
      </w:pPr>
      <w:rPr>
        <w:rFonts w:ascii="Courier New" w:hAnsi="Courier New" w:cs="Courier New" w:hint="default"/>
      </w:rPr>
    </w:lvl>
    <w:lvl w:ilvl="5" w:tplc="04050005" w:tentative="1">
      <w:start w:val="1"/>
      <w:numFmt w:val="bullet"/>
      <w:lvlText w:val=""/>
      <w:lvlJc w:val="left"/>
      <w:pPr>
        <w:ind w:left="4387" w:hanging="360"/>
      </w:pPr>
      <w:rPr>
        <w:rFonts w:ascii="Wingdings" w:hAnsi="Wingdings" w:hint="default"/>
      </w:rPr>
    </w:lvl>
    <w:lvl w:ilvl="6" w:tplc="04050001" w:tentative="1">
      <w:start w:val="1"/>
      <w:numFmt w:val="bullet"/>
      <w:lvlText w:val=""/>
      <w:lvlJc w:val="left"/>
      <w:pPr>
        <w:ind w:left="5107" w:hanging="360"/>
      </w:pPr>
      <w:rPr>
        <w:rFonts w:ascii="Symbol" w:hAnsi="Symbol" w:hint="default"/>
      </w:rPr>
    </w:lvl>
    <w:lvl w:ilvl="7" w:tplc="04050003" w:tentative="1">
      <w:start w:val="1"/>
      <w:numFmt w:val="bullet"/>
      <w:lvlText w:val="o"/>
      <w:lvlJc w:val="left"/>
      <w:pPr>
        <w:ind w:left="5827" w:hanging="360"/>
      </w:pPr>
      <w:rPr>
        <w:rFonts w:ascii="Courier New" w:hAnsi="Courier New" w:cs="Courier New" w:hint="default"/>
      </w:rPr>
    </w:lvl>
    <w:lvl w:ilvl="8" w:tplc="04050005" w:tentative="1">
      <w:start w:val="1"/>
      <w:numFmt w:val="bullet"/>
      <w:lvlText w:val=""/>
      <w:lvlJc w:val="left"/>
      <w:pPr>
        <w:ind w:left="6547" w:hanging="360"/>
      </w:pPr>
      <w:rPr>
        <w:rFonts w:ascii="Wingdings" w:hAnsi="Wingdings" w:hint="default"/>
      </w:rPr>
    </w:lvl>
  </w:abstractNum>
  <w:num w:numId="1">
    <w:abstractNumId w:val="30"/>
  </w:num>
  <w:num w:numId="2">
    <w:abstractNumId w:val="18"/>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8"/>
  </w:num>
  <w:num w:numId="4">
    <w:abstractNumId w:val="3"/>
  </w:num>
  <w:num w:numId="5">
    <w:abstractNumId w:val="25"/>
  </w:num>
  <w:num w:numId="6">
    <w:abstractNumId w:val="4"/>
  </w:num>
  <w:num w:numId="7">
    <w:abstractNumId w:val="9"/>
  </w:num>
  <w:num w:numId="8">
    <w:abstractNumId w:val="41"/>
  </w:num>
  <w:num w:numId="9">
    <w:abstractNumId w:val="23"/>
  </w:num>
  <w:num w:numId="10">
    <w:abstractNumId w:val="7"/>
  </w:num>
  <w:num w:numId="11">
    <w:abstractNumId w:val="31"/>
  </w:num>
  <w:num w:numId="12">
    <w:abstractNumId w:val="11"/>
  </w:num>
  <w:num w:numId="13">
    <w:abstractNumId w:val="26"/>
  </w:num>
  <w:num w:numId="14">
    <w:abstractNumId w:val="15"/>
  </w:num>
  <w:num w:numId="15">
    <w:abstractNumId w:val="42"/>
  </w:num>
  <w:num w:numId="16">
    <w:abstractNumId w:val="10"/>
  </w:num>
  <w:num w:numId="17">
    <w:abstractNumId w:val="38"/>
  </w:num>
  <w:num w:numId="18">
    <w:abstractNumId w:val="28"/>
  </w:num>
  <w:num w:numId="19">
    <w:abstractNumId w:val="6"/>
  </w:num>
  <w:num w:numId="20">
    <w:abstractNumId w:val="5"/>
  </w:num>
  <w:num w:numId="21">
    <w:abstractNumId w:val="19"/>
  </w:num>
  <w:num w:numId="22">
    <w:abstractNumId w:val="33"/>
  </w:num>
  <w:num w:numId="23">
    <w:abstractNumId w:val="20"/>
  </w:num>
  <w:num w:numId="24">
    <w:abstractNumId w:val="16"/>
  </w:num>
  <w:num w:numId="25">
    <w:abstractNumId w:val="12"/>
  </w:num>
  <w:num w:numId="26">
    <w:abstractNumId w:val="27"/>
  </w:num>
  <w:num w:numId="27">
    <w:abstractNumId w:val="13"/>
  </w:num>
  <w:num w:numId="28">
    <w:abstractNumId w:val="40"/>
  </w:num>
  <w:num w:numId="29">
    <w:abstractNumId w:val="2"/>
  </w:num>
  <w:num w:numId="30">
    <w:abstractNumId w:val="17"/>
  </w:num>
  <w:num w:numId="31">
    <w:abstractNumId w:val="35"/>
  </w:num>
  <w:num w:numId="32">
    <w:abstractNumId w:val="39"/>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abstractNumId w:val="18"/>
    <w:lvlOverride w:ilvl="0">
      <w:lvl w:ilvl="0">
        <w:start w:val="1"/>
        <w:numFmt w:val="upperRoman"/>
        <w:pStyle w:val="StylI"/>
        <w:lvlText w:val="%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abstractNumId w:val="29"/>
  </w:num>
  <w:num w:numId="35">
    <w:abstractNumId w:val="8"/>
  </w:num>
  <w:num w:numId="36">
    <w:abstractNumId w:val="36"/>
  </w:num>
  <w:num w:numId="37">
    <w:abstractNumId w:val="24"/>
  </w:num>
  <w:num w:numId="38">
    <w:abstractNumId w:val="32"/>
  </w:num>
  <w:num w:numId="39">
    <w:abstractNumId w:val="37"/>
  </w:num>
  <w:num w:numId="40">
    <w:abstractNumId w:val="34"/>
  </w:num>
  <w:num w:numId="41">
    <w:abstractNumId w:val="21"/>
  </w:num>
  <w:num w:numId="42">
    <w:abstractNumId w:val="39"/>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abstractNumId w:val="18"/>
    <w:lvlOverride w:ilvl="0">
      <w:lvl w:ilvl="0">
        <w:start w:val="1"/>
        <w:numFmt w:val="upperRoman"/>
        <w:pStyle w:val="StylI"/>
        <w:lvlText w:val="%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abstractNumId w:val="43"/>
  </w:num>
  <w:num w:numId="45">
    <w:abstractNumId w:val="14"/>
  </w:num>
  <w:num w:numId="46">
    <w:abstractNumId w:val="1"/>
  </w:num>
  <w:num w:numId="47">
    <w:abstractNumId w:val="22"/>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6490"/>
    <w:rsid w:val="000204F5"/>
    <w:rsid w:val="000226BE"/>
    <w:rsid w:val="000227AD"/>
    <w:rsid w:val="000236DF"/>
    <w:rsid w:val="0002472F"/>
    <w:rsid w:val="00027032"/>
    <w:rsid w:val="000337B3"/>
    <w:rsid w:val="00033E73"/>
    <w:rsid w:val="00034CD4"/>
    <w:rsid w:val="00036C60"/>
    <w:rsid w:val="000429A6"/>
    <w:rsid w:val="00044343"/>
    <w:rsid w:val="000443A6"/>
    <w:rsid w:val="00046964"/>
    <w:rsid w:val="00047D06"/>
    <w:rsid w:val="00052B53"/>
    <w:rsid w:val="00055E92"/>
    <w:rsid w:val="00056FE7"/>
    <w:rsid w:val="00057085"/>
    <w:rsid w:val="00057983"/>
    <w:rsid w:val="00061AF3"/>
    <w:rsid w:val="00062627"/>
    <w:rsid w:val="00065FF7"/>
    <w:rsid w:val="00071E29"/>
    <w:rsid w:val="00072DB7"/>
    <w:rsid w:val="00073216"/>
    <w:rsid w:val="00073E19"/>
    <w:rsid w:val="000831BC"/>
    <w:rsid w:val="00083E73"/>
    <w:rsid w:val="0008444A"/>
    <w:rsid w:val="00085036"/>
    <w:rsid w:val="0009406F"/>
    <w:rsid w:val="00097D68"/>
    <w:rsid w:val="000A27FD"/>
    <w:rsid w:val="000A283B"/>
    <w:rsid w:val="000A29D7"/>
    <w:rsid w:val="000A5BBC"/>
    <w:rsid w:val="000A5BD0"/>
    <w:rsid w:val="000A6A10"/>
    <w:rsid w:val="000A72AD"/>
    <w:rsid w:val="000A7B45"/>
    <w:rsid w:val="000B0405"/>
    <w:rsid w:val="000B2D25"/>
    <w:rsid w:val="000B474E"/>
    <w:rsid w:val="000B672D"/>
    <w:rsid w:val="000B71C9"/>
    <w:rsid w:val="000B7275"/>
    <w:rsid w:val="000C0819"/>
    <w:rsid w:val="000C0AEB"/>
    <w:rsid w:val="000C2777"/>
    <w:rsid w:val="000C4A33"/>
    <w:rsid w:val="000C6BE5"/>
    <w:rsid w:val="000D3AF3"/>
    <w:rsid w:val="000D407A"/>
    <w:rsid w:val="000D55B9"/>
    <w:rsid w:val="000D797D"/>
    <w:rsid w:val="000E5EC0"/>
    <w:rsid w:val="000E7580"/>
    <w:rsid w:val="000E775B"/>
    <w:rsid w:val="000F2DDE"/>
    <w:rsid w:val="000F5145"/>
    <w:rsid w:val="000F7387"/>
    <w:rsid w:val="001003EF"/>
    <w:rsid w:val="00110F82"/>
    <w:rsid w:val="001116DB"/>
    <w:rsid w:val="00111753"/>
    <w:rsid w:val="00112139"/>
    <w:rsid w:val="00113281"/>
    <w:rsid w:val="00122102"/>
    <w:rsid w:val="001239EC"/>
    <w:rsid w:val="00124BC3"/>
    <w:rsid w:val="001311D9"/>
    <w:rsid w:val="0013400C"/>
    <w:rsid w:val="00134AB8"/>
    <w:rsid w:val="00137469"/>
    <w:rsid w:val="0014022F"/>
    <w:rsid w:val="0014131B"/>
    <w:rsid w:val="001420BD"/>
    <w:rsid w:val="00145E4B"/>
    <w:rsid w:val="00146207"/>
    <w:rsid w:val="00151E65"/>
    <w:rsid w:val="00155707"/>
    <w:rsid w:val="00156958"/>
    <w:rsid w:val="00157F91"/>
    <w:rsid w:val="00157FA2"/>
    <w:rsid w:val="00160521"/>
    <w:rsid w:val="0016389F"/>
    <w:rsid w:val="00164745"/>
    <w:rsid w:val="00165472"/>
    <w:rsid w:val="001673C4"/>
    <w:rsid w:val="00172C14"/>
    <w:rsid w:val="001776F2"/>
    <w:rsid w:val="0018206E"/>
    <w:rsid w:val="001868C2"/>
    <w:rsid w:val="00194564"/>
    <w:rsid w:val="00196263"/>
    <w:rsid w:val="001A0A6A"/>
    <w:rsid w:val="001A36FD"/>
    <w:rsid w:val="001A4690"/>
    <w:rsid w:val="001B2C32"/>
    <w:rsid w:val="001B4AE4"/>
    <w:rsid w:val="001B4B18"/>
    <w:rsid w:val="001B7F9C"/>
    <w:rsid w:val="001C0C52"/>
    <w:rsid w:val="001C1730"/>
    <w:rsid w:val="001C5BAB"/>
    <w:rsid w:val="001C5C6D"/>
    <w:rsid w:val="001C77AA"/>
    <w:rsid w:val="001D02AC"/>
    <w:rsid w:val="001D1BF6"/>
    <w:rsid w:val="001D680B"/>
    <w:rsid w:val="001D6FAD"/>
    <w:rsid w:val="001D724F"/>
    <w:rsid w:val="001D79DD"/>
    <w:rsid w:val="001E4B8D"/>
    <w:rsid w:val="001E6188"/>
    <w:rsid w:val="001E7504"/>
    <w:rsid w:val="001E76ED"/>
    <w:rsid w:val="001E794E"/>
    <w:rsid w:val="001F3400"/>
    <w:rsid w:val="001F54C9"/>
    <w:rsid w:val="001F5652"/>
    <w:rsid w:val="0020124C"/>
    <w:rsid w:val="00201FEA"/>
    <w:rsid w:val="00203A77"/>
    <w:rsid w:val="00203A78"/>
    <w:rsid w:val="0020486F"/>
    <w:rsid w:val="00210960"/>
    <w:rsid w:val="002129E3"/>
    <w:rsid w:val="002143F0"/>
    <w:rsid w:val="00214A69"/>
    <w:rsid w:val="002223BF"/>
    <w:rsid w:val="00222411"/>
    <w:rsid w:val="002237F3"/>
    <w:rsid w:val="00223A8A"/>
    <w:rsid w:val="00223EE3"/>
    <w:rsid w:val="00225139"/>
    <w:rsid w:val="002311B1"/>
    <w:rsid w:val="002331D0"/>
    <w:rsid w:val="00234983"/>
    <w:rsid w:val="00237006"/>
    <w:rsid w:val="0024039E"/>
    <w:rsid w:val="00245EA0"/>
    <w:rsid w:val="00253EDD"/>
    <w:rsid w:val="002551EE"/>
    <w:rsid w:val="00255552"/>
    <w:rsid w:val="00256B33"/>
    <w:rsid w:val="00257696"/>
    <w:rsid w:val="0026174F"/>
    <w:rsid w:val="00261BE1"/>
    <w:rsid w:val="00265A36"/>
    <w:rsid w:val="0026649E"/>
    <w:rsid w:val="00267BED"/>
    <w:rsid w:val="00272598"/>
    <w:rsid w:val="002735E0"/>
    <w:rsid w:val="00277193"/>
    <w:rsid w:val="002773C2"/>
    <w:rsid w:val="002807F8"/>
    <w:rsid w:val="0029015F"/>
    <w:rsid w:val="00291E86"/>
    <w:rsid w:val="002936AE"/>
    <w:rsid w:val="0029560D"/>
    <w:rsid w:val="0029614C"/>
    <w:rsid w:val="002A273C"/>
    <w:rsid w:val="002A315B"/>
    <w:rsid w:val="002A3AEC"/>
    <w:rsid w:val="002B4879"/>
    <w:rsid w:val="002B7654"/>
    <w:rsid w:val="002C05DA"/>
    <w:rsid w:val="002C3D55"/>
    <w:rsid w:val="002C4087"/>
    <w:rsid w:val="002C44D1"/>
    <w:rsid w:val="002C5AEC"/>
    <w:rsid w:val="002C6DE1"/>
    <w:rsid w:val="002D018B"/>
    <w:rsid w:val="002D0E86"/>
    <w:rsid w:val="002D0FBB"/>
    <w:rsid w:val="002D3A0D"/>
    <w:rsid w:val="002D4844"/>
    <w:rsid w:val="002D4F83"/>
    <w:rsid w:val="002D5080"/>
    <w:rsid w:val="002D5F7F"/>
    <w:rsid w:val="002D6002"/>
    <w:rsid w:val="002D6E00"/>
    <w:rsid w:val="002E1F95"/>
    <w:rsid w:val="002E2591"/>
    <w:rsid w:val="002F1467"/>
    <w:rsid w:val="002F3BC4"/>
    <w:rsid w:val="002F530A"/>
    <w:rsid w:val="002F6A80"/>
    <w:rsid w:val="002F6F8A"/>
    <w:rsid w:val="00301015"/>
    <w:rsid w:val="00301405"/>
    <w:rsid w:val="00311735"/>
    <w:rsid w:val="003147A8"/>
    <w:rsid w:val="00315D26"/>
    <w:rsid w:val="00316FC8"/>
    <w:rsid w:val="003179DD"/>
    <w:rsid w:val="00322103"/>
    <w:rsid w:val="00323728"/>
    <w:rsid w:val="00327391"/>
    <w:rsid w:val="00327F1A"/>
    <w:rsid w:val="00330034"/>
    <w:rsid w:val="00330CA0"/>
    <w:rsid w:val="00330D60"/>
    <w:rsid w:val="00333174"/>
    <w:rsid w:val="00346D34"/>
    <w:rsid w:val="00352F44"/>
    <w:rsid w:val="003557FD"/>
    <w:rsid w:val="00356D9D"/>
    <w:rsid w:val="00356F11"/>
    <w:rsid w:val="00357E5E"/>
    <w:rsid w:val="00360293"/>
    <w:rsid w:val="00363304"/>
    <w:rsid w:val="00366085"/>
    <w:rsid w:val="0037016F"/>
    <w:rsid w:val="003704AE"/>
    <w:rsid w:val="00371B1C"/>
    <w:rsid w:val="003723F0"/>
    <w:rsid w:val="0037371B"/>
    <w:rsid w:val="003773A9"/>
    <w:rsid w:val="0038445F"/>
    <w:rsid w:val="00387B05"/>
    <w:rsid w:val="00394907"/>
    <w:rsid w:val="00394B19"/>
    <w:rsid w:val="00395649"/>
    <w:rsid w:val="00396513"/>
    <w:rsid w:val="0039784B"/>
    <w:rsid w:val="003A0BB1"/>
    <w:rsid w:val="003A0F84"/>
    <w:rsid w:val="003A1C65"/>
    <w:rsid w:val="003A2D00"/>
    <w:rsid w:val="003A3070"/>
    <w:rsid w:val="003A365E"/>
    <w:rsid w:val="003C2A8E"/>
    <w:rsid w:val="003C3A01"/>
    <w:rsid w:val="003C3CE6"/>
    <w:rsid w:val="003C6A3A"/>
    <w:rsid w:val="003D331F"/>
    <w:rsid w:val="003D4AC4"/>
    <w:rsid w:val="003D55F6"/>
    <w:rsid w:val="003D789A"/>
    <w:rsid w:val="003E5E28"/>
    <w:rsid w:val="003E64BF"/>
    <w:rsid w:val="003E653A"/>
    <w:rsid w:val="003E7490"/>
    <w:rsid w:val="003E76D7"/>
    <w:rsid w:val="003F1FC8"/>
    <w:rsid w:val="003F3914"/>
    <w:rsid w:val="003F5856"/>
    <w:rsid w:val="003F75E8"/>
    <w:rsid w:val="0040106A"/>
    <w:rsid w:val="00401486"/>
    <w:rsid w:val="00401B18"/>
    <w:rsid w:val="00401DF3"/>
    <w:rsid w:val="00401F7D"/>
    <w:rsid w:val="0040351E"/>
    <w:rsid w:val="004066A6"/>
    <w:rsid w:val="00410DC2"/>
    <w:rsid w:val="00420DA7"/>
    <w:rsid w:val="004225FE"/>
    <w:rsid w:val="004255E2"/>
    <w:rsid w:val="004259D7"/>
    <w:rsid w:val="0042600A"/>
    <w:rsid w:val="00426B4C"/>
    <w:rsid w:val="00427151"/>
    <w:rsid w:val="004348D9"/>
    <w:rsid w:val="00437C6B"/>
    <w:rsid w:val="0044233D"/>
    <w:rsid w:val="00450526"/>
    <w:rsid w:val="00453B81"/>
    <w:rsid w:val="00454CC7"/>
    <w:rsid w:val="004571D0"/>
    <w:rsid w:val="00462DFB"/>
    <w:rsid w:val="004636DD"/>
    <w:rsid w:val="00465972"/>
    <w:rsid w:val="00467196"/>
    <w:rsid w:val="00467B02"/>
    <w:rsid w:val="004704D5"/>
    <w:rsid w:val="0047132A"/>
    <w:rsid w:val="00471871"/>
    <w:rsid w:val="00471DE1"/>
    <w:rsid w:val="004732B0"/>
    <w:rsid w:val="00474D68"/>
    <w:rsid w:val="0048222D"/>
    <w:rsid w:val="00484810"/>
    <w:rsid w:val="004853B5"/>
    <w:rsid w:val="00485A47"/>
    <w:rsid w:val="00486175"/>
    <w:rsid w:val="004962E3"/>
    <w:rsid w:val="004A1DA6"/>
    <w:rsid w:val="004A2EA2"/>
    <w:rsid w:val="004A31B5"/>
    <w:rsid w:val="004A4BBD"/>
    <w:rsid w:val="004B01E2"/>
    <w:rsid w:val="004B2B0D"/>
    <w:rsid w:val="004B2C2B"/>
    <w:rsid w:val="004B398E"/>
    <w:rsid w:val="004B6EF1"/>
    <w:rsid w:val="004C189F"/>
    <w:rsid w:val="004D5EDD"/>
    <w:rsid w:val="004E251D"/>
    <w:rsid w:val="004E56BC"/>
    <w:rsid w:val="004F05B4"/>
    <w:rsid w:val="004F3897"/>
    <w:rsid w:val="004F5E61"/>
    <w:rsid w:val="005007BB"/>
    <w:rsid w:val="0050093F"/>
    <w:rsid w:val="005018C2"/>
    <w:rsid w:val="00502882"/>
    <w:rsid w:val="00503962"/>
    <w:rsid w:val="00505F61"/>
    <w:rsid w:val="00510F08"/>
    <w:rsid w:val="0051163E"/>
    <w:rsid w:val="005123B9"/>
    <w:rsid w:val="0051425F"/>
    <w:rsid w:val="00514294"/>
    <w:rsid w:val="00515CDD"/>
    <w:rsid w:val="00520AC1"/>
    <w:rsid w:val="00521430"/>
    <w:rsid w:val="00522D1F"/>
    <w:rsid w:val="00523C23"/>
    <w:rsid w:val="0053700E"/>
    <w:rsid w:val="005373D4"/>
    <w:rsid w:val="00537A52"/>
    <w:rsid w:val="00543B26"/>
    <w:rsid w:val="00552032"/>
    <w:rsid w:val="005533C8"/>
    <w:rsid w:val="00553EC1"/>
    <w:rsid w:val="0055519F"/>
    <w:rsid w:val="00556D21"/>
    <w:rsid w:val="00556E07"/>
    <w:rsid w:val="00557921"/>
    <w:rsid w:val="00562B58"/>
    <w:rsid w:val="00562F40"/>
    <w:rsid w:val="00563E1E"/>
    <w:rsid w:val="00564798"/>
    <w:rsid w:val="005649B7"/>
    <w:rsid w:val="00566F7D"/>
    <w:rsid w:val="00571DC4"/>
    <w:rsid w:val="00573062"/>
    <w:rsid w:val="00574FC7"/>
    <w:rsid w:val="00580613"/>
    <w:rsid w:val="00580726"/>
    <w:rsid w:val="00582077"/>
    <w:rsid w:val="005835B3"/>
    <w:rsid w:val="0058484D"/>
    <w:rsid w:val="0058713F"/>
    <w:rsid w:val="00597898"/>
    <w:rsid w:val="005A548A"/>
    <w:rsid w:val="005A65BC"/>
    <w:rsid w:val="005B644A"/>
    <w:rsid w:val="005B6556"/>
    <w:rsid w:val="005B6F56"/>
    <w:rsid w:val="005C1664"/>
    <w:rsid w:val="005C3E1F"/>
    <w:rsid w:val="005C4025"/>
    <w:rsid w:val="005D4B41"/>
    <w:rsid w:val="005D4D5A"/>
    <w:rsid w:val="005D6967"/>
    <w:rsid w:val="005D74BC"/>
    <w:rsid w:val="005E30D9"/>
    <w:rsid w:val="005E43C2"/>
    <w:rsid w:val="005E49BE"/>
    <w:rsid w:val="005E4F01"/>
    <w:rsid w:val="005E5800"/>
    <w:rsid w:val="005F39DB"/>
    <w:rsid w:val="005F3F8D"/>
    <w:rsid w:val="005F53D0"/>
    <w:rsid w:val="005F59C6"/>
    <w:rsid w:val="005F7D1A"/>
    <w:rsid w:val="00604A5F"/>
    <w:rsid w:val="00611E9C"/>
    <w:rsid w:val="00613258"/>
    <w:rsid w:val="00616978"/>
    <w:rsid w:val="00624324"/>
    <w:rsid w:val="0062732B"/>
    <w:rsid w:val="00630B5C"/>
    <w:rsid w:val="00631E5E"/>
    <w:rsid w:val="00632762"/>
    <w:rsid w:val="00632B6A"/>
    <w:rsid w:val="00633048"/>
    <w:rsid w:val="00634EE8"/>
    <w:rsid w:val="00635659"/>
    <w:rsid w:val="00637376"/>
    <w:rsid w:val="00640996"/>
    <w:rsid w:val="00640FB1"/>
    <w:rsid w:val="00643A6E"/>
    <w:rsid w:val="00643D82"/>
    <w:rsid w:val="00650372"/>
    <w:rsid w:val="00653529"/>
    <w:rsid w:val="006537FD"/>
    <w:rsid w:val="00657701"/>
    <w:rsid w:val="00657AB6"/>
    <w:rsid w:val="006652E4"/>
    <w:rsid w:val="00667B85"/>
    <w:rsid w:val="0067158C"/>
    <w:rsid w:val="00672354"/>
    <w:rsid w:val="00672F31"/>
    <w:rsid w:val="00674BCD"/>
    <w:rsid w:val="00682592"/>
    <w:rsid w:val="006829D0"/>
    <w:rsid w:val="0068373C"/>
    <w:rsid w:val="0068387D"/>
    <w:rsid w:val="00685AD5"/>
    <w:rsid w:val="00691CE7"/>
    <w:rsid w:val="00692409"/>
    <w:rsid w:val="00692D78"/>
    <w:rsid w:val="00693042"/>
    <w:rsid w:val="006A0620"/>
    <w:rsid w:val="006A1FE6"/>
    <w:rsid w:val="006A5F4E"/>
    <w:rsid w:val="006A63AE"/>
    <w:rsid w:val="006A69B0"/>
    <w:rsid w:val="006B070A"/>
    <w:rsid w:val="006C225B"/>
    <w:rsid w:val="006C45C1"/>
    <w:rsid w:val="006C6312"/>
    <w:rsid w:val="006C7569"/>
    <w:rsid w:val="006D17F4"/>
    <w:rsid w:val="006D300E"/>
    <w:rsid w:val="006D3CD8"/>
    <w:rsid w:val="006D5EEC"/>
    <w:rsid w:val="006E6F3F"/>
    <w:rsid w:val="006F2FEA"/>
    <w:rsid w:val="006F5A46"/>
    <w:rsid w:val="006F7DC0"/>
    <w:rsid w:val="00705651"/>
    <w:rsid w:val="007066FD"/>
    <w:rsid w:val="0071184D"/>
    <w:rsid w:val="00713CC5"/>
    <w:rsid w:val="007155F3"/>
    <w:rsid w:val="007176D1"/>
    <w:rsid w:val="007178DD"/>
    <w:rsid w:val="0071790F"/>
    <w:rsid w:val="00720790"/>
    <w:rsid w:val="007217D3"/>
    <w:rsid w:val="00723541"/>
    <w:rsid w:val="00725F7F"/>
    <w:rsid w:val="00731806"/>
    <w:rsid w:val="00736821"/>
    <w:rsid w:val="00736F37"/>
    <w:rsid w:val="007407BD"/>
    <w:rsid w:val="00743FAD"/>
    <w:rsid w:val="0074400F"/>
    <w:rsid w:val="00745526"/>
    <w:rsid w:val="00747426"/>
    <w:rsid w:val="00752226"/>
    <w:rsid w:val="007532BA"/>
    <w:rsid w:val="007563E2"/>
    <w:rsid w:val="00765DD0"/>
    <w:rsid w:val="00767640"/>
    <w:rsid w:val="007701B4"/>
    <w:rsid w:val="0077340C"/>
    <w:rsid w:val="00774201"/>
    <w:rsid w:val="00774CB0"/>
    <w:rsid w:val="007772AE"/>
    <w:rsid w:val="00777859"/>
    <w:rsid w:val="00780E3B"/>
    <w:rsid w:val="00783470"/>
    <w:rsid w:val="007866B9"/>
    <w:rsid w:val="00790503"/>
    <w:rsid w:val="007917CC"/>
    <w:rsid w:val="00793521"/>
    <w:rsid w:val="00796D38"/>
    <w:rsid w:val="007A0945"/>
    <w:rsid w:val="007A0CC7"/>
    <w:rsid w:val="007A3C77"/>
    <w:rsid w:val="007B0116"/>
    <w:rsid w:val="007B094A"/>
    <w:rsid w:val="007B1BC4"/>
    <w:rsid w:val="007B2500"/>
    <w:rsid w:val="007B7A7B"/>
    <w:rsid w:val="007C09AC"/>
    <w:rsid w:val="007C409C"/>
    <w:rsid w:val="007C51CB"/>
    <w:rsid w:val="007C562F"/>
    <w:rsid w:val="007D1FA5"/>
    <w:rsid w:val="007D6473"/>
    <w:rsid w:val="007E0AD0"/>
    <w:rsid w:val="007E0E3E"/>
    <w:rsid w:val="007E331C"/>
    <w:rsid w:val="007E44B6"/>
    <w:rsid w:val="007E4690"/>
    <w:rsid w:val="007E5E41"/>
    <w:rsid w:val="007E66C5"/>
    <w:rsid w:val="007F14C9"/>
    <w:rsid w:val="007F1623"/>
    <w:rsid w:val="00800490"/>
    <w:rsid w:val="008021D5"/>
    <w:rsid w:val="00803135"/>
    <w:rsid w:val="00803326"/>
    <w:rsid w:val="00804B54"/>
    <w:rsid w:val="0080688C"/>
    <w:rsid w:val="00810AA0"/>
    <w:rsid w:val="0081356B"/>
    <w:rsid w:val="00814A5F"/>
    <w:rsid w:val="00820BA7"/>
    <w:rsid w:val="00821B28"/>
    <w:rsid w:val="008238D8"/>
    <w:rsid w:val="00826E1D"/>
    <w:rsid w:val="00830789"/>
    <w:rsid w:val="00833098"/>
    <w:rsid w:val="008341FE"/>
    <w:rsid w:val="008353BD"/>
    <w:rsid w:val="00836D8A"/>
    <w:rsid w:val="008374EA"/>
    <w:rsid w:val="00841871"/>
    <w:rsid w:val="0084547C"/>
    <w:rsid w:val="00850745"/>
    <w:rsid w:val="00852594"/>
    <w:rsid w:val="00852719"/>
    <w:rsid w:val="008563AC"/>
    <w:rsid w:val="00856ADE"/>
    <w:rsid w:val="0085744F"/>
    <w:rsid w:val="008615D2"/>
    <w:rsid w:val="00863B12"/>
    <w:rsid w:val="00871C75"/>
    <w:rsid w:val="00871D5D"/>
    <w:rsid w:val="00872589"/>
    <w:rsid w:val="0087519D"/>
    <w:rsid w:val="008768A4"/>
    <w:rsid w:val="00882BD6"/>
    <w:rsid w:val="0088790F"/>
    <w:rsid w:val="0088791B"/>
    <w:rsid w:val="00897865"/>
    <w:rsid w:val="00897930"/>
    <w:rsid w:val="008B197C"/>
    <w:rsid w:val="008B1AF6"/>
    <w:rsid w:val="008B4F7E"/>
    <w:rsid w:val="008C093F"/>
    <w:rsid w:val="008C1300"/>
    <w:rsid w:val="008C6068"/>
    <w:rsid w:val="008D0383"/>
    <w:rsid w:val="008D26AB"/>
    <w:rsid w:val="008D3619"/>
    <w:rsid w:val="008D40CF"/>
    <w:rsid w:val="008D4DC0"/>
    <w:rsid w:val="008D72AF"/>
    <w:rsid w:val="008D7E37"/>
    <w:rsid w:val="008E100B"/>
    <w:rsid w:val="008E115D"/>
    <w:rsid w:val="008E2F4B"/>
    <w:rsid w:val="008E4ED5"/>
    <w:rsid w:val="008E567D"/>
    <w:rsid w:val="008F1912"/>
    <w:rsid w:val="008F76B7"/>
    <w:rsid w:val="008F77F6"/>
    <w:rsid w:val="008F785C"/>
    <w:rsid w:val="00900034"/>
    <w:rsid w:val="00901AD6"/>
    <w:rsid w:val="0090372F"/>
    <w:rsid w:val="009131E2"/>
    <w:rsid w:val="00914F0E"/>
    <w:rsid w:val="00920952"/>
    <w:rsid w:val="00920D4A"/>
    <w:rsid w:val="0092395E"/>
    <w:rsid w:val="00923F26"/>
    <w:rsid w:val="00926863"/>
    <w:rsid w:val="0093089A"/>
    <w:rsid w:val="00930FC9"/>
    <w:rsid w:val="009310AE"/>
    <w:rsid w:val="0094029F"/>
    <w:rsid w:val="00941EA3"/>
    <w:rsid w:val="0094295B"/>
    <w:rsid w:val="0094416A"/>
    <w:rsid w:val="00951C38"/>
    <w:rsid w:val="0095446E"/>
    <w:rsid w:val="009547B3"/>
    <w:rsid w:val="00956725"/>
    <w:rsid w:val="00956941"/>
    <w:rsid w:val="00956B9F"/>
    <w:rsid w:val="009577A5"/>
    <w:rsid w:val="00961D67"/>
    <w:rsid w:val="00965DE7"/>
    <w:rsid w:val="00967E14"/>
    <w:rsid w:val="00974428"/>
    <w:rsid w:val="00975513"/>
    <w:rsid w:val="009758E5"/>
    <w:rsid w:val="009776E9"/>
    <w:rsid w:val="00981FB9"/>
    <w:rsid w:val="00982849"/>
    <w:rsid w:val="00982EE7"/>
    <w:rsid w:val="009842E4"/>
    <w:rsid w:val="00987AE1"/>
    <w:rsid w:val="00991BF3"/>
    <w:rsid w:val="009921F3"/>
    <w:rsid w:val="00992D1E"/>
    <w:rsid w:val="00994F0A"/>
    <w:rsid w:val="00995C35"/>
    <w:rsid w:val="00996BC0"/>
    <w:rsid w:val="009A0FFB"/>
    <w:rsid w:val="009A1F6D"/>
    <w:rsid w:val="009A5534"/>
    <w:rsid w:val="009A5715"/>
    <w:rsid w:val="009A674C"/>
    <w:rsid w:val="009A6C36"/>
    <w:rsid w:val="009B37F9"/>
    <w:rsid w:val="009B4A48"/>
    <w:rsid w:val="009B73B4"/>
    <w:rsid w:val="009C23B2"/>
    <w:rsid w:val="009D15D9"/>
    <w:rsid w:val="009D1BE0"/>
    <w:rsid w:val="009D4C0A"/>
    <w:rsid w:val="009D66AA"/>
    <w:rsid w:val="009E3615"/>
    <w:rsid w:val="009E6E0B"/>
    <w:rsid w:val="009E777A"/>
    <w:rsid w:val="009E787E"/>
    <w:rsid w:val="009F1175"/>
    <w:rsid w:val="009F4871"/>
    <w:rsid w:val="009F5211"/>
    <w:rsid w:val="009F6828"/>
    <w:rsid w:val="00A00F56"/>
    <w:rsid w:val="00A12489"/>
    <w:rsid w:val="00A13DD5"/>
    <w:rsid w:val="00A16E9E"/>
    <w:rsid w:val="00A22273"/>
    <w:rsid w:val="00A30498"/>
    <w:rsid w:val="00A30A27"/>
    <w:rsid w:val="00A31635"/>
    <w:rsid w:val="00A35C53"/>
    <w:rsid w:val="00A40E47"/>
    <w:rsid w:val="00A43E81"/>
    <w:rsid w:val="00A46558"/>
    <w:rsid w:val="00A509CE"/>
    <w:rsid w:val="00A52DCD"/>
    <w:rsid w:val="00A53A1B"/>
    <w:rsid w:val="00A56264"/>
    <w:rsid w:val="00A5787F"/>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5A8D"/>
    <w:rsid w:val="00AA6A69"/>
    <w:rsid w:val="00AB2174"/>
    <w:rsid w:val="00AB376F"/>
    <w:rsid w:val="00AB3883"/>
    <w:rsid w:val="00AC3573"/>
    <w:rsid w:val="00AC46AB"/>
    <w:rsid w:val="00AD0F20"/>
    <w:rsid w:val="00AD2119"/>
    <w:rsid w:val="00AD5458"/>
    <w:rsid w:val="00AE10E4"/>
    <w:rsid w:val="00AE4E47"/>
    <w:rsid w:val="00AE64B9"/>
    <w:rsid w:val="00AE67A4"/>
    <w:rsid w:val="00AE7251"/>
    <w:rsid w:val="00AF039E"/>
    <w:rsid w:val="00AF11E9"/>
    <w:rsid w:val="00AF2BE7"/>
    <w:rsid w:val="00AF56BB"/>
    <w:rsid w:val="00AF6FA5"/>
    <w:rsid w:val="00B0059D"/>
    <w:rsid w:val="00B02771"/>
    <w:rsid w:val="00B03049"/>
    <w:rsid w:val="00B0327E"/>
    <w:rsid w:val="00B05FF6"/>
    <w:rsid w:val="00B066DC"/>
    <w:rsid w:val="00B06D4F"/>
    <w:rsid w:val="00B13B82"/>
    <w:rsid w:val="00B160A8"/>
    <w:rsid w:val="00B21311"/>
    <w:rsid w:val="00B22EEC"/>
    <w:rsid w:val="00B23C06"/>
    <w:rsid w:val="00B24392"/>
    <w:rsid w:val="00B265F9"/>
    <w:rsid w:val="00B343F2"/>
    <w:rsid w:val="00B36514"/>
    <w:rsid w:val="00B36690"/>
    <w:rsid w:val="00B37D2C"/>
    <w:rsid w:val="00B40A2E"/>
    <w:rsid w:val="00B44812"/>
    <w:rsid w:val="00B45C4C"/>
    <w:rsid w:val="00B47221"/>
    <w:rsid w:val="00B47C17"/>
    <w:rsid w:val="00B47EE5"/>
    <w:rsid w:val="00B5151B"/>
    <w:rsid w:val="00B5354A"/>
    <w:rsid w:val="00B565D7"/>
    <w:rsid w:val="00B607EC"/>
    <w:rsid w:val="00B60C51"/>
    <w:rsid w:val="00B613D6"/>
    <w:rsid w:val="00B6214A"/>
    <w:rsid w:val="00B6473A"/>
    <w:rsid w:val="00B649A8"/>
    <w:rsid w:val="00B717F4"/>
    <w:rsid w:val="00B72F3D"/>
    <w:rsid w:val="00B75E94"/>
    <w:rsid w:val="00B77E2C"/>
    <w:rsid w:val="00B80982"/>
    <w:rsid w:val="00B833B4"/>
    <w:rsid w:val="00B83464"/>
    <w:rsid w:val="00B84C6F"/>
    <w:rsid w:val="00B8788B"/>
    <w:rsid w:val="00B91917"/>
    <w:rsid w:val="00B92BC6"/>
    <w:rsid w:val="00B93410"/>
    <w:rsid w:val="00B93C97"/>
    <w:rsid w:val="00B94122"/>
    <w:rsid w:val="00B9623D"/>
    <w:rsid w:val="00BA1D20"/>
    <w:rsid w:val="00BA2CC4"/>
    <w:rsid w:val="00BA441F"/>
    <w:rsid w:val="00BA690F"/>
    <w:rsid w:val="00BA775F"/>
    <w:rsid w:val="00BB0B3F"/>
    <w:rsid w:val="00BC5357"/>
    <w:rsid w:val="00BC5DB0"/>
    <w:rsid w:val="00BC643D"/>
    <w:rsid w:val="00BD0A1A"/>
    <w:rsid w:val="00BD1035"/>
    <w:rsid w:val="00BD1A7C"/>
    <w:rsid w:val="00BD36C5"/>
    <w:rsid w:val="00BD3DD3"/>
    <w:rsid w:val="00BD43BC"/>
    <w:rsid w:val="00BD696B"/>
    <w:rsid w:val="00BD790D"/>
    <w:rsid w:val="00BE1919"/>
    <w:rsid w:val="00BE1C81"/>
    <w:rsid w:val="00BE2942"/>
    <w:rsid w:val="00BE41BB"/>
    <w:rsid w:val="00BE449F"/>
    <w:rsid w:val="00BE4538"/>
    <w:rsid w:val="00BF4656"/>
    <w:rsid w:val="00BF49BB"/>
    <w:rsid w:val="00BF4A32"/>
    <w:rsid w:val="00C01BDD"/>
    <w:rsid w:val="00C076B8"/>
    <w:rsid w:val="00C11AF1"/>
    <w:rsid w:val="00C12528"/>
    <w:rsid w:val="00C13625"/>
    <w:rsid w:val="00C1621D"/>
    <w:rsid w:val="00C17A3A"/>
    <w:rsid w:val="00C22212"/>
    <w:rsid w:val="00C25B36"/>
    <w:rsid w:val="00C27847"/>
    <w:rsid w:val="00C31178"/>
    <w:rsid w:val="00C31F7F"/>
    <w:rsid w:val="00C33C8E"/>
    <w:rsid w:val="00C373A4"/>
    <w:rsid w:val="00C41A66"/>
    <w:rsid w:val="00C42AE3"/>
    <w:rsid w:val="00C43427"/>
    <w:rsid w:val="00C47079"/>
    <w:rsid w:val="00C51C30"/>
    <w:rsid w:val="00C61FF9"/>
    <w:rsid w:val="00C62FF2"/>
    <w:rsid w:val="00C64FDB"/>
    <w:rsid w:val="00C650A4"/>
    <w:rsid w:val="00C65412"/>
    <w:rsid w:val="00C70B55"/>
    <w:rsid w:val="00C751A5"/>
    <w:rsid w:val="00C8048C"/>
    <w:rsid w:val="00C8140B"/>
    <w:rsid w:val="00C81C41"/>
    <w:rsid w:val="00C82013"/>
    <w:rsid w:val="00C85208"/>
    <w:rsid w:val="00C85296"/>
    <w:rsid w:val="00C86BAF"/>
    <w:rsid w:val="00C87669"/>
    <w:rsid w:val="00C90426"/>
    <w:rsid w:val="00C9143C"/>
    <w:rsid w:val="00C91629"/>
    <w:rsid w:val="00C9532F"/>
    <w:rsid w:val="00CB4E7D"/>
    <w:rsid w:val="00CB6CE1"/>
    <w:rsid w:val="00CC1317"/>
    <w:rsid w:val="00CC2688"/>
    <w:rsid w:val="00CC370F"/>
    <w:rsid w:val="00CC3B87"/>
    <w:rsid w:val="00CC46A1"/>
    <w:rsid w:val="00CC5F73"/>
    <w:rsid w:val="00CC6206"/>
    <w:rsid w:val="00CC7E56"/>
    <w:rsid w:val="00CD02DE"/>
    <w:rsid w:val="00CD4315"/>
    <w:rsid w:val="00CD60AC"/>
    <w:rsid w:val="00CD68C9"/>
    <w:rsid w:val="00CE35C6"/>
    <w:rsid w:val="00CE46B3"/>
    <w:rsid w:val="00CE5CC3"/>
    <w:rsid w:val="00CF0C49"/>
    <w:rsid w:val="00CF0C80"/>
    <w:rsid w:val="00CF21D3"/>
    <w:rsid w:val="00CF332B"/>
    <w:rsid w:val="00CF37EC"/>
    <w:rsid w:val="00CF4B63"/>
    <w:rsid w:val="00D0409A"/>
    <w:rsid w:val="00D04945"/>
    <w:rsid w:val="00D049A0"/>
    <w:rsid w:val="00D051D2"/>
    <w:rsid w:val="00D057B1"/>
    <w:rsid w:val="00D10D0C"/>
    <w:rsid w:val="00D1333E"/>
    <w:rsid w:val="00D13629"/>
    <w:rsid w:val="00D14639"/>
    <w:rsid w:val="00D164A2"/>
    <w:rsid w:val="00D166C9"/>
    <w:rsid w:val="00D2025B"/>
    <w:rsid w:val="00D215CA"/>
    <w:rsid w:val="00D23B86"/>
    <w:rsid w:val="00D23BB7"/>
    <w:rsid w:val="00D30CE9"/>
    <w:rsid w:val="00D313DD"/>
    <w:rsid w:val="00D317FF"/>
    <w:rsid w:val="00D3460A"/>
    <w:rsid w:val="00D37117"/>
    <w:rsid w:val="00D37392"/>
    <w:rsid w:val="00D40E9C"/>
    <w:rsid w:val="00D4472E"/>
    <w:rsid w:val="00D44B49"/>
    <w:rsid w:val="00D56024"/>
    <w:rsid w:val="00D632DE"/>
    <w:rsid w:val="00D64B3A"/>
    <w:rsid w:val="00D65334"/>
    <w:rsid w:val="00D72EDB"/>
    <w:rsid w:val="00D754D2"/>
    <w:rsid w:val="00D76653"/>
    <w:rsid w:val="00D8246C"/>
    <w:rsid w:val="00D83D55"/>
    <w:rsid w:val="00D8642A"/>
    <w:rsid w:val="00D9034E"/>
    <w:rsid w:val="00D916F8"/>
    <w:rsid w:val="00D924C1"/>
    <w:rsid w:val="00D92AC9"/>
    <w:rsid w:val="00D9474C"/>
    <w:rsid w:val="00D96196"/>
    <w:rsid w:val="00D968FD"/>
    <w:rsid w:val="00D96A42"/>
    <w:rsid w:val="00DA6781"/>
    <w:rsid w:val="00DB0D27"/>
    <w:rsid w:val="00DB2D65"/>
    <w:rsid w:val="00DB3322"/>
    <w:rsid w:val="00DB3701"/>
    <w:rsid w:val="00DC0689"/>
    <w:rsid w:val="00DC1DA2"/>
    <w:rsid w:val="00DC32EC"/>
    <w:rsid w:val="00DC5FE9"/>
    <w:rsid w:val="00DC649F"/>
    <w:rsid w:val="00DD02B0"/>
    <w:rsid w:val="00DD0A15"/>
    <w:rsid w:val="00DD26A9"/>
    <w:rsid w:val="00DD465B"/>
    <w:rsid w:val="00DD4BCE"/>
    <w:rsid w:val="00DD61BE"/>
    <w:rsid w:val="00DD658C"/>
    <w:rsid w:val="00DD6D20"/>
    <w:rsid w:val="00DE0EBD"/>
    <w:rsid w:val="00DE2F29"/>
    <w:rsid w:val="00DE3989"/>
    <w:rsid w:val="00DE55E7"/>
    <w:rsid w:val="00DE61CE"/>
    <w:rsid w:val="00DF1271"/>
    <w:rsid w:val="00E02D21"/>
    <w:rsid w:val="00E04019"/>
    <w:rsid w:val="00E04F9B"/>
    <w:rsid w:val="00E07BBA"/>
    <w:rsid w:val="00E13545"/>
    <w:rsid w:val="00E14892"/>
    <w:rsid w:val="00E150A3"/>
    <w:rsid w:val="00E16349"/>
    <w:rsid w:val="00E26548"/>
    <w:rsid w:val="00E26D6E"/>
    <w:rsid w:val="00E275F6"/>
    <w:rsid w:val="00E27F6F"/>
    <w:rsid w:val="00E3043C"/>
    <w:rsid w:val="00E30C3F"/>
    <w:rsid w:val="00E319CE"/>
    <w:rsid w:val="00E35CAB"/>
    <w:rsid w:val="00E42844"/>
    <w:rsid w:val="00E43C31"/>
    <w:rsid w:val="00E44FE7"/>
    <w:rsid w:val="00E4648A"/>
    <w:rsid w:val="00E5176D"/>
    <w:rsid w:val="00E5237C"/>
    <w:rsid w:val="00E52380"/>
    <w:rsid w:val="00E53C67"/>
    <w:rsid w:val="00E55C01"/>
    <w:rsid w:val="00E67649"/>
    <w:rsid w:val="00E676C2"/>
    <w:rsid w:val="00E71F54"/>
    <w:rsid w:val="00E723C2"/>
    <w:rsid w:val="00E729B3"/>
    <w:rsid w:val="00E76D6A"/>
    <w:rsid w:val="00E7723A"/>
    <w:rsid w:val="00E816A4"/>
    <w:rsid w:val="00E81976"/>
    <w:rsid w:val="00E82C93"/>
    <w:rsid w:val="00E83722"/>
    <w:rsid w:val="00E90237"/>
    <w:rsid w:val="00E90863"/>
    <w:rsid w:val="00EA3EF7"/>
    <w:rsid w:val="00EA7C38"/>
    <w:rsid w:val="00EB609D"/>
    <w:rsid w:val="00EB7768"/>
    <w:rsid w:val="00EC1176"/>
    <w:rsid w:val="00EC23C5"/>
    <w:rsid w:val="00EC365B"/>
    <w:rsid w:val="00EC4248"/>
    <w:rsid w:val="00EC7A38"/>
    <w:rsid w:val="00ED176E"/>
    <w:rsid w:val="00ED18DC"/>
    <w:rsid w:val="00ED27D0"/>
    <w:rsid w:val="00ED2AAD"/>
    <w:rsid w:val="00ED4F7E"/>
    <w:rsid w:val="00ED6B77"/>
    <w:rsid w:val="00F00561"/>
    <w:rsid w:val="00F0128E"/>
    <w:rsid w:val="00F021B4"/>
    <w:rsid w:val="00F02379"/>
    <w:rsid w:val="00F0322E"/>
    <w:rsid w:val="00F04601"/>
    <w:rsid w:val="00F05A4A"/>
    <w:rsid w:val="00F1028B"/>
    <w:rsid w:val="00F133AD"/>
    <w:rsid w:val="00F14222"/>
    <w:rsid w:val="00F15401"/>
    <w:rsid w:val="00F156C7"/>
    <w:rsid w:val="00F2333F"/>
    <w:rsid w:val="00F246CC"/>
    <w:rsid w:val="00F306C5"/>
    <w:rsid w:val="00F310C7"/>
    <w:rsid w:val="00F34B69"/>
    <w:rsid w:val="00F35656"/>
    <w:rsid w:val="00F412B3"/>
    <w:rsid w:val="00F4565E"/>
    <w:rsid w:val="00F53CDD"/>
    <w:rsid w:val="00F561C6"/>
    <w:rsid w:val="00F63C85"/>
    <w:rsid w:val="00F63DBE"/>
    <w:rsid w:val="00F6415B"/>
    <w:rsid w:val="00F7168B"/>
    <w:rsid w:val="00F740E4"/>
    <w:rsid w:val="00F75CAD"/>
    <w:rsid w:val="00F769F0"/>
    <w:rsid w:val="00F80DFC"/>
    <w:rsid w:val="00F827B2"/>
    <w:rsid w:val="00F85F64"/>
    <w:rsid w:val="00F86120"/>
    <w:rsid w:val="00F90345"/>
    <w:rsid w:val="00F90A21"/>
    <w:rsid w:val="00F920CC"/>
    <w:rsid w:val="00F93CBF"/>
    <w:rsid w:val="00F9473D"/>
    <w:rsid w:val="00F94E45"/>
    <w:rsid w:val="00F95FED"/>
    <w:rsid w:val="00FA0345"/>
    <w:rsid w:val="00FA18D2"/>
    <w:rsid w:val="00FA2778"/>
    <w:rsid w:val="00FA2E86"/>
    <w:rsid w:val="00FA4F89"/>
    <w:rsid w:val="00FA668D"/>
    <w:rsid w:val="00FA691E"/>
    <w:rsid w:val="00FB058D"/>
    <w:rsid w:val="00FB1855"/>
    <w:rsid w:val="00FB4178"/>
    <w:rsid w:val="00FB6313"/>
    <w:rsid w:val="00FB64CF"/>
    <w:rsid w:val="00FB6597"/>
    <w:rsid w:val="00FB7393"/>
    <w:rsid w:val="00FD0117"/>
    <w:rsid w:val="00FD0FB2"/>
    <w:rsid w:val="00FD1690"/>
    <w:rsid w:val="00FD1798"/>
    <w:rsid w:val="00FD1D96"/>
    <w:rsid w:val="00FE2DE3"/>
    <w:rsid w:val="00FE34B4"/>
    <w:rsid w:val="00FE368E"/>
    <w:rsid w:val="00FE7051"/>
    <w:rsid w:val="00FF302C"/>
    <w:rsid w:val="00FF4551"/>
    <w:rsid w:val="00FF62A3"/>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A4F1C0C-799B-4B00-8009-5E03ADFB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2C3D55"/>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_muj,Název grafu,nad 1,Conclusion de partie,List Paragraph1,_Odstavec se seznamem"/>
    <w:basedOn w:val="Normln"/>
    <w:link w:val="OdstavecseseznamemChar"/>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basedOn w:val="Standardnpsmoodstavce"/>
    <w:uiPriority w:val="99"/>
    <w:unhideWhenUsed/>
    <w:rsid w:val="007E4690"/>
    <w:rPr>
      <w:vertAlign w:val="superscript"/>
    </w:rPr>
  </w:style>
  <w:style w:type="paragraph" w:styleId="Zkladntext2">
    <w:name w:val="Body Text 2"/>
    <w:basedOn w:val="Normln"/>
    <w:link w:val="Zkladntext2Char"/>
    <w:uiPriority w:val="99"/>
    <w:rsid w:val="00061AF3"/>
    <w:rPr>
      <w:szCs w:val="20"/>
    </w:rPr>
  </w:style>
  <w:style w:type="character" w:customStyle="1" w:styleId="Zkladntext2Char">
    <w:name w:val="Základní text 2 Char"/>
    <w:basedOn w:val="Standardnpsmoodstavce"/>
    <w:link w:val="Zkladntext2"/>
    <w:uiPriority w:val="99"/>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unhideWhenUsed/>
    <w:rsid w:val="00E14892"/>
    <w:pPr>
      <w:spacing w:after="120"/>
    </w:pPr>
  </w:style>
  <w:style w:type="character" w:customStyle="1" w:styleId="ZkladntextChar">
    <w:name w:val="Základní text Char"/>
    <w:basedOn w:val="Standardnpsmoodstavce"/>
    <w:link w:val="Zkladntext"/>
    <w:uiPriority w:val="99"/>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character" w:customStyle="1" w:styleId="OdstavecseseznamemChar">
    <w:name w:val="Odstavec se seznamem Char"/>
    <w:aliases w:val="Nad Char,Odstavec_muj Char,Název grafu Char,nad 1 Char,Conclusion de partie Char,List Paragraph1 Char,_Odstavec se seznamem Char"/>
    <w:link w:val="Odstavecseseznamem"/>
    <w:uiPriority w:val="34"/>
    <w:locked/>
    <w:rsid w:val="00245EA0"/>
    <w:rPr>
      <w:rFonts w:ascii="Times New Roman" w:eastAsia="Times New Roman" w:hAnsi="Times New Roman" w:cs="Times New Roman"/>
      <w:sz w:val="24"/>
      <w:szCs w:val="24"/>
      <w:lang w:eastAsia="cs-CZ"/>
    </w:rPr>
  </w:style>
  <w:style w:type="character" w:customStyle="1" w:styleId="Nadpis5Char">
    <w:name w:val="Nadpis 5 Char"/>
    <w:basedOn w:val="Standardnpsmoodstavce"/>
    <w:link w:val="Nadpis5"/>
    <w:uiPriority w:val="9"/>
    <w:semiHidden/>
    <w:rsid w:val="002C3D55"/>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qFormat/>
    <w:rsid w:val="005E49BE"/>
    <w:pPr>
      <w:spacing w:line="360" w:lineRule="auto"/>
      <w:ind w:firstLine="567"/>
      <w:jc w:val="both"/>
    </w:pPr>
    <w:rPr>
      <w:rFonts w:ascii="Arial" w:eastAsia="Arial" w:hAnsi="Arial" w:cs="Arial"/>
      <w:sz w:val="22"/>
      <w:lang w:eastAsia="en-US"/>
    </w:rPr>
  </w:style>
  <w:style w:type="paragraph" w:styleId="Bezmezer">
    <w:name w:val="No Spacing"/>
    <w:uiPriority w:val="1"/>
    <w:qFormat/>
    <w:rsid w:val="0040351E"/>
    <w:pPr>
      <w:spacing w:after="0" w:line="240" w:lineRule="auto"/>
    </w:pPr>
    <w:rPr>
      <w:rFonts w:ascii="Calibri" w:eastAsia="Calibri" w:hAnsi="Calibri"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607545437">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2A3C6-5594-4D16-8AEA-9C26694D5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1893</Words>
  <Characters>11172</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Lysý Petr</cp:lastModifiedBy>
  <cp:revision>6</cp:revision>
  <cp:lastPrinted>2022-06-03T05:22:00Z</cp:lastPrinted>
  <dcterms:created xsi:type="dcterms:W3CDTF">2022-06-16T10:44:00Z</dcterms:created>
  <dcterms:modified xsi:type="dcterms:W3CDTF">2022-06-28T08:25:00Z</dcterms:modified>
</cp:coreProperties>
</file>