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9.7 -->
  <w:body>
    <w:p w:rsidR="00E553E7" w:rsidRPr="00EE6F61" w:rsidP="00EE6F61" w14:paraId="334B778A" w14:textId="0E26B718">
      <w:pPr>
        <w:spacing w:before="0"/>
        <w:rPr>
          <w:rFonts w:ascii="Calibri" w:hAnsi="Calibri" w:cs="Calibri"/>
          <w:sz w:val="40"/>
          <w:szCs w:val="40"/>
        </w:rPr>
      </w:pPr>
      <w:r w:rsidRPr="00EE6F61">
        <w:rPr>
          <w:rFonts w:ascii="Calibri" w:hAnsi="Calibri" w:cs="Calibri"/>
          <w:noProof/>
          <w:sz w:val="40"/>
          <w:szCs w:val="40"/>
        </w:rPr>
        <mc:AlternateContent>
          <mc:Choice Requires="wps">
            <w:drawing>
              <wp:anchor distT="45720" distB="45720" distL="114300" distR="114300" simplePos="0" relativeHeight="251659264" behindDoc="0" locked="0" layoutInCell="1" allowOverlap="1">
                <wp:simplePos x="0" y="0"/>
                <wp:positionH relativeFrom="page">
                  <wp:align>right</wp:align>
                </wp:positionH>
                <wp:positionV relativeFrom="paragraph">
                  <wp:posOffset>8255480</wp:posOffset>
                </wp:positionV>
                <wp:extent cx="7550150" cy="1778381"/>
                <wp:effectExtent l="0" t="0" r="0" b="0"/>
                <wp:wrapSquare wrapText="bothSides"/>
                <wp:docPr id="217" name="Textové pole 2"/>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7550150" cy="1778381"/>
                        </a:xfrm>
                        <a:prstGeom prst="rect">
                          <a:avLst/>
                        </a:prstGeom>
                        <a:noFill/>
                        <a:ln w="9525">
                          <a:noFill/>
                          <a:miter lim="800000"/>
                          <a:headEnd/>
                          <a:tailEnd/>
                        </a:ln>
                      </wps:spPr>
                      <wps:txbx>
                        <w:txbxContent>
                          <w:p w:rsidR="008B6986" w:rsidP="008B6986" w14:textId="77777777">
                            <w:pPr>
                              <w:jc w:val="center"/>
                              <w:rPr>
                                <w:rFonts w:cs="Calibri"/>
                                <w:b/>
                                <w:bCs/>
                                <w:iCs/>
                                <w:color w:val="FFFFFF" w:themeColor="background1"/>
                                <w:sz w:val="32"/>
                                <w:szCs w:val="32"/>
                              </w:rPr>
                            </w:pPr>
                            <w:r>
                              <w:rPr>
                                <w:rFonts w:cs="Calibri"/>
                                <w:b/>
                                <w:bCs/>
                                <w:iCs/>
                                <w:color w:val="FFFFFF" w:themeColor="background1"/>
                                <w:sz w:val="32"/>
                                <w:szCs w:val="32"/>
                              </w:rPr>
                              <w:t>Návrh k projednání RVVI</w:t>
                            </w:r>
                          </w:p>
                          <w:p w:rsidR="00EE6F61" w:rsidP="00EE6F61" w14:textId="6DB40789">
                            <w:pPr>
                              <w:jc w:val="center"/>
                            </w:pPr>
                          </w:p>
                        </w:txbxContent>
                      </wps:txbx>
                      <wps:bodyPr rot="0" vert="horz" wrap="square"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ové pole 2" o:spid="_x0000_s1025" type="#_x0000_t202" style="width:594.5pt;height:110.6pt;margin-top:650.05pt;margin-left:543.3pt;mso-height-percent:200;mso-height-relative:margin;mso-position-horizontal:right;mso-position-horizontal-relative:page;mso-width-percent:0;mso-width-relative:margin;mso-wrap-distance-bottom:3.6pt;mso-wrap-distance-left:9pt;mso-wrap-distance-right:9pt;mso-wrap-distance-top:3.6pt;mso-wrap-style:square;position:absolute;visibility:visible;v-text-anchor:top;z-index:251660288" filled="f" stroked="f">
                <v:textbox style="mso-fit-shape-to-text:t">
                  <w:txbxContent>
                    <w:p w:rsidR="008B6986" w:rsidP="008B6986" w14:paraId="49C8C0A0" w14:textId="77777777">
                      <w:pPr>
                        <w:jc w:val="center"/>
                        <w:rPr>
                          <w:rFonts w:cs="Calibri"/>
                          <w:b/>
                          <w:bCs/>
                          <w:iCs/>
                          <w:color w:val="FFFFFF" w:themeColor="background1"/>
                          <w:sz w:val="32"/>
                          <w:szCs w:val="32"/>
                        </w:rPr>
                      </w:pPr>
                      <w:r>
                        <w:rPr>
                          <w:rFonts w:cs="Calibri"/>
                          <w:b/>
                          <w:bCs/>
                          <w:iCs/>
                          <w:color w:val="FFFFFF" w:themeColor="background1"/>
                          <w:sz w:val="32"/>
                          <w:szCs w:val="32"/>
                        </w:rPr>
                        <w:t>Návrh k projednání RVVI</w:t>
                      </w:r>
                    </w:p>
                    <w:p w:rsidR="00EE6F61" w:rsidP="00EE6F61" w14:paraId="7C11BE17" w14:textId="6DB40789">
                      <w:pPr>
                        <w:jc w:val="center"/>
                      </w:pPr>
                    </w:p>
                  </w:txbxContent>
                </v:textbox>
                <w10:wrap type="square"/>
              </v:shape>
            </w:pict>
          </mc:Fallback>
        </mc:AlternateContent>
      </w:r>
      <w:r w:rsidR="00F00BCF">
        <w:rPr>
          <w:rFonts w:ascii="Calibri" w:hAnsi="Calibri" w:cs="Calibri"/>
          <w:noProof/>
          <w:sz w:val="40"/>
          <w:szCs w:val="40"/>
        </w:rPr>
        <w:drawing>
          <wp:anchor distT="0" distB="0" distL="114300" distR="114300" simplePos="0" relativeHeight="251658240" behindDoc="0" locked="1" layoutInCell="1" allowOverlap="1">
            <wp:simplePos x="0" y="0"/>
            <wp:positionH relativeFrom="page">
              <wp:posOffset>9525</wp:posOffset>
            </wp:positionH>
            <wp:positionV relativeFrom="page">
              <wp:posOffset>9525</wp:posOffset>
            </wp:positionV>
            <wp:extent cx="7540625" cy="10666095"/>
            <wp:effectExtent l="0" t="0" r="3175" b="1905"/>
            <wp:wrapNone/>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746075" name="Obrázek 1"/>
                    <pic:cNvPicPr/>
                  </pic:nvPicPr>
                  <pic:blipFill>
                    <a:blip xmlns:r="http://schemas.openxmlformats.org/officeDocument/2006/relationships" r:embed="rId5" cstate="print">
                      <a:extLst>
                        <a:ext xmlns:a="http://schemas.openxmlformats.org/drawingml/2006/main" uri="{28A0092B-C50C-407E-A947-70E740481C1C}">
                          <a14:useLocalDpi xmlns:a14="http://schemas.microsoft.com/office/drawing/2010/main" val="0"/>
                        </a:ext>
                      </a:extLst>
                    </a:blip>
                    <a:stretch>
                      <a:fillRect/>
                    </a:stretch>
                  </pic:blipFill>
                  <pic:spPr>
                    <a:xfrm>
                      <a:off x="0" y="0"/>
                      <a:ext cx="7540625" cy="10666095"/>
                    </a:xfrm>
                    <a:prstGeom prst="rect">
                      <a:avLst/>
                    </a:prstGeom>
                  </pic:spPr>
                </pic:pic>
              </a:graphicData>
            </a:graphic>
            <wp14:sizeRelH relativeFrom="margin">
              <wp14:pctWidth>0</wp14:pctWidth>
            </wp14:sizeRelH>
            <wp14:sizeRelV relativeFrom="margin">
              <wp14:pctHeight>0</wp14:pctHeight>
            </wp14:sizeRelV>
          </wp:anchor>
        </w:drawing>
      </w:r>
      <w:r w:rsidRPr="00614232" w:rsidR="00E553E7">
        <w:rPr>
          <w:rFonts w:eastAsia="Calibri" w:cstheme="minorHAnsi"/>
          <w:b/>
          <w:bCs/>
          <w:iCs/>
          <w:caps/>
          <w:color w:val="467A26"/>
          <w:szCs w:val="22"/>
          <w:u w:val="single"/>
        </w:rPr>
        <w:br w:type="page"/>
      </w:r>
      <w:bookmarkStart w:id="0" w:name="_GoBack"/>
      <w:bookmarkEnd w:id="0"/>
    </w:p>
    <w:p w:rsidR="00065A1A" w:rsidP="00CE129F" w14:paraId="24270495" w14:textId="29ADDDE7">
      <w:pPr>
        <w:pStyle w:val="TOCHeading"/>
      </w:pPr>
      <w:r w:rsidRPr="00D63AED">
        <w:t>Obsah</w:t>
      </w:r>
    </w:p>
    <w:p>
      <w:pPr>
        <w:pStyle w:val="TOC1"/>
        <w:rPr>
          <w:rFonts w:asciiTheme="minorHAnsi" w:hAnsiTheme="minorHAnsi"/>
          <w:noProof/>
          <w:sz w:val="22"/>
        </w:rPr>
      </w:pPr>
      <w:r>
        <w:rPr>
          <w:rFonts w:eastAsia="Calibri"/>
          <w:b w:val="0"/>
          <w:bCs w:val="0"/>
          <w:caps/>
          <w:sz w:val="20"/>
          <w:szCs w:val="22"/>
          <w:u w:val="single"/>
        </w:rPr>
        <w:fldChar w:fldCharType="begin"/>
      </w:r>
      <w:r>
        <w:rPr>
          <w:rFonts w:eastAsia="Calibri"/>
          <w:b w:val="0"/>
          <w:bCs w:val="0"/>
          <w:caps/>
          <w:sz w:val="20"/>
          <w:szCs w:val="22"/>
          <w:u w:val="single"/>
        </w:rPr>
        <w:instrText xml:space="preserve"> TOC \o "1-2" \h \z \u </w:instrText>
      </w:r>
      <w:r>
        <w:rPr>
          <w:rFonts w:eastAsia="Calibri"/>
          <w:b w:val="0"/>
          <w:bCs w:val="0"/>
          <w:caps/>
          <w:sz w:val="20"/>
          <w:szCs w:val="22"/>
          <w:u w:val="single"/>
        </w:rPr>
        <w:fldChar w:fldCharType="separate"/>
      </w:r>
      <w:hyperlink w:anchor="_Toc256000000" w:history="1">
        <w:r w:rsidRPr="00211F50">
          <w:rPr>
            <w:rStyle w:val="Hyperlink"/>
          </w:rPr>
          <w:t xml:space="preserve">Oblast 1: Přírodní </w:t>
        </w:r>
        <w:r w:rsidRPr="00D91D07">
          <w:rPr>
            <w:rStyle w:val="Hyperlink"/>
          </w:rPr>
          <w:t>zdroje</w:t>
        </w:r>
        <w:r>
          <w:tab/>
        </w:r>
        <w:r>
          <w:fldChar w:fldCharType="begin"/>
        </w:r>
        <w:r>
          <w:instrText xml:space="preserve"> PAGEREF _Toc256000000 \h </w:instrText>
        </w:r>
        <w:r>
          <w:fldChar w:fldCharType="separate"/>
        </w:r>
        <w:r>
          <w:t>3</w:t>
        </w:r>
        <w:r>
          <w:fldChar w:fldCharType="end"/>
        </w:r>
      </w:hyperlink>
    </w:p>
    <w:p>
      <w:pPr>
        <w:pStyle w:val="TOC2"/>
        <w:rPr>
          <w:rFonts w:asciiTheme="minorHAnsi" w:hAnsiTheme="minorHAnsi"/>
          <w:noProof/>
          <w:sz w:val="22"/>
        </w:rPr>
      </w:pPr>
      <w:hyperlink w:anchor="_Toc256000001" w:history="1">
        <w:r w:rsidRPr="00D91D07">
          <w:rPr>
            <w:rStyle w:val="Hyperlink"/>
          </w:rPr>
          <w:t>Podoblast</w:t>
        </w:r>
        <w:r w:rsidRPr="00B8036C">
          <w:rPr>
            <w:rStyle w:val="Hyperlink"/>
          </w:rPr>
          <w:t xml:space="preserve"> 1.1 Biodiverzita</w:t>
        </w:r>
        <w:r>
          <w:tab/>
        </w:r>
        <w:r>
          <w:fldChar w:fldCharType="begin"/>
        </w:r>
        <w:r>
          <w:instrText xml:space="preserve"> PAGEREF _Toc256000001 \h </w:instrText>
        </w:r>
        <w:r>
          <w:fldChar w:fldCharType="separate"/>
        </w:r>
        <w:r>
          <w:t>3</w:t>
        </w:r>
        <w:r>
          <w:fldChar w:fldCharType="end"/>
        </w:r>
      </w:hyperlink>
    </w:p>
    <w:p>
      <w:pPr>
        <w:pStyle w:val="TOC2"/>
        <w:rPr>
          <w:rFonts w:asciiTheme="minorHAnsi" w:hAnsiTheme="minorHAnsi"/>
          <w:noProof/>
          <w:sz w:val="22"/>
        </w:rPr>
      </w:pPr>
      <w:hyperlink w:anchor="_Toc256000002" w:history="1">
        <w:r w:rsidRPr="00105A97">
          <w:rPr>
            <w:rStyle w:val="Hyperlink"/>
          </w:rPr>
          <w:t>Podoblast 1.2 Voda</w:t>
        </w:r>
        <w:r>
          <w:tab/>
        </w:r>
        <w:r>
          <w:fldChar w:fldCharType="begin"/>
        </w:r>
        <w:r>
          <w:instrText xml:space="preserve"> PAGEREF _Toc256000002 \h </w:instrText>
        </w:r>
        <w:r>
          <w:fldChar w:fldCharType="separate"/>
        </w:r>
        <w:r>
          <w:t>7</w:t>
        </w:r>
        <w:r>
          <w:fldChar w:fldCharType="end"/>
        </w:r>
      </w:hyperlink>
    </w:p>
    <w:p>
      <w:pPr>
        <w:pStyle w:val="TOC2"/>
        <w:rPr>
          <w:rFonts w:asciiTheme="minorHAnsi" w:hAnsiTheme="minorHAnsi"/>
          <w:noProof/>
          <w:sz w:val="22"/>
        </w:rPr>
      </w:pPr>
      <w:hyperlink w:anchor="_Toc256000003" w:history="1">
        <w:r w:rsidRPr="00105A97">
          <w:rPr>
            <w:rStyle w:val="Hyperlink"/>
          </w:rPr>
          <w:t>Podoblast 1.3: Půda</w:t>
        </w:r>
        <w:r>
          <w:tab/>
        </w:r>
        <w:r>
          <w:fldChar w:fldCharType="begin"/>
        </w:r>
        <w:r>
          <w:instrText xml:space="preserve"> PAGEREF _Toc256000003 \h </w:instrText>
        </w:r>
        <w:r>
          <w:fldChar w:fldCharType="separate"/>
        </w:r>
        <w:r>
          <w:t>11</w:t>
        </w:r>
        <w:r>
          <w:fldChar w:fldCharType="end"/>
        </w:r>
      </w:hyperlink>
    </w:p>
    <w:p>
      <w:pPr>
        <w:pStyle w:val="TOC2"/>
        <w:rPr>
          <w:rFonts w:asciiTheme="minorHAnsi" w:hAnsiTheme="minorHAnsi"/>
          <w:noProof/>
          <w:sz w:val="22"/>
        </w:rPr>
      </w:pPr>
      <w:hyperlink w:anchor="_Toc256000004" w:history="1">
        <w:r w:rsidRPr="00105A97">
          <w:rPr>
            <w:rStyle w:val="Hyperlink"/>
          </w:rPr>
          <w:t>Podoblast 1.4: Ovzduší</w:t>
        </w:r>
        <w:r>
          <w:tab/>
        </w:r>
        <w:r>
          <w:fldChar w:fldCharType="begin"/>
        </w:r>
        <w:r>
          <w:instrText xml:space="preserve"> PAGEREF _Toc256000004 \h </w:instrText>
        </w:r>
        <w:r>
          <w:fldChar w:fldCharType="separate"/>
        </w:r>
        <w:r>
          <w:t>14</w:t>
        </w:r>
        <w:r>
          <w:fldChar w:fldCharType="end"/>
        </w:r>
      </w:hyperlink>
    </w:p>
    <w:p>
      <w:pPr>
        <w:pStyle w:val="TOC2"/>
        <w:rPr>
          <w:rFonts w:asciiTheme="minorHAnsi" w:hAnsiTheme="minorHAnsi"/>
          <w:noProof/>
          <w:sz w:val="22"/>
        </w:rPr>
      </w:pPr>
      <w:hyperlink w:anchor="_Toc256000005" w:history="1">
        <w:r w:rsidRPr="00105A97">
          <w:rPr>
            <w:rStyle w:val="Hyperlink"/>
          </w:rPr>
          <w:t>Podoblast 1.5: Nerostné zdroje a vlivy těžby na životní prostředí</w:t>
        </w:r>
        <w:r>
          <w:tab/>
        </w:r>
        <w:r>
          <w:fldChar w:fldCharType="begin"/>
        </w:r>
        <w:r>
          <w:instrText xml:space="preserve"> PAGEREF _Toc256000005 \h </w:instrText>
        </w:r>
        <w:r>
          <w:fldChar w:fldCharType="separate"/>
        </w:r>
        <w:r>
          <w:t>15</w:t>
        </w:r>
        <w:r>
          <w:fldChar w:fldCharType="end"/>
        </w:r>
      </w:hyperlink>
    </w:p>
    <w:p>
      <w:pPr>
        <w:pStyle w:val="TOC1"/>
        <w:rPr>
          <w:rFonts w:asciiTheme="minorHAnsi" w:hAnsiTheme="minorHAnsi"/>
          <w:noProof/>
          <w:sz w:val="22"/>
        </w:rPr>
      </w:pPr>
      <w:hyperlink w:anchor="_Toc256000006" w:history="1">
        <w:r w:rsidRPr="00105A97">
          <w:rPr>
            <w:rStyle w:val="Hyperlink"/>
          </w:rPr>
          <w:t>Oblast 2: Globální změny</w:t>
        </w:r>
        <w:r>
          <w:tab/>
        </w:r>
        <w:r>
          <w:fldChar w:fldCharType="begin"/>
        </w:r>
        <w:r>
          <w:instrText xml:space="preserve"> PAGEREF _Toc256000006 \h </w:instrText>
        </w:r>
        <w:r>
          <w:fldChar w:fldCharType="separate"/>
        </w:r>
        <w:r>
          <w:t>19</w:t>
        </w:r>
        <w:r>
          <w:fldChar w:fldCharType="end"/>
        </w:r>
      </w:hyperlink>
    </w:p>
    <w:p>
      <w:pPr>
        <w:pStyle w:val="TOC2"/>
        <w:rPr>
          <w:rFonts w:asciiTheme="minorHAnsi" w:hAnsiTheme="minorHAnsi"/>
          <w:noProof/>
          <w:sz w:val="22"/>
        </w:rPr>
      </w:pPr>
      <w:hyperlink w:anchor="_Toc256000007" w:history="1">
        <w:r w:rsidRPr="00105A97">
          <w:rPr>
            <w:rStyle w:val="Hyperlink"/>
          </w:rPr>
          <w:t xml:space="preserve">Podoblast 2.1 </w:t>
        </w:r>
        <w:r w:rsidRPr="00105A97">
          <w:rPr>
            <w:rStyle w:val="Hyperlink"/>
          </w:rPr>
          <w:t xml:space="preserve">Metody </w:t>
        </w:r>
        <w:r w:rsidRPr="00105A97">
          <w:rPr>
            <w:rStyle w:val="Hyperlink"/>
          </w:rPr>
          <w:t>mitigace</w:t>
        </w:r>
        <w:r w:rsidRPr="00105A97">
          <w:rPr>
            <w:rStyle w:val="Hyperlink"/>
          </w:rPr>
          <w:t xml:space="preserve"> a adaptace na globální, regionální a lokální změny</w:t>
        </w:r>
        <w:r w:rsidRPr="00105A97">
          <w:rPr>
            <w:rStyle w:val="Hyperlink"/>
          </w:rPr>
          <w:t xml:space="preserve"> klimatu</w:t>
        </w:r>
        <w:r>
          <w:tab/>
        </w:r>
        <w:r>
          <w:fldChar w:fldCharType="begin"/>
        </w:r>
        <w:r>
          <w:instrText xml:space="preserve"> PAGEREF _Toc256000007 \h </w:instrText>
        </w:r>
        <w:r>
          <w:fldChar w:fldCharType="separate"/>
        </w:r>
        <w:r>
          <w:t>19</w:t>
        </w:r>
        <w:r>
          <w:fldChar w:fldCharType="end"/>
        </w:r>
      </w:hyperlink>
    </w:p>
    <w:p>
      <w:pPr>
        <w:pStyle w:val="TOC2"/>
        <w:rPr>
          <w:rFonts w:asciiTheme="minorHAnsi" w:hAnsiTheme="minorHAnsi"/>
          <w:noProof/>
          <w:sz w:val="22"/>
        </w:rPr>
      </w:pPr>
      <w:hyperlink w:anchor="_Toc256000008" w:history="1">
        <w:r w:rsidRPr="00105A97">
          <w:rPr>
            <w:rStyle w:val="Hyperlink"/>
          </w:rPr>
          <w:t>Podoblast 2.2: Biogeochemické cykly dusíku a fosforu</w:t>
        </w:r>
        <w:r>
          <w:tab/>
        </w:r>
        <w:r>
          <w:fldChar w:fldCharType="begin"/>
        </w:r>
        <w:r>
          <w:instrText xml:space="preserve"> PAGEREF _Toc256000008 \h </w:instrText>
        </w:r>
        <w:r>
          <w:fldChar w:fldCharType="separate"/>
        </w:r>
        <w:r>
          <w:t>21</w:t>
        </w:r>
        <w:r>
          <w:fldChar w:fldCharType="end"/>
        </w:r>
      </w:hyperlink>
    </w:p>
    <w:p>
      <w:pPr>
        <w:pStyle w:val="TOC2"/>
        <w:rPr>
          <w:rFonts w:asciiTheme="minorHAnsi" w:hAnsiTheme="minorHAnsi"/>
          <w:noProof/>
          <w:sz w:val="22"/>
        </w:rPr>
      </w:pPr>
      <w:hyperlink w:anchor="_Toc256000009" w:history="1">
        <w:r w:rsidRPr="00105A97">
          <w:rPr>
            <w:rStyle w:val="Hyperlink"/>
          </w:rPr>
          <w:t>Podoblast 2.3 Nebezpečné látky v životním prostředí</w:t>
        </w:r>
        <w:r>
          <w:tab/>
        </w:r>
        <w:r>
          <w:fldChar w:fldCharType="begin"/>
        </w:r>
        <w:r>
          <w:instrText xml:space="preserve"> PAGEREF _Toc256000009 \h </w:instrText>
        </w:r>
        <w:r>
          <w:fldChar w:fldCharType="separate"/>
        </w:r>
        <w:r>
          <w:t>23</w:t>
        </w:r>
        <w:r>
          <w:fldChar w:fldCharType="end"/>
        </w:r>
      </w:hyperlink>
    </w:p>
    <w:p>
      <w:pPr>
        <w:pStyle w:val="TOC2"/>
        <w:rPr>
          <w:rFonts w:asciiTheme="minorHAnsi" w:hAnsiTheme="minorHAnsi"/>
          <w:noProof/>
          <w:sz w:val="22"/>
        </w:rPr>
      </w:pPr>
      <w:hyperlink w:anchor="_Toc256000010" w:history="1">
        <w:r w:rsidRPr="00105A97">
          <w:rPr>
            <w:rStyle w:val="Hyperlink"/>
          </w:rPr>
          <w:t>Podoblast 2.4 Reakce biosféry na globální změnu klimatu</w:t>
        </w:r>
        <w:r>
          <w:tab/>
        </w:r>
        <w:r>
          <w:fldChar w:fldCharType="begin"/>
        </w:r>
        <w:r>
          <w:instrText xml:space="preserve"> PAGEREF _Toc256000010 \h </w:instrText>
        </w:r>
        <w:r>
          <w:fldChar w:fldCharType="separate"/>
        </w:r>
        <w:r>
          <w:t>24</w:t>
        </w:r>
        <w:r>
          <w:fldChar w:fldCharType="end"/>
        </w:r>
      </w:hyperlink>
    </w:p>
    <w:p>
      <w:pPr>
        <w:pStyle w:val="TOC1"/>
        <w:rPr>
          <w:rFonts w:asciiTheme="minorHAnsi" w:hAnsiTheme="minorHAnsi"/>
          <w:noProof/>
          <w:sz w:val="22"/>
        </w:rPr>
      </w:pPr>
      <w:hyperlink w:anchor="_Toc256000011" w:history="1">
        <w:r w:rsidRPr="00105A97">
          <w:rPr>
            <w:rStyle w:val="Hyperlink"/>
          </w:rPr>
          <w:t>Oblast 3. Udržitelný rozvoj krajiny a lidských sídel</w:t>
        </w:r>
        <w:r>
          <w:tab/>
        </w:r>
        <w:r>
          <w:fldChar w:fldCharType="begin"/>
        </w:r>
        <w:r>
          <w:instrText xml:space="preserve"> PAGEREF _Toc256000011 \h </w:instrText>
        </w:r>
        <w:r>
          <w:fldChar w:fldCharType="separate"/>
        </w:r>
        <w:r>
          <w:t>27</w:t>
        </w:r>
        <w:r>
          <w:fldChar w:fldCharType="end"/>
        </w:r>
      </w:hyperlink>
    </w:p>
    <w:p>
      <w:pPr>
        <w:pStyle w:val="TOC2"/>
        <w:rPr>
          <w:rFonts w:asciiTheme="minorHAnsi" w:hAnsiTheme="minorHAnsi"/>
          <w:noProof/>
          <w:sz w:val="22"/>
        </w:rPr>
      </w:pPr>
      <w:hyperlink w:anchor="_Toc256000012" w:history="1">
        <w:r w:rsidRPr="00105A97">
          <w:rPr>
            <w:rStyle w:val="Hyperlink"/>
          </w:rPr>
          <w:t xml:space="preserve">Podoblast 3.1 </w:t>
        </w:r>
        <w:r w:rsidRPr="00105A97">
          <w:rPr>
            <w:rStyle w:val="Hyperlink"/>
          </w:rPr>
          <w:t>Zelená</w:t>
        </w:r>
        <w:r w:rsidRPr="00105A97">
          <w:rPr>
            <w:rStyle w:val="Hyperlink"/>
          </w:rPr>
          <w:t xml:space="preserve"> infrastruktura – stabilní struktura krajiny</w:t>
        </w:r>
        <w:r>
          <w:tab/>
        </w:r>
        <w:r>
          <w:fldChar w:fldCharType="begin"/>
        </w:r>
        <w:r>
          <w:instrText xml:space="preserve"> PAGEREF _Toc256000012 \h </w:instrText>
        </w:r>
        <w:r>
          <w:fldChar w:fldCharType="separate"/>
        </w:r>
        <w:r>
          <w:t>27</w:t>
        </w:r>
        <w:r>
          <w:fldChar w:fldCharType="end"/>
        </w:r>
      </w:hyperlink>
    </w:p>
    <w:p>
      <w:pPr>
        <w:pStyle w:val="TOC2"/>
        <w:rPr>
          <w:rFonts w:asciiTheme="minorHAnsi" w:hAnsiTheme="minorHAnsi"/>
          <w:noProof/>
          <w:sz w:val="22"/>
        </w:rPr>
      </w:pPr>
      <w:hyperlink w:anchor="_Toc256000013" w:history="1">
        <w:r w:rsidRPr="00105A97">
          <w:rPr>
            <w:rStyle w:val="Hyperlink"/>
          </w:rPr>
          <w:t>Podoblast 3.2 Zemědělství a lesnictví</w:t>
        </w:r>
        <w:r>
          <w:tab/>
        </w:r>
        <w:r>
          <w:fldChar w:fldCharType="begin"/>
        </w:r>
        <w:r>
          <w:instrText xml:space="preserve"> PAGEREF _Toc256000013 \h </w:instrText>
        </w:r>
        <w:r>
          <w:fldChar w:fldCharType="separate"/>
        </w:r>
        <w:r>
          <w:t>29</w:t>
        </w:r>
        <w:r>
          <w:fldChar w:fldCharType="end"/>
        </w:r>
      </w:hyperlink>
    </w:p>
    <w:p>
      <w:pPr>
        <w:pStyle w:val="TOC2"/>
        <w:rPr>
          <w:rFonts w:asciiTheme="minorHAnsi" w:hAnsiTheme="minorHAnsi"/>
          <w:noProof/>
          <w:sz w:val="22"/>
        </w:rPr>
      </w:pPr>
      <w:hyperlink w:anchor="_Toc256000014" w:history="1">
        <w:r w:rsidRPr="00105A97">
          <w:rPr>
            <w:rStyle w:val="Hyperlink"/>
          </w:rPr>
          <w:t>Podoblast 3.3 Urbanismus a inteligentní lidská sídla</w:t>
        </w:r>
        <w:r>
          <w:tab/>
        </w:r>
        <w:r>
          <w:fldChar w:fldCharType="begin"/>
        </w:r>
        <w:r>
          <w:instrText xml:space="preserve"> PAGEREF _Toc256000014 \h </w:instrText>
        </w:r>
        <w:r>
          <w:fldChar w:fldCharType="separate"/>
        </w:r>
        <w:r>
          <w:t>31</w:t>
        </w:r>
        <w:r>
          <w:fldChar w:fldCharType="end"/>
        </w:r>
      </w:hyperlink>
    </w:p>
    <w:p>
      <w:pPr>
        <w:pStyle w:val="TOC1"/>
        <w:rPr>
          <w:rFonts w:asciiTheme="minorHAnsi" w:hAnsiTheme="minorHAnsi"/>
          <w:noProof/>
          <w:sz w:val="22"/>
        </w:rPr>
      </w:pPr>
      <w:hyperlink w:anchor="_Toc256000015" w:history="1">
        <w:r w:rsidRPr="00105A97">
          <w:rPr>
            <w:rStyle w:val="Hyperlink"/>
          </w:rPr>
          <w:t>Oblast 4. Environmentální technologie a ekoinovace</w:t>
        </w:r>
        <w:r>
          <w:tab/>
        </w:r>
        <w:r>
          <w:fldChar w:fldCharType="begin"/>
        </w:r>
        <w:r>
          <w:instrText xml:space="preserve"> PAGEREF _Toc256000015 \h </w:instrText>
        </w:r>
        <w:r>
          <w:fldChar w:fldCharType="separate"/>
        </w:r>
        <w:r>
          <w:t>34</w:t>
        </w:r>
        <w:r>
          <w:fldChar w:fldCharType="end"/>
        </w:r>
      </w:hyperlink>
    </w:p>
    <w:p>
      <w:pPr>
        <w:pStyle w:val="TOC2"/>
        <w:rPr>
          <w:rFonts w:asciiTheme="minorHAnsi" w:hAnsiTheme="minorHAnsi"/>
          <w:noProof/>
          <w:sz w:val="22"/>
        </w:rPr>
      </w:pPr>
      <w:hyperlink w:anchor="_Toc256000016" w:history="1">
        <w:r w:rsidRPr="00105A97">
          <w:rPr>
            <w:rStyle w:val="Hyperlink"/>
          </w:rPr>
          <w:t>Podoblast 4.1 Technologie, techniky a materiály přátelské k životnímu prostředí</w:t>
        </w:r>
        <w:r>
          <w:tab/>
        </w:r>
        <w:r>
          <w:fldChar w:fldCharType="begin"/>
        </w:r>
        <w:r>
          <w:instrText xml:space="preserve"> PAGEREF _Toc256000016 \h </w:instrText>
        </w:r>
        <w:r>
          <w:fldChar w:fldCharType="separate"/>
        </w:r>
        <w:r>
          <w:t>34</w:t>
        </w:r>
        <w:r>
          <w:fldChar w:fldCharType="end"/>
        </w:r>
      </w:hyperlink>
    </w:p>
    <w:p>
      <w:pPr>
        <w:pStyle w:val="TOC2"/>
        <w:rPr>
          <w:rFonts w:asciiTheme="minorHAnsi" w:hAnsiTheme="minorHAnsi"/>
          <w:noProof/>
          <w:sz w:val="22"/>
        </w:rPr>
      </w:pPr>
      <w:hyperlink w:anchor="_Toc256000017" w:history="1">
        <w:r w:rsidRPr="00105A97">
          <w:rPr>
            <w:rStyle w:val="Hyperlink"/>
          </w:rPr>
          <w:t>Podoblast 4.2 Biotechnologie, materiálově, energeticky a emisně efektivní technologie, výrobky a služby</w:t>
        </w:r>
        <w:r>
          <w:tab/>
        </w:r>
        <w:r>
          <w:fldChar w:fldCharType="begin"/>
        </w:r>
        <w:r>
          <w:instrText xml:space="preserve"> PAGEREF _Toc256000017 \h </w:instrText>
        </w:r>
        <w:r>
          <w:fldChar w:fldCharType="separate"/>
        </w:r>
        <w:r>
          <w:t>36</w:t>
        </w:r>
        <w:r>
          <w:fldChar w:fldCharType="end"/>
        </w:r>
      </w:hyperlink>
    </w:p>
    <w:p>
      <w:pPr>
        <w:pStyle w:val="TOC2"/>
        <w:rPr>
          <w:rFonts w:asciiTheme="minorHAnsi" w:hAnsiTheme="minorHAnsi"/>
          <w:noProof/>
          <w:sz w:val="22"/>
        </w:rPr>
      </w:pPr>
      <w:hyperlink w:anchor="_Toc256000018" w:history="1">
        <w:r w:rsidRPr="00105A97">
          <w:rPr>
            <w:rStyle w:val="Hyperlink"/>
          </w:rPr>
          <w:t>Podoblast 4.3 Minimalizace tvorby odpadů a jejich opětovné použití a využití</w:t>
        </w:r>
        <w:r>
          <w:tab/>
        </w:r>
        <w:r>
          <w:fldChar w:fldCharType="begin"/>
        </w:r>
        <w:r>
          <w:instrText xml:space="preserve"> PAGEREF _Toc256000018 \h </w:instrText>
        </w:r>
        <w:r>
          <w:fldChar w:fldCharType="separate"/>
        </w:r>
        <w:r>
          <w:t>37</w:t>
        </w:r>
        <w:r>
          <w:fldChar w:fldCharType="end"/>
        </w:r>
      </w:hyperlink>
    </w:p>
    <w:p>
      <w:pPr>
        <w:pStyle w:val="TOC2"/>
        <w:rPr>
          <w:rFonts w:asciiTheme="minorHAnsi" w:hAnsiTheme="minorHAnsi"/>
          <w:noProof/>
          <w:sz w:val="22"/>
        </w:rPr>
      </w:pPr>
      <w:hyperlink w:anchor="_Toc256000019" w:history="1">
        <w:r w:rsidRPr="00105A97">
          <w:rPr>
            <w:rStyle w:val="Hyperlink"/>
          </w:rPr>
          <w:t>Podoblast 4.4 Odstraňování nebezpečných látek a starých škod z životního prostředí</w:t>
        </w:r>
        <w:r>
          <w:tab/>
        </w:r>
        <w:r>
          <w:fldChar w:fldCharType="begin"/>
        </w:r>
        <w:r>
          <w:instrText xml:space="preserve"> PAGEREF _Toc256000019 \h </w:instrText>
        </w:r>
        <w:r>
          <w:fldChar w:fldCharType="separate"/>
        </w:r>
        <w:r>
          <w:t>39</w:t>
        </w:r>
        <w:r>
          <w:fldChar w:fldCharType="end"/>
        </w:r>
      </w:hyperlink>
    </w:p>
    <w:p>
      <w:pPr>
        <w:pStyle w:val="TOC2"/>
        <w:rPr>
          <w:rFonts w:asciiTheme="minorHAnsi" w:hAnsiTheme="minorHAnsi"/>
          <w:noProof/>
          <w:sz w:val="22"/>
        </w:rPr>
      </w:pPr>
      <w:hyperlink w:anchor="_Toc256000020" w:history="1">
        <w:r w:rsidRPr="00105A97">
          <w:rPr>
            <w:rStyle w:val="Hyperlink"/>
          </w:rPr>
          <w:t>Podoblast 4.5 Minimalizace rizik z chemických látek</w:t>
        </w:r>
        <w:r>
          <w:tab/>
        </w:r>
        <w:r>
          <w:fldChar w:fldCharType="begin"/>
        </w:r>
        <w:r>
          <w:instrText xml:space="preserve"> PAGEREF _Toc256000020 \h </w:instrText>
        </w:r>
        <w:r>
          <w:fldChar w:fldCharType="separate"/>
        </w:r>
        <w:r>
          <w:t>39</w:t>
        </w:r>
        <w:r>
          <w:fldChar w:fldCharType="end"/>
        </w:r>
      </w:hyperlink>
    </w:p>
    <w:p>
      <w:pPr>
        <w:pStyle w:val="TOC1"/>
        <w:rPr>
          <w:rFonts w:asciiTheme="minorHAnsi" w:hAnsiTheme="minorHAnsi"/>
          <w:noProof/>
          <w:sz w:val="22"/>
        </w:rPr>
      </w:pPr>
      <w:hyperlink w:anchor="_Toc256000021" w:history="1">
        <w:r w:rsidRPr="00105A97">
          <w:rPr>
            <w:rStyle w:val="Hyperlink"/>
          </w:rPr>
          <w:t>Oblast 5. Environmentálně příznivá společnost</w:t>
        </w:r>
        <w:r>
          <w:tab/>
        </w:r>
        <w:r>
          <w:fldChar w:fldCharType="begin"/>
        </w:r>
        <w:r>
          <w:instrText xml:space="preserve"> PAGEREF _Toc256000021 \h </w:instrText>
        </w:r>
        <w:r>
          <w:fldChar w:fldCharType="separate"/>
        </w:r>
        <w:r>
          <w:t>42</w:t>
        </w:r>
        <w:r>
          <w:fldChar w:fldCharType="end"/>
        </w:r>
      </w:hyperlink>
    </w:p>
    <w:p>
      <w:pPr>
        <w:pStyle w:val="TOC2"/>
        <w:rPr>
          <w:rFonts w:asciiTheme="minorHAnsi" w:hAnsiTheme="minorHAnsi"/>
          <w:noProof/>
          <w:sz w:val="22"/>
        </w:rPr>
      </w:pPr>
      <w:hyperlink w:anchor="_Toc256000022" w:history="1">
        <w:r w:rsidRPr="00105A97">
          <w:rPr>
            <w:rStyle w:val="Hyperlink"/>
          </w:rPr>
          <w:t>Podoblast 5.1 Spotřební chování obyvatelstva</w:t>
        </w:r>
        <w:r>
          <w:tab/>
        </w:r>
        <w:r>
          <w:fldChar w:fldCharType="begin"/>
        </w:r>
        <w:r>
          <w:instrText xml:space="preserve"> PAGEREF _Toc256000022 \h </w:instrText>
        </w:r>
        <w:r>
          <w:fldChar w:fldCharType="separate"/>
        </w:r>
        <w:r>
          <w:t>42</w:t>
        </w:r>
        <w:r>
          <w:fldChar w:fldCharType="end"/>
        </w:r>
      </w:hyperlink>
    </w:p>
    <w:p>
      <w:pPr>
        <w:pStyle w:val="TOC2"/>
        <w:rPr>
          <w:rFonts w:asciiTheme="minorHAnsi" w:hAnsiTheme="minorHAnsi"/>
          <w:noProof/>
          <w:sz w:val="22"/>
        </w:rPr>
      </w:pPr>
      <w:hyperlink w:anchor="_Toc256000023" w:history="1">
        <w:r w:rsidRPr="00105A97">
          <w:rPr>
            <w:rStyle w:val="Hyperlink"/>
          </w:rPr>
          <w:t>Podoblast 5.2 Nástroje environmentálně příznivého růstu</w:t>
        </w:r>
        <w:r>
          <w:tab/>
        </w:r>
        <w:r>
          <w:fldChar w:fldCharType="begin"/>
        </w:r>
        <w:r>
          <w:instrText xml:space="preserve"> PAGEREF _Toc256000023 \h </w:instrText>
        </w:r>
        <w:r>
          <w:fldChar w:fldCharType="separate"/>
        </w:r>
        <w:r>
          <w:t>44</w:t>
        </w:r>
        <w:r>
          <w:fldChar w:fldCharType="end"/>
        </w:r>
      </w:hyperlink>
    </w:p>
    <w:p w:rsidR="00451E31" w:rsidP="0004788E">
      <w:pPr>
        <w:ind w:left="720" w:hanging="360"/>
      </w:pPr>
      <w:r>
        <w:rPr>
          <w:rFonts w:eastAsia="Calibri" w:cstheme="minorHAnsi"/>
          <w:b/>
          <w:bCs/>
          <w:caps/>
          <w:noProof/>
          <w:sz w:val="20"/>
          <w:szCs w:val="22"/>
          <w:u w:val="single"/>
        </w:rPr>
        <w:fldChar w:fldCharType="end"/>
      </w:r>
    </w:p>
    <w:p w:rsidR="00850214" w14:paraId="01DA54F9" w14:textId="77777777">
      <w:pPr>
        <w:sectPr w:rsidSect="00203727">
          <w:headerReference w:type="default" r:id="rId6"/>
          <w:footerReference w:type="even" r:id="rId7"/>
          <w:footerReference w:type="default" r:id="rId8"/>
          <w:pgSz w:w="11906" w:h="16838"/>
          <w:pgMar w:top="1701" w:right="1134" w:bottom="1134" w:left="1134" w:header="709" w:footer="709" w:gutter="0"/>
          <w:cols w:space="708"/>
          <w:docGrid w:linePitch="360"/>
        </w:sectPr>
      </w:pPr>
    </w:p>
    <w:p w:rsidR="0017648C" w:rsidRPr="00211F50" w:rsidP="00D91D07" w14:paraId="247227D3" w14:textId="77777777">
      <w:pPr>
        <w:pStyle w:val="Heading1"/>
        <w:rPr>
          <w:bCs/>
        </w:rPr>
      </w:pPr>
      <w:bookmarkStart w:id="1" w:name="_Toc106129994"/>
      <w:bookmarkStart w:id="2" w:name="_Toc256000000"/>
      <w:r w:rsidRPr="00211F50">
        <w:t xml:space="preserve">Oblast 1: Přírodní </w:t>
      </w:r>
      <w:r w:rsidRPr="00D91D07">
        <w:t>zdroje</w:t>
      </w:r>
      <w:bookmarkEnd w:id="2"/>
      <w:bookmarkEnd w:id="1"/>
    </w:p>
    <w:p w:rsidR="0017648C" w:rsidRPr="00B8036C" w:rsidP="00D91D07" w14:paraId="10CDE999" w14:textId="77777777">
      <w:pPr>
        <w:pStyle w:val="Heading2"/>
      </w:pPr>
      <w:bookmarkStart w:id="3" w:name="_Toc106129995"/>
      <w:bookmarkStart w:id="4" w:name="_Toc256000001"/>
      <w:r w:rsidRPr="00D91D07">
        <w:t>Podoblast</w:t>
      </w:r>
      <w:r w:rsidRPr="00B8036C">
        <w:t xml:space="preserve"> 1.1 Biodiverzita</w:t>
      </w:r>
      <w:bookmarkEnd w:id="4"/>
      <w:bookmarkEnd w:id="3"/>
    </w:p>
    <w:p w:rsidR="0017648C" w:rsidP="00D91D07" w14:paraId="51941CB8" w14:textId="683AFABF">
      <w:r>
        <w:t>Biodiverzita je rozmanitost živého světa v nejširším smyslu, od genetické rozmanitosti jednotlivých populací přes rozmanitost druhovou až po rozrůzněnost biomů. Biodiverzita v ČR je díky její geografické poloze a</w:t>
      </w:r>
      <w:r w:rsidR="0013289E">
        <w:t> </w:t>
      </w:r>
      <w:r>
        <w:t xml:space="preserve">geologické a topografické rozmanitosti relativně vysoká, v současné době se ale rychle mění. Přibývají nové druhy, ať už samovolným šířením (převážně z jihu vlivem změn klimatu) nebo vlivem člověka (z nichž největší hrozbu představují invazní druhy); na druhé straně řada druhů z našeho území ustupuje nebo je na hranici vymření; řada druhů z našeho území již zmizela. </w:t>
      </w:r>
    </w:p>
    <w:p w:rsidR="0017648C" w:rsidP="00EC5227" w14:paraId="4535A7D4" w14:textId="0B219D89">
      <w:r>
        <w:t xml:space="preserve">U biotopů (přírodních stanovišť) i druhů jsou k dispozici dvě různá systematická hodnocení jejich stavu. Širší hodnocení představuje posouzení podle stupně ohroženosti v daném území, takzvané červené seznamy ohrožených druhů a biotopů. Toto hodnocení používá standardní kritéria Mezinárodní unie na ochranu přírody (IUCN) a řadí druhy do přesně definovaných kategorií. Druhým hodnocením systematicky uplatňujícím standardizovaná kritéria je hodnocení stavu z hlediska ochrany. Tato hodnocení ukazují, že ohrožena a na ústupu je více než polovina sledovaných rostlinných a živočišných druhů a téměř dvě třetiny typů biotopů. Nejohroženějšími typy přírodních stanovišť jsou u nás (1) extenzivně obhospodařovaná otevřená krajina (louky, mokřady, písčiny a podobné typy prostředí, které byly dříve extenzivně hospodářsky využívány a nyní zarůstají dřevinami), (2) stojaté vody, podléhající eutrofizaci vlivem intenzivního chovu kaprů a splachů z polí, (3) některé typy lesů, zvláště pak na jedné straně klimaxové pralesy a na druhé straně světlé lesy, kde se dříve extenzivně hospodařilo (pařeziny, výmladkové porosty). Ohroženost druhů vyplývá především z ohroženosti jejich prostředí, takže k nejohroženějším druhů patří (1) druhy, které byly v minulosti adaptovány na tradiční, často již vymizelé, formy hospodaření </w:t>
      </w:r>
      <w:r w:rsidRPr="0065283F">
        <w:t xml:space="preserve">v krajině </w:t>
      </w:r>
      <w:r>
        <w:t>tvořící jemnější krajinnou strukturu (ptáci a savci kulturních stepí, denní motýli, rovnokřídlý hmyz, rostliny extenzivně pasených luk atd.), (2) druhy vázáné na vodní prostředí (obojživelníci, mihule, ryby, vodní a mokřadní ptáci, vodní hmyz a</w:t>
      </w:r>
      <w:r w:rsidR="0013289E">
        <w:t> </w:t>
      </w:r>
      <w:r>
        <w:t xml:space="preserve">rostliny) a (3) druhy vázané na přirozené lesy s mrtvým dřevem a lesní druhy vázané na výmladkové hospodaření nebo lesní pastvu. Řada ohrožených druhů dnes přežívá téměř výhradně v člověkem narušených nebo dokonce nově vytvořených </w:t>
      </w:r>
      <w:r w:rsidRPr="0065283F">
        <w:t xml:space="preserve">typech prostředí, která se v některých rysech podobají </w:t>
      </w:r>
      <w:r>
        <w:t xml:space="preserve">původním přírodním biotopům druhů (které změnou využívání krajiny často zanikly), příkladem jsou vojenské prostory, výsypky po hnědouhelných lomech, odkaliště a lomy. </w:t>
      </w:r>
    </w:p>
    <w:p w:rsidR="0017648C" w:rsidP="00EC5227" w14:paraId="277E5A02" w14:textId="15B3BC83">
      <w:r>
        <w:t xml:space="preserve">V důsledku rozsáhlých změn ve využívání krajiny v posledních desetiletích i v důsledku aktuálně působících vlivů dochází k unifikaci přírodních podmínek, případně k jejich zásadním změnám, které vedou k poškození, úbytku nebo zániku biotopů řady druhů rostlin a živočichů. V posledních deseti letech nedošlo k zásadnímu zvratu v uvedených trendech, pouze se změnila intenzita působení jednotlivých faktorů, případně byly některé doznívající nahrazeny novými (k významným činitelům, jejichž intenzita narůstá zvýšenou měrou, patří např. fragmentace biotopů, a to jak dopravními stavbami, tak záborem půdy obecně, či hlukové a světelné znečištění). Specifickou oblast z hlediska ochrany původní diverzity druhů (a jejich společenstev) představuje problematika geograficky nepůvodních a zejména nepůvodních invazních druhů rostlin, živočichů a mikroorganismů a procesy probíhající v </w:t>
      </w:r>
      <w:r>
        <w:t>invadovaných</w:t>
      </w:r>
      <w:r>
        <w:t xml:space="preserve"> společenstev a na úrovni celé krajiny. V</w:t>
      </w:r>
      <w:r w:rsidR="0013289E">
        <w:t> </w:t>
      </w:r>
      <w:r>
        <w:t xml:space="preserve">celosvětovém měřítku jsou biologické invaze považovány za druhý nejvýznamnější faktor (po ztrátě biotopů) ohrožující původní biodiverzitu. </w:t>
      </w:r>
    </w:p>
    <w:p w:rsidR="0017648C" w:rsidP="00EC5227" w14:paraId="4E713B2E" w14:textId="77777777">
      <w:pPr>
        <w:pStyle w:val="Stejncl"/>
      </w:pPr>
      <w:r w:rsidRPr="00EC5227">
        <w:rPr>
          <w:rStyle w:val="Zelentun"/>
        </w:rPr>
        <w:t>Stěžejní cíl 1.1:</w:t>
      </w:r>
      <w:r>
        <w:t xml:space="preserve"> Zamezení vymírání ohrožených druhů, stabilizace populací rostlin a živočichů, udržení přírodních a přírodě blízkých i cenných lidmi ovlivněných stanovišť s charakteristickými společenstvy</w:t>
      </w:r>
    </w:p>
    <w:p w:rsidR="0017648C" w:rsidRPr="00EC5227" w:rsidP="00EC5227" w14:paraId="170BE876" w14:textId="77777777">
      <w:pPr>
        <w:rPr>
          <w:rStyle w:val="Zelentun"/>
        </w:rPr>
      </w:pPr>
      <w:r w:rsidRPr="00EC5227">
        <w:rPr>
          <w:rStyle w:val="Zelentun"/>
        </w:rPr>
        <w:t>Opatření:</w:t>
      </w:r>
    </w:p>
    <w:p w:rsidR="0017648C" w:rsidRPr="000B3C7B" w:rsidP="00276564" w14:paraId="75811EE9" w14:textId="001B0782">
      <w:pPr>
        <w:pStyle w:val="Heading3"/>
      </w:pPr>
      <w:r>
        <w:t>1.1.1</w:t>
      </w:r>
      <w:r w:rsidR="00276564">
        <w:tab/>
      </w:r>
      <w:r w:rsidRPr="000B3C7B">
        <w:t>Zhodnocení příspěvku sítě chráněných území k ochraně populací, resp.</w:t>
      </w:r>
      <w:r>
        <w:t xml:space="preserve"> </w:t>
      </w:r>
      <w:r w:rsidRPr="000B3C7B">
        <w:t>metapopulací</w:t>
      </w:r>
      <w:r w:rsidRPr="000B3C7B">
        <w:t xml:space="preserve"> ohrožených druhů a navržení účinné metody jejich ochrany a na základě tohoto zhodnocení</w:t>
      </w:r>
      <w:r>
        <w:t xml:space="preserve"> návrh</w:t>
      </w:r>
      <w:r w:rsidRPr="000B3C7B">
        <w:t xml:space="preserve"> revize uvedené sítě se zohledněním revitalizovaných a nově vytvořených antropogenních stanovišť.</w:t>
      </w:r>
    </w:p>
    <w:p w:rsidR="0017648C" w:rsidRPr="00FE379C" w:rsidP="00276564" w14:paraId="0CDB48FC" w14:textId="77777777">
      <w:r w:rsidRPr="00FE379C">
        <w:t>Na území</w:t>
      </w:r>
      <w:r>
        <w:t xml:space="preserve"> ČR</w:t>
      </w:r>
      <w:r w:rsidRPr="00FE379C">
        <w:t xml:space="preserve"> existuje relativně hustá soustava chráněných území, přesto však řada druhů zejména bezobratlých ubývá. </w:t>
      </w:r>
    </w:p>
    <w:p w:rsidR="0017648C" w:rsidRPr="00DF4038" w:rsidP="00276564" w14:paraId="2CEACBAA" w14:textId="2CD5CC0D">
      <w:r w:rsidRPr="00D21D35">
        <w:t>Zajištění ochrany druhů formou chráněných území nemusí být v</w:t>
      </w:r>
      <w:r>
        <w:t> </w:t>
      </w:r>
      <w:r w:rsidRPr="00D21D35">
        <w:t xml:space="preserve">mnoha případech dostatečné (s ohledem na pokrytí jejich biotopů, omezení fragmentace apod.). Je třeba posoudit účinnost současné soustavy chráněných území ve vztahu k ochraně druhů </w:t>
      </w:r>
      <w:r w:rsidRPr="000B3C7B">
        <w:t xml:space="preserve">a efektivní propojenost této sítě z hlediska perzistence </w:t>
      </w:r>
      <w:r w:rsidRPr="000B3C7B">
        <w:t>metapopulací</w:t>
      </w:r>
      <w:r>
        <w:t xml:space="preserve"> </w:t>
      </w:r>
      <w:r w:rsidRPr="00D21D35">
        <w:t>a navrhnout účinné metody jejich ochrany a péče o</w:t>
      </w:r>
      <w:r>
        <w:t> </w:t>
      </w:r>
      <w:r w:rsidRPr="00D21D35">
        <w:t>ně (i ve vazbě na další legislativní nástroje využitelné k</w:t>
      </w:r>
      <w:r>
        <w:t> </w:t>
      </w:r>
      <w:r w:rsidRPr="00D21D35">
        <w:t>jejich ochraně).</w:t>
      </w:r>
      <w:r w:rsidR="00346D9B">
        <w:t xml:space="preserve"> </w:t>
      </w:r>
      <w:r w:rsidRPr="00D21D35">
        <w:t>Zvláštním případem jsou populace vázané na</w:t>
      </w:r>
      <w:r>
        <w:t> </w:t>
      </w:r>
      <w:r w:rsidRPr="00D21D35">
        <w:t>nejrůznější antropogenní a zatím nechráněná stanoviště</w:t>
      </w:r>
      <w:r>
        <w:t xml:space="preserve"> </w:t>
      </w:r>
      <w:r w:rsidRPr="000B3C7B">
        <w:t>(např. lomy, výsypky a odkaliště)</w:t>
      </w:r>
      <w:r w:rsidRPr="00D21D35">
        <w:t>, jejichž příspěvek k ochraně daných druhů může nabývat různé významnosti.</w:t>
      </w:r>
      <w:r>
        <w:t xml:space="preserve"> </w:t>
      </w:r>
      <w:r w:rsidRPr="000B3C7B">
        <w:t>Je třeba vyhodnotit příspěvek</w:t>
      </w:r>
      <w:r>
        <w:t xml:space="preserve"> i</w:t>
      </w:r>
      <w:r w:rsidRPr="000B3C7B">
        <w:t xml:space="preserve"> zmíněných antropogenních stanovišť k přežívání </w:t>
      </w:r>
      <w:r w:rsidRPr="000B3C7B">
        <w:t>metapopulací</w:t>
      </w:r>
      <w:r>
        <w:t>.</w:t>
      </w:r>
    </w:p>
    <w:p w:rsidR="0017648C" w:rsidRPr="0030567F" w:rsidP="00276564" w14:paraId="39554C5C" w14:textId="1CFE6D37">
      <w:pPr>
        <w:pStyle w:val="Heading3"/>
      </w:pPr>
      <w:r>
        <w:t>1.1.2</w:t>
      </w:r>
      <w:r>
        <w:tab/>
      </w:r>
      <w:r w:rsidRPr="0030567F">
        <w:t>Zajištění reprezentativní a funkční soustavy chráněných území v ČR</w:t>
      </w:r>
    </w:p>
    <w:p w:rsidR="0017648C" w:rsidRPr="00D61C66" w:rsidP="00E33C62" w14:paraId="168C9BBA" w14:textId="1AEC61A3">
      <w:r w:rsidRPr="00DF4038">
        <w:rPr>
          <w:rFonts w:cstheme="minorHAnsi"/>
        </w:rPr>
        <w:t>V souvislosti s povinnostmi vyplývajícími pro ČR z národní a evropské legislativy a souvisejících strategií v</w:t>
      </w:r>
      <w:r w:rsidR="0013289E">
        <w:t> </w:t>
      </w:r>
      <w:r w:rsidRPr="0065283F">
        <w:t xml:space="preserve">oblasti ochrany přírody je nezbytné na českém území </w:t>
      </w:r>
      <w:r>
        <w:t xml:space="preserve">zajistit reprezentativní soustavu chráněných území, která bude zajišťovat funkční ochranu nejcennějších částí přírody a krajiny, včetně přírodních </w:t>
      </w:r>
      <w:r w:rsidRPr="0065283F">
        <w:t>stanovišť</w:t>
      </w:r>
      <w:r>
        <w:t xml:space="preserve"> a</w:t>
      </w:r>
      <w:r w:rsidR="0013289E">
        <w:t> </w:t>
      </w:r>
      <w:r>
        <w:t>druhů významných z hlediska práva EU</w:t>
      </w:r>
      <w:r w:rsidRPr="0065283F">
        <w:t xml:space="preserve">. K naplnění tohoto cíle je nezbytné </w:t>
      </w:r>
      <w:r>
        <w:t xml:space="preserve">systematicky hodnotit dostatečnost soustavy chráněných území pro ochranu daných fenoménů, a to mj. s ohledem na nové poznatky o výskytu daných fenoménů a jejich reakce na vlivy prostředí (včetně změny klimatu), a v návaznosti na tato hodnocení přijímat opatření k optimalizaci soustavy chráněných. Zároveň je třeba </w:t>
      </w:r>
      <w:r w:rsidRPr="0065283F">
        <w:t xml:space="preserve">zabezpečovat </w:t>
      </w:r>
      <w:r>
        <w:t xml:space="preserve">funkční ochranu chráněných území </w:t>
      </w:r>
      <w:r w:rsidRPr="0065283F">
        <w:t xml:space="preserve">prostřednictvím podpory vhodných opatření </w:t>
      </w:r>
      <w:r>
        <w:t xml:space="preserve">k dosažení/zachování cílového stavu jejich předmětů ochrany. V této souvislosti je třeba zabezpečovat systematický monitoring stavu chráněných území (jejich předmětů ochrany, efektivity stávající péče pro dosahování cílů ochrany). </w:t>
      </w:r>
    </w:p>
    <w:p w:rsidR="0017648C" w:rsidRPr="006B6659" w:rsidP="00E33C62" w14:paraId="6AF0257A" w14:textId="69D2114F">
      <w:pPr>
        <w:pStyle w:val="Heading3"/>
      </w:pPr>
      <w:r>
        <w:t>1.1.3</w:t>
      </w:r>
      <w:r>
        <w:tab/>
      </w:r>
      <w:r w:rsidRPr="0076175A">
        <w:t>Vyhodnocení optimálních způsobů péče o druhy a stanoviště (od alternativ běžného hospodaření, přes specializovanou aktivní péči až po ponechání samovolnému vývoji) a</w:t>
      </w:r>
      <w:r w:rsidR="0013289E">
        <w:t> </w:t>
      </w:r>
      <w:r w:rsidRPr="0076175A">
        <w:t>vytvoření efektivních typů opatření k udržení a obnově</w:t>
      </w:r>
      <w:r w:rsidRPr="00211F50">
        <w:t xml:space="preserve"> přirozených a polopřirozených (tj.</w:t>
      </w:r>
      <w:r w:rsidR="0013289E">
        <w:t> </w:t>
      </w:r>
      <w:r w:rsidRPr="00211F50">
        <w:t xml:space="preserve">závislých na péči) společenstev </w:t>
      </w:r>
    </w:p>
    <w:p w:rsidR="0017648C" w:rsidP="00646D1E" w14:paraId="7657037F" w14:textId="157B4E95">
      <w:r w:rsidRPr="0065283F">
        <w:t>Přirozená člověkem málo ovlivněná suchozemská i vodní stanoviště patří k nejohroženějším, přitom mají zásadní význam pro udržení ekologické stability ekosystémů v krajině.</w:t>
      </w:r>
      <w:r>
        <w:t xml:space="preserve"> Pro uchování biodiverzity jsou však zároveň klíčová i stanoviště, která byla dlouhodobě člověkem ovlivňována a vyvinula se v polopřirozené, avšak velmi bohaté typy prostředí, z nichž řada je v důsledku změn využívání krajiny dnes ohrožena.</w:t>
      </w:r>
      <w:r w:rsidR="00346D9B">
        <w:t xml:space="preserve"> </w:t>
      </w:r>
      <w:r w:rsidRPr="0065283F">
        <w:t>Je</w:t>
      </w:r>
      <w:r>
        <w:t xml:space="preserve"> proto</w:t>
      </w:r>
      <w:r w:rsidRPr="0065283F">
        <w:t xml:space="preserve"> třeba nacházet účinné metody ochrany a péče pro různé typy přirozených suchozemských i vodních stanovišť, </w:t>
      </w:r>
      <w:r w:rsidRPr="0065283F">
        <w:t>zvláště těch, které mají tendenci se rychle proměňovat vlivem eutrofizace krajiny nebo vlivem šíření škodlivých činitelů způsobeného činností člověka.</w:t>
      </w:r>
      <w:r>
        <w:t xml:space="preserve"> Některé přírodní fenomény jsou závislé na vhodné péči člověka (ať již jde o šetrné hospodaření nebo speciální způsoby péče), jiné by naopak profitovaly z omezení zásahů a ponechání samovolnému vývoji. Základem by tak mělo být vyhodnocení optimálních přístupů (včetně případného vlivu na další složky přírodního prostředí) a navrhnout adekvátní opatření, která vezmou v úvahu výhody a nevýhody jednotlivých typů péče o přírodu a krajinu.</w:t>
      </w:r>
      <w:r w:rsidRPr="0065283F">
        <w:t xml:space="preserve"> </w:t>
      </w:r>
    </w:p>
    <w:p w:rsidR="0017648C" w:rsidRPr="006B6659" w:rsidP="00646D1E" w14:paraId="1A0DCE98" w14:textId="4B2A4206">
      <w:pPr>
        <w:pStyle w:val="Heading3"/>
      </w:pPr>
      <w:r>
        <w:t>1.1.4</w:t>
      </w:r>
      <w:r>
        <w:tab/>
      </w:r>
      <w:r w:rsidRPr="00211F50">
        <w:t>Doplnění znalostní základny pro efektivní ochranu ohrožených a vzácných druhů volně žijících organismů, včetně cíleného studia jejich genetické diverzity</w:t>
      </w:r>
    </w:p>
    <w:p w:rsidR="0017648C" w:rsidRPr="0065283F" w:rsidP="00646D1E" w14:paraId="178E91BE" w14:textId="77777777">
      <w:r w:rsidRPr="0065283F">
        <w:t>Znalost biologie</w:t>
      </w:r>
      <w:r>
        <w:t xml:space="preserve">, </w:t>
      </w:r>
      <w:r w:rsidRPr="0065283F">
        <w:t xml:space="preserve">ekologie </w:t>
      </w:r>
      <w:r>
        <w:t xml:space="preserve">a rozšíření </w:t>
      </w:r>
      <w:r w:rsidRPr="0065283F">
        <w:t>druhů</w:t>
      </w:r>
      <w:r>
        <w:t xml:space="preserve">, </w:t>
      </w:r>
      <w:r w:rsidRPr="0065283F">
        <w:t xml:space="preserve">hodnocení </w:t>
      </w:r>
      <w:r>
        <w:t xml:space="preserve">a zjišťování příčin </w:t>
      </w:r>
      <w:r w:rsidRPr="0065283F">
        <w:t>jejich ohrožení je</w:t>
      </w:r>
      <w:r>
        <w:t> </w:t>
      </w:r>
      <w:r w:rsidRPr="0065283F">
        <w:t>základním prvkem efektivní druhové ochrany. U naprosté většiny ohrožených druhů (především bezobratlých živočichů) stále chybí základní znalosti</w:t>
      </w:r>
      <w:r>
        <w:t>. U</w:t>
      </w:r>
      <w:r w:rsidRPr="0065283F">
        <w:t xml:space="preserve"> druhů s vyšší m</w:t>
      </w:r>
      <w:r>
        <w:t>í</w:t>
      </w:r>
      <w:r w:rsidRPr="0065283F">
        <w:t>rou poznání pak existují stále oblasti vyžadující další výzkum, například genetická diverzita.</w:t>
      </w:r>
    </w:p>
    <w:p w:rsidR="0017648C" w:rsidP="00646D1E" w14:paraId="03F8DC6B" w14:textId="17F11CF1">
      <w:r>
        <w:t>Genetická rozmanitost zůstává nejméně známým aspektem biologické rozmanitosti. Proto byla a dosud je i</w:t>
      </w:r>
      <w:r w:rsidR="006023DE">
        <w:t> </w:t>
      </w:r>
      <w:r>
        <w:t>přes překotný rozvoj jejích poznatků ochraně genetické diverzity věnována relativně malá pozornost. Nové informace jasně ukazují na zásadní význam genetické diverzity pro přežívání životaschopných populací mnoha organismů. Kromě vlastního významu pro přírodní stabilitu má právě genetická složka biodiverzity velký význam pro člověka a jeho hospodářskou činnost, protože představuje přirozenou zásobárnu rozmanitých genotypů.</w:t>
      </w:r>
    </w:p>
    <w:p w:rsidR="0017648C" w:rsidRPr="003C2CE0" w:rsidP="00646D1E" w14:paraId="3548EFBF" w14:textId="54830E20">
      <w:r>
        <w:t>Mezi jinými ovlivňují biodiverzitu relativně běžné druhy znečištění spojené s rozvojem lidských sídel a</w:t>
      </w:r>
      <w:r w:rsidR="006023DE">
        <w:t> </w:t>
      </w:r>
      <w:r>
        <w:t>infrasturktury</w:t>
      </w:r>
      <w:r>
        <w:t xml:space="preserve"> </w:t>
      </w:r>
      <w:r w:rsidR="00346D9B">
        <w:t>–</w:t>
      </w:r>
      <w:r>
        <w:t xml:space="preserve"> hluk a světelné znečištění. Jejich množství v zastavěné krajině, ale i ve volné přírodě se zvyšuje a vytváří nepříznivé podmínky pro přežití různých druhů fauny i fl</w:t>
      </w:r>
      <w:r w:rsidR="006023DE">
        <w:t>ó</w:t>
      </w:r>
      <w:r>
        <w:t xml:space="preserve">ry. Tyto vlivy by měly být podrobně studovány, vyhodnocovány a odpovídajícími nástroji snižovány. </w:t>
      </w:r>
    </w:p>
    <w:p w:rsidR="0017648C" w:rsidRPr="006B6659" w:rsidP="006023DE" w14:paraId="1F85ADBF" w14:textId="21144A42">
      <w:pPr>
        <w:pStyle w:val="Heading3"/>
      </w:pPr>
      <w:r>
        <w:t>1.1.5</w:t>
      </w:r>
      <w:r>
        <w:tab/>
      </w:r>
      <w:r w:rsidRPr="00211F50">
        <w:t>Zhodnocení impaktu rostlinných, živočišných a mikrobiálních invazí a vývoj nástrojů k jejich omezení, studium procesů v </w:t>
      </w:r>
      <w:r w:rsidRPr="00211F50">
        <w:t>travel</w:t>
      </w:r>
      <w:r w:rsidRPr="00211F50">
        <w:t xml:space="preserve">/nezvratně </w:t>
      </w:r>
      <w:r w:rsidRPr="00211F50">
        <w:t>invadovaných</w:t>
      </w:r>
      <w:r w:rsidRPr="00211F50">
        <w:t xml:space="preserve"> společenstvech, identifikace nových potenciálních hrozeb a jejich impaktu zejména v kontextu změny klimatu.</w:t>
      </w:r>
    </w:p>
    <w:p w:rsidR="0017648C" w:rsidRPr="0065283F" w:rsidP="006023DE" w14:paraId="219FB137" w14:textId="77777777">
      <w:r>
        <w:t>Zejména v souvislosti s probíhající změnou klimatu je třeba hodnotit impakt různých druhů invazních živočichů, rostlin a mikroorganismů na různé typy společenstev a zjišťovat, ve kterých případech je možné těmto dopadům efektivně čelit, a dále vypracovat koncepční rámec managementu invazních druhů. Je zapotřebí sledovat a hodnotit patologické změny na krajinné úrovni a vyvíjet metody, jak je omezit.</w:t>
      </w:r>
      <w:r w:rsidRPr="005B4C72">
        <w:t xml:space="preserve"> </w:t>
      </w:r>
      <w:r w:rsidRPr="00487406">
        <w:t>V</w:t>
      </w:r>
      <w:r>
        <w:t> </w:t>
      </w:r>
      <w:r w:rsidRPr="00487406">
        <w:t>případě trvale a</w:t>
      </w:r>
      <w:r>
        <w:t> </w:t>
      </w:r>
      <w:r w:rsidRPr="00487406">
        <w:t xml:space="preserve">významně ovlivněných společenstev </w:t>
      </w:r>
      <w:r>
        <w:t xml:space="preserve">je třeba </w:t>
      </w:r>
      <w:r w:rsidRPr="00487406">
        <w:t>popsat procesy, které se v</w:t>
      </w:r>
      <w:r>
        <w:t> </w:t>
      </w:r>
      <w:r w:rsidRPr="00487406">
        <w:t>nich dějí, identifikovat trajektorie změn a</w:t>
      </w:r>
      <w:r>
        <w:t> </w:t>
      </w:r>
      <w:r w:rsidRPr="00487406">
        <w:t>popsat a zhodnotit konečný stav. Je zapotřebí včas identifikovat a</w:t>
      </w:r>
      <w:r>
        <w:t> </w:t>
      </w:r>
      <w:r w:rsidRPr="00487406">
        <w:t>zhodnotit hrozící rizika a</w:t>
      </w:r>
      <w:r>
        <w:t> </w:t>
      </w:r>
      <w:r w:rsidRPr="00487406">
        <w:t xml:space="preserve">vyvíjet vhodná </w:t>
      </w:r>
      <w:r w:rsidRPr="00487406">
        <w:t>mitigační</w:t>
      </w:r>
      <w:r w:rsidRPr="00487406">
        <w:t xml:space="preserve"> opatření.</w:t>
      </w:r>
    </w:p>
    <w:p w:rsidR="0017648C" w:rsidRPr="00B953C3" w:rsidP="006023DE" w14:paraId="6A2CCD8D" w14:textId="7BC86D25">
      <w:pPr>
        <w:pStyle w:val="Heading3"/>
      </w:pPr>
      <w:r>
        <w:t>1.1.6</w:t>
      </w:r>
      <w:r>
        <w:tab/>
      </w:r>
      <w:r w:rsidRPr="00211F50">
        <w:t>Minimalizování vlivu přípravků na ochranu rostlin na necílové druhy</w:t>
      </w:r>
    </w:p>
    <w:p w:rsidR="0017648C" w:rsidRPr="0065283F" w:rsidP="006023DE" w14:paraId="682BF915" w14:textId="1B2CF1CE">
      <w:r w:rsidRPr="00625E19">
        <w:t>S</w:t>
      </w:r>
      <w:r>
        <w:t> </w:t>
      </w:r>
      <w:r w:rsidRPr="00625E19">
        <w:t>ohledem na klesající stavy druhů v</w:t>
      </w:r>
      <w:r>
        <w:t> </w:t>
      </w:r>
      <w:r w:rsidRPr="00625E19">
        <w:t>obhospodařované krajině (zejména některých druhů hmyzu a ptáků) je nutné zkoumat vliv přípravku na ochranu rostlin (POR) na necílové druhy. Nesprávná nebo nadbytečná aplikace POR je jednou z</w:t>
      </w:r>
      <w:r>
        <w:t> </w:t>
      </w:r>
      <w:r w:rsidRPr="00625E19">
        <w:t>dosud opomíjených příčin úhynu druhů. V</w:t>
      </w:r>
      <w:r>
        <w:t> </w:t>
      </w:r>
      <w:r w:rsidRPr="00625E19">
        <w:t>souvislosti s</w:t>
      </w:r>
      <w:r>
        <w:t> </w:t>
      </w:r>
      <w:r w:rsidRPr="00625E19">
        <w:t>národními i evropskými cíli snižování spotřeby POR je snahou eliminace nežádoucích vlivu na biodiverzitu.</w:t>
      </w:r>
      <w:r w:rsidR="00346D9B">
        <w:t xml:space="preserve"> </w:t>
      </w:r>
      <w:r w:rsidRPr="00625E19">
        <w:t>Neméně důležité je identifikovat a objasnit tok a šíření reziduálních látek v</w:t>
      </w:r>
      <w:r>
        <w:t> </w:t>
      </w:r>
      <w:r w:rsidRPr="00625E19">
        <w:t>krajině a jejich možné působení i na neošetřovaných plochách včetně zjištění původu zakázaných/nedeklarovaných látek určených pro ochranu rostlin.</w:t>
      </w:r>
    </w:p>
    <w:p w:rsidR="0017648C" w:rsidRPr="006B6659" w:rsidP="00646D1E" w14:paraId="5A8555D9" w14:textId="28A1F6A4">
      <w:pPr>
        <w:pStyle w:val="Heading3"/>
      </w:pPr>
      <w:r>
        <w:t>1.1.7</w:t>
      </w:r>
      <w:r>
        <w:tab/>
      </w:r>
      <w:r w:rsidRPr="00211F50">
        <w:t>Hodnocení, mapování a kategorizace ekosystémových služeb včetně vytváření nástrojů hodnocení jejich věcné správnosti a praktické využitelnosti</w:t>
      </w:r>
    </w:p>
    <w:p w:rsidR="0017648C" w:rsidP="006023DE" w14:paraId="25486CAC" w14:textId="77777777">
      <w:r>
        <w:t xml:space="preserve">Ekosystémy poskytují lidské společnosti statky (potraviny, vlákna, zdroje energie, genové bohatství) a služby (regulace klimatu, retenci vody, rekreaci, ad.), což je zdůrazněno také v nejnovějších evropských strategiích (Návrat přírody do našeho života, Z farmy na vidličku). Některé z těchto statků a služeb jsou technickými prostředky nenahraditelné, jiné pouze za cenu vysokých nákladů. Význam těchto statků a služeb ale při rozhodování o využívání přírodního kapitálu (využití území, způsobu hospodaření) stále není brán dostatečně, protože v případě řady ekosystémových služeb zatím chybějí metody kvantifikace. Výzkumným cílem je revidovat metody kvantifikace ekosystémových služeb vyvinuté v zahraničí či v ČR, adaptovat je pro podmínky v ČR a vyvíjet metody nové, dle předpokládaných trendů v jejich využití a také podle potřeb případné mezinárodní harmonizace. Metody mají posoudit jak biofyzikální objemy poskytovaných služeb (objem zadržené vody, uhlíku uloženého v podzemní biomase atd.), tak jejich společenskou hodnotu (která se často vyjadřuje v peněžních jednotkách). </w:t>
      </w:r>
    </w:p>
    <w:p w:rsidR="0017648C" w:rsidP="006023DE" w14:paraId="053AF0AC" w14:textId="7CE8D86F">
      <w:r>
        <w:t xml:space="preserve">Ekosystémy se proměňují jak vlivem člověka, tak přirozeně (např. v souvislosti se změnami klimatu, změnami využívání území, fragmentací přírodních biotopů). Některá společenstva jsou vůči změnám </w:t>
      </w:r>
      <w:r>
        <w:t>resilientní</w:t>
      </w:r>
      <w:r>
        <w:t xml:space="preserve">, jiná méně. Je třeba zkoumat </w:t>
      </w:r>
      <w:r>
        <w:t>resilienci</w:t>
      </w:r>
      <w:r>
        <w:t xml:space="preserve"> různých typů společenstev vůči změnám a na základě toho vytvářet predikce ohledně chování společenstev v budoucnu včetně odhadu změn v poskytování ekosystémových služeb. Důležitým výzkumným tématem je rovněž otázka ocenění role ekosystémů, přírodního kapitálu a</w:t>
      </w:r>
      <w:r w:rsidR="0013289E">
        <w:t> </w:t>
      </w:r>
      <w:r>
        <w:t>služeb, které ekosystémy poskytují, a jejich zapracování do národních účtů.</w:t>
      </w:r>
    </w:p>
    <w:p w:rsidR="0017648C" w:rsidRPr="006B6659" w:rsidP="006023DE" w14:paraId="787778F3" w14:textId="04E845A8">
      <w:pPr>
        <w:pStyle w:val="Heading3"/>
      </w:pPr>
      <w:r>
        <w:t>1.1.8</w:t>
      </w:r>
      <w:r>
        <w:tab/>
      </w:r>
      <w:r w:rsidRPr="00211F50">
        <w:t xml:space="preserve">Vývoj inovativních metod monitoringu založených na využití moderních technologií a přístupů (např. </w:t>
      </w:r>
      <w:r w:rsidRPr="00211F50">
        <w:t>citizen</w:t>
      </w:r>
      <w:r w:rsidRPr="00211F50">
        <w:t xml:space="preserve"> science, AI, DPZ, automatický </w:t>
      </w:r>
      <w:r w:rsidRPr="00211F50">
        <w:t>detektoring</w:t>
      </w:r>
      <w:r w:rsidRPr="00211F50">
        <w:t xml:space="preserve">, DNA </w:t>
      </w:r>
      <w:r w:rsidRPr="00211F50">
        <w:t>barcoding</w:t>
      </w:r>
      <w:r w:rsidRPr="00211F50">
        <w:t xml:space="preserve">, </w:t>
      </w:r>
      <w:r w:rsidRPr="00211F50">
        <w:t>eDNA</w:t>
      </w:r>
      <w:r w:rsidRPr="00211F50">
        <w:t>)</w:t>
      </w:r>
      <w:r w:rsidRPr="006B6659">
        <w:t xml:space="preserve"> </w:t>
      </w:r>
    </w:p>
    <w:p w:rsidR="0017648C" w:rsidP="006023DE" w14:paraId="22F79D39" w14:textId="77777777">
      <w:r>
        <w:t>Postupující digitalizace a stále více zdůrazňovaný význam participace veřejnosti a jejího podílu na výzkumu dává možnost k vytváření nových postupů a využití nových technik při sledování přírody, krajiny a společnosti a hledání nových řešení. Zejména se rozšiřují inovativní metody monitoringu pro sledování změny výměry, struktury a stavu stanovišť či biotopů, vyhodnocování fragmentace krajiny</w:t>
      </w:r>
      <w:r w:rsidRPr="005B4C72">
        <w:t xml:space="preserve"> </w:t>
      </w:r>
      <w:r>
        <w:t>a změny využívání atp. V této oblasti – pokud budou metody, metodiky a technologie vyvinuty v ČR, je rovněž významný exportní potenciál (včetně tzv. digitálního exportu, který by měl být v této oblasti rovněž rozvíjen).</w:t>
      </w:r>
    </w:p>
    <w:p w:rsidR="0017648C" w:rsidRPr="006B6659" w:rsidP="006023DE" w14:paraId="02D09F88" w14:textId="6A5C4728">
      <w:pPr>
        <w:pStyle w:val="Heading3"/>
        <w:rPr>
          <w:rFonts w:ascii="Calibri" w:hAnsi="Calibri"/>
          <w:color w:val="121212"/>
        </w:rPr>
      </w:pPr>
      <w:r>
        <w:t>1.1.9</w:t>
      </w:r>
      <w:r>
        <w:tab/>
      </w:r>
      <w:r>
        <w:t>H</w:t>
      </w:r>
      <w:r w:rsidRPr="00105A97">
        <w:t>odnocení efektivity ochranářských politik a managementů</w:t>
      </w:r>
    </w:p>
    <w:p w:rsidR="0017648C" w:rsidRPr="00E039E1" w:rsidP="006023DE" w14:paraId="38F0C695" w14:textId="77777777">
      <w:r w:rsidRPr="00E039E1">
        <w:t>V</w:t>
      </w:r>
      <w:r>
        <w:t> </w:t>
      </w:r>
      <w:r w:rsidRPr="00E039E1">
        <w:t>České republice se v</w:t>
      </w:r>
      <w:r>
        <w:t> </w:t>
      </w:r>
      <w:r w:rsidRPr="00E039E1">
        <w:t xml:space="preserve">současnosti věnuje malý zájem </w:t>
      </w:r>
      <w:r w:rsidRPr="00E039E1">
        <w:t>cost</w:t>
      </w:r>
      <w:r w:rsidRPr="00E039E1">
        <w:t>-benefit analýzám jak ochranářských politik, tak hodnocení různých typů ochranářských managementů. Mnohé už</w:t>
      </w:r>
      <w:r>
        <w:t> </w:t>
      </w:r>
      <w:r w:rsidRPr="00E039E1">
        <w:t>jsou používány roky, jsou považovány za lepší nebo horší, ovšem toto hodnocení není podloženo expertními studiemi, nejsou zohledněny krajová specifika. Ochranářské politiky mají v</w:t>
      </w:r>
      <w:r>
        <w:t> </w:t>
      </w:r>
      <w:r w:rsidRPr="00E039E1">
        <w:t xml:space="preserve">sobě obsaženy měřitelné cíle a milníky, které však nebývají dostatečně hluboce analyzovány a ani není hodnoceno, zda byly zvoleny vhodně. </w:t>
      </w:r>
    </w:p>
    <w:p w:rsidR="0017648C" w:rsidRPr="006B6659" w:rsidP="006023DE" w14:paraId="5F0F1FB7" w14:textId="7C268B34">
      <w:pPr>
        <w:pStyle w:val="Heading3"/>
        <w:rPr>
          <w:rFonts w:ascii="Calibri" w:hAnsi="Calibri"/>
        </w:rPr>
      </w:pPr>
      <w:r>
        <w:t>1.1.10</w:t>
      </w:r>
      <w:r>
        <w:tab/>
      </w:r>
      <w:r w:rsidRPr="00105A97">
        <w:t>Hodnocení efektů lidského využívání krajiny na biodiverzitu a návrh vhodných alternativ a</w:t>
      </w:r>
      <w:r w:rsidR="0013289E">
        <w:t> </w:t>
      </w:r>
      <w:r w:rsidRPr="00105A97">
        <w:t>postupů</w:t>
      </w:r>
    </w:p>
    <w:p w:rsidR="0017648C" w:rsidRPr="00BB4FF9" w:rsidP="0017648C" w14:paraId="631FC698" w14:textId="77777777">
      <w:pPr>
        <w:rPr>
          <w:rFonts w:ascii="Calibri" w:hAnsi="Calibri" w:cs="Calibri"/>
        </w:rPr>
      </w:pPr>
      <w:r>
        <w:rPr>
          <w:rFonts w:ascii="Calibri" w:hAnsi="Calibri" w:cs="Calibri"/>
        </w:rPr>
        <w:t xml:space="preserve">Lidské hospodaření, ať už zemědělské, lesnické, myslivecké, rybářské, těžební, turistické, urbanistické apod. velmi ovlivňuje stav přírody a krajiny. Jedná se o velkoplošné vlivy, které jsou mnohdy opomíjeny pro svou složitost a komplexnost. Zemědělské, lesnické, rybářské a myslivecké využívání krajiny má na stav české přírody a krajiny významnější vliv než všechna prováděná ochranářská opatření. Zároveň nejsou přijímána </w:t>
      </w:r>
      <w:r>
        <w:rPr>
          <w:rFonts w:ascii="Calibri" w:hAnsi="Calibri" w:cs="Calibri"/>
        </w:rPr>
        <w:t xml:space="preserve">dostatečná opatření na omezení mortality živočichů vlivem lidské činnosti. Je potřeba komplexních studií a doporučení, která by pomohla harmonizovat lidské podnikání a stav přírody a biodiverzity v ČR. </w:t>
      </w:r>
    </w:p>
    <w:p w:rsidR="0017648C" w:rsidRPr="00BB4FF9" w:rsidP="006023DE" w14:paraId="46ECA2C1" w14:textId="77777777">
      <w:pPr>
        <w:pStyle w:val="Heading2"/>
        <w:rPr>
          <w:rFonts w:cs="Calibri"/>
          <w:b w:val="0"/>
          <w:iCs/>
          <w:sz w:val="24"/>
          <w:szCs w:val="24"/>
        </w:rPr>
      </w:pPr>
      <w:bookmarkStart w:id="5" w:name="_Toc106129996"/>
      <w:bookmarkStart w:id="6" w:name="_Toc256000002"/>
      <w:r w:rsidRPr="00105A97">
        <w:t>Podoblast 1.2 Voda</w:t>
      </w:r>
      <w:bookmarkEnd w:id="6"/>
      <w:bookmarkEnd w:id="5"/>
    </w:p>
    <w:p w:rsidR="0017648C" w:rsidP="006023DE" w14:paraId="6F939334" w14:textId="77777777">
      <w:r>
        <w:t>S odkazem na analytickou část SPŽP lze konstatovat, že v dlouhodobém horizontu dochází v ČR ke zlepšování jakosti povrchových vod, i když se u nás i nadále nacházejí útvary klasifikované třídou III. a horší</w:t>
      </w:r>
      <w:r w:rsidRPr="009019E5">
        <w:t xml:space="preserve"> podle ČSN 75 7221</w:t>
      </w:r>
      <w:r>
        <w:t xml:space="preserve">. K roku 2020 bylo na veřejný vodovod připojeno 94,6 % obyvatel, podíl obyvatel napojených na kanalizační síť činil 86,1 %, napojení na ČOV je ale nižší. Obě hodnoty se přitom dosti liší v jednotlivých krajích. Vzhledem k periodám sucha a k finanční náročnosti zajištění vodovodů a kanalizací je velkou výzvou integrované řízení vodních zdrojů a </w:t>
      </w:r>
      <w:r w:rsidRPr="0065283F">
        <w:t>hledání nových způsobů zásobování lidí i ekonomi</w:t>
      </w:r>
      <w:r>
        <w:t>c</w:t>
      </w:r>
      <w:r w:rsidRPr="0065283F">
        <w:t>k</w:t>
      </w:r>
      <w:r>
        <w:t>ých sektorů</w:t>
      </w:r>
      <w:r w:rsidRPr="0065283F">
        <w:t xml:space="preserve"> </w:t>
      </w:r>
      <w:r>
        <w:t>kvalitní a nezávadnou</w:t>
      </w:r>
      <w:r w:rsidRPr="0065283F">
        <w:t xml:space="preserve"> </w:t>
      </w:r>
      <w:r>
        <w:t>vodou a způsoby čištění odpadních vod. S klesajícím znečištěním z bodových zdrojů roste význam plošných zdrojů znečištění vodních útvarů, narůstá negativní vliv znečištění farmaky a jejich metabolity (a dalšími biologicky obtížně odbouratelnými látkami). Převážně nevyhovující chemický stav lze sledovat u útvarů podzemních vod, zejména kvůli amonným iontům a dusičnanům, z organických látek jsou problematické zejména pesticidy a jejich metabolity. Využívání dešťové, recyklované a vyčištěné odpadní vody zatím není dostatečné, přitom mohou pomoci řešit lokální nedostatek vody. Je třeba ovšem důsledně vyhodnotit potenciální rizika spojená s používáním odpadních vod jak pro lidské zdraví, tak pro podzemní vody i půdy (zasolení, kontaminace).</w:t>
      </w:r>
      <w:r w:rsidRPr="0065283F">
        <w:t xml:space="preserve"> </w:t>
      </w:r>
      <w:r>
        <w:t xml:space="preserve">Důležitým faktorem, který je výzvou pro výzkum, jsou nové technologie čištění a recyklace vod, včetně energetické a ekonomické náročnosti. </w:t>
      </w:r>
    </w:p>
    <w:p w:rsidR="0017648C" w:rsidP="006023DE" w14:paraId="42E09792" w14:textId="77777777">
      <w:pPr>
        <w:pStyle w:val="Stejncl"/>
      </w:pPr>
      <w:r w:rsidRPr="006023DE">
        <w:rPr>
          <w:rStyle w:val="Zelentun"/>
        </w:rPr>
        <w:t>Stěžejní cíl 1.2:</w:t>
      </w:r>
      <w:r>
        <w:t xml:space="preserve"> Dostupnost vody je zajištěna a její jakost se zlepšuje – dosažení dobrého stavu útvarů povrchových vod (ekologický stav/potenciál a chemický stav) a dobrého stavu útvarů podzemních vod (chemický </w:t>
      </w:r>
      <w:r w:rsidRPr="00D032D0">
        <w:rPr>
          <w:bCs/>
        </w:rPr>
        <w:t>a kvantitativní stav</w:t>
      </w:r>
      <w:r>
        <w:rPr>
          <w:bCs/>
        </w:rPr>
        <w:t>)</w:t>
      </w:r>
      <w:r w:rsidRPr="00D032D0">
        <w:rPr>
          <w:bCs/>
        </w:rPr>
        <w:t>, což vytváří stabilní podmínky pro vodní a na vodu</w:t>
      </w:r>
      <w:r>
        <w:t xml:space="preserve"> vázané ekosystémy a zároveň zajistí dostatečně vydatné zdroje kvalitní vody pro ekonomicky a environmentálně udržitelný rozvoj společnosti ve smyslu zásad cirkulární ekonomiky, resp. strategického rámce Cirkulární Česko</w:t>
      </w:r>
    </w:p>
    <w:p w:rsidR="0017648C" w:rsidRPr="006023DE" w:rsidP="006023DE" w14:paraId="17C6DB19" w14:textId="77777777">
      <w:pPr>
        <w:rPr>
          <w:rStyle w:val="Zelentun"/>
        </w:rPr>
      </w:pPr>
      <w:r w:rsidRPr="006023DE">
        <w:rPr>
          <w:rStyle w:val="Zelentun"/>
        </w:rPr>
        <w:t>Opatření:</w:t>
      </w:r>
    </w:p>
    <w:p w:rsidR="0017648C" w:rsidP="006023DE" w14:paraId="3FF586D7" w14:textId="248378F0">
      <w:pPr>
        <w:pStyle w:val="Heading3"/>
      </w:pPr>
      <w:r>
        <w:t>1.2.1</w:t>
      </w:r>
      <w:r>
        <w:tab/>
      </w:r>
      <w:r w:rsidRPr="008533F0">
        <w:t>Snížení znečištění vod z bodových a plošných zdrojů a zvyšování kvality vody, včetně eliminace znečištění vypouštěného z dešťových oddělovačů</w:t>
      </w:r>
    </w:p>
    <w:p w:rsidR="0017648C" w:rsidRPr="008A512C" w:rsidP="00402A28" w14:paraId="1DC53B61" w14:textId="77777777">
      <w:r w:rsidRPr="008A512C">
        <w:t>Intenzivní modernizace</w:t>
      </w:r>
      <w:r>
        <w:t xml:space="preserve"> a výstavba čistíren odpadních vod, restrukturalizace průmyslu a v neposlední řadě také socioekonomický a politický vývoj měly dosud pozitivní vliv na zlepšení stavu povrchových vod. O to více nabývají na významu plošné a difuzní zdroje znečištění, tedy zemědělská činnost, malé obce a rozptýlená zástavba, ale i jednotná kanalizace. Nečištěné či nedostatečně čištěné odpadní vody jsou nejvýznamnějším zdrojem fosforu. Další významné znečištění představují prostředky na ochranu rostlin, které se do vod dostávají splachem ze zemědělské půdy, ale i z nezemědělských ploch (např. železničních tratí, zahrad apod. Negativní ovlivnění vod mohou způsobovat i další zdroje, jako je vypouštění chladicí vody, ošetřování zpevněných povrchů, přivaděče tepla, lodní doprava a s ní spojená stavební opatření, turistika nebo důlní činnost a popřípadě zpracování surovin. </w:t>
      </w:r>
      <w:r w:rsidRPr="000D19C6">
        <w:t>Na tyto dílčí zdroje a omezení jejich vlivu na kvalitu vod bude zaměřena významná část výzkumu.</w:t>
      </w:r>
    </w:p>
    <w:p w:rsidR="0017648C" w:rsidRPr="00004EA3" w:rsidP="006023DE" w14:paraId="7FB5C4C7" w14:textId="50FD1BFD">
      <w:r>
        <w:t xml:space="preserve">V souvislosti s probíhající změnou klimatu hrozí zvýraznění eutrofizačních projevů ve vodních nádržích (zvýšení obsahu minerálních živin, především sloučenin fosforu) a zvýšení intenzity nárůstu sinic, tzv. vodních </w:t>
      </w:r>
      <w:r>
        <w:t>květů. Snižování srážek a průtoků ve vodních tocích se v posledních letech projevuje také na snížení schopnosti vodních toků ředit vypouštěné zbytkové znečištění z ČOV, což je jedním z důvodů, proč se dnes jakost vody nezlepšuje tak rychle jako v 90. letech 20. století. Rozvoj nových metod a technologií umožňuje monitorování nově sledovaných typů znečištění povrchových vod (</w:t>
      </w:r>
      <w:r>
        <w:t>mikropolutanty</w:t>
      </w:r>
      <w:r>
        <w:t xml:space="preserve"> – např. rezidua prostředků na ochranu rostlin, léčiv, prostředků osobní péče a hygieny, </w:t>
      </w:r>
      <w:r>
        <w:t>mikroplastů</w:t>
      </w:r>
      <w:r>
        <w:t xml:space="preserve"> apod.). </w:t>
      </w:r>
      <w:r w:rsidRPr="00A40115">
        <w:t>U těchto látek, tzv.</w:t>
      </w:r>
      <w:r w:rsidR="0013289E">
        <w:t> </w:t>
      </w:r>
      <w:r w:rsidRPr="00A40115">
        <w:t>emergentních</w:t>
      </w:r>
      <w:r w:rsidRPr="00A40115">
        <w:t xml:space="preserve"> polutantů, je často nedostatek informací pro relevantní vyhodnocení </w:t>
      </w:r>
      <w:r>
        <w:t>rizik spojených s </w:t>
      </w:r>
      <w:r w:rsidRPr="00A40115">
        <w:t>jejich</w:t>
      </w:r>
      <w:r>
        <w:t xml:space="preserve"> vypouštěním do životního prostředí</w:t>
      </w:r>
      <w:r w:rsidRPr="00A40115">
        <w:t>.</w:t>
      </w:r>
      <w:r w:rsidRPr="00532F23">
        <w:t xml:space="preserve"> </w:t>
      </w:r>
      <w:r>
        <w:t>Pozornost bude zaměřena také na kvantifikaci znečištění vod a</w:t>
      </w:r>
      <w:r w:rsidR="0013289E">
        <w:t> </w:t>
      </w:r>
      <w:r>
        <w:t>půd v blízkosti provozů, v nichž je prováděna recyklace e-odpadu (elektrická zařízení, elektronika; tento odpad se vyznačuje vysokými obsahy širokého spektra potenciálně toxických kovů).</w:t>
      </w:r>
    </w:p>
    <w:p w:rsidR="0017648C" w:rsidP="006023DE" w14:paraId="0A25125D" w14:textId="603B39E1">
      <w:r>
        <w:t xml:space="preserve">Pozornost bude dále zaměřena na podrobnější monitoring difuzních zdrojů znečištění včetně volných výpustí, jejich korelace s bodovými zdroji znečištění a nová řešení omezování difuzních zdrojů znečištění včetně navrhování konkrétních legislativních úprav. V této souvislosti je důležité realizovat komplexní systémy hodnocení zdrojů znečištění (emisně-imisní princip). Je nutno se zaměřit na podporu integrované správy povodí (IRBM – </w:t>
      </w:r>
      <w:r>
        <w:t>Integrated</w:t>
      </w:r>
      <w:r>
        <w:t xml:space="preserve"> River </w:t>
      </w:r>
      <w:r>
        <w:t>Basin</w:t>
      </w:r>
      <w:r>
        <w:t xml:space="preserve"> Management) a integrované správy vodních zdrojů (IWRM </w:t>
      </w:r>
      <w:r w:rsidR="00346D9B">
        <w:t>–</w:t>
      </w:r>
      <w:r>
        <w:t xml:space="preserve"> </w:t>
      </w:r>
      <w:r>
        <w:t>Integrated</w:t>
      </w:r>
      <w:r>
        <w:t xml:space="preserve"> </w:t>
      </w:r>
      <w:r>
        <w:t>Water</w:t>
      </w:r>
      <w:r>
        <w:t xml:space="preserve"> </w:t>
      </w:r>
      <w:r>
        <w:t>Resources</w:t>
      </w:r>
      <w:r>
        <w:t xml:space="preserve"> Management). Důležitým výzkumným tématem je rovněž ekonomické hodnocení různých přístupů a hodnocení případných kompenzací při změně hospodaření s cílem environmentálně příznivých efektů.</w:t>
      </w:r>
    </w:p>
    <w:p w:rsidR="0017648C" w:rsidP="006023DE" w14:paraId="375D3E4D" w14:textId="307EE535">
      <w:pPr>
        <w:pStyle w:val="Heading3"/>
      </w:pPr>
      <w:r>
        <w:t>1.2.2</w:t>
      </w:r>
      <w:r>
        <w:tab/>
      </w:r>
      <w:r w:rsidRPr="003109F4">
        <w:t>Nové znečišťující látky a jejich rizikovost pro životní prostředí</w:t>
      </w:r>
    </w:p>
    <w:p w:rsidR="0017648C" w:rsidRPr="00804327" w:rsidP="006023DE" w14:paraId="0F2BE0E6" w14:textId="77777777">
      <w:pPr>
        <w:rPr>
          <w:lang w:eastAsia="cs-CZ"/>
        </w:rPr>
      </w:pPr>
      <w:r w:rsidRPr="00804327">
        <w:rPr>
          <w:lang w:eastAsia="cs-CZ"/>
        </w:rPr>
        <w:t>Současný monitoring vod je zaměřen na sledování vybraných regulovaných chemických látek (prioritních, prioritních nebezpečných</w:t>
      </w:r>
      <w:r>
        <w:rPr>
          <w:lang w:eastAsia="cs-CZ"/>
        </w:rPr>
        <w:t xml:space="preserve">, </w:t>
      </w:r>
      <w:r w:rsidRPr="00804327">
        <w:rPr>
          <w:lang w:eastAsia="cs-CZ"/>
        </w:rPr>
        <w:t>dalších znečišťujících látek</w:t>
      </w:r>
      <w:r>
        <w:rPr>
          <w:lang w:eastAsia="cs-CZ"/>
        </w:rPr>
        <w:t xml:space="preserve"> a specifických znečišťujících látek</w:t>
      </w:r>
      <w:r w:rsidRPr="00804327">
        <w:rPr>
          <w:lang w:eastAsia="cs-CZ"/>
        </w:rPr>
        <w:t xml:space="preserve">), u kterých je známo, jaké nebezpečí představují pro vodní prostředí. Jedná se o 45 prioritních látek a </w:t>
      </w:r>
      <w:r>
        <w:rPr>
          <w:lang w:eastAsia="cs-CZ"/>
        </w:rPr>
        <w:t xml:space="preserve">o </w:t>
      </w:r>
      <w:r w:rsidRPr="00804327">
        <w:rPr>
          <w:lang w:eastAsia="cs-CZ"/>
        </w:rPr>
        <w:t>další znečišťující látk</w:t>
      </w:r>
      <w:r>
        <w:rPr>
          <w:lang w:eastAsia="cs-CZ"/>
        </w:rPr>
        <w:t>y, které jsou</w:t>
      </w:r>
      <w:r w:rsidRPr="00804327">
        <w:rPr>
          <w:lang w:eastAsia="cs-CZ"/>
        </w:rPr>
        <w:t xml:space="preserve"> </w:t>
      </w:r>
      <w:r w:rsidRPr="009019E5">
        <w:rPr>
          <w:lang w:eastAsia="cs-CZ"/>
        </w:rPr>
        <w:t xml:space="preserve">definovány směrnicí 2008/105/ES ve znění směrnice 2013/39/EU. Specifické znečišťující látky jsou </w:t>
      </w:r>
      <w:r w:rsidRPr="00804327">
        <w:rPr>
          <w:lang w:eastAsia="cs-CZ"/>
        </w:rPr>
        <w:t>definov</w:t>
      </w:r>
      <w:r>
        <w:rPr>
          <w:lang w:eastAsia="cs-CZ"/>
        </w:rPr>
        <w:t>ány</w:t>
      </w:r>
      <w:r w:rsidRPr="00804327">
        <w:rPr>
          <w:lang w:eastAsia="cs-CZ"/>
        </w:rPr>
        <w:t xml:space="preserve"> na národní úrovni</w:t>
      </w:r>
      <w:r>
        <w:rPr>
          <w:lang w:eastAsia="cs-CZ"/>
        </w:rPr>
        <w:t>.</w:t>
      </w:r>
      <w:r w:rsidRPr="00804327">
        <w:rPr>
          <w:lang w:eastAsia="cs-CZ"/>
        </w:rPr>
        <w:t xml:space="preserve"> </w:t>
      </w:r>
      <w:r w:rsidRPr="009019E5">
        <w:rPr>
          <w:lang w:eastAsia="cs-CZ"/>
        </w:rPr>
        <w:t>V</w:t>
      </w:r>
      <w:r>
        <w:rPr>
          <w:lang w:eastAsia="cs-CZ"/>
        </w:rPr>
        <w:t> </w:t>
      </w:r>
      <w:r w:rsidRPr="009019E5">
        <w:rPr>
          <w:lang w:eastAsia="cs-CZ"/>
        </w:rPr>
        <w:t xml:space="preserve">české legislativě jsou všechny výše specifikované látky uvedeny </w:t>
      </w:r>
      <w:r>
        <w:rPr>
          <w:lang w:eastAsia="cs-CZ"/>
        </w:rPr>
        <w:t>v</w:t>
      </w:r>
      <w:r w:rsidRPr="00804327">
        <w:rPr>
          <w:lang w:eastAsia="cs-CZ"/>
        </w:rPr>
        <w:t xml:space="preserve"> nařízení vlády 401/2015 Sb.</w:t>
      </w:r>
      <w:r>
        <w:rPr>
          <w:lang w:eastAsia="cs-CZ"/>
        </w:rPr>
        <w:t xml:space="preserve">, </w:t>
      </w:r>
      <w:r w:rsidRPr="00437B37">
        <w:rPr>
          <w:lang w:eastAsia="cs-CZ"/>
        </w:rPr>
        <w:t>ve znění pozdějších předpisů. Dále je prováděno hodnocení jakosti povrchových vod podle</w:t>
      </w:r>
      <w:r w:rsidRPr="00804327">
        <w:rPr>
          <w:lang w:eastAsia="cs-CZ"/>
        </w:rPr>
        <w:t xml:space="preserve"> normy ČSN 75 7221. Tyto rizikové látky se však podílejí pouze zlomkem na celkové jakosti vod. Další</w:t>
      </w:r>
      <w:r>
        <w:rPr>
          <w:lang w:eastAsia="cs-CZ"/>
        </w:rPr>
        <w:t>mi</w:t>
      </w:r>
      <w:r w:rsidRPr="00804327">
        <w:rPr>
          <w:lang w:eastAsia="cs-CZ"/>
        </w:rPr>
        <w:t xml:space="preserve"> skupinami látek s významným biologickým účinkem jsou tak zvané látky budící obavy (CEC </w:t>
      </w:r>
      <w:r w:rsidRPr="00804327">
        <w:rPr>
          <w:lang w:eastAsia="cs-CZ"/>
        </w:rPr>
        <w:t>contaminants</w:t>
      </w:r>
      <w:r w:rsidRPr="00804327">
        <w:rPr>
          <w:lang w:eastAsia="cs-CZ"/>
        </w:rPr>
        <w:t xml:space="preserve"> </w:t>
      </w:r>
      <w:r w:rsidRPr="00804327">
        <w:rPr>
          <w:lang w:eastAsia="cs-CZ"/>
        </w:rPr>
        <w:t>of</w:t>
      </w:r>
      <w:r w:rsidRPr="00804327">
        <w:rPr>
          <w:lang w:eastAsia="cs-CZ"/>
        </w:rPr>
        <w:t xml:space="preserve"> </w:t>
      </w:r>
      <w:r w:rsidRPr="00804327">
        <w:rPr>
          <w:lang w:eastAsia="cs-CZ"/>
        </w:rPr>
        <w:t>emerging</w:t>
      </w:r>
      <w:r w:rsidRPr="00804327">
        <w:rPr>
          <w:lang w:eastAsia="cs-CZ"/>
        </w:rPr>
        <w:t xml:space="preserve"> </w:t>
      </w:r>
      <w:r w:rsidRPr="00804327">
        <w:rPr>
          <w:lang w:eastAsia="cs-CZ"/>
        </w:rPr>
        <w:t>concern</w:t>
      </w:r>
      <w:r w:rsidRPr="00804327">
        <w:rPr>
          <w:lang w:eastAsia="cs-CZ"/>
        </w:rPr>
        <w:t xml:space="preserve">) a také </w:t>
      </w:r>
      <w:r w:rsidRPr="00804327">
        <w:rPr>
          <w:lang w:eastAsia="cs-CZ"/>
        </w:rPr>
        <w:t>emergentní</w:t>
      </w:r>
      <w:r w:rsidRPr="00804327">
        <w:rPr>
          <w:lang w:eastAsia="cs-CZ"/>
        </w:rPr>
        <w:t xml:space="preserve"> </w:t>
      </w:r>
      <w:r w:rsidRPr="00804327">
        <w:rPr>
          <w:lang w:eastAsia="cs-CZ"/>
        </w:rPr>
        <w:t>mikropolutanty</w:t>
      </w:r>
      <w:r w:rsidRPr="00804327">
        <w:rPr>
          <w:lang w:eastAsia="cs-CZ"/>
        </w:rPr>
        <w:t xml:space="preserve">, kam se řadí např. léčiva a kosmetické přípravky, biocidy, polární pesticidy, endokrinní </w:t>
      </w:r>
      <w:r w:rsidRPr="00804327">
        <w:rPr>
          <w:lang w:eastAsia="cs-CZ"/>
        </w:rPr>
        <w:t>disruptory</w:t>
      </w:r>
      <w:r w:rsidRPr="00804327">
        <w:rPr>
          <w:lang w:eastAsia="cs-CZ"/>
        </w:rPr>
        <w:t>, retardéry hoření, jejich metabolity a transformační produkty. Je nutné si také uvědomit, že všechny tyto uvedené látky ve vodním prostředí navíc vytvářejí směsi, jejichž výsledný účinek není z výsledků běžně prováděných analýz předvídatelný. Cestu k jeho přesnějšímu odhadu otevírá implementace postupu EBM (</w:t>
      </w:r>
      <w:r w:rsidRPr="00804327">
        <w:rPr>
          <w:lang w:eastAsia="cs-CZ"/>
        </w:rPr>
        <w:t>effect</w:t>
      </w:r>
      <w:r w:rsidRPr="00804327">
        <w:rPr>
          <w:lang w:eastAsia="cs-CZ"/>
        </w:rPr>
        <w:t xml:space="preserve"> </w:t>
      </w:r>
      <w:r w:rsidRPr="00804327">
        <w:rPr>
          <w:lang w:eastAsia="cs-CZ"/>
        </w:rPr>
        <w:t>based</w:t>
      </w:r>
      <w:r w:rsidRPr="00804327">
        <w:rPr>
          <w:lang w:eastAsia="cs-CZ"/>
        </w:rPr>
        <w:t xml:space="preserve"> </w:t>
      </w:r>
      <w:r w:rsidRPr="00804327">
        <w:rPr>
          <w:lang w:eastAsia="cs-CZ"/>
        </w:rPr>
        <w:t>method</w:t>
      </w:r>
      <w:r w:rsidRPr="00804327">
        <w:rPr>
          <w:lang w:eastAsia="cs-CZ"/>
        </w:rPr>
        <w:t xml:space="preserve"> </w:t>
      </w:r>
      <w:r w:rsidRPr="00804327">
        <w:rPr>
          <w:lang w:eastAsia="cs-CZ"/>
        </w:rPr>
        <w:t>approach</w:t>
      </w:r>
      <w:r w:rsidRPr="00804327">
        <w:rPr>
          <w:lang w:eastAsia="cs-CZ"/>
        </w:rPr>
        <w:t xml:space="preserve">), který aplikuje propojením informací, získaných ze specializovaných biologických testů (stanovení </w:t>
      </w:r>
      <w:r w:rsidRPr="00804327">
        <w:rPr>
          <w:lang w:eastAsia="cs-CZ"/>
        </w:rPr>
        <w:t>ekotoxicity</w:t>
      </w:r>
      <w:r w:rsidRPr="00804327">
        <w:rPr>
          <w:lang w:eastAsia="cs-CZ"/>
        </w:rPr>
        <w:t xml:space="preserve"> akutní a chronické, genotoxicity, rizika toxického účinku, </w:t>
      </w:r>
      <w:r w:rsidRPr="00804327">
        <w:rPr>
          <w:lang w:eastAsia="cs-CZ"/>
        </w:rPr>
        <w:t>estrogenity</w:t>
      </w:r>
      <w:r w:rsidRPr="00804327">
        <w:rPr>
          <w:lang w:eastAsia="cs-CZ"/>
        </w:rPr>
        <w:t xml:space="preserve"> aj.) a výsledků vybraných metod chemické analýzy vod, zaměřených na detekci zájmových typů látek. EBM monitoring tak může efektivně napomoci k přesnějšímu stanovení příčin nevyhovujícího ekologického stavu vod. Proto je cílem činností v dané oblasti </w:t>
      </w:r>
      <w:r>
        <w:rPr>
          <w:lang w:eastAsia="cs-CZ"/>
        </w:rPr>
        <w:t xml:space="preserve">odpovídající výzkum, </w:t>
      </w:r>
      <w:r w:rsidRPr="00804327">
        <w:rPr>
          <w:lang w:eastAsia="cs-CZ"/>
        </w:rPr>
        <w:t xml:space="preserve">výběr a ověření metod a postupů, vhodných pro implementaci EBM postupů do vodohospodářské praxe v ČR. </w:t>
      </w:r>
    </w:p>
    <w:p w:rsidR="0017648C" w:rsidRPr="003109F4" w:rsidP="006023DE" w14:paraId="6A627832" w14:textId="242BB145">
      <w:pPr>
        <w:pStyle w:val="Heading3"/>
      </w:pPr>
      <w:r>
        <w:t>1.2.3</w:t>
      </w:r>
      <w:r>
        <w:tab/>
      </w:r>
      <w:r w:rsidRPr="003109F4">
        <w:t>Integrované řízení vodních zdrojů a jejich udržitelné užívání, zajištění ekosystémových služeb vod</w:t>
      </w:r>
    </w:p>
    <w:p w:rsidR="0017648C" w:rsidP="006023DE" w14:paraId="3B7CC49A" w14:textId="1D77E9F6">
      <w:r>
        <w:t xml:space="preserve">Je třeba se systematicky a dlouhodobě zabývat hospodařením s vodou pro zajištění požadavků na vodohospodářské služby, zejména pro účely zásobování pitnou vodou. Je nutné realizovat opatření vedoucí </w:t>
      </w:r>
      <w:r>
        <w:t>k vytváření podmínek pro udržitelné hospodaření s omezeným vodním bohatstvím tak, aby byly sladěny požadavky na užívání vodních zdrojů s požadavky ochrany vod a na ně vázaných ekosystémů a zároveň s</w:t>
      </w:r>
      <w:r w:rsidR="0013289E">
        <w:t> </w:t>
      </w:r>
      <w:r>
        <w:t>realizací opatření na snížení škodlivých účinků vod vyvolaných hydrologickými extrémy, kterými jsou povodně a sucho. S měnícími se riziky pro kvalitu vod je potřebné se zabývat vývojem a ověřováním odpovídajících kvantitativních ukazatelů, a to stávajících i nových, a systematicky sledovat stav a změny stavu vod, získávat informace o stavu vod, jakož i časové a prostorové variabilitě zdrojů povrchové vody a podzemní vody a přispívat tak k ochraně a využívání všech vodních zdrojů.</w:t>
      </w:r>
    </w:p>
    <w:p w:rsidR="0017648C" w:rsidRPr="00B953C3" w:rsidP="006023DE" w14:paraId="57808B2D" w14:textId="0EBC8D58">
      <w:pPr>
        <w:pStyle w:val="Heading3"/>
      </w:pPr>
      <w:r>
        <w:t>1.2.4</w:t>
      </w:r>
      <w:r>
        <w:tab/>
      </w:r>
      <w:r w:rsidRPr="006B6659">
        <w:t>Výzkum a hodnocení stavu povrchových vod</w:t>
      </w:r>
      <w:r>
        <w:t>,</w:t>
      </w:r>
      <w:r w:rsidRPr="00B953C3">
        <w:t xml:space="preserve"> </w:t>
      </w:r>
      <w:r w:rsidRPr="003109F4">
        <w:t>podzemních a minerálních vod a</w:t>
      </w:r>
      <w:r>
        <w:t> </w:t>
      </w:r>
      <w:r w:rsidRPr="003109F4">
        <w:t>ochrana podzemní vody pro strategickou a kritickou infrastrukturu</w:t>
      </w:r>
    </w:p>
    <w:p w:rsidR="0017648C" w:rsidP="006023DE" w14:paraId="2C117E4C" w14:textId="592C6BF7">
      <w:r>
        <w:t xml:space="preserve">S cílem zajistit dostatečnou kvalitu povrchových vod pro vodní organismy (resp. vodní ekosystémy vod tekoucích i stojatých) a ekosystémové služby spojené s povrchovými vodami, je potřeba zlepšovat současné nástroje hodnocení stavu vod a vyvíjet nové postupy, které lépe postihnou vzájemné interakce působení ve vodním prostředí a jeho prostřednictvím na člověka. Tato oblast zahrnuje širokou škálu problematik, zvláště výzkum účinku směsí chemických látek na jednotlivé trofické úrovně vodních organizmů, </w:t>
      </w:r>
      <w:r>
        <w:t>biodostupnost</w:t>
      </w:r>
      <w:r>
        <w:t xml:space="preserve"> kovů a potřebu revidovat a doplňovat seznamy prioritních nebezpečných látek pro vodní prostředí. Z hlediska vodní politiky jde především o vývoj systémů hodnocení nepříznivých vlivů na stav vodních útvarů a</w:t>
      </w:r>
      <w:r w:rsidR="0013289E">
        <w:t> </w:t>
      </w:r>
      <w:r>
        <w:t>chráněných území vymezených dle Rámcové směrnice o vodách, definování přístupů v kontextu ochrany životního prostředí a udržitelného rozvoje lidské společnosti (Čl. 4 směrnice 2000/60/ES ustavující rámec pro činnost Společenství v oblasti vodní politiky).</w:t>
      </w:r>
    </w:p>
    <w:p w:rsidR="0017648C" w:rsidP="006023DE" w14:paraId="0F38416C" w14:textId="0AE690EF">
      <w:r w:rsidRPr="006B6659">
        <w:t xml:space="preserve">V souvislosti se zajištěním dostatečného množství a kvality podzemních vod je potřebné poznání mechanismů a zákonitostí proudění podzemních vod v hydrogeologických strukturách. Součástí výzkumu je studium ovlivnění přírodních zdrojů podzemních vod činností člověka, udržitelnosti dlouhodobého a udržitelného využívání těchto zdrojů a jejich ochrany. Proto je důležité věnovat se studiu vlivu změn </w:t>
      </w:r>
      <w:r>
        <w:t xml:space="preserve">klimatu </w:t>
      </w:r>
      <w:r w:rsidRPr="006B6659">
        <w:t>na dotaci a</w:t>
      </w:r>
      <w:r w:rsidR="0013289E">
        <w:t> </w:t>
      </w:r>
      <w:r w:rsidRPr="006B6659">
        <w:t xml:space="preserve">kvalitu podzemních vod v různých místech ČR s cílem zhodnocení infiltrace, migrace a akumulace zásob podzemních vod a stanovení podmínek a limitů jejich odběrů. Dalším významným tématem je ochrana podzemních vod mělkých kolektorů před vzrůstajícím trendem kontaminace v důsledku intenzivního zemědělského hospodaření, rovněž potenciální znečištění podzemních vod dalšími látkami. Zvláštní pozornost je třeba věnovat podzemním vodám jako zdrojům pitné vody, další oblastí jsou minerální vody, specifické přírodní bohatství, na kterém jsou založeny segmenty lázeňství jako součásti zdravotnictví, částečně turistiky a potravinářství. </w:t>
      </w:r>
      <w:r w:rsidRPr="006B6659">
        <w:rPr>
          <w:rFonts w:cstheme="minorHAnsi"/>
        </w:rPr>
        <w:t>Dále je nezbytné se věnovat problematice ochrany podzemní vody pro strategickou a kritickou infrastrukturu.</w:t>
      </w:r>
      <w:r w:rsidRPr="006B6659">
        <w:t xml:space="preserve"> Po dlouhodobém zanedbávání tohoto segmentu je potřebné vrátit se k jeho výzkumu.</w:t>
      </w:r>
    </w:p>
    <w:p w:rsidR="0017648C" w:rsidRPr="005B6AC4" w:rsidP="00402A28" w14:paraId="38A4F76D" w14:textId="209DAE1B">
      <w:pPr>
        <w:pStyle w:val="Heading3"/>
      </w:pPr>
      <w:r>
        <w:t>1.2.5</w:t>
      </w:r>
      <w:r>
        <w:tab/>
      </w:r>
      <w:r w:rsidRPr="005B6AC4">
        <w:t xml:space="preserve">Obnova ekologických funkcí vodních toků </w:t>
      </w:r>
    </w:p>
    <w:p w:rsidR="0017648C" w:rsidRPr="00D947C6" w:rsidP="0017648C" w14:paraId="2BB4F1EE" w14:textId="46D19A96">
      <w:pPr>
        <w:rPr>
          <w:rFonts w:ascii="Calibri" w:hAnsi="Calibri" w:cs="Calibri"/>
        </w:rPr>
      </w:pPr>
      <w:r>
        <w:rPr>
          <w:rFonts w:ascii="Calibri" w:hAnsi="Calibri" w:cs="Calibri"/>
        </w:rPr>
        <w:t xml:space="preserve">V souvislosti s plněním ekosystémových služeb je důležitý i stav vodních toků, jejich </w:t>
      </w:r>
      <w:r>
        <w:rPr>
          <w:rFonts w:ascii="Calibri" w:hAnsi="Calibri" w:cs="Calibri"/>
        </w:rPr>
        <w:t>hydromorfologie</w:t>
      </w:r>
      <w:r>
        <w:rPr>
          <w:rFonts w:ascii="Calibri" w:hAnsi="Calibri" w:cs="Calibri"/>
        </w:rPr>
        <w:t>, resp. přirozenost. Přirozeně meandrující a migračně prostupný vodní tok v přírodě blízké nivní krajině představuje optimální prostředí (nejen) pro vodní organismy, zadržováním vody v krajině a možností rozlivu v případě zvýšených stavů, je i vhodným adaptačním opatřením na změnu klimatu.</w:t>
      </w:r>
      <w:r w:rsidR="00346D9B">
        <w:rPr>
          <w:rFonts w:ascii="Calibri" w:hAnsi="Calibri" w:cs="Calibri"/>
        </w:rPr>
        <w:t xml:space="preserve"> </w:t>
      </w:r>
    </w:p>
    <w:p w:rsidR="0017648C" w:rsidRPr="006B6659" w:rsidP="00402A28" w14:paraId="6506ABE0" w14:textId="61BAD762">
      <w:pPr>
        <w:pStyle w:val="Heading3"/>
      </w:pPr>
      <w:r>
        <w:t>1.2.6</w:t>
      </w:r>
      <w:r>
        <w:tab/>
      </w:r>
      <w:r w:rsidRPr="006B6659">
        <w:t>Výzkum přírodních podmínek a antropogenních vlivů v infiltračních oblastech na</w:t>
      </w:r>
      <w:r>
        <w:t> </w:t>
      </w:r>
      <w:r w:rsidRPr="006B6659">
        <w:t>kvalitu podzemních vod v hlubokých kolektorech a možnosti snížení dopadů lidské činnosti</w:t>
      </w:r>
    </w:p>
    <w:p w:rsidR="0017648C" w:rsidRPr="006B6659" w:rsidP="00402A28" w14:paraId="362EE509" w14:textId="77777777">
      <w:pPr>
        <w:rPr>
          <w:rFonts w:cs="Calibri"/>
        </w:rPr>
      </w:pPr>
      <w:r w:rsidRPr="006B6659">
        <w:t>S ohledem na dlouhodobé změny klimatu, antropogenní vlivy a společenské hrozby roste význam přírodních zdrojů podzemních vod v hlubokých kolektorech, které mají dlouhou dobu zdržení (desítky až stovky let). Tyto zdroje jsou využitelné v době, kdy mohou být z</w:t>
      </w:r>
      <w:r>
        <w:t> </w:t>
      </w:r>
      <w:r w:rsidRPr="006B6659">
        <w:t>provozu vyřazeny povrchové a mělké zdroje pitné vody. Výzkum se zaměří na zajištění systému územní ochrany těchto zdrojů již v oblastech, kde voda vstupuje do horninového prostředí a kde začíná její transport a migrace do hlubokých pater horninového prostředí, jejich vymezení a</w:t>
      </w:r>
      <w:r>
        <w:t> </w:t>
      </w:r>
      <w:r w:rsidRPr="006B6659">
        <w:t>rebilanci</w:t>
      </w:r>
      <w:r w:rsidRPr="006B6659">
        <w:t xml:space="preserve"> zásob podzemních vod a dále na prevenci, ochranu a </w:t>
      </w:r>
      <w:r w:rsidRPr="006B6659">
        <w:rPr>
          <w:rFonts w:cs="Calibri"/>
        </w:rPr>
        <w:t>snížení dopadů lidské činnosti.</w:t>
      </w:r>
    </w:p>
    <w:p w:rsidR="0017648C" w:rsidP="00402A28" w14:paraId="0F43FCA2" w14:textId="176FFEA7">
      <w:pPr>
        <w:pStyle w:val="Heading3"/>
      </w:pPr>
      <w:r>
        <w:t>1.2.7</w:t>
      </w:r>
      <w:r>
        <w:tab/>
      </w:r>
      <w:r w:rsidRPr="00672E2B">
        <w:t>Hydrologické extrémy (povodně, sucho) a zvládání vyplývajících rizik</w:t>
      </w:r>
    </w:p>
    <w:p w:rsidR="0017648C" w:rsidRPr="008C1D57" w:rsidP="00402A28" w14:paraId="25DA78A6" w14:textId="73496C74">
      <w:r w:rsidRPr="008C1D57">
        <w:t>Zvládání negativních důsledků projevů hydrologických extrémů na společnost a složky životního prostředí je v ČR systémově postaveno zejména na prevenci. Návrhy klíčových, strukturálních aj. opatření jsou výsledkem procesů plánování zejména podle principů směrnic Evropského parlamentu a Rady 2000/60/ES ustavující rámec pro činnost Společenství v oblasti vodní</w:t>
      </w:r>
      <w:r w:rsidRPr="008C1D57">
        <w:rPr>
          <w:rFonts w:ascii="Calibri" w:hAnsi="Calibri"/>
        </w:rPr>
        <w:t xml:space="preserve"> politiky</w:t>
      </w:r>
      <w:r w:rsidRPr="008C1D57">
        <w:t xml:space="preserve"> a 2007/60/ES o vyhodnocování a zvládání povodňových rizik. Je zřejmé, že</w:t>
      </w:r>
      <w:r>
        <w:t> </w:t>
      </w:r>
      <w:r w:rsidRPr="008C1D57">
        <w:t>plánování, přípravy a vlastní realizace nových opatření a adaptace stávajících na projevy změny klimatu jsou vícerozměrnými úlohami, které vyžadují výzkumnou podporu.</w:t>
      </w:r>
      <w:r w:rsidR="00346D9B">
        <w:t xml:space="preserve"> </w:t>
      </w:r>
      <w:r w:rsidRPr="008C1D57">
        <w:t>Aktuálními problematikami jsou vyhodnocení účinnosti systémů opatření v rámci hydrologických celků a</w:t>
      </w:r>
      <w:r>
        <w:t> </w:t>
      </w:r>
      <w:r w:rsidRPr="008C1D57">
        <w:t xml:space="preserve">nastavení efektivních vazeb na opatření operativních charakteru. </w:t>
      </w:r>
    </w:p>
    <w:p w:rsidR="0017648C" w:rsidRPr="00672E2B" w:rsidP="00402A28" w14:paraId="16EE8764" w14:textId="4BA5BD85">
      <w:pPr>
        <w:pStyle w:val="Heading3"/>
      </w:pPr>
      <w:r>
        <w:t>1.2.8</w:t>
      </w:r>
      <w:r>
        <w:tab/>
      </w:r>
      <w:r w:rsidRPr="00672E2B">
        <w:t>Opakované využívání odpadních vod a principy cirkulární ekonomiky v nakládání s vodou, nové technologie, environmentální a zdravotní rizika, odpadní voda jako vodní zdroj a zdroj surovin a energie</w:t>
      </w:r>
    </w:p>
    <w:p w:rsidR="0017648C" w:rsidRPr="003615B9" w:rsidP="00402A28" w14:paraId="6652098C" w14:textId="77777777">
      <w:r>
        <w:t xml:space="preserve">Nakládání s vodou tak, aby pořízení pitné a užitkové vody, podobně dostatečné čištění odpadních vod bylo ekonomicky konkurenceschopnou lokální záležitostí, je velkou výzvou ve smyslu Cirkulárního Česka. Vývoj nových technologií a technik ve spojení s tvorbou nových systémů řízení, monitorování a správy lokálních systémů nakládání s vodou je velkou výzvou, s cílem dosáhnout soběstačnosti obcí s méně než 500 obyvateli. Významným nástrojem, který toto umožní, je digitalizace. Pozornost bude zaměřena také na </w:t>
      </w:r>
      <w:r w:rsidRPr="000D19C6">
        <w:rPr>
          <w:rFonts w:cstheme="minorHAnsi"/>
        </w:rPr>
        <w:t>výzkum a aplikace nových technik pro odstranění nově detekovaných polutantů.</w:t>
      </w:r>
    </w:p>
    <w:p w:rsidR="0017648C" w:rsidP="00402A28" w14:paraId="1B7048C3" w14:textId="3D5BE538">
      <w:pPr>
        <w:pStyle w:val="Heading3"/>
      </w:pPr>
      <w:r>
        <w:t>1.2.9</w:t>
      </w:r>
      <w:r>
        <w:tab/>
      </w:r>
      <w:r w:rsidRPr="00672E2B">
        <w:t xml:space="preserve">Odpadní vody jako nástroj hodnocení vlivu antropogenní činnosti </w:t>
      </w:r>
    </w:p>
    <w:p w:rsidR="0017648C" w:rsidRPr="00804327" w:rsidP="00402A28" w14:paraId="5A337E87" w14:textId="666DE23B">
      <w:pPr>
        <w:rPr>
          <w:b/>
          <w:bCs/>
        </w:rPr>
      </w:pPr>
      <w:r w:rsidRPr="00804327">
        <w:t>Odpadní vody jsou často předmětem zájmu jako zdroj znečištění vodního prostředí. Lze na ně ale pohlížet i</w:t>
      </w:r>
      <w:r w:rsidR="0013289E">
        <w:t> </w:t>
      </w:r>
      <w:r w:rsidRPr="00804327">
        <w:t>ze zcela jiného úhlu: jako na knihu, ze které lze vyčíst mnohé informace o</w:t>
      </w:r>
      <w:r>
        <w:t> </w:t>
      </w:r>
      <w:r w:rsidRPr="00804327">
        <w:t>populaci, která dané odpadní vody vyprodukovala. Tyto informace pak mohou mít mnohostranné využití v širokém spektru oborů.</w:t>
      </w:r>
    </w:p>
    <w:p w:rsidR="0017648C" w:rsidRPr="008C1D57" w:rsidP="00402A28" w14:paraId="0489EE11" w14:textId="77777777">
      <w:r w:rsidRPr="008C1D57">
        <w:t>Epidemiologický přístup k odpadním vodám (WBE, z angl. „</w:t>
      </w:r>
      <w:r w:rsidRPr="008C1D57">
        <w:t>Wastewater-Based</w:t>
      </w:r>
      <w:r w:rsidRPr="008C1D57">
        <w:t xml:space="preserve"> Epidemiology“), jak se tento způsob nahlížení na odpadní vody nazývá, je tedy interdisciplinární obor, který sdružuje odborníky z různých vědních oblastí. Ve vzorcích odpadních vod jsou zjišťovány koncentrace různých typů </w:t>
      </w:r>
      <w:r w:rsidRPr="008C1D57">
        <w:t>markerů</w:t>
      </w:r>
      <w:r w:rsidRPr="008C1D57">
        <w:t xml:space="preserve"> (včetně biomarkerů) za</w:t>
      </w:r>
      <w:r>
        <w:t> </w:t>
      </w:r>
      <w:r w:rsidRPr="008C1D57">
        <w:t xml:space="preserve">účelem hodnocení aktuálního stavu veřejného zdraví, způsobu života nebo expozice populace nejrůznějším látkám nebo patogenům. </w:t>
      </w:r>
    </w:p>
    <w:p w:rsidR="0017648C" w:rsidRPr="008C1D57" w:rsidP="00402A28" w14:paraId="3A7EC0AB" w14:textId="5528450C">
      <w:r w:rsidRPr="008C1D57">
        <w:t>Jako příklad může sloužit monitoring viru SARS-CoV-2 v odpadních vodách za účelem získání informací o</w:t>
      </w:r>
      <w:r w:rsidR="0013289E">
        <w:t> </w:t>
      </w:r>
      <w:r w:rsidRPr="008C1D57">
        <w:t xml:space="preserve">vývoji epidemie covid-19. Tyto informace mohou být využity pro efektivní nastavení protiepidemických opatření. Analýza nelegálních i legálních drog v komunálních odpadních vodách pomáhá zjistit míru jejich zneužívání v určitých oblastech a realizovat cílená preventivní opatření. S rozvojem instrumentální analytické </w:t>
      </w:r>
      <w:r w:rsidRPr="008C1D57">
        <w:t>techniky jsou v této oblasti možnosti využití epidemiologického přístupu k odpadním vodám téměř neomezené.</w:t>
      </w:r>
    </w:p>
    <w:p w:rsidR="0017648C" w:rsidRPr="00672E2B" w:rsidP="00402A28" w14:paraId="6C7545EC" w14:textId="79C749CB">
      <w:pPr>
        <w:pStyle w:val="Heading3"/>
      </w:pPr>
      <w:r>
        <w:t>1.2.10</w:t>
      </w:r>
      <w:r>
        <w:tab/>
      </w:r>
      <w:r w:rsidRPr="00672E2B">
        <w:t>Efektivní nakládání se srážkovými vodami, včetně řešení problematiky jejich odpojení od kanalizace a využití v místě vzniku</w:t>
      </w:r>
    </w:p>
    <w:p w:rsidR="0017648C" w:rsidRPr="00804327" w:rsidP="00402A28" w14:paraId="5B98785B" w14:textId="77777777">
      <w:r w:rsidRPr="00804327">
        <w:t xml:space="preserve">V České republice dosud převládá model, kdy jsou srážkové vody částečně nebo zcela odváděny ze zpevněných povrchů do kanalizace (a to buď oddílné, nebo zvláště v centrech měst do jednotné kanalizace). </w:t>
      </w:r>
    </w:p>
    <w:p w:rsidR="0017648C" w:rsidRPr="00804327" w:rsidP="00402A28" w14:paraId="034E0FBB" w14:textId="77777777">
      <w:r w:rsidRPr="00804327">
        <w:t xml:space="preserve">Při vysokých průtocích dochází v jednotné kanalizaci k odlehčení části odpadních a srážkových vod skrze odlehčovací komory přímo do recipientu. To s sebou nese i znečištění vodního toku jak </w:t>
      </w:r>
      <w:r w:rsidRPr="00804327">
        <w:t>nutrienty</w:t>
      </w:r>
      <w:r w:rsidRPr="00804327">
        <w:t xml:space="preserve">, tak </w:t>
      </w:r>
      <w:r w:rsidRPr="00804327">
        <w:t>makroznečištěním</w:t>
      </w:r>
      <w:r w:rsidRPr="00804327">
        <w:t xml:space="preserve"> (vlhčené ubrousky, hygienické potřeby).</w:t>
      </w:r>
    </w:p>
    <w:p w:rsidR="0017648C" w:rsidRPr="00804327" w:rsidP="00402A28" w14:paraId="64BE3626" w14:textId="77777777">
      <w:r w:rsidRPr="00804327">
        <w:t>Při vydatných srážkách může docházet i k náhlému hydraulickému zatěžování toků, pokud není v kanalizační síti dostatečná doba zdržení (a to jak v jednotné, tak i oddílné).</w:t>
      </w:r>
    </w:p>
    <w:p w:rsidR="0017648C" w:rsidRPr="00804327" w:rsidP="00402A28" w14:paraId="70303901" w14:textId="77777777">
      <w:r w:rsidRPr="00804327">
        <w:t xml:space="preserve">Takový stav je stále více nevyhovující, protože zhoršuje stav vodních toků, a navíc znemožňuje vhodného využití srážkové vody. </w:t>
      </w:r>
    </w:p>
    <w:p w:rsidR="0017648C" w:rsidRPr="00804327" w:rsidP="00402A28" w14:paraId="0507CD1C" w14:textId="314BD22A">
      <w:r w:rsidRPr="00804327">
        <w:t>Výzkum v oblasti srážkových vod je třeba zaměřit na možnosti využívání srážkových vod v místě vzniku a</w:t>
      </w:r>
      <w:r w:rsidR="0013289E">
        <w:t> </w:t>
      </w:r>
      <w:r w:rsidRPr="00804327">
        <w:t>snížení jejich odtoku jak jednotnou, tak i dešťovou kanalizací. Otázkou jsou i</w:t>
      </w:r>
      <w:r>
        <w:t> </w:t>
      </w:r>
      <w:r w:rsidRPr="00804327">
        <w:t>možnosti ekonomických nástrojů k motivaci k efektivnímu nakládání se srážkovými vodami.</w:t>
      </w:r>
    </w:p>
    <w:p w:rsidR="0017648C" w:rsidRPr="00A722F1" w:rsidP="00402A28" w14:paraId="1938E991" w14:textId="77777777">
      <w:pPr>
        <w:pStyle w:val="Heading2"/>
        <w:rPr>
          <w:rFonts w:ascii="Calibri" w:hAnsi="Calibri" w:cs="Calibri"/>
          <w:b w:val="0"/>
          <w:bCs w:val="0"/>
          <w:color w:val="auto"/>
        </w:rPr>
      </w:pPr>
      <w:bookmarkStart w:id="7" w:name="_Toc474389303"/>
      <w:bookmarkStart w:id="8" w:name="_Toc437859921"/>
      <w:bookmarkStart w:id="9" w:name="_Toc106129997"/>
      <w:bookmarkStart w:id="10" w:name="_Toc256000003"/>
      <w:r w:rsidRPr="00105A97">
        <w:t>Podoblast 1.3: Půda</w:t>
      </w:r>
      <w:bookmarkEnd w:id="10"/>
      <w:bookmarkEnd w:id="7"/>
      <w:bookmarkEnd w:id="8"/>
      <w:bookmarkEnd w:id="9"/>
      <w:r w:rsidRPr="00A722F1">
        <w:rPr>
          <w:rFonts w:ascii="Calibri" w:hAnsi="Calibri" w:cs="Calibri"/>
          <w:color w:val="auto"/>
        </w:rPr>
        <w:t xml:space="preserve"> </w:t>
      </w:r>
    </w:p>
    <w:p w:rsidR="0017648C" w:rsidP="00402A28" w14:paraId="3F0C2944" w14:textId="2085D843">
      <w:r>
        <w:t>Kvalita půdy se v ČR dlouhodobě významně nezlepšuje, i když se to při změnách forem hospodaření po roce 1990 očekávalo. Dlouhodobé negativní působení fyzikálních a chemických faktorů se sice částečně snížilo, ale přetrvávají jejich negativní vlivy. V posledních 30 letech významně klesly emise okyselujících látek do ovzduší a snížil se tak potenciál kyselé atmosférické depozice. Návrat půd do původního stavu je ale velice pomalý, a</w:t>
      </w:r>
      <w:r w:rsidR="0013289E">
        <w:t> </w:t>
      </w:r>
      <w:r>
        <w:t xml:space="preserve">především v horských oblastech se degradace půd významně podílí na zhoršeném zdravotním stavu lesních porostů. </w:t>
      </w:r>
    </w:p>
    <w:p w:rsidR="0017648C" w:rsidP="00402A28" w14:paraId="7079F168" w14:textId="5780BCC4">
      <w:r>
        <w:t>Z hlediska zemědělské výroby je to vliv plošného odvodnění, intenzivního hospodaření spojeného s</w:t>
      </w:r>
      <w:r w:rsidR="0013289E">
        <w:t> </w:t>
      </w:r>
      <w:r>
        <w:t>používáním minerálních hnojiv a pesticidů a podceněním významu návratu organické hmoty do půdy. Nevhodné odvodňování území před rokem 1990 vedlo v některých případech k zániku mokřadů, významným úbytkům organické hmoty v půdě a snížilo schopnost půd zadržovat vodu v krajině. Po roce 1990 je značná část odvodňovacích melioračních soustav a rekultivací prováděna správně a zohledňuje moderní požadavky zemědělského hospodaření, problémem zůstávají „zapomenuté meliorace“, které již neplní zemědělskou funkci, ale nadále odvodňují pozemky.</w:t>
      </w:r>
    </w:p>
    <w:p w:rsidR="0017648C" w:rsidP="00402A28" w14:paraId="55BD4D8E" w14:textId="402B0F22">
      <w:r>
        <w:t>Od začátku 90. let kleslo celkové množství ročně použitých minerálních hnojiv a přípravků k ochraně rostlin, jednak v důsledku nové legislativy, jednak měnící se skladbou zemědělské produkce. Ta je zásadně ovlivněna některými nastavenými dotacemi v zemědělství nebo v podpoře OZE. Evropské strategie k ochraně půdy, biodiverzity i udržitelnému zemědělskému hospodaření předpokládají ještě větší důraz na ochranu půdy, než tomu bylo dosud. Půda by měla být chráněna nejen kvůli svému produkčnímu potenciálu, ale zejména kvůli zásadní roli v koloběhu vody a živin v přírodě a v jejich vyplavování do povrchových vod. Velmi významnou roli v tomto koloběhu hraje podíl lesů na celkové výměře půdy, jejich zdravotní stav a druhová skladba. Kůrovcová kalamita z posledních let výrazně změnila poměry v akumulaci vody, ochraně půdy atd. K</w:t>
      </w:r>
      <w:r w:rsidR="0013289E">
        <w:t> </w:t>
      </w:r>
      <w:r>
        <w:t xml:space="preserve">negativnímu vlivu fyzikálních a chemických faktorů se v posledních desetiletích přidává vliv změny využití </w:t>
      </w:r>
      <w:r>
        <w:t xml:space="preserve">půdy především jejím převodem na stavební parcely, areály skladů a výrobní haly. Předmětem zájmu ve výzkumu by měly být nové metody likvidace starých ekologických zátěží a přeměna areálů </w:t>
      </w:r>
      <w:r>
        <w:t>brownfieldů</w:t>
      </w:r>
      <w:r>
        <w:t xml:space="preserve"> v souladu s klimatickými cíli. </w:t>
      </w:r>
      <w:r>
        <w:t>Brownfieldy</w:t>
      </w:r>
      <w:r>
        <w:t xml:space="preserve"> představují potenciální rozvojové plochy a jejich přednostní využití může zabránit záboru kvalitní zemědělské půdy. Problémem je jejich případná kontaminace. K lednu 2020 bylo v evidenci Národní databáze </w:t>
      </w:r>
      <w:r>
        <w:t>brownfieldu</w:t>
      </w:r>
      <w:r>
        <w:t xml:space="preserve">̊ 2 654 lokalit o celkové rozloze 8 671 ha. </w:t>
      </w:r>
    </w:p>
    <w:p w:rsidR="0017648C" w:rsidP="00402A28" w14:paraId="0FA6E4F8" w14:textId="77777777">
      <w:pPr>
        <w:pStyle w:val="Stejncl"/>
      </w:pPr>
      <w:r w:rsidRPr="00AD7396">
        <w:rPr>
          <w:rStyle w:val="Zelentun"/>
        </w:rPr>
        <w:t>Stěžejní cíl 1.3:</w:t>
      </w:r>
      <w:r>
        <w:t xml:space="preserve"> Zmírnit negativní dopad lidské činnosti na půdu; zachovat půdní fond a zvýšit jeho kvalitu jako přírodního zdroje</w:t>
      </w:r>
    </w:p>
    <w:p w:rsidR="0017648C" w:rsidRPr="00402A28" w:rsidP="00402A28" w14:paraId="00201791" w14:textId="77777777">
      <w:pPr>
        <w:rPr>
          <w:rStyle w:val="Zelentun"/>
        </w:rPr>
      </w:pPr>
      <w:r w:rsidRPr="00402A28">
        <w:rPr>
          <w:rStyle w:val="Zelentun"/>
        </w:rPr>
        <w:t>Opatření:</w:t>
      </w:r>
    </w:p>
    <w:p w:rsidR="0017648C" w:rsidRPr="001D259A" w:rsidP="00402A28" w14:paraId="075A803B" w14:textId="2261DC23">
      <w:pPr>
        <w:pStyle w:val="Heading3"/>
      </w:pPr>
      <w:r>
        <w:t>1.3.1</w:t>
      </w:r>
      <w:r>
        <w:tab/>
      </w:r>
      <w:r w:rsidRPr="001D259A">
        <w:t xml:space="preserve">Zvyšování obsahu stabilní organické hmoty a podpora funkční diverzity půdních organismů při současném zachování produkčních vlastností </w:t>
      </w:r>
      <w:bookmarkStart w:id="11" w:name="_Hlk106170397"/>
      <w:r w:rsidRPr="001D259A">
        <w:t>zejména lesních a</w:t>
      </w:r>
      <w:r>
        <w:t> </w:t>
      </w:r>
      <w:r w:rsidRPr="001D259A">
        <w:t xml:space="preserve">zemědělských </w:t>
      </w:r>
      <w:bookmarkEnd w:id="11"/>
      <w:r w:rsidRPr="001D259A">
        <w:t>půd</w:t>
      </w:r>
    </w:p>
    <w:p w:rsidR="0017648C" w:rsidP="00402A28" w14:paraId="3C57EF72" w14:textId="2A3F6C4A">
      <w:r>
        <w:t>Nadále je potřebné inventarizovat kvalitu půd se zvláštním zřetelem na změny obsahu organické hmoty a funkční diverzitu organismů v půdě v důsledku antropogenních vlivů, najít a implementovat metodiky, které by umožňovaly kvantifikaci těchto změn v reálném čase a srovnání různých typů ekosystémů. Součástí výzkumu by mělo být rovněž definování mechanismů transformace a stabilizace půdní organické hmoty a</w:t>
      </w:r>
      <w:r w:rsidR="0013289E">
        <w:t> </w:t>
      </w:r>
      <w:r>
        <w:t xml:space="preserve">navrhování vhodných postupů, které by vedly ke zlepšení kvality půd a eliminaci eroze a dalších antropogenních vlivů. </w:t>
      </w:r>
      <w:r w:rsidRPr="00E34010">
        <w:t xml:space="preserve">V neposlední řadě je třeba identifikovat rizikové oblasti z hlediska nutriční degradace lesních půd a vyhodnotit potenciál lesních půd (potažmo ekosystémů) </w:t>
      </w:r>
      <w:r>
        <w:t xml:space="preserve">a </w:t>
      </w:r>
      <w:r w:rsidRPr="00E34010">
        <w:t xml:space="preserve">dlouhodobě sekvestrovat uhlík. </w:t>
      </w:r>
      <w:r>
        <w:t>Součástí návrhů nových řešení budou i potřebná ekonomická hodnocení a ekonomické nástroje.</w:t>
      </w:r>
      <w:r w:rsidRPr="00D9565B">
        <w:t xml:space="preserve"> </w:t>
      </w:r>
      <w:r>
        <w:t>K</w:t>
      </w:r>
      <w:r w:rsidR="0013289E">
        <w:t> </w:t>
      </w:r>
      <w:r>
        <w:t>odpovídajícímu sledování vývoje stavu půdy bude výzkum veden rovněž k vytvoření a zavedení indikátoru retence vody v krajině jako indikátoru stavu životního prostředí.</w:t>
      </w:r>
    </w:p>
    <w:p w:rsidR="0017648C" w:rsidRPr="001D259A" w:rsidP="00402A28" w14:paraId="01D48179" w14:textId="16A18FE9">
      <w:pPr>
        <w:pStyle w:val="Heading3"/>
      </w:pPr>
      <w:r>
        <w:t>1.3.2</w:t>
      </w:r>
      <w:r>
        <w:tab/>
      </w:r>
      <w:r w:rsidRPr="001D259A">
        <w:t>Zvyšování retenční schopnosti půd mokřadů a zavádění retenčních pásů či jiných agrotechnických i přírodních retenčních opatření</w:t>
      </w:r>
    </w:p>
    <w:p w:rsidR="0017648C" w:rsidP="00402A28" w14:paraId="1B7538F5" w14:textId="77777777">
      <w:r>
        <w:t xml:space="preserve">V souvislosti s epizodami sucha a přednostním úsilím zadržet vodu v krajině je třeba rovněž definovat klíčové biotické a abiotické faktory, které ovlivňují rychlost obnovy a stabilizace zamokřených ekosystémů v závislosti na stupni jejich antropogenního ovlivnění v minulosti a stupni živinové zátěže minulé i současné. Navržená revitalizační opatření musí brát ohled na „okrajové podmínky“ – možnost přebytku i nedostatku vody v průběhu roku i v dlouhodobějším horizontu, definovat </w:t>
      </w:r>
      <w:r>
        <w:t>resilienci</w:t>
      </w:r>
      <w:r>
        <w:t xml:space="preserve"> studovaných ekosystémů a najít mechanizmy jejího zajištění. </w:t>
      </w:r>
      <w:r w:rsidRPr="00E34010">
        <w:t>Další agrotechnická i přírodní opatření zvyšující retenční schopnosti půd by se měla týkat všech složek krajiny (zemědělských ploch, lesů i sídel).</w:t>
      </w:r>
      <w:r>
        <w:t xml:space="preserve"> </w:t>
      </w:r>
    </w:p>
    <w:p w:rsidR="0017648C" w:rsidRPr="001D259A" w:rsidP="00402A28" w14:paraId="35C5C91C" w14:textId="76CBDB6C">
      <w:pPr>
        <w:pStyle w:val="Heading3"/>
      </w:pPr>
      <w:r>
        <w:t>1.3.3</w:t>
      </w:r>
      <w:r>
        <w:tab/>
      </w:r>
      <w:r w:rsidRPr="001D259A">
        <w:t>Vývoj inovativních metod monitoringu založených na využití dálkového průzkumu Země</w:t>
      </w:r>
    </w:p>
    <w:p w:rsidR="0017648C" w:rsidRPr="0065283F" w:rsidP="00402A28" w14:paraId="2AF04632" w14:textId="10B54165">
      <w:r>
        <w:t xml:space="preserve">Dálkový průzkum Země dává mimořádné příležitosti pro tvorbu nových metod monitoringu eroze půd, dynamiky změny a možné nápravy stávajícího stavu. Na základě získaných dat jsou technikami DPZ a dat z jiných zdrojů objekty a jevy krajinné sféry modelovány a také simulovány možné scénáře a varianty dalšího vývoje, nebo naopak simulovány vývojové etapy v minulosti. Proces modelování a simulací může vést k vývoji nových technologií, zpracování metod, algoritmů, programových nástrojů nebo speciálních technologických postupů a procesů. </w:t>
      </w:r>
      <w:r w:rsidRPr="00E34010">
        <w:t>S ohledem ke sledovaným charakteristikám půd (</w:t>
      </w:r>
      <w:r w:rsidRPr="00E34010">
        <w:t>mikrotopografie</w:t>
      </w:r>
      <w:r w:rsidRPr="00E34010">
        <w:t>/eroze, obsah vody a</w:t>
      </w:r>
      <w:r w:rsidR="0013289E">
        <w:t> </w:t>
      </w:r>
      <w:r w:rsidRPr="00E34010">
        <w:t xml:space="preserve">humusu apod.) bude hrát roli především efektivní využití (hyper)spektrálních a </w:t>
      </w:r>
      <w:r w:rsidRPr="00E34010">
        <w:t>LiDAR</w:t>
      </w:r>
      <w:r w:rsidRPr="00E34010">
        <w:t xml:space="preserve"> dat.</w:t>
      </w:r>
    </w:p>
    <w:p w:rsidR="0017648C" w:rsidRPr="001D259A" w:rsidP="00402A28" w14:paraId="4A9C689F" w14:textId="72B8B1B6">
      <w:pPr>
        <w:pStyle w:val="Heading3"/>
      </w:pPr>
      <w:r>
        <w:t>1.3.4</w:t>
      </w:r>
      <w:r>
        <w:tab/>
      </w:r>
      <w:r w:rsidRPr="001D259A">
        <w:t xml:space="preserve">Tvorba pedologických map, </w:t>
      </w:r>
      <w:bookmarkStart w:id="12" w:name="_Hlk106170493"/>
      <w:r w:rsidRPr="001D259A">
        <w:t>postupy na ochranu kvalitativního stavu zemědělské půdy, a to zejména ve vazbě na problematiku</w:t>
      </w:r>
      <w:bookmarkEnd w:id="12"/>
      <w:r w:rsidRPr="001D259A">
        <w:t xml:space="preserve"> eroze půdy, kontaminace půd, zjišťování nebezpečných látek v půdě a jejich likvidace</w:t>
      </w:r>
    </w:p>
    <w:p w:rsidR="0017648C" w:rsidRPr="00E23A68" w:rsidP="00402A28" w14:paraId="0F839D91" w14:textId="044F69A6">
      <w:r>
        <w:t>Přestože staré ekologické zátěže v ČR lze považovat za poměrně dobře zmapované a dochází k jejich postupné sanaci, nové technologie mohou dát nejen nové možnosti sanací, ale také sledování/oceňování rizika, které z kontaminace půdy plyne. Zvláštní problém jsou kontaminace v záplavových územích. V roce 2017 se z lokalit evidovaných v SEKM nacházelo celkem 74 v záplavových územích Q5, 182 v záplavových územích Q20 a 401 v záplavových územích Q100, přičemž nejvíce lokalit bylo ve všech 3 kategoriích zjištěno v Olomouckém kraji.</w:t>
      </w:r>
      <w:r w:rsidR="00346D9B">
        <w:t xml:space="preserve"> </w:t>
      </w:r>
      <w:r>
        <w:t>Kvalitu zemědělské půdy kromě průmyslových hnojiv přímo ovlivňují i další vstupy jako přípravky na ochranu rostlin (herbicidy, rodenticidy apod.), kaly z čistíren odpadních vod, vytěžené sedimenty z vodních toků, rybníků a nádrží, které mohou obsahovat nežádoucí/rizikové kontaminanty. Negativním faktorem je také kontaminace půdy, škodlivými látkami z dalších lidských činností, jako jsou havárie s únikem rizikových látek, emise z průmyslu i např. nezabezpečené skládky a nelegální sklady odpadu. Tyto vstupy je třeba sledovat a regulovat tak, aby v důsledku jejich působení na půdu nedocházelo k poškození půdy a</w:t>
      </w:r>
      <w:r w:rsidR="0013289E">
        <w:t> </w:t>
      </w:r>
      <w:r>
        <w:t>jejích vlastností. Je tedy třeba se zabývat jak novými metodami prevence kontaminace půdy, tak metodami její likvidace.</w:t>
      </w:r>
      <w:r w:rsidRPr="00240AF2">
        <w:t xml:space="preserve"> </w:t>
      </w:r>
      <w:r>
        <w:t>N</w:t>
      </w:r>
      <w:r w:rsidRPr="00976181">
        <w:t>utným předpokladem</w:t>
      </w:r>
      <w:r>
        <w:t xml:space="preserve"> je</w:t>
      </w:r>
      <w:r w:rsidRPr="00976181">
        <w:t xml:space="preserve"> detailní znalost</w:t>
      </w:r>
      <w:r>
        <w:t xml:space="preserve"> plošného</w:t>
      </w:r>
      <w:r w:rsidRPr="00976181">
        <w:t xml:space="preserve"> rozsahu </w:t>
      </w:r>
      <w:r>
        <w:t>půdních typů.</w:t>
      </w:r>
      <w:r w:rsidRPr="00976181">
        <w:t xml:space="preserve"> </w:t>
      </w:r>
      <w:r>
        <w:t>P</w:t>
      </w:r>
      <w:r w:rsidRPr="00976181">
        <w:t>edologické mapování je úzce spojeno s</w:t>
      </w:r>
      <w:r>
        <w:t>e</w:t>
      </w:r>
      <w:r w:rsidRPr="00976181">
        <w:t xml:space="preserve"> znalostí geologické stavby</w:t>
      </w:r>
      <w:r>
        <w:t xml:space="preserve"> zejména znalostí o plošném rozsahu horninových typů a charakteru zvětralinového pokryvu</w:t>
      </w:r>
      <w:r w:rsidRPr="00976181">
        <w:t>.</w:t>
      </w:r>
      <w:r>
        <w:t xml:space="preserve"> Pro rozlišení mezi antropogenními látkami deponovanými na povrchu půd a uvolňováním týchž potenciálně toxických látek zvětráváním horninového podloží budou užívány moderní izotopové metody (poměry četnosti stabilních izotopů chrómu, kadmia, olova, aj.). </w:t>
      </w:r>
    </w:p>
    <w:p w:rsidR="0017648C" w:rsidRPr="001D259A" w:rsidP="00402A28" w14:paraId="11D9C5CE" w14:textId="0886C425">
      <w:pPr>
        <w:pStyle w:val="Heading3"/>
      </w:pPr>
      <w:r>
        <w:t>1.3.5</w:t>
      </w:r>
      <w:r>
        <w:tab/>
      </w:r>
      <w:r w:rsidRPr="001D259A">
        <w:t>Postupy na snížení plošných záborů za účelem ochrany produkčních funkcí zemědělské půdy</w:t>
      </w:r>
    </w:p>
    <w:p w:rsidR="0017648C" w:rsidRPr="00993565" w:rsidP="00402A28" w14:paraId="38363807" w14:textId="77777777">
      <w:r w:rsidRPr="00F31AEE">
        <w:t xml:space="preserve">Zábor zemědělské půdy pro nezemědělské účely lze bezpochyby považovat za ten nejintenzivnější dopad antropogenní činnosti na zemědělskou krajinu, která má zároveň velmi negativní vliv na životní prostředí jako celek. Od roku 2010 do 2022 se snížil rozsah zemědělského půdního fondu České republiky o cca 40 tisíc ha, což představuje poměrně dramatický úbytek v relativně krátkém časovém úseku. S ohledem na to je potřeba stanovit nové postupy ke snížení záborů zemědělské půdy, které povedou k minimalizaci dalšího úbytku zemědělské půdy. Tento cíl směřuje k naplnění cílů stanovených v dokumentu </w:t>
      </w:r>
      <w:r w:rsidRPr="00025372">
        <w:t>„</w:t>
      </w:r>
      <w:r w:rsidRPr="000D19C6">
        <w:rPr>
          <w:b/>
          <w:bCs/>
          <w:color w:val="000000"/>
        </w:rPr>
        <w:t>Strategie EU pro půdu do roku 2030“.</w:t>
      </w:r>
    </w:p>
    <w:p w:rsidR="0017648C" w:rsidRPr="001D259A" w:rsidP="00402A28" w14:paraId="6EEBA1A7" w14:textId="3E4EC74E">
      <w:pPr>
        <w:pStyle w:val="Heading3"/>
      </w:pPr>
      <w:r>
        <w:t>1.3.6</w:t>
      </w:r>
      <w:r>
        <w:tab/>
      </w:r>
      <w:r w:rsidRPr="001D259A">
        <w:t>Postupy na ochranu mimoprodukčních funkcí půdy za účelem obnovy a ochrany environmentálních funkcí zemědělské půdy</w:t>
      </w:r>
    </w:p>
    <w:p w:rsidR="0017648C" w:rsidP="00402A28" w14:paraId="48311A39" w14:textId="6819A474">
      <w:r w:rsidRPr="00F31AEE">
        <w:t>Zemědělská půda má kromě produkční funkce i mnoho mimoprodukčních funkcí. Zemědělská půda pozitivně působí ke stabilizaci místního mikroklimatu, podporuje biodiverzitu, ale slouží i k potlačování některých nežádoucích jevů, především důsledků změn</w:t>
      </w:r>
      <w:r>
        <w:t>y klimatu</w:t>
      </w:r>
      <w:r w:rsidRPr="00F31AEE">
        <w:t xml:space="preserve"> (extrémní sucha, povodně apod.). Ochrana vyjmenovaných mimoprodukčních funkcí půdy přispěje nejen ke zlepšení ekologického stavu zemědělské půdy, ale celé krajiny jako celku.</w:t>
      </w:r>
      <w:r w:rsidR="00346D9B">
        <w:t xml:space="preserve"> </w:t>
      </w:r>
      <w:r w:rsidRPr="00F31AEE">
        <w:t>S ohledem na to je potřeba stanovit nové postupy, které povedou k obnově a ochraně mimoprodukčních funkcí zemědělské půdy. Tento cíl směřuje k naplnění cílů stanovených v</w:t>
      </w:r>
      <w:r w:rsidR="0013289E">
        <w:t> </w:t>
      </w:r>
      <w:r w:rsidRPr="00F31AEE">
        <w:t xml:space="preserve">dokumentu </w:t>
      </w:r>
      <w:r w:rsidRPr="000D19C6">
        <w:rPr>
          <w:b/>
        </w:rPr>
        <w:t>„Strategie EU pro půdu do roku 2030“.</w:t>
      </w:r>
    </w:p>
    <w:p w:rsidR="0017648C" w:rsidRPr="001D259A" w:rsidP="00402A28" w14:paraId="769AC6B4" w14:textId="0D72BA94">
      <w:pPr>
        <w:pStyle w:val="Heading3"/>
      </w:pPr>
      <w:r>
        <w:t>1.3.7</w:t>
      </w:r>
      <w:r>
        <w:tab/>
      </w:r>
      <w:r w:rsidRPr="001D259A">
        <w:t>Zlepšení stavu lesní půdy</w:t>
      </w:r>
    </w:p>
    <w:p w:rsidR="0017648C" w:rsidRPr="00850BE0" w:rsidP="00402A28" w14:paraId="2AC5F083" w14:textId="6E9D321C">
      <w:r>
        <w:t>Zhoršování stavu lesních půd (ztráta živin, acidifikace) je jednou z příčin rozsahu proběhlé kůrovcové gradace. Touto gradací a následnou nevhodnou obnovou lesů dochází k dalšímu zhoršování jejich stavu. Je nutné zachovávat a zlepšovat stav lesních půd především pěstováním vhodných typů dřevin (listnatých), které jsou schopny navracet část živin zpět do půdy, používáním šetrných technologií, které nezpůsobují zhutňování půdy a narušování jejich povrchu, omezováním sítě lesních cest.</w:t>
      </w:r>
      <w:r w:rsidR="00346D9B">
        <w:t xml:space="preserve"> </w:t>
      </w:r>
    </w:p>
    <w:p w:rsidR="0017648C" w:rsidRPr="00EA27BB" w:rsidP="00402A28" w14:paraId="0C5B93F4" w14:textId="77777777">
      <w:pPr>
        <w:pStyle w:val="Heading2"/>
      </w:pPr>
      <w:bookmarkStart w:id="13" w:name="_Toc474389304"/>
      <w:bookmarkStart w:id="14" w:name="_Toc437859922"/>
      <w:bookmarkStart w:id="15" w:name="_Toc106129998"/>
      <w:bookmarkStart w:id="16" w:name="_Toc256000004"/>
      <w:r w:rsidRPr="00105A97">
        <w:t>Podoblast 1.4: Ovzduší</w:t>
      </w:r>
      <w:bookmarkEnd w:id="16"/>
      <w:bookmarkEnd w:id="13"/>
      <w:bookmarkEnd w:id="14"/>
      <w:bookmarkEnd w:id="15"/>
      <w:r w:rsidRPr="00105A97">
        <w:t xml:space="preserve"> </w:t>
      </w:r>
    </w:p>
    <w:p w:rsidR="0017648C" w:rsidP="00402A28" w14:paraId="4671471C" w14:textId="77777777">
      <w:r>
        <w:t>Kvalita ovzduší se významně zvýšila, i když v některých regionech přetrvává nedostatečné dodržování imisních limitů. V současnosti jsou významnými znečišťovateli domácnosti vytápěné spalovacími zdroji na pevná paliva, doprava, zemědělství, veřejná energetika a výroba tepla, a to i přesto, že se zejména u velkých zdrojů znečištění emise znečišťujících látek do ovzduší významně snížily. Kvalita ovzduší má významný dopad na zdraví obyvatel. Přes značné zlepšení ve srovnání s 90. lety minulého století, je v některých regionech stále kvalita ovzduší nevyhovující. Dochází k překračování imisních limitů pro některé znečišťující látky (zejména PM</w:t>
      </w:r>
      <w:r w:rsidRPr="00C605E1">
        <w:rPr>
          <w:position w:val="-6"/>
          <w:vertAlign w:val="subscript"/>
        </w:rPr>
        <w:t>10</w:t>
      </w:r>
      <w:r>
        <w:t>, PM</w:t>
      </w:r>
      <w:r w:rsidRPr="00C605E1">
        <w:rPr>
          <w:position w:val="-6"/>
          <w:vertAlign w:val="subscript"/>
        </w:rPr>
        <w:t>2,5</w:t>
      </w:r>
      <w:r>
        <w:t xml:space="preserve">, </w:t>
      </w:r>
      <w:r>
        <w:t>benzo</w:t>
      </w:r>
      <w:r>
        <w:t xml:space="preserve">(a)pyren, </w:t>
      </w:r>
      <w:r>
        <w:t>troposferický</w:t>
      </w:r>
      <w:r>
        <w:t xml:space="preserve"> ozon), a to zejm. ve velkých městech a také v některých regionech, jako je Moravskoslezský či Ústecký kraj. Hodnoty pro </w:t>
      </w:r>
      <w:r>
        <w:t>benzo</w:t>
      </w:r>
      <w:r>
        <w:t xml:space="preserve">(a)pyren jsou potom zřejmě překračovány takřka ve všech sídelních oblastech (tedy i menších obcích), kde jsou provozována lokální topeniště na pevná paliva. </w:t>
      </w:r>
    </w:p>
    <w:p w:rsidR="0017648C" w:rsidP="00402A28" w14:paraId="5EBBFE48" w14:textId="77777777">
      <w:r>
        <w:t xml:space="preserve">Znečištěné ovzduší má významný negativní dopad nejen na lidské zdraví (zkrácení očekávané doby dožití vlivem expozice suspendovanými částicemi, předčasná úmrtí vlivem expozice přízemním ozónem), ale také na vegetaci a ekosystémy (acidifikace, eutrofizace, přízemní ozón). </w:t>
      </w:r>
    </w:p>
    <w:p w:rsidR="0017648C" w:rsidP="00402A28" w14:paraId="250FEDD0" w14:textId="77777777">
      <w:pPr>
        <w:pStyle w:val="Stejncl"/>
      </w:pPr>
      <w:r w:rsidRPr="00AD7396">
        <w:rPr>
          <w:rStyle w:val="Zelentun"/>
        </w:rPr>
        <w:t>Stěžejní cíl 1.4:</w:t>
      </w:r>
      <w:r>
        <w:t xml:space="preserve"> Další zkvalitnění ovzduší, minimalizace rozsahu a negativních vlivů znečištění ovzduší na lidské zdraví a ekosystémy</w:t>
      </w:r>
    </w:p>
    <w:p w:rsidR="0017648C" w:rsidRPr="00402A28" w:rsidP="00402A28" w14:paraId="2BEE652B" w14:textId="77777777">
      <w:pPr>
        <w:rPr>
          <w:rStyle w:val="Zelentun"/>
        </w:rPr>
      </w:pPr>
      <w:r w:rsidRPr="00402A28">
        <w:rPr>
          <w:rStyle w:val="Zelentun"/>
        </w:rPr>
        <w:t>Opatření:</w:t>
      </w:r>
    </w:p>
    <w:p w:rsidR="0017648C" w:rsidRPr="006F46DB" w:rsidP="00402A28" w14:paraId="2571AA07" w14:textId="00B355FB">
      <w:pPr>
        <w:pStyle w:val="Heading3"/>
      </w:pPr>
      <w:r>
        <w:t>1.4.1</w:t>
      </w:r>
      <w:r>
        <w:tab/>
      </w:r>
      <w:r w:rsidRPr="006F46DB">
        <w:t>Omezení emisí znečišťujících látek z antropogenních zdrojů</w:t>
      </w:r>
    </w:p>
    <w:p w:rsidR="0017648C" w:rsidP="00402A28" w14:paraId="2315AB6B" w14:textId="77777777">
      <w:r>
        <w:t xml:space="preserve">Soustavné sledování a analýza aktuálního stavu zatížení ovzduší i dalších složek životního prostředí znečišťujícími látkami a poznávání jejich negativního vlivu umožňuje stanovovat časové i prostorové priority nutných opatření směřujících k omezení emisí. Předpokladem je také znalost původce emisí. Pozornost by proto měla být věnována dalšímu zdokonalování metodik emisních inventur (zejména </w:t>
      </w:r>
      <w:r>
        <w:t>fugitivní</w:t>
      </w:r>
      <w:r>
        <w:t xml:space="preserve"> emise, emise z dopravy a ze zemědělských činností) a emisních projekcí na základě inovovaných metod umožněných současným stavem DPZ a informačních technologií (včetně zpracování velkých dat). </w:t>
      </w:r>
    </w:p>
    <w:p w:rsidR="0017648C" w:rsidRPr="006F46DB" w:rsidP="00402A28" w14:paraId="5AB45FFC" w14:textId="68BE20AE">
      <w:pPr>
        <w:pStyle w:val="Heading3"/>
      </w:pPr>
      <w:r>
        <w:t>1.4.2</w:t>
      </w:r>
      <w:r>
        <w:tab/>
      </w:r>
      <w:r>
        <w:t>Znalost a využití m</w:t>
      </w:r>
      <w:r w:rsidRPr="006F46DB">
        <w:t>echanism</w:t>
      </w:r>
      <w:r>
        <w:t>ů</w:t>
      </w:r>
      <w:r w:rsidRPr="006F46DB">
        <w:t xml:space="preserve"> šíření a depozice znečišťujících látek včetně identifikace zdrojů znečišťování</w:t>
      </w:r>
    </w:p>
    <w:p w:rsidR="0017648C" w:rsidP="00402A28" w14:paraId="41CAD06E" w14:textId="79285637">
      <w:r>
        <w:t xml:space="preserve">Poznání fyzikálních a chemických vlastností atmosféry, i jednotlivých zdrojů, umožňuje definovat mechanismus šíření látek znečišťujících ovzduší v ekosystémech. Atmosféra zprostředkovává přenos znečišťujících látek směrem k jejich depozici v dalších složkách (půda, voda) a potenciálně ovlivňuje i zdraví člověka. Zvláštní pozornost by měla být věnována studiu „sekundárních znečišťujících látek“ (troposférický ozón a zejména sekundární částice, které vznikají z plynných prekurzorů a představují nadpoloviční podíl </w:t>
      </w:r>
      <w:r>
        <w:t>na celkové hmotnosti částic PM</w:t>
      </w:r>
      <w:r>
        <w:rPr>
          <w:vertAlign w:val="subscript"/>
        </w:rPr>
        <w:t>2.5</w:t>
      </w:r>
      <w:r>
        <w:t>). Důležitou součástí je rovněž použití netradičních metod identifikace zdrojů znečištění (např. aplikace metod tradičních i netradičních izotopových systémů). Metody monitorování aktuální úrovně atmosférické depozice pomocí chemických analýz vhodných organismů umožňují velmi výkonné mapování míry spadů anorganických a organických sloučenin nebo radionuklidů a</w:t>
      </w:r>
      <w:r w:rsidR="0013289E">
        <w:t> </w:t>
      </w:r>
      <w:r>
        <w:t>vymezení území se složkami životního prostředí kontaminovanými aktuální i historickou depozicí znečišťujících látek, identifikace zdrojů znečišťování a zjištění dosahu zvýšených spadů v daném území.</w:t>
      </w:r>
    </w:p>
    <w:p w:rsidR="0017648C" w:rsidRPr="006F46DB" w:rsidP="00402A28" w14:paraId="64EDE7BE" w14:textId="25386730">
      <w:pPr>
        <w:pStyle w:val="Heading3"/>
      </w:pPr>
      <w:r>
        <w:t>1.4.3</w:t>
      </w:r>
      <w:r>
        <w:tab/>
      </w:r>
      <w:r w:rsidRPr="006F46DB">
        <w:t>Vývoj inovativních metod sledování a hodnocení stavu atmosféry založených na</w:t>
      </w:r>
      <w:r>
        <w:t> </w:t>
      </w:r>
      <w:r w:rsidRPr="006F46DB">
        <w:t>využití dálkového průzkumu Země a zpracování informací metodami strojového učení a umělé inteligence</w:t>
      </w:r>
      <w:r w:rsidRPr="006F46DB">
        <w:rPr>
          <w:rFonts w:ascii="Times New Roman" w:eastAsia="Times New Roman" w:hAnsi="Times New Roman"/>
          <w:color w:val="000000"/>
        </w:rPr>
        <w:t>.</w:t>
      </w:r>
    </w:p>
    <w:p w:rsidR="0017648C" w:rsidP="00402A28" w14:paraId="15E05F6F" w14:textId="77777777">
      <w:pPr>
        <w:rPr>
          <w:rFonts w:eastAsia="Arial" w:cstheme="minorHAnsi"/>
        </w:rPr>
      </w:pPr>
      <w:r>
        <w:t xml:space="preserve">Podobně jako v dalších složkách životního prostředí je DPZ již osvědčenou a do budoucnosti velmi slibnou metodou monitorování a hodnocení znečištění ovzduší, chemických poměrů v atmosféře, výzkumu kvality ovzduší a stavu atmosféry pro potřeby meteorologie a k dalším účelům. </w:t>
      </w:r>
      <w:r w:rsidRPr="00F31AEE">
        <w:rPr>
          <w:rFonts w:cstheme="minorHAnsi"/>
        </w:rPr>
        <w:t>Předmětem výzkumu musí být také</w:t>
      </w:r>
      <w:r w:rsidRPr="00F31AEE">
        <w:rPr>
          <w:rFonts w:eastAsia="Arial" w:cstheme="minorHAnsi"/>
        </w:rPr>
        <w:t xml:space="preserve"> sledování a předpovídání nebezpečných meteorologických jevů a ochrana před jejich působením a dopady.</w:t>
      </w:r>
      <w:bookmarkStart w:id="17" w:name="_Toc474389305"/>
      <w:bookmarkStart w:id="18" w:name="_Toc437859923"/>
    </w:p>
    <w:p w:rsidR="0017648C" w:rsidRPr="008C001E" w:rsidP="00402A28" w14:paraId="04AD976A" w14:textId="77777777">
      <w:pPr>
        <w:pStyle w:val="Heading2"/>
        <w:rPr>
          <w:rFonts w:ascii="Calibri" w:hAnsi="Calibri" w:cs="Calibri"/>
        </w:rPr>
      </w:pPr>
      <w:bookmarkStart w:id="19" w:name="_Toc106129999"/>
      <w:bookmarkStart w:id="20" w:name="_Toc256000005"/>
      <w:r w:rsidRPr="00105A97">
        <w:t>Podoblast 1.5: Nerostné zdroje a vlivy těžby na životní prostředí</w:t>
      </w:r>
      <w:bookmarkEnd w:id="20"/>
      <w:bookmarkEnd w:id="17"/>
      <w:bookmarkEnd w:id="18"/>
      <w:bookmarkEnd w:id="19"/>
      <w:r w:rsidRPr="00D73D2A">
        <w:rPr>
          <w:rFonts w:ascii="Calibri" w:hAnsi="Calibri" w:cs="Calibri"/>
        </w:rPr>
        <w:t xml:space="preserve"> </w:t>
      </w:r>
    </w:p>
    <w:p w:rsidR="0017648C" w:rsidP="00402A28" w14:paraId="30E3A06F" w14:textId="77777777">
      <w:r>
        <w:t xml:space="preserve">Materiálová náročnost ekonomiky ČR klesá, což indikuje zvyšující se efektivitu přeměny materiálových vstupů na ekonomický výkon a pokles zátěže životního prostředí. V období 2000–2018 poklesla materiálová náročnost o 42,7 %, na zhruba třetinu ve srovnání se začátkem 90. let 20. století. Na poklesu materiálové náročnosti ekonomiky ČR po roce 2000 se projevuje snižování podílu pevných paliv v energetickém mixu ČR, růst využívání obnovitelných zdrojů energie a dalších nefosilních zdrojů energie a snižování energetické a materiálové náročnosti průmyslu. </w:t>
      </w:r>
    </w:p>
    <w:p w:rsidR="0017648C" w:rsidP="00402A28" w14:paraId="251DE807" w14:textId="77777777">
      <w:r>
        <w:t xml:space="preserve">Společnost je však stále založena na každodenní spotřebě nerostných surovin ve formě energií, výrobků apod. I když velkou výzvou současnosti je cirkulární ekonomika, bude každé hospodářství vyžadovat velký objem vstupů nerostných surovin. Dostupnost nerostných surovin v rámci EU je přitom nízká, závislost na dovozu energetických nerostných surovin, kovů a dalších komodit je vysoká. Dostupnost domácích surovin je přitom součástí </w:t>
      </w:r>
      <w:r>
        <w:t>resilience</w:t>
      </w:r>
      <w:r>
        <w:t xml:space="preserve"> ČR i EU</w:t>
      </w:r>
      <w:r w:rsidRPr="00A94AE8">
        <w:t xml:space="preserve"> </w:t>
      </w:r>
      <w:r>
        <w:t xml:space="preserve">a surovinové bezpečnosti. </w:t>
      </w:r>
    </w:p>
    <w:p w:rsidR="0017648C" w:rsidP="00402A28" w14:paraId="4BAB49D7" w14:textId="77777777">
      <w:pPr>
        <w:rPr>
          <w:rFonts w:ascii="Calibri" w:hAnsi="Calibri" w:cs="Calibri"/>
        </w:rPr>
      </w:pPr>
      <w:r>
        <w:rPr>
          <w:rStyle w:val="markedcontent"/>
          <w:rFonts w:cstheme="minorHAnsi"/>
        </w:rPr>
        <w:t xml:space="preserve">Stále důležitější roli pro rozvoj společnosti a naplňování Zelené dohody EU hrají tzv. kritické nerostné suroviny (CRM), které jsou zdrojem </w:t>
      </w:r>
      <w:r w:rsidRPr="00C97B83">
        <w:rPr>
          <w:rStyle w:val="markedcontent"/>
          <w:rFonts w:cstheme="minorHAnsi"/>
        </w:rPr>
        <w:t>důležit</w:t>
      </w:r>
      <w:r>
        <w:rPr>
          <w:rStyle w:val="markedcontent"/>
          <w:rFonts w:cstheme="minorHAnsi"/>
        </w:rPr>
        <w:t>ých</w:t>
      </w:r>
      <w:r w:rsidRPr="00C97B83">
        <w:rPr>
          <w:rStyle w:val="markedcontent"/>
          <w:rFonts w:cstheme="minorHAnsi"/>
        </w:rPr>
        <w:t xml:space="preserve"> materiálov</w:t>
      </w:r>
      <w:r>
        <w:rPr>
          <w:rStyle w:val="markedcontent"/>
          <w:rFonts w:cstheme="minorHAnsi"/>
        </w:rPr>
        <w:t>ých</w:t>
      </w:r>
      <w:r w:rsidRPr="00C97B83">
        <w:rPr>
          <w:rStyle w:val="markedcontent"/>
          <w:rFonts w:cstheme="minorHAnsi"/>
        </w:rPr>
        <w:t xml:space="preserve"> komponent</w:t>
      </w:r>
      <w:r>
        <w:rPr>
          <w:rStyle w:val="markedcontent"/>
          <w:rFonts w:cstheme="minorHAnsi"/>
        </w:rPr>
        <w:t>ů</w:t>
      </w:r>
      <w:r w:rsidRPr="00C97B83">
        <w:rPr>
          <w:rStyle w:val="markedcontent"/>
          <w:rFonts w:cstheme="minorHAnsi"/>
        </w:rPr>
        <w:t xml:space="preserve"> pro špičkové technologie nejširšího použití v elektronice a elektrotechnice, leteckém a</w:t>
      </w:r>
      <w:r>
        <w:rPr>
          <w:rStyle w:val="markedcontent"/>
          <w:rFonts w:cstheme="minorHAnsi"/>
        </w:rPr>
        <w:t> </w:t>
      </w:r>
      <w:r w:rsidRPr="00C97B83">
        <w:rPr>
          <w:rStyle w:val="markedcontent"/>
          <w:rFonts w:cstheme="minorHAnsi"/>
        </w:rPr>
        <w:t>automobilovém průmyslu, moderním hutnictví,</w:t>
      </w:r>
      <w:r>
        <w:rPr>
          <w:rStyle w:val="markedcontent"/>
          <w:rFonts w:cstheme="minorHAnsi"/>
        </w:rPr>
        <w:t xml:space="preserve"> </w:t>
      </w:r>
      <w:r w:rsidRPr="00C97B83">
        <w:rPr>
          <w:rStyle w:val="markedcontent"/>
          <w:rFonts w:cstheme="minorHAnsi"/>
        </w:rPr>
        <w:t>klasické, jaderné i alternativní energetice, chemickém průmyslu a samozřejmě dále i ve vojenské a kosmické technice.</w:t>
      </w:r>
      <w:r>
        <w:rPr>
          <w:rStyle w:val="markedcontent"/>
          <w:rFonts w:cstheme="minorHAnsi"/>
        </w:rPr>
        <w:t xml:space="preserve"> Seznam CRM p</w:t>
      </w:r>
      <w:r w:rsidRPr="00F31AEE">
        <w:rPr>
          <w:rStyle w:val="markedcontent"/>
          <w:rFonts w:cstheme="minorHAnsi"/>
        </w:rPr>
        <w:t>o</w:t>
      </w:r>
      <w:r>
        <w:rPr>
          <w:rStyle w:val="markedcontent"/>
          <w:rFonts w:cstheme="minorHAnsi"/>
        </w:rPr>
        <w:t> </w:t>
      </w:r>
      <w:r w:rsidRPr="00F31AEE">
        <w:rPr>
          <w:rStyle w:val="markedcontent"/>
          <w:rFonts w:cstheme="minorHAnsi"/>
        </w:rPr>
        <w:t>poslední aktualizaci v roce 2020 obsahuje tyto suroviny: antimon (</w:t>
      </w:r>
      <w:r w:rsidRPr="00F31AEE">
        <w:rPr>
          <w:rStyle w:val="markedcontent"/>
          <w:rFonts w:cstheme="minorHAnsi"/>
        </w:rPr>
        <w:t>Sb</w:t>
      </w:r>
      <w:r w:rsidRPr="00F31AEE">
        <w:rPr>
          <w:rStyle w:val="markedcontent"/>
          <w:rFonts w:cstheme="minorHAnsi"/>
        </w:rPr>
        <w:t xml:space="preserve">), baryt, </w:t>
      </w:r>
      <w:r w:rsidRPr="00F31AEE">
        <w:rPr>
          <w:rStyle w:val="markedcontent"/>
          <w:rFonts w:cstheme="minorHAnsi"/>
        </w:rPr>
        <w:t>auxit</w:t>
      </w:r>
      <w:r w:rsidRPr="00F31AEE">
        <w:rPr>
          <w:rStyle w:val="markedcontent"/>
          <w:rFonts w:cstheme="minorHAnsi"/>
        </w:rPr>
        <w:t>,</w:t>
      </w:r>
      <w:r>
        <w:rPr>
          <w:rStyle w:val="markedcontent"/>
          <w:rFonts w:cstheme="minorHAnsi"/>
        </w:rPr>
        <w:t xml:space="preserve"> </w:t>
      </w:r>
      <w:r w:rsidRPr="00F31AEE">
        <w:rPr>
          <w:rStyle w:val="markedcontent"/>
          <w:rFonts w:cstheme="minorHAnsi"/>
        </w:rPr>
        <w:t>beryllium (</w:t>
      </w:r>
      <w:r w:rsidRPr="00F31AEE">
        <w:rPr>
          <w:rStyle w:val="markedcontent"/>
          <w:rFonts w:cstheme="minorHAnsi"/>
        </w:rPr>
        <w:t>Be</w:t>
      </w:r>
      <w:r w:rsidRPr="00F31AEE">
        <w:rPr>
          <w:rStyle w:val="markedcontent"/>
          <w:rFonts w:cstheme="minorHAnsi"/>
        </w:rPr>
        <w:t>), bizmut (</w:t>
      </w:r>
      <w:r w:rsidRPr="00F31AEE">
        <w:rPr>
          <w:rStyle w:val="markedcontent"/>
          <w:rFonts w:cstheme="minorHAnsi"/>
        </w:rPr>
        <w:t>Bi</w:t>
      </w:r>
      <w:r w:rsidRPr="00F31AEE">
        <w:rPr>
          <w:rStyle w:val="markedcontent"/>
          <w:rFonts w:cstheme="minorHAnsi"/>
        </w:rPr>
        <w:t xml:space="preserve">), boráty, fluorit, fosfáty, fosfor (P), </w:t>
      </w:r>
      <w:r w:rsidRPr="00F31AEE">
        <w:rPr>
          <w:rStyle w:val="markedcontent"/>
          <w:rFonts w:cstheme="minorHAnsi"/>
        </w:rPr>
        <w:t>gallium</w:t>
      </w:r>
      <w:r w:rsidRPr="00F31AEE">
        <w:rPr>
          <w:rStyle w:val="markedcontent"/>
          <w:rFonts w:cstheme="minorHAnsi"/>
        </w:rPr>
        <w:t xml:space="preserve"> (</w:t>
      </w:r>
      <w:r w:rsidRPr="00F31AEE">
        <w:rPr>
          <w:rStyle w:val="markedcontent"/>
          <w:rFonts w:cstheme="minorHAnsi"/>
        </w:rPr>
        <w:t>Ga</w:t>
      </w:r>
      <w:r w:rsidRPr="00F31AEE">
        <w:rPr>
          <w:rStyle w:val="markedcontent"/>
          <w:rFonts w:cstheme="minorHAnsi"/>
        </w:rPr>
        <w:t>), germanium</w:t>
      </w:r>
      <w:r>
        <w:rPr>
          <w:rStyle w:val="markedcontent"/>
          <w:rFonts w:cstheme="minorHAnsi"/>
        </w:rPr>
        <w:t> </w:t>
      </w:r>
      <w:r w:rsidRPr="00F31AEE">
        <w:rPr>
          <w:rStyle w:val="markedcontent"/>
          <w:rFonts w:cstheme="minorHAnsi"/>
        </w:rPr>
        <w:t>(</w:t>
      </w:r>
      <w:r w:rsidRPr="00F31AEE">
        <w:rPr>
          <w:rStyle w:val="markedcontent"/>
          <w:rFonts w:cstheme="minorHAnsi"/>
        </w:rPr>
        <w:t>Ge</w:t>
      </w:r>
      <w:r w:rsidRPr="00F31AEE">
        <w:rPr>
          <w:rStyle w:val="markedcontent"/>
          <w:rFonts w:cstheme="minorHAnsi"/>
        </w:rPr>
        <w:t>),přírodní grafit, hafnium (</w:t>
      </w:r>
      <w:r w:rsidRPr="00F31AEE">
        <w:rPr>
          <w:rStyle w:val="markedcontent"/>
          <w:rFonts w:cstheme="minorHAnsi"/>
        </w:rPr>
        <w:t>Hf</w:t>
      </w:r>
      <w:r w:rsidRPr="00F31AEE">
        <w:rPr>
          <w:rStyle w:val="markedcontent"/>
          <w:rFonts w:cstheme="minorHAnsi"/>
        </w:rPr>
        <w:t>), hořčík (Mg), indium (In), kobalt (Co), koksovatelné uhlí,</w:t>
      </w:r>
      <w:r>
        <w:rPr>
          <w:rStyle w:val="markedcontent"/>
          <w:rFonts w:cstheme="minorHAnsi"/>
        </w:rPr>
        <w:t xml:space="preserve"> </w:t>
      </w:r>
      <w:r w:rsidRPr="00F31AEE">
        <w:rPr>
          <w:rStyle w:val="markedcontent"/>
          <w:rFonts w:cstheme="minorHAnsi"/>
        </w:rPr>
        <w:t>kovový křemík (Si), lithium (</w:t>
      </w:r>
      <w:r w:rsidRPr="00F31AEE">
        <w:rPr>
          <w:rStyle w:val="markedcontent"/>
          <w:rFonts w:cstheme="minorHAnsi"/>
        </w:rPr>
        <w:t>Li</w:t>
      </w:r>
      <w:r w:rsidRPr="00F31AEE">
        <w:rPr>
          <w:rStyle w:val="markedcontent"/>
          <w:rFonts w:cstheme="minorHAnsi"/>
        </w:rPr>
        <w:t>), niob (Ni), kovy skupiny platiny (</w:t>
      </w:r>
      <w:r w:rsidRPr="00F31AEE">
        <w:rPr>
          <w:rStyle w:val="markedcontent"/>
          <w:rFonts w:cstheme="minorHAnsi"/>
        </w:rPr>
        <w:t>Platinum</w:t>
      </w:r>
      <w:r w:rsidRPr="00F31AEE">
        <w:rPr>
          <w:rStyle w:val="markedcontent"/>
          <w:rFonts w:cstheme="minorHAnsi"/>
        </w:rPr>
        <w:t xml:space="preserve"> Group Metals –</w:t>
      </w:r>
      <w:r>
        <w:rPr>
          <w:rStyle w:val="markedcontent"/>
          <w:rFonts w:cstheme="minorHAnsi"/>
        </w:rPr>
        <w:t xml:space="preserve"> </w:t>
      </w:r>
      <w:r w:rsidRPr="00F31AEE">
        <w:rPr>
          <w:rStyle w:val="markedcontent"/>
          <w:rFonts w:cstheme="minorHAnsi"/>
        </w:rPr>
        <w:t>PGM), prvky vzácných zemin (</w:t>
      </w:r>
      <w:r w:rsidRPr="00F31AEE">
        <w:rPr>
          <w:rStyle w:val="markedcontent"/>
          <w:rFonts w:cstheme="minorHAnsi"/>
        </w:rPr>
        <w:t>Rare</w:t>
      </w:r>
      <w:r w:rsidRPr="00F31AEE">
        <w:rPr>
          <w:rStyle w:val="markedcontent"/>
          <w:rFonts w:cstheme="minorHAnsi"/>
        </w:rPr>
        <w:t xml:space="preserve"> </w:t>
      </w:r>
      <w:r w:rsidRPr="00F31AEE">
        <w:rPr>
          <w:rStyle w:val="markedcontent"/>
          <w:rFonts w:cstheme="minorHAnsi"/>
        </w:rPr>
        <w:t>Earth</w:t>
      </w:r>
      <w:r w:rsidRPr="00F31AEE">
        <w:rPr>
          <w:rStyle w:val="markedcontent"/>
          <w:rFonts w:cstheme="minorHAnsi"/>
        </w:rPr>
        <w:t xml:space="preserve"> </w:t>
      </w:r>
      <w:r w:rsidRPr="00F31AEE">
        <w:rPr>
          <w:rStyle w:val="markedcontent"/>
          <w:rFonts w:cstheme="minorHAnsi"/>
        </w:rPr>
        <w:t>Elements</w:t>
      </w:r>
      <w:r w:rsidRPr="00F31AEE">
        <w:rPr>
          <w:rStyle w:val="markedcontent"/>
          <w:rFonts w:cstheme="minorHAnsi"/>
        </w:rPr>
        <w:t xml:space="preserve"> – REE) spolu s yttriem (Y) a skandiem</w:t>
      </w:r>
      <w:r>
        <w:rPr>
          <w:rStyle w:val="markedcontent"/>
          <w:rFonts w:cstheme="minorHAnsi"/>
        </w:rPr>
        <w:t xml:space="preserve"> </w:t>
      </w:r>
      <w:r w:rsidRPr="00F31AEE">
        <w:rPr>
          <w:rStyle w:val="markedcontent"/>
          <w:rFonts w:cstheme="minorHAnsi"/>
        </w:rPr>
        <w:t>(</w:t>
      </w:r>
      <w:r w:rsidRPr="00F31AEE">
        <w:rPr>
          <w:rStyle w:val="markedcontent"/>
          <w:rFonts w:cstheme="minorHAnsi"/>
        </w:rPr>
        <w:t>Sc</w:t>
      </w:r>
      <w:r w:rsidRPr="00F31AEE">
        <w:rPr>
          <w:rStyle w:val="markedcontent"/>
          <w:rFonts w:cstheme="minorHAnsi"/>
        </w:rPr>
        <w:t>), stroncium (</w:t>
      </w:r>
      <w:r w:rsidRPr="00F31AEE">
        <w:rPr>
          <w:rStyle w:val="markedcontent"/>
          <w:rFonts w:cstheme="minorHAnsi"/>
        </w:rPr>
        <w:t>Sr</w:t>
      </w:r>
      <w:r w:rsidRPr="00F31AEE">
        <w:rPr>
          <w:rStyle w:val="markedcontent"/>
          <w:rFonts w:cstheme="minorHAnsi"/>
        </w:rPr>
        <w:t>), tantal (Ta), titan (Ti), vanad (V) a wolfram (W). Převážná většina CRM</w:t>
      </w:r>
      <w:r>
        <w:rPr>
          <w:rStyle w:val="markedcontent"/>
          <w:rFonts w:cstheme="minorHAnsi"/>
        </w:rPr>
        <w:t xml:space="preserve"> </w:t>
      </w:r>
      <w:r w:rsidRPr="00F31AEE">
        <w:rPr>
          <w:rStyle w:val="markedcontent"/>
          <w:rFonts w:cstheme="minorHAnsi"/>
        </w:rPr>
        <w:t>se v EU netěží vůbec nebo jen v malé míře.</w:t>
      </w:r>
      <w:r>
        <w:rPr>
          <w:rStyle w:val="markedcontent"/>
          <w:rFonts w:cstheme="minorHAnsi"/>
        </w:rPr>
        <w:t xml:space="preserve"> </w:t>
      </w:r>
      <w:r w:rsidRPr="00C97B83">
        <w:rPr>
          <w:rStyle w:val="markedcontent"/>
          <w:rFonts w:cstheme="minorHAnsi"/>
        </w:rPr>
        <w:t>Jejich horší dostupnost nebo dokonce nedostupnost přímo ohrožuje ekonomiky jednotlivých evropských zemí i celého kontinentu, resp. EU.</w:t>
      </w:r>
      <w:r>
        <w:rPr>
          <w:rFonts w:ascii="Calibri" w:hAnsi="Calibri" w:cs="Calibri"/>
        </w:rPr>
        <w:t xml:space="preserve"> </w:t>
      </w:r>
    </w:p>
    <w:p w:rsidR="0017648C" w:rsidP="00402A28" w14:paraId="0069343D" w14:textId="77777777">
      <w:r>
        <w:t xml:space="preserve">Revize zásob strategických surovin kriticky významných pro ekonomiku EU je předmětem nové bilance již několik let. Předpokládá se, v souladu s přechodem na nízkouhlíkovou ekonomiku a při snaze dosáhnout klimatické neutrality do roku 2050, že se budou měnit požadavky na znalost horninového prostředí, orientaci na nové suroviny a tím měnící se vlivy těžby a zahlazování následků těžby na životní prostředí. </w:t>
      </w:r>
    </w:p>
    <w:p w:rsidR="0017648C" w:rsidP="0017648C" w14:paraId="5F05A96D" w14:textId="77777777">
      <w:pPr>
        <w:rPr>
          <w:rFonts w:ascii="Calibri" w:hAnsi="Calibri" w:cs="Calibri"/>
        </w:rPr>
      </w:pPr>
    </w:p>
    <w:p w:rsidR="0017648C" w:rsidP="0017648C" w14:paraId="7741AD50" w14:textId="274095D4">
      <w:pPr>
        <w:rPr>
          <w:rFonts w:cstheme="minorHAnsi"/>
        </w:rPr>
      </w:pPr>
      <w:r w:rsidRPr="00F31AEE">
        <w:rPr>
          <w:rFonts w:cstheme="minorHAnsi"/>
        </w:rPr>
        <w:t>Výzkum v oblasti nerostných surovin (kromě environmentálních aspektů) byl v 90. letech utlumen, v poslední době nabyl na významu. Je nutné dále rozšířit stávající znalostní základnu, aplikovat nové výzkumné a</w:t>
      </w:r>
      <w:r w:rsidR="0013289E">
        <w:rPr>
          <w:rFonts w:cstheme="minorHAnsi"/>
        </w:rPr>
        <w:t> </w:t>
      </w:r>
      <w:r w:rsidRPr="00F31AEE">
        <w:rPr>
          <w:rFonts w:cstheme="minorHAnsi"/>
        </w:rPr>
        <w:t>úpravárenské metody, soustředit se na výzkum zdrojů nerostných surovin moderní doby, jako jsou např. prvky vzácných zemin, bateriové kovy (lithium, kobalt, s</w:t>
      </w:r>
      <w:r>
        <w:rPr>
          <w:rFonts w:cstheme="minorHAnsi"/>
        </w:rPr>
        <w:t>k</w:t>
      </w:r>
      <w:r w:rsidRPr="00F31AEE">
        <w:rPr>
          <w:rFonts w:cstheme="minorHAnsi"/>
        </w:rPr>
        <w:t>andium</w:t>
      </w:r>
      <w:r>
        <w:rPr>
          <w:rFonts w:cstheme="minorHAnsi"/>
        </w:rPr>
        <w:t>)</w:t>
      </w:r>
      <w:r w:rsidRPr="00F31AEE">
        <w:rPr>
          <w:rFonts w:cstheme="minorHAnsi"/>
        </w:rPr>
        <w:t xml:space="preserve"> a na nerostné suroviny, které byly pro EU označeny za kritické (CRM) a významné</w:t>
      </w:r>
      <w:r>
        <w:rPr>
          <w:rFonts w:cstheme="minorHAnsi"/>
        </w:rPr>
        <w:t>,</w:t>
      </w:r>
      <w:r w:rsidRPr="00F31AEE">
        <w:rPr>
          <w:rFonts w:cstheme="minorHAnsi"/>
        </w:rPr>
        <w:t xml:space="preserve"> </w:t>
      </w:r>
      <w:r>
        <w:rPr>
          <w:rFonts w:cstheme="minorHAnsi"/>
        </w:rPr>
        <w:t>a to</w:t>
      </w:r>
      <w:r w:rsidRPr="00F31AEE">
        <w:rPr>
          <w:rFonts w:cstheme="minorHAnsi"/>
        </w:rPr>
        <w:t xml:space="preserve"> včetně surovin každodenního využití, jako např. kaolín, vápenec, živcové suroviny, stavební suroviny (kamenivo, štěrkopísky aj</w:t>
      </w:r>
      <w:r>
        <w:rPr>
          <w:rFonts w:cstheme="minorHAnsi"/>
        </w:rPr>
        <w:t>.</w:t>
      </w:r>
      <w:r w:rsidRPr="00F31AEE">
        <w:rPr>
          <w:rFonts w:cstheme="minorHAnsi"/>
        </w:rPr>
        <w:t>) a další. Tyto výzkumy jsou úzce spjaty s</w:t>
      </w:r>
      <w:r>
        <w:rPr>
          <w:rFonts w:cstheme="minorHAnsi"/>
        </w:rPr>
        <w:t> </w:t>
      </w:r>
      <w:r w:rsidRPr="00F31AEE">
        <w:rPr>
          <w:rFonts w:cstheme="minorHAnsi"/>
        </w:rPr>
        <w:t>regionální</w:t>
      </w:r>
      <w:r>
        <w:rPr>
          <w:rFonts w:cstheme="minorHAnsi"/>
        </w:rPr>
        <w:t>m</w:t>
      </w:r>
      <w:r w:rsidRPr="00F31AEE">
        <w:rPr>
          <w:rFonts w:cstheme="minorHAnsi"/>
        </w:rPr>
        <w:t xml:space="preserve"> geologický</w:t>
      </w:r>
      <w:r>
        <w:rPr>
          <w:rFonts w:cstheme="minorHAnsi"/>
        </w:rPr>
        <w:t>m</w:t>
      </w:r>
      <w:r w:rsidRPr="00F31AEE">
        <w:rPr>
          <w:rFonts w:cstheme="minorHAnsi"/>
        </w:rPr>
        <w:t xml:space="preserve"> výzkum</w:t>
      </w:r>
      <w:r>
        <w:rPr>
          <w:rFonts w:cstheme="minorHAnsi"/>
        </w:rPr>
        <w:t>em</w:t>
      </w:r>
      <w:r w:rsidRPr="00F31AEE">
        <w:rPr>
          <w:rFonts w:cstheme="minorHAnsi"/>
        </w:rPr>
        <w:t>, vizualizac</w:t>
      </w:r>
      <w:r>
        <w:rPr>
          <w:rFonts w:cstheme="minorHAnsi"/>
        </w:rPr>
        <w:t>í</w:t>
      </w:r>
      <w:r w:rsidRPr="00F31AEE">
        <w:rPr>
          <w:rFonts w:cstheme="minorHAnsi"/>
        </w:rPr>
        <w:t xml:space="preserve"> hlubší stavby zemské kůry a svrchního pláště, a</w:t>
      </w:r>
      <w:r>
        <w:rPr>
          <w:rFonts w:cstheme="minorHAnsi"/>
        </w:rPr>
        <w:t> </w:t>
      </w:r>
      <w:r w:rsidRPr="00F31AEE">
        <w:rPr>
          <w:rFonts w:cstheme="minorHAnsi"/>
        </w:rPr>
        <w:t>porozumění endogenním procesům, které formovaly naši planetu v geologické minulosti a</w:t>
      </w:r>
      <w:r>
        <w:rPr>
          <w:rFonts w:cstheme="minorHAnsi"/>
        </w:rPr>
        <w:t> </w:t>
      </w:r>
      <w:r w:rsidRPr="00F31AEE">
        <w:rPr>
          <w:rFonts w:cstheme="minorHAnsi"/>
        </w:rPr>
        <w:t>současnosti.</w:t>
      </w:r>
    </w:p>
    <w:p w:rsidR="0017648C" w:rsidRPr="008C001E" w:rsidP="0017648C" w14:paraId="2DA2C1D0" w14:textId="21143451">
      <w:pPr>
        <w:rPr>
          <w:rFonts w:cstheme="minorHAnsi"/>
        </w:rPr>
      </w:pPr>
      <w:r>
        <w:rPr>
          <w:rFonts w:ascii="Calibri" w:hAnsi="Calibri" w:cs="Calibri"/>
        </w:rPr>
        <w:t>Zvláštní pozornost je třeba věnovat kolektorům s podzemními vodami. Podzemní vody slouží v ČR zejména k</w:t>
      </w:r>
      <w:r w:rsidR="0013289E">
        <w:rPr>
          <w:rFonts w:ascii="Calibri" w:hAnsi="Calibri" w:cs="Calibri"/>
        </w:rPr>
        <w:t> </w:t>
      </w:r>
      <w:r>
        <w:rPr>
          <w:rFonts w:ascii="Calibri" w:hAnsi="Calibri" w:cs="Calibri"/>
        </w:rPr>
        <w:t>zásobování obyvatelstva pitnou vodou (cca 1/2 pitné vody), ale jsou využívány i v dalších sektorech hospodářství. Využívání přírodních zdrojů jako nezbytné vstupní suroviny pro jejich průmyslové zpracování a</w:t>
      </w:r>
      <w:r w:rsidR="0013289E">
        <w:rPr>
          <w:rFonts w:ascii="Calibri" w:hAnsi="Calibri" w:cs="Calibri"/>
        </w:rPr>
        <w:t> </w:t>
      </w:r>
      <w:r>
        <w:rPr>
          <w:rFonts w:ascii="Calibri" w:hAnsi="Calibri" w:cs="Calibri"/>
        </w:rPr>
        <w:t>následnou výrobu produktů (energie, látky, kovy, keramické materiály apod.) je nutné v dnešní době při stále klesajícím trendu jejich dostupnosti koordinovat. Důležité je zejména využití druhotných surovin nahrazujících suroviny přírodní a současně nalézání nejlepších alternativ umožňujících zvýšit účinnost využití nebo úplnou jejich náhradu jiným alternativním technologickým způsobem. Strategický rámec Cirkulární Česko 2040 je hlavní oporou výzkumu v této oblasti.</w:t>
      </w:r>
    </w:p>
    <w:p w:rsidR="0017648C" w:rsidP="00402A28" w14:paraId="7A89CFDA" w14:textId="77777777">
      <w:pPr>
        <w:pStyle w:val="Stejncl"/>
      </w:pPr>
      <w:r w:rsidRPr="00AD7396">
        <w:rPr>
          <w:rStyle w:val="Zelentun"/>
        </w:rPr>
        <w:t>Stěžejní cíl 1.5:</w:t>
      </w:r>
      <w:r>
        <w:t xml:space="preserve"> Efektivní využívání surovinové základny ČR s využitím alternativních surovin při minimálních negativních vlivech těžby na životní prostředí</w:t>
      </w:r>
    </w:p>
    <w:p w:rsidR="0017648C" w:rsidRPr="005A1FC4" w:rsidP="00402A28" w14:paraId="260D8CF6" w14:textId="427E3608">
      <w:pPr>
        <w:pStyle w:val="Heading3"/>
      </w:pPr>
      <w:r>
        <w:t>1.5.1</w:t>
      </w:r>
      <w:r>
        <w:tab/>
      </w:r>
      <w:r w:rsidRPr="005A1FC4">
        <w:t>Posílení udržitelnosti zásobování nerostnými surovinami a obnovitelnými zdroji včetně využití odpadů po těžbě a zpracování a výzkumu nových úpravárenských technologií</w:t>
      </w:r>
    </w:p>
    <w:p w:rsidR="0017648C" w:rsidRPr="00402A28" w:rsidP="00402A28" w14:paraId="2E173A6D" w14:textId="555EDD61">
      <w:r w:rsidRPr="00402A28">
        <w:t>V souladu s evropskými oběhovými cíli a s cíli využití nerostných surovin a kriticky strategických surovin jde o</w:t>
      </w:r>
      <w:r w:rsidR="0013289E">
        <w:t> </w:t>
      </w:r>
      <w:r w:rsidRPr="00402A28">
        <w:t xml:space="preserve">posílení udržitelnosti zásobování nerostnými surovinami při minimálních negativních vlivech těžby na životní prostředí, zvyšování účinnosti těžby a využití primárních nerostných surovin a odpadů po jejich těžbě a zpracování (nové technologické postupy a inovace výrobků pro snížení materiálové a energetické náročnosti). S tím souvisí také posilování surovinové bezpečnosti. Důraz je kladen na také na výzkum historických i aktuálních těžebních aktivit a jejich dopadů na krajinu a horninové prostředí, na zahlazování následků těžby a na potenciál využití prostorů a ploch po těžbě s ohledem na stále větší význam biodiverzity a získávání OZE, vč. využití geotermálních zdrojů a </w:t>
      </w:r>
      <w:r w:rsidRPr="00402A28">
        <w:t>geoenergií</w:t>
      </w:r>
      <w:r w:rsidRPr="00402A28">
        <w:t xml:space="preserve">. </w:t>
      </w:r>
    </w:p>
    <w:p w:rsidR="0017648C" w:rsidRPr="005A1FC4" w:rsidP="00402A28" w14:paraId="6192E778" w14:textId="4F0A1A45">
      <w:pPr>
        <w:pStyle w:val="Heading3"/>
      </w:pPr>
      <w:r>
        <w:t>1.5.2</w:t>
      </w:r>
      <w:r>
        <w:tab/>
      </w:r>
      <w:r w:rsidRPr="005A1FC4">
        <w:t>Využití přírodních procesů v rámci rekultivace krajiny ovlivněné těžbou</w:t>
      </w:r>
    </w:p>
    <w:p w:rsidR="0017648C" w:rsidRPr="0065283F" w:rsidP="00402A28" w14:paraId="5BC6BE7C" w14:textId="6879AAE8">
      <w:r>
        <w:t>Jak je částečně uvedeno výše, v rámci probíhajících rekultivací je vhodné využívat přirozenou sukcesi míst ovlivněných těžbou a provádět dlouhodobý monitoring těchto oblastí. Využití přírodních procesů vede ke vzniku nových biotopů s vyšší biologickou rozmanitostí a vyšší odolností proti změně klimatu, než je tomu v případě celé řady cíleně prováděných rekultivací.</w:t>
      </w:r>
      <w:r w:rsidR="00346D9B">
        <w:t xml:space="preserve"> </w:t>
      </w:r>
    </w:p>
    <w:p w:rsidR="0017648C" w:rsidRPr="005A1FC4" w:rsidP="00402A28" w14:paraId="2B9DD5DF" w14:textId="5B3D53E5">
      <w:pPr>
        <w:pStyle w:val="Heading3"/>
      </w:pPr>
      <w:r>
        <w:t>1.5.3</w:t>
      </w:r>
      <w:r>
        <w:tab/>
      </w:r>
      <w:r w:rsidRPr="005A1FC4">
        <w:t xml:space="preserve">Prohloubení znalostí o surovinovém potenciálu ČR a jeho zákonitostech v návaznosti na regionální geologický výzkum včetně zhodnocení potenciálu využití kritických, strategických a energetických surovin, vč. výzkumu </w:t>
      </w:r>
      <w:r w:rsidRPr="005A1FC4">
        <w:t>geo</w:t>
      </w:r>
      <w:r>
        <w:t>e</w:t>
      </w:r>
      <w:r w:rsidRPr="005A1FC4">
        <w:t>nergií</w:t>
      </w:r>
      <w:r w:rsidRPr="005A1FC4">
        <w:t xml:space="preserve"> a jejich potenciálu</w:t>
      </w:r>
    </w:p>
    <w:p w:rsidR="0017648C" w:rsidP="00402A28" w14:paraId="06111299" w14:textId="77777777">
      <w:r>
        <w:t>V návaznosti na EU strategické dokumenty (EIP, SIP) a řešená témata Horizontu Evropa je třeba prohlubovat znalosti o zákonitostech distribuce potencionálních surovinových zdrojů ve větších hloubkách zemské kůry, s využitím softwarových a simulačních nástrojů upřesnit prostorovou dispozici potenciálních ložiskových těles, špičkovými analytickými a fyzikálními metodami upřesnit materiálové, strukturní a texturní vlastnosti nerostných zdrojů pro optimální a ekologické úpravárenské procesy s minimální zátěží životního prostředí. Pro tyto nové surovinové zdroje je třeba zajistit odpovídající územní ochranu.</w:t>
      </w:r>
      <w:r w:rsidRPr="0065283F">
        <w:t xml:space="preserve"> </w:t>
      </w:r>
      <w:r>
        <w:t xml:space="preserve">Metodicky bude i nadále podporován </w:t>
      </w:r>
      <w:r w:rsidRPr="0065283F">
        <w:t xml:space="preserve">výzkum </w:t>
      </w:r>
      <w:r>
        <w:t>obecných podmínek využitelnosti surovinového potenciálu, úpravárenských technologií a výzkum komplexního využití odpadů z těžby a úpravy nerostných surovin se zřetelem na snižování vlivu těchto ekologických zátěží na krajinu.</w:t>
      </w:r>
    </w:p>
    <w:p w:rsidR="0017648C" w:rsidP="00402A28" w14:paraId="0F71CF47" w14:textId="7DE2D419">
      <w:pPr>
        <w:pStyle w:val="Heading3"/>
      </w:pPr>
      <w:r>
        <w:t>1.5.4</w:t>
      </w:r>
      <w:r>
        <w:tab/>
      </w:r>
      <w:r w:rsidRPr="00F26824">
        <w:t>Výzkum historicky těžených oblastí a vývoj inovativních metod dokumentace a</w:t>
      </w:r>
      <w:r>
        <w:t> </w:t>
      </w:r>
      <w:r w:rsidRPr="00F26824">
        <w:t xml:space="preserve">analýz založených na využití metod dálkového průzkumu Země, GIS a metod umělé inteligence, vyhodnocování potenciálu obnovy území po těžbě nerostných surovin s důrazem na zachování a obnovu přírodních hodnot a ekosystémových funkcí území </w:t>
      </w:r>
    </w:p>
    <w:p w:rsidR="0017648C" w:rsidP="00402A28" w14:paraId="7EF55E64" w14:textId="77777777">
      <w:pPr>
        <w:rPr>
          <w:u w:val="single"/>
        </w:rPr>
      </w:pPr>
      <w:r>
        <w:t xml:space="preserve">Historicky těžené oblasti představují na jedné straně potenciální rizika kontaminací a nestability území, na druhé straně však představují v řadě případů velmi zajímavé biotopy s unikátní květenou a faunou. Mohou se nacházet v některém z národních geoparků anebo </w:t>
      </w:r>
      <w:r w:rsidRPr="0065283F">
        <w:t xml:space="preserve">často představují i unikátní, dosud neevidované technické památky a významné geologické </w:t>
      </w:r>
      <w:r>
        <w:t>lokality mimo tato území</w:t>
      </w:r>
      <w:r w:rsidRPr="0065283F">
        <w:t xml:space="preserve">. </w:t>
      </w:r>
      <w:r>
        <w:t xml:space="preserve">Pro vyhodnocení těchto území a posouzení jejich ochrany v krajině je nutný koordinovaný interdisciplinární výzkum, který představuje specializovaná archivní studia, geologický, montanistický, botanický, zoologický a krajinářský terénní výzkum, pro něž je třeba standardizovat metodické postupy. Na podkladě jejich doporučení pak mohou správní orgány kvalifikovaně rozhodovat o využití dotčených lokalit, např. pro rozvoj OZE, vzdělávání, cestovní ruch apod. DPZ v kombinaci s interdisciplinárními terénními a laboratorními metodami </w:t>
      </w:r>
      <w:r w:rsidRPr="0065283F">
        <w:t xml:space="preserve">dává zvláště užitečné informace o krajinných souvislostech, pro </w:t>
      </w:r>
      <w:r>
        <w:t xml:space="preserve">dokumentaci </w:t>
      </w:r>
      <w:r w:rsidRPr="0065283F">
        <w:t xml:space="preserve">a sledování znečištění povrchových </w:t>
      </w:r>
      <w:r>
        <w:t>a podzemních vod v důsledku těžby, sedání výsypek, modelování poklesů terénu atp.</w:t>
      </w:r>
    </w:p>
    <w:p w:rsidR="0017648C" w:rsidRPr="00F26824" w:rsidP="00402A28" w14:paraId="14923835" w14:textId="6ED7153B">
      <w:pPr>
        <w:pStyle w:val="Heading3"/>
      </w:pPr>
      <w:r>
        <w:t>1.5.5</w:t>
      </w:r>
      <w:r>
        <w:tab/>
      </w:r>
      <w:r w:rsidRPr="00F26824">
        <w:t xml:space="preserve">Využití odpadů a druhotných surovin, ukládání energetických zdrojů do geologických struktur, zavádění principů cirkulární ekonomiky pro hmotové toky v ekonomice </w:t>
      </w:r>
    </w:p>
    <w:p w:rsidR="0017648C" w:rsidP="0017648C" w14:paraId="62D052FE" w14:textId="77777777">
      <w:pPr>
        <w:rPr>
          <w:rFonts w:ascii="Calibri" w:hAnsi="Calibri" w:cs="Calibri"/>
        </w:rPr>
      </w:pPr>
      <w:r>
        <w:rPr>
          <w:rFonts w:ascii="Calibri" w:hAnsi="Calibri" w:cs="Calibri"/>
        </w:rPr>
        <w:t>Oběhové hospodářství je dlouhodobým strategickým konceptem řady klíčových politik Evropské unie. Klade si za cíl udržet hodnotu výrobků, materiálů a zdrojů co nejdéle v ekonomickém cyklu a po ukončení jejich životnosti je upravit na vstupní suroviny pro další výrobu. Tím se omezí vznik odpadu a spotřeba primárních nerostných surovin a energie ve výrobním procesu minimalizují se tak dopady na životní prostředí v důsledku těžby a technologií zpracování surovin, výroby a spotřeby a ukončení životnosti produktů.</w:t>
      </w:r>
    </w:p>
    <w:p w:rsidR="0017648C" w:rsidP="0017648C" w14:paraId="6D0CD1B5" w14:textId="77D512E2">
      <w:pPr>
        <w:rPr>
          <w:rFonts w:ascii="Calibri" w:hAnsi="Calibri" w:cs="Calibri"/>
        </w:rPr>
      </w:pPr>
      <w:r>
        <w:rPr>
          <w:rFonts w:ascii="Calibri" w:hAnsi="Calibri" w:cs="Calibri"/>
        </w:rPr>
        <w:t xml:space="preserve">Vhodným nástrojem je materiálový design, kterým by měl začínat životní cyklus každého produktu. Změna současného lineárního způsobu zacházení se zdroji na cyklický znamená opětovně využít výrobky s ukončenou životností, prodlužovat jejich životnost, a následně recyklovat na vstupní suroviny pro další výrobu. Efektivita recyklace je ovlivněna řadou faktorů, mezi které patří zejména technologická úroveň zpracovatelské infrastruktury, legislativní prostředí, poptávka po kvalitních recyklátech a akceptace výrobků s obsahem recyklátů/druhotných surovin spotřebiteli. Znovuvyužití výrobků, jejich opravitelnost a náhrada </w:t>
      </w:r>
      <w:r>
        <w:rPr>
          <w:rFonts w:ascii="Calibri" w:hAnsi="Calibri" w:cs="Calibri"/>
        </w:rPr>
        <w:t>surovin, jejichž zpracování má vysokou uhlíkovou stopu surovinami méně zatěžujícími životní prostředí a</w:t>
      </w:r>
      <w:r w:rsidR="0013289E">
        <w:rPr>
          <w:rFonts w:ascii="Calibri" w:hAnsi="Calibri" w:cs="Calibri"/>
        </w:rPr>
        <w:t> </w:t>
      </w:r>
      <w:r>
        <w:rPr>
          <w:rFonts w:ascii="Calibri" w:hAnsi="Calibri" w:cs="Calibri"/>
        </w:rPr>
        <w:t xml:space="preserve">klima jsou velkými tématy cirkulární ekonomiky. </w:t>
      </w:r>
    </w:p>
    <w:p w:rsidR="0017648C" w:rsidRPr="00F26824" w:rsidP="00AD7396" w14:paraId="6F0FC387" w14:textId="4CFB58C8">
      <w:pPr>
        <w:pStyle w:val="Heading3"/>
      </w:pPr>
      <w:r>
        <w:t>1.5.6</w:t>
      </w:r>
      <w:r>
        <w:tab/>
      </w:r>
      <w:r w:rsidRPr="00F26824">
        <w:t xml:space="preserve">Rozvoj </w:t>
      </w:r>
      <w:r w:rsidRPr="00F26824">
        <w:t>bioekonomiky</w:t>
      </w:r>
      <w:r w:rsidRPr="00F26824">
        <w:t xml:space="preserve"> a obnovitelných energetických surovin</w:t>
      </w:r>
    </w:p>
    <w:p w:rsidR="00AD7396" w:rsidP="00AD7396" w14:paraId="19AB6242" w14:textId="4240CEBD">
      <w:pPr>
        <w:sectPr w:rsidSect="009F0F2E">
          <w:headerReference w:type="default" r:id="rId9"/>
          <w:pgSz w:w="11906" w:h="16838"/>
          <w:pgMar w:top="1701" w:right="1134" w:bottom="1134" w:left="1134" w:header="709" w:footer="567" w:gutter="0"/>
          <w:cols w:space="708"/>
          <w:docGrid w:linePitch="360"/>
        </w:sectPr>
      </w:pPr>
      <w:r>
        <w:t xml:space="preserve">Novým směrem v cirkulární ekonomice je </w:t>
      </w:r>
      <w:r>
        <w:t>bioekonomika</w:t>
      </w:r>
      <w:r>
        <w:t xml:space="preserve"> (biohospodářství), které má potenciál stát se nástrojem pro zajištění udržitelného hospodaření s přírodními zdroji, udržitelné zemědělství, lesnictví, vodní hospodářství a akvakulturu, udržitelnou produkci potravin a krmiv a posílení úlohy primárních producentů a</w:t>
      </w:r>
      <w:r w:rsidR="0013289E">
        <w:t> </w:t>
      </w:r>
      <w:r>
        <w:t xml:space="preserve">jejich integrace do hodnotového řetězce biohospodářství, stejně tak na straně lesnictví zapojení celého hodnotového řetězce navazujících odvětví. Základní charakteristikou </w:t>
      </w:r>
      <w:r>
        <w:t>bioekonomiky</w:t>
      </w:r>
      <w:r>
        <w:t xml:space="preserve"> je orientace na obnovitelné zdroje a jejich využití nejen v oblastech produkce potravin a zemědělské produkce, ale i v oblasti průmyslu a zdravotnictví. Dochází k úspoře primárních neobnovitelných zdrojů, nižší produkci skleníkových plynů, a to při </w:t>
      </w:r>
      <w:r w:rsidRPr="00725E7A">
        <w:t xml:space="preserve">současném zachování udržitelného rozvoje (pozn. </w:t>
      </w:r>
      <w:r>
        <w:t>v</w:t>
      </w:r>
      <w:r w:rsidRPr="00725E7A">
        <w:t xml:space="preserve">íce viz Udržitelná </w:t>
      </w:r>
      <w:r w:rsidRPr="00725E7A">
        <w:t>bioekonomie</w:t>
      </w:r>
      <w:r w:rsidRPr="00725E7A">
        <w:t xml:space="preserve"> pro Evropu (2018)</w:t>
      </w:r>
      <w:r>
        <w:t xml:space="preserve"> – A Sustainable </w:t>
      </w:r>
      <w:r>
        <w:t>Bioeconomy</w:t>
      </w:r>
      <w:r>
        <w:t xml:space="preserve"> </w:t>
      </w:r>
      <w:r>
        <w:t>for</w:t>
      </w:r>
      <w:r>
        <w:t xml:space="preserve"> </w:t>
      </w:r>
      <w:r>
        <w:t>Europe</w:t>
      </w:r>
      <w:r>
        <w:t xml:space="preserve">: </w:t>
      </w:r>
      <w:r>
        <w:t>strengthening</w:t>
      </w:r>
      <w:r>
        <w:t xml:space="preserve"> </w:t>
      </w:r>
      <w:r>
        <w:t>the</w:t>
      </w:r>
      <w:r>
        <w:t xml:space="preserve"> </w:t>
      </w:r>
      <w:r>
        <w:t>connection</w:t>
      </w:r>
      <w:r>
        <w:t xml:space="preserve"> </w:t>
      </w:r>
      <w:r>
        <w:t>between</w:t>
      </w:r>
      <w:r>
        <w:t xml:space="preserve"> </w:t>
      </w:r>
      <w:r>
        <w:t>economy</w:t>
      </w:r>
      <w:r>
        <w:t xml:space="preserve">, society and </w:t>
      </w:r>
      <w:r>
        <w:t>the</w:t>
      </w:r>
      <w:r>
        <w:t xml:space="preserve"> </w:t>
      </w:r>
      <w:r>
        <w:t>environment</w:t>
      </w:r>
      <w:r>
        <w:t xml:space="preserve">, rovněž Národní RIS3). Výzkum v této oblasti dává mimořádné příležitosti pro šetrné hospodaření v krajině, získávání zdrojů OZE, potravinovou bezpečnost a jistou soběstačnost. Zvyšuje tak </w:t>
      </w:r>
      <w:r>
        <w:t>resilienci</w:t>
      </w:r>
      <w:r>
        <w:t xml:space="preserve"> České republiky, metody a technologie dosahování co největší </w:t>
      </w:r>
      <w:r>
        <w:t>resilience</w:t>
      </w:r>
      <w:r>
        <w:t xml:space="preserve"> jsou však výzvou pro aplikovaný výzkum.</w:t>
      </w:r>
    </w:p>
    <w:p w:rsidR="0017648C" w:rsidRPr="00105A97" w:rsidP="00AD7396" w14:paraId="431E8375" w14:textId="77777777">
      <w:pPr>
        <w:pStyle w:val="Heading1"/>
      </w:pPr>
      <w:bookmarkStart w:id="21" w:name="_Toc106130000"/>
      <w:bookmarkStart w:id="22" w:name="_Toc256000006"/>
      <w:r w:rsidRPr="00105A97">
        <w:t>Oblast 2: Globální změny</w:t>
      </w:r>
      <w:bookmarkEnd w:id="22"/>
      <w:bookmarkEnd w:id="21"/>
    </w:p>
    <w:p w:rsidR="0017648C" w:rsidRPr="00651AB1" w:rsidP="00AD7396" w14:paraId="6E80D4F5" w14:textId="77777777">
      <w:pPr>
        <w:pStyle w:val="Heading2"/>
        <w:rPr>
          <w:rFonts w:ascii="Calibri" w:hAnsi="Calibri" w:cs="Calibri"/>
          <w:b w:val="0"/>
          <w:i/>
          <w:iCs/>
          <w:color w:val="000000" w:themeColor="text1"/>
        </w:rPr>
      </w:pPr>
      <w:bookmarkStart w:id="23" w:name="_Toc106130001"/>
      <w:bookmarkStart w:id="24" w:name="_Toc256000007"/>
      <w:r w:rsidRPr="00105A97">
        <w:t xml:space="preserve">Podoblast 2.1 </w:t>
      </w:r>
      <w:bookmarkStart w:id="25" w:name="_Toc437859925"/>
      <w:r w:rsidRPr="00105A97">
        <w:t xml:space="preserve">Metody </w:t>
      </w:r>
      <w:r w:rsidRPr="00105A97">
        <w:t>mitigace</w:t>
      </w:r>
      <w:r w:rsidRPr="00105A97">
        <w:t xml:space="preserve"> a adaptace na globální, regionální a lokální změny</w:t>
      </w:r>
      <w:bookmarkEnd w:id="25"/>
      <w:r w:rsidRPr="00105A97">
        <w:t xml:space="preserve"> klimatu</w:t>
      </w:r>
      <w:bookmarkEnd w:id="24"/>
      <w:bookmarkEnd w:id="23"/>
    </w:p>
    <w:p w:rsidR="0017648C" w:rsidRPr="0065283F" w:rsidP="00AD7396" w14:paraId="669FED1A" w14:textId="5EB33BF3">
      <w:r>
        <w:t>Mitigace</w:t>
      </w:r>
      <w:r>
        <w:t xml:space="preserve"> představují opatření na zmírnění očekávaného negativního průběhu globální změny klimatu, adaptace opatření na zmírnění důsledků změny klimatu v konkrétních podmínkách jednotlivých sektorů v ČR. Obojí typ opatření předpokládá základní porozumění příčinám a současnému průběhu změny klimatu a</w:t>
      </w:r>
      <w:r w:rsidR="0013289E">
        <w:t> </w:t>
      </w:r>
      <w:r>
        <w:t>předpokládanému vývoji do budoucna, proto je třeba se dlouhodobě zabývat klimatologií</w:t>
      </w:r>
      <w:r w:rsidRPr="00435BA0">
        <w:t xml:space="preserve">, včetně udržování a rozšiřování klimatického záznamu ČR, </w:t>
      </w:r>
      <w:r>
        <w:t>a paleoklimatologií.</w:t>
      </w:r>
      <w:r w:rsidR="00346D9B">
        <w:t xml:space="preserve"> </w:t>
      </w:r>
      <w:r>
        <w:t xml:space="preserve">Předmětem výzkumu ve střednědobém horizontu by pak měla být zejména konkrétní holistická řešení problematiky </w:t>
      </w:r>
      <w:r>
        <w:t>mitigace</w:t>
      </w:r>
      <w:r>
        <w:t xml:space="preserve"> a</w:t>
      </w:r>
      <w:r w:rsidR="0013289E">
        <w:t> </w:t>
      </w:r>
      <w:r>
        <w:t>adaptace na změnu klimatu. Globální změny jsou úzce spojeny s geologickým vývojem. Nezbytným podkladem pro paleoklimatologické studie je detailní znalost exogenních procesů jako je zvětrávání a endogenních procesů reprezentovaných především vulkanickou činností.</w:t>
      </w:r>
      <w:r w:rsidRPr="0065283F">
        <w:t xml:space="preserve"> </w:t>
      </w:r>
    </w:p>
    <w:p w:rsidR="0017648C" w:rsidP="00AD7396" w14:paraId="69AEA509" w14:textId="77777777">
      <w:pPr>
        <w:pStyle w:val="Stejncl"/>
        <w:spacing w:before="100" w:after="100"/>
      </w:pPr>
      <w:r w:rsidRPr="00AD7396">
        <w:rPr>
          <w:rStyle w:val="Zelentun"/>
        </w:rPr>
        <w:t>Stěžejní cíl 2.1:</w:t>
      </w:r>
      <w:r>
        <w:t xml:space="preserve"> Zavedení adaptačních a </w:t>
      </w:r>
      <w:r>
        <w:t>mitigačních</w:t>
      </w:r>
      <w:r>
        <w:t xml:space="preserve"> opatření v jednotlivých sektorech ČR s ohledem na udržitelný rozvoj společnosti, </w:t>
      </w:r>
      <w:r>
        <w:t>resilienci</w:t>
      </w:r>
      <w:r>
        <w:t xml:space="preserve"> a holistický přístup</w:t>
      </w:r>
    </w:p>
    <w:p w:rsidR="0017648C" w:rsidRPr="00AD7396" w:rsidP="00AD7396" w14:paraId="148D405E" w14:textId="77777777">
      <w:pPr>
        <w:rPr>
          <w:rStyle w:val="Zelentun"/>
        </w:rPr>
      </w:pPr>
      <w:r w:rsidRPr="00AD7396">
        <w:rPr>
          <w:rStyle w:val="Zelentun"/>
        </w:rPr>
        <w:t>Opatření:</w:t>
      </w:r>
    </w:p>
    <w:p w:rsidR="0017648C" w:rsidRPr="00A02276" w:rsidP="00AD7396" w14:paraId="18531702" w14:textId="4D6E1FD5">
      <w:pPr>
        <w:pStyle w:val="Heading3"/>
      </w:pPr>
      <w:r>
        <w:t>2.1.1</w:t>
      </w:r>
      <w:r>
        <w:tab/>
      </w:r>
      <w:r w:rsidRPr="00A02276">
        <w:t xml:space="preserve">Návrh adaptačních a </w:t>
      </w:r>
      <w:r w:rsidRPr="00A02276">
        <w:t>mitigačních</w:t>
      </w:r>
      <w:r w:rsidRPr="00A02276">
        <w:t xml:space="preserve"> opatření v jednotlivých sektorech hospodářství ČR a návrh nástrojů pro snižování a eliminaci emisí, zvyšování propadů GHG</w:t>
      </w:r>
    </w:p>
    <w:p w:rsidR="0017648C" w:rsidP="00AD7396" w14:paraId="77DA61FD" w14:textId="03733CBB">
      <w:r>
        <w:t>Na základě analýzy možných opatření směřující k adaptaci na probíhající i předpokládané změny klimatu v</w:t>
      </w:r>
      <w:r w:rsidR="0013289E">
        <w:t> </w:t>
      </w:r>
      <w:r>
        <w:t xml:space="preserve">jednotlivých sektorech (energetika, zemědělství, lesnictví, vodní hospodářství, ochrana ovzduší, doprava, domácnosti) i průřezově, posouzení dostupných nástrojů, a především s využitím digitalizace jako průřezového nástroje inovativních řešení budou zpracovávány návrhy koncepčních řešení v jednotlivých sektorech národního hospodářství a v segmentech společnosti. K tomu bude podporován výzkum a vývoj nových </w:t>
      </w:r>
      <w:r>
        <w:t>mitigačních</w:t>
      </w:r>
      <w:r>
        <w:t xml:space="preserve"> technik a technologií </w:t>
      </w:r>
      <w:r w:rsidRPr="00435BA0">
        <w:t>zaměřených nejen na snižování emisí, ale i na zlepšování stavu ekosystémů schopných vázat uhlík</w:t>
      </w:r>
      <w:r>
        <w:t xml:space="preserve">. Adaptační opatření zahrnují jak primární adaptační opatření (přímá adaptace na důsledky změny klimatu), tak i sekundární adaptační opatření (adaptace na důsledky přijatých </w:t>
      </w:r>
      <w:r>
        <w:t>mitigačních</w:t>
      </w:r>
      <w:r>
        <w:t xml:space="preserve"> opatření, adaptace na dopady adaptačního opatření v jednom sektoru do sektorů ostatních).</w:t>
      </w:r>
    </w:p>
    <w:p w:rsidR="0017648C" w:rsidP="00AD7396" w14:paraId="07D7D155" w14:textId="77777777">
      <w:r>
        <w:t>V souladu se Strategií přizpůsobení se změně klimatu v podmínkách ČR by se výzkum v oblasti adaptace na změnu klimatu měl soustředit na několik základních výzkumných celků a získané výsledky důsledně promítat do příslušných strategií na národní i mezinárodní úrovni:</w:t>
      </w:r>
    </w:p>
    <w:p w:rsidR="0017648C" w:rsidRPr="00AD7396" w:rsidP="00AD7396" w14:paraId="7D86551C" w14:textId="74739033">
      <w:pPr>
        <w:pStyle w:val="ListParagraph"/>
      </w:pPr>
      <w:r w:rsidRPr="00AD7396">
        <w:t>Vývoj inovativních metod sledování a hodnocení stavu atmosféry založených na využití dálkového průzkumu Země</w:t>
      </w:r>
      <w:r w:rsidRPr="00AD7396">
        <w:rPr>
          <w:rFonts w:eastAsia="Calibri"/>
        </w:rPr>
        <w:t xml:space="preserve"> a zpracování informací metodami strojového učení a umělé inteligence,</w:t>
      </w:r>
      <w:r w:rsidRPr="00AD7396" w:rsidR="00346D9B">
        <w:t xml:space="preserve"> </w:t>
      </w:r>
    </w:p>
    <w:p w:rsidR="0017648C" w:rsidRPr="00AD7396" w:rsidP="00AD7396" w14:paraId="257C0BF5" w14:textId="77777777">
      <w:pPr>
        <w:pStyle w:val="ListParagraph"/>
      </w:pPr>
      <w:r w:rsidRPr="00AD7396">
        <w:t>modelování scénářů změny klimatu pro středoevropský region a národní území,</w:t>
      </w:r>
    </w:p>
    <w:p w:rsidR="0017648C" w:rsidRPr="00AD7396" w:rsidP="00AD7396" w14:paraId="22E3885A" w14:textId="11C7B773">
      <w:pPr>
        <w:pStyle w:val="ListParagraph"/>
      </w:pPr>
      <w:r w:rsidRPr="00AD7396">
        <w:t>modelování dopadů změny klimatu na sociální a ekonomické systémy a vývoj adaptačních opatření a</w:t>
      </w:r>
      <w:r w:rsidR="0013289E">
        <w:t> </w:t>
      </w:r>
      <w:r w:rsidRPr="00AD7396">
        <w:t xml:space="preserve">mechanismů, </w:t>
      </w:r>
    </w:p>
    <w:p w:rsidR="0017648C" w:rsidRPr="00AD7396" w:rsidP="00AD7396" w14:paraId="0DF2B014" w14:textId="77777777">
      <w:pPr>
        <w:pStyle w:val="ListParagraph"/>
      </w:pPr>
      <w:r w:rsidRPr="00AD7396">
        <w:t>výzkum a modelování dopadů změny klimatu na vodní režim, ekosystémy a </w:t>
      </w:r>
      <w:r w:rsidRPr="00AD7396">
        <w:t>agroekosystémy</w:t>
      </w:r>
      <w:r w:rsidRPr="00AD7396">
        <w:t>,</w:t>
      </w:r>
    </w:p>
    <w:p w:rsidR="0017648C" w:rsidRPr="00AD7396" w:rsidP="00AD7396" w14:paraId="32599867" w14:textId="77777777">
      <w:pPr>
        <w:pStyle w:val="ListParagraph"/>
      </w:pPr>
      <w:r w:rsidRPr="00AD7396">
        <w:t>sledování a zkoumání klimatických extrémů včetně jejich dopadů na společnost v regionálním, národním i globálním kontextu,</w:t>
      </w:r>
    </w:p>
    <w:p w:rsidR="0017648C" w:rsidRPr="00AD7396" w:rsidP="00AD7396" w14:paraId="3238768B" w14:textId="77777777">
      <w:pPr>
        <w:pStyle w:val="ListParagraph"/>
      </w:pPr>
      <w:r w:rsidRPr="00AD7396">
        <w:t xml:space="preserve">výzkum a inovace v predikci extrémních jevů počasí, které doprovázejí změnu klimatu, a které mají významný </w:t>
      </w:r>
      <w:r w:rsidRPr="00AD7396">
        <w:t>socio</w:t>
      </w:r>
      <w:r w:rsidRPr="00AD7396">
        <w:t>-ekonomický dopad,</w:t>
      </w:r>
    </w:p>
    <w:p w:rsidR="0017648C" w:rsidRPr="00AD7396" w:rsidP="00AD7396" w14:paraId="3B288525" w14:textId="56969A14">
      <w:pPr>
        <w:pStyle w:val="ListParagraph"/>
      </w:pPr>
      <w:r w:rsidRPr="00AD7396">
        <w:t xml:space="preserve">výzkum metod směřujících ke snížení zranitelnosti společnosti a zvýšení její odolnosti vůči klimatickým extrémům, přírodním rizikům včetně využití poznatků ze studia vývoje </w:t>
      </w:r>
      <w:r w:rsidRPr="00AD7396">
        <w:t>paleoklimatu</w:t>
      </w:r>
      <w:r w:rsidRPr="00AD7396">
        <w:t xml:space="preserve"> a biodiverzity v</w:t>
      </w:r>
      <w:r w:rsidR="0013289E">
        <w:t> </w:t>
      </w:r>
      <w:r w:rsidRPr="00AD7396">
        <w:t>geologické historii</w:t>
      </w:r>
    </w:p>
    <w:p w:rsidR="0017648C" w:rsidRPr="00AD7396" w:rsidP="00AD7396" w14:paraId="1C889D55" w14:textId="77777777">
      <w:pPr>
        <w:pStyle w:val="ListParagraph"/>
      </w:pPr>
      <w:r w:rsidRPr="00AD7396">
        <w:t xml:space="preserve">výzkum v oblasti environmentální bezpečnosti, </w:t>
      </w:r>
    </w:p>
    <w:p w:rsidR="0017648C" w:rsidRPr="00AD7396" w:rsidP="00AD7396" w14:paraId="400884E5" w14:textId="77777777">
      <w:pPr>
        <w:pStyle w:val="ListParagraph"/>
      </w:pPr>
      <w:r w:rsidRPr="00AD7396">
        <w:t xml:space="preserve">odhady počtu lidí postižených variabilitou klimatu na základě simulace klimatických modelů (regionální, národní úroveň), </w:t>
      </w:r>
    </w:p>
    <w:p w:rsidR="0017648C" w:rsidRPr="00AD7396" w:rsidP="00AD7396" w14:paraId="21DF15D1" w14:textId="77777777">
      <w:pPr>
        <w:pStyle w:val="ListParagraph"/>
      </w:pPr>
      <w:r w:rsidRPr="00AD7396">
        <w:t>ekonomická analýza a vyhodnocení přínosu adaptačních opatření ve vybraných sektorech hospodářství a vývoj a aplikace metod pro volbu optimální kombinace těchto opatření,</w:t>
      </w:r>
    </w:p>
    <w:p w:rsidR="0017648C" w:rsidRPr="00AD7396" w:rsidP="00AD7396" w14:paraId="0654B77D" w14:textId="77777777">
      <w:pPr>
        <w:pStyle w:val="ListParagraph"/>
      </w:pPr>
      <w:r w:rsidRPr="00AD7396">
        <w:t>analýza a vyhodnocení negativních externích efektů souvisejících se změnou klimatu a jejich internalizace při navrhování vhodných opatření,</w:t>
      </w:r>
    </w:p>
    <w:p w:rsidR="0017648C" w:rsidRPr="00AD7396" w:rsidP="00AD7396" w14:paraId="7B0FF19A" w14:textId="77777777">
      <w:pPr>
        <w:pStyle w:val="ListParagraph"/>
      </w:pPr>
      <w:r w:rsidRPr="00AD7396">
        <w:t>problematika ekosystémových služeb (metodika, systém hodnocení).</w:t>
      </w:r>
    </w:p>
    <w:p w:rsidR="0017648C" w:rsidP="00AD7396" w14:paraId="02B161EC" w14:textId="77777777">
      <w:r>
        <w:t xml:space="preserve">V oblasti </w:t>
      </w:r>
      <w:r>
        <w:t>mitigace</w:t>
      </w:r>
      <w:r>
        <w:t xml:space="preserve"> by se výzkum měl, v souladu s relevantními strategickými dokumenty, zaměřit na: </w:t>
      </w:r>
    </w:p>
    <w:p w:rsidR="0017648C" w:rsidRPr="00827792" w:rsidP="00AD7396" w14:paraId="6A0649C9" w14:textId="77777777">
      <w:pPr>
        <w:pStyle w:val="ListParagraph"/>
      </w:pPr>
      <w:r w:rsidRPr="00827792">
        <w:t>výzkum a vývoj efektivních nástrojů a opatření ke snižování emisí skleníkových plynů, a to s ohledem na měření uhlíkové stopy v celém životním cyklu daného produktu a</w:t>
      </w:r>
      <w:r>
        <w:t> </w:t>
      </w:r>
      <w:r w:rsidRPr="00827792">
        <w:t xml:space="preserve">využití metody design </w:t>
      </w:r>
      <w:r w:rsidRPr="00827792">
        <w:t>thinking</w:t>
      </w:r>
      <w:r w:rsidRPr="00827792">
        <w:t xml:space="preserve"> při jejich navrhování</w:t>
      </w:r>
      <w:r>
        <w:t>,</w:t>
      </w:r>
    </w:p>
    <w:p w:rsidR="0017648C" w:rsidRPr="00827792" w:rsidP="00AD7396" w14:paraId="0E49A6ED" w14:textId="77777777">
      <w:pPr>
        <w:pStyle w:val="ListParagraph"/>
      </w:pPr>
      <w:r>
        <w:t xml:space="preserve">měření, verifikaci, </w:t>
      </w:r>
      <w:r w:rsidRPr="00827792">
        <w:t>modelování a tvorbu scénářů v oblasti snižování emisí skleníkových plynů</w:t>
      </w:r>
      <w:r>
        <w:t>,</w:t>
      </w:r>
    </w:p>
    <w:p w:rsidR="0017648C" w:rsidRPr="00827792" w:rsidP="00AD7396" w14:paraId="3A9582BA" w14:textId="77777777">
      <w:pPr>
        <w:pStyle w:val="ListParagraph"/>
      </w:pPr>
      <w:r w:rsidRPr="00827792">
        <w:t>zpřesňování metodik pro tvorbu odhadů emisí skleníkových plynů</w:t>
      </w:r>
      <w:r>
        <w:t>,</w:t>
      </w:r>
    </w:p>
    <w:p w:rsidR="0017648C" w:rsidRPr="00F31AEE" w:rsidP="00AD7396" w14:paraId="14C4EEFE" w14:textId="77777777">
      <w:pPr>
        <w:pStyle w:val="ListParagraph"/>
      </w:pPr>
      <w:r w:rsidRPr="00F31AEE">
        <w:t>vyhodnocení možné systematické prevence mimořádných událostí</w:t>
      </w:r>
      <w:r>
        <w:t>,</w:t>
      </w:r>
    </w:p>
    <w:p w:rsidR="0017648C" w:rsidRPr="00F31AEE" w:rsidP="00AD7396" w14:paraId="62113C72" w14:textId="77777777">
      <w:pPr>
        <w:pStyle w:val="ListParagraph"/>
        <w:rPr>
          <w:sz w:val="24"/>
          <w:szCs w:val="24"/>
        </w:rPr>
      </w:pPr>
      <w:r>
        <w:rPr>
          <w:sz w:val="24"/>
          <w:szCs w:val="24"/>
        </w:rPr>
        <w:t>r</w:t>
      </w:r>
      <w:r w:rsidRPr="00F31AEE">
        <w:rPr>
          <w:sz w:val="24"/>
          <w:szCs w:val="24"/>
        </w:rPr>
        <w:t>ozvoj výzkumu, vývoje a inovací pro potřeby orgánů krizového řízení, složek IZS a ochrany obyvatelstva a životního prostředí</w:t>
      </w:r>
      <w:r>
        <w:rPr>
          <w:sz w:val="24"/>
          <w:szCs w:val="24"/>
        </w:rPr>
        <w:t>,</w:t>
      </w:r>
    </w:p>
    <w:p w:rsidR="0017648C" w:rsidRPr="00F31AEE" w:rsidP="00AD7396" w14:paraId="4A48C7C4" w14:textId="77777777">
      <w:pPr>
        <w:pStyle w:val="ListParagraph"/>
        <w:rPr>
          <w:sz w:val="24"/>
          <w:szCs w:val="24"/>
        </w:rPr>
      </w:pPr>
      <w:r>
        <w:rPr>
          <w:sz w:val="24"/>
          <w:szCs w:val="24"/>
        </w:rPr>
        <w:t>v</w:t>
      </w:r>
      <w:r w:rsidRPr="00F31AEE">
        <w:rPr>
          <w:sz w:val="24"/>
          <w:szCs w:val="24"/>
        </w:rPr>
        <w:t>yhodnocování zkušeností z minulých mimořádných událostí a krizových situací u</w:t>
      </w:r>
      <w:r>
        <w:rPr>
          <w:sz w:val="24"/>
          <w:szCs w:val="24"/>
        </w:rPr>
        <w:t> </w:t>
      </w:r>
      <w:r w:rsidRPr="00F31AEE">
        <w:rPr>
          <w:sz w:val="24"/>
          <w:szCs w:val="24"/>
        </w:rPr>
        <w:t>nás i ve světě</w:t>
      </w:r>
      <w:r>
        <w:rPr>
          <w:sz w:val="24"/>
          <w:szCs w:val="24"/>
        </w:rPr>
        <w:t>,</w:t>
      </w:r>
    </w:p>
    <w:p w:rsidR="0017648C" w:rsidRPr="00F31AEE" w:rsidP="00AD7396" w14:paraId="652488B0" w14:textId="77777777">
      <w:pPr>
        <w:pStyle w:val="ListParagraph"/>
      </w:pPr>
      <w:r>
        <w:t>v</w:t>
      </w:r>
      <w:r w:rsidRPr="00F31AEE">
        <w:t xml:space="preserve">ývoj a aplikace nových nízkouhlíkových technologií. </w:t>
      </w:r>
    </w:p>
    <w:p w:rsidR="0017648C" w:rsidRPr="00A02276" w:rsidP="00AD7396" w14:paraId="7C98D462" w14:textId="73CDD07B">
      <w:pPr>
        <w:pStyle w:val="Heading3"/>
      </w:pPr>
      <w:r>
        <w:t>2.1.2</w:t>
      </w:r>
      <w:r>
        <w:tab/>
      </w:r>
      <w:r w:rsidRPr="00A02276">
        <w:t>Klimatologie, paleoklimatologie, ekosystémová opatření v globální změně</w:t>
      </w:r>
      <w:r>
        <w:t xml:space="preserve"> klimatu</w:t>
      </w:r>
      <w:r w:rsidRPr="00A02276">
        <w:t>, modelování endogenních a exogenních geologických procesů</w:t>
      </w:r>
    </w:p>
    <w:p w:rsidR="0017648C" w:rsidP="00AD7396" w14:paraId="64607B76" w14:textId="77777777">
      <w:r w:rsidRPr="00435BA0">
        <w:t xml:space="preserve">Ochrana ekosystémů napomáhá propadům skleníkových plynů. </w:t>
      </w:r>
      <w:r>
        <w:t xml:space="preserve">Lesy ponechané samovolnému vývoji jako indikátory vlivu globální změny klimatu na fungování ekosystému lesa jsou jen jednou z možností, jak studovat změny, které pro přírodu, krajinu a jejich jednotlivé segmenty přináší globální změna klimatu. </w:t>
      </w:r>
      <w:r w:rsidRPr="00DC6615">
        <w:rPr>
          <w:rFonts w:cstheme="minorHAnsi"/>
        </w:rPr>
        <w:t xml:space="preserve">Výzkum lesních ekosystémů a jejich produkčních i mimoprodukčních funkcí v podmínkách probíhající změny klimatu je důležitým předpokladem pro dlouhodobě udržitelné lesní hospodaření a </w:t>
      </w:r>
      <w:r>
        <w:rPr>
          <w:rFonts w:cstheme="minorHAnsi"/>
        </w:rPr>
        <w:t xml:space="preserve">zvýšené </w:t>
      </w:r>
      <w:r w:rsidRPr="00DC6615">
        <w:rPr>
          <w:rFonts w:cstheme="minorHAnsi"/>
        </w:rPr>
        <w:t>ukládání uhlíku.</w:t>
      </w:r>
      <w:r>
        <w:rPr>
          <w:rFonts w:cstheme="minorHAnsi"/>
        </w:rPr>
        <w:t xml:space="preserve"> </w:t>
      </w:r>
      <w:r>
        <w:t xml:space="preserve">Dlouhodobý výzkum v oblasti klimatologie a paleoklimatologie je nutným předpokladem pro rozvoj scénářů vývoje změny klimatu, k poskytování základní orientace pro střednědobý výzkum zejména v oblasti </w:t>
      </w:r>
      <w:r>
        <w:t>mitigace</w:t>
      </w:r>
      <w:r>
        <w:t>.</w:t>
      </w:r>
      <w:r w:rsidRPr="005B4C72">
        <w:t xml:space="preserve"> </w:t>
      </w:r>
      <w:r w:rsidRPr="00E34010">
        <w:t>Žádoucí je rozvoj a testování dalších metod a přístupů (např. dendrochronologie</w:t>
      </w:r>
      <w:r>
        <w:t>/</w:t>
      </w:r>
      <w:r w:rsidRPr="00E34010">
        <w:t>dendroklimatologie</w:t>
      </w:r>
      <w:r w:rsidRPr="00E34010">
        <w:t xml:space="preserve"> či DPZ a strojové učení využívajíc</w:t>
      </w:r>
      <w:r>
        <w:t>í</w:t>
      </w:r>
      <w:r w:rsidRPr="00E34010">
        <w:t xml:space="preserve"> existujících časových řad) pro studium druhově specifické odezvy lesních ekosystémů na změny klimatu a identifikace odolnějších populací dřevin pro různé (a měnící se) podmínky prostředí.</w:t>
      </w:r>
    </w:p>
    <w:p w:rsidR="0017648C" w:rsidRPr="008C7CAF" w:rsidP="00AD7396" w14:paraId="4F40B26E" w14:textId="5DA8C914">
      <w:pPr>
        <w:pStyle w:val="Heading3"/>
      </w:pPr>
      <w:r>
        <w:t>2.1.3</w:t>
      </w:r>
      <w:r>
        <w:tab/>
      </w:r>
      <w:r w:rsidRPr="008C7CAF">
        <w:t>Výzkum možností CCUS (</w:t>
      </w:r>
      <w:r w:rsidRPr="008C7CAF">
        <w:t>carbon</w:t>
      </w:r>
      <w:r w:rsidRPr="008C7CAF">
        <w:t xml:space="preserve"> </w:t>
      </w:r>
      <w:r w:rsidRPr="008C7CAF">
        <w:t>capture</w:t>
      </w:r>
      <w:r w:rsidRPr="008C7CAF">
        <w:t xml:space="preserve">, </w:t>
      </w:r>
      <w:r w:rsidRPr="008C7CAF">
        <w:t>utilisation</w:t>
      </w:r>
      <w:r w:rsidRPr="008C7CAF">
        <w:t xml:space="preserve"> and </w:t>
      </w:r>
      <w:r w:rsidRPr="008C7CAF">
        <w:t>storage</w:t>
      </w:r>
      <w:r>
        <w:t xml:space="preserve"> </w:t>
      </w:r>
      <w:r w:rsidRPr="00062456">
        <w:t>– zachycování, využití a</w:t>
      </w:r>
      <w:r w:rsidR="0013289E">
        <w:t> </w:t>
      </w:r>
      <w:r w:rsidRPr="00062456">
        <w:t>skladování uhlíku</w:t>
      </w:r>
      <w:r w:rsidRPr="008C7CAF">
        <w:t>) a omezení dalších skleníkových plynů</w:t>
      </w:r>
    </w:p>
    <w:p w:rsidR="0017648C" w:rsidP="00AD7396" w14:paraId="1CEEB2E5" w14:textId="6BFB498A">
      <w:r>
        <w:t>Významným tématem v rámci problematiky globální změny je nakládání s oxidem uhličitým. Hlavním směrem výzkumu dnes však není způsob ukládání uhlíku v geologických strukturách, ale jeho znovuvyužití tak, aby nakládání s uhlíkem přinášelo ekonomický profit místo nákladu na ukládání (CCS). Zároveň je však třeba i</w:t>
      </w:r>
      <w:r w:rsidR="0013289E">
        <w:t> </w:t>
      </w:r>
      <w:r>
        <w:t>nadále hledat možnosti uložení uhlíku např. v prostorách vytěžených ložisek uhlovodíků. Přitom je však nezbytné pamatovat nejen na ochranu podzemních vod, ale i možnost zneužití ukládání CO</w:t>
      </w:r>
      <w:r w:rsidRPr="00C605E1">
        <w:rPr>
          <w:vertAlign w:val="subscript"/>
        </w:rPr>
        <w:t>2</w:t>
      </w:r>
      <w:r>
        <w:t xml:space="preserve"> ke zvýšení výtěžnosti stále užívaných ložisek zejména zemního plynu.</w:t>
      </w:r>
      <w:r w:rsidR="00346D9B">
        <w:t xml:space="preserve"> </w:t>
      </w:r>
      <w:r>
        <w:t>Pozornost se stále více zaměřuje také na další skleníkové plyny, zejména metan (viz EU strategie nakládání s metanem), a to nejen na jeho využití jako energetického zdroje, tj. jímání, vtlačování do plynových soustav atd., ale také jeho prevenci, např. v zemědělství (krmiva pro dobytek, nakládání s hnojivy</w:t>
      </w:r>
      <w:r w:rsidRPr="0065283F">
        <w:t xml:space="preserve"> </w:t>
      </w:r>
      <w:r>
        <w:t xml:space="preserve">a pod). Obě zde uvedené oblasti jsou vysoce perspektivní jak z hlediska orientovaného výzkumu, tak z hlediska vytváření </w:t>
      </w:r>
      <w:r>
        <w:t>byznysových</w:t>
      </w:r>
      <w:r>
        <w:t xml:space="preserve"> příležitostí. </w:t>
      </w:r>
    </w:p>
    <w:p w:rsidR="0017648C" w:rsidRPr="008C7CAF" w:rsidP="00AD7396" w14:paraId="35B20967" w14:textId="3C5A2171">
      <w:pPr>
        <w:pStyle w:val="Heading3"/>
      </w:pPr>
      <w:r>
        <w:t>2.1.4</w:t>
      </w:r>
      <w:r>
        <w:tab/>
      </w:r>
      <w:r w:rsidRPr="008C7CAF">
        <w:t xml:space="preserve">Studium </w:t>
      </w:r>
      <w:r w:rsidRPr="008C7CAF">
        <w:t>geofaktorů</w:t>
      </w:r>
      <w:r w:rsidRPr="008C7CAF">
        <w:t xml:space="preserve"> životního prostředí s cílem prevence a </w:t>
      </w:r>
      <w:r>
        <w:t>omezování</w:t>
      </w:r>
      <w:r w:rsidRPr="008C7CAF">
        <w:t xml:space="preserve"> dopadů globální změny a jejich vlivů na rozvoj společnosti</w:t>
      </w:r>
    </w:p>
    <w:p w:rsidR="0017648C" w:rsidP="00AD7396" w14:paraId="77F4A7E5" w14:textId="77777777">
      <w:r>
        <w:t xml:space="preserve">Studium </w:t>
      </w:r>
      <w:r>
        <w:t>geofaktorů</w:t>
      </w:r>
      <w:r>
        <w:t xml:space="preserve"> životního prostředí je důležitým předpokladem k minimalizaci rizik a potenciálních dopadů změny klimatu. Problematika vzniku a vývoje svahových pohybů je určována složitou interakcí mezi extrémními klimatologickými situacemi, geologickou stavbou území, geomorfologií terénu i lidskou činností. Výzkum povodňových událostí a navržení opatření k nápravě škod z povodní je rovněž důležitou součástí tohoto tématu. Radonové riziko geologického podloží pak přímo ovlivňuje radiační expozici obyvatelstva. Význam řešení problematiky výskytu radonu v geologickém podloží spočívá mimo jiné i v interdisciplinární návaznosti na sledování koncentrací radonu v pitné vodě a ve stavebních materiálech. Důležitou součástí aktivit v oblasti </w:t>
      </w:r>
      <w:r>
        <w:t>geofaktorů</w:t>
      </w:r>
      <w:r>
        <w:t xml:space="preserve"> životního prostředí je jejich dokumentace a výzkum </w:t>
      </w:r>
      <w:r>
        <w:t>geohazardů</w:t>
      </w:r>
      <w:r>
        <w:t xml:space="preserve"> včetně kategorizace rizik v regionálním i lokálním měřítku, tvorba portálu </w:t>
      </w:r>
      <w:r>
        <w:t>geohazardů</w:t>
      </w:r>
      <w:r>
        <w:t xml:space="preserve"> pro odbornou i laickou veřejnost je příležitostí pro zainteresování veřejnosti na složité problematice změny klimatu. </w:t>
      </w:r>
      <w:r w:rsidRPr="00F31AEE">
        <w:rPr>
          <w:rFonts w:cstheme="minorHAnsi"/>
        </w:rPr>
        <w:t xml:space="preserve">Nedílnou součástí bude </w:t>
      </w:r>
      <w:r>
        <w:rPr>
          <w:rFonts w:cstheme="minorHAnsi"/>
        </w:rPr>
        <w:t>stálé sledování/</w:t>
      </w:r>
      <w:r w:rsidRPr="00F31AEE">
        <w:rPr>
          <w:rFonts w:cstheme="minorHAnsi"/>
        </w:rPr>
        <w:t xml:space="preserve">pravidelný monitoring nejvíce nebezpečných svahových deformací a dalších rizikových </w:t>
      </w:r>
      <w:r w:rsidRPr="00F31AEE">
        <w:rPr>
          <w:rFonts w:cstheme="minorHAnsi"/>
        </w:rPr>
        <w:t>geofaktorů</w:t>
      </w:r>
      <w:r w:rsidRPr="00F31AEE">
        <w:rPr>
          <w:rFonts w:cstheme="minorHAnsi"/>
        </w:rPr>
        <w:t>.</w:t>
      </w:r>
    </w:p>
    <w:p w:rsidR="0017648C" w:rsidRPr="006C04FF" w:rsidP="00AD7396" w14:paraId="67F9A8EB" w14:textId="77777777">
      <w:pPr>
        <w:pStyle w:val="Heading2"/>
        <w:rPr>
          <w:rFonts w:ascii="Calibri" w:hAnsi="Calibri" w:cs="Calibri"/>
          <w:b w:val="0"/>
          <w:bCs w:val="0"/>
          <w:color w:val="auto"/>
        </w:rPr>
      </w:pPr>
      <w:bookmarkStart w:id="26" w:name="_Toc474389308"/>
      <w:bookmarkStart w:id="27" w:name="_Toc437859926"/>
      <w:bookmarkStart w:id="28" w:name="_Toc106130002"/>
      <w:bookmarkStart w:id="29" w:name="_Toc256000008"/>
      <w:r w:rsidRPr="00105A97">
        <w:t>Podoblast 2.2: Biogeochemické cykly dusíku a fosforu</w:t>
      </w:r>
      <w:bookmarkEnd w:id="29"/>
      <w:bookmarkEnd w:id="26"/>
      <w:bookmarkEnd w:id="27"/>
      <w:bookmarkEnd w:id="28"/>
      <w:r w:rsidRPr="006C04FF">
        <w:rPr>
          <w:rFonts w:ascii="Calibri" w:hAnsi="Calibri" w:cs="Calibri"/>
          <w:color w:val="auto"/>
        </w:rPr>
        <w:t xml:space="preserve"> </w:t>
      </w:r>
    </w:p>
    <w:p w:rsidR="0017648C" w:rsidP="00AD7396" w14:paraId="6C0C680B" w14:textId="77777777">
      <w:r>
        <w:t>Cykly dusíku (N) a fosforu (P) jsou úzce propojeny s cyklem uhlíku (C) a významným způsobem tak ovlivňují obsah CO</w:t>
      </w:r>
      <w:r>
        <w:rPr>
          <w:vertAlign w:val="subscript"/>
        </w:rPr>
        <w:t>2</w:t>
      </w:r>
      <w:r>
        <w:t xml:space="preserve"> v atmosféře a následně i klima. Schopnost suchozemských ekosystémů dlouhodobě vázat CO</w:t>
      </w:r>
      <w:r>
        <w:rPr>
          <w:vertAlign w:val="subscript"/>
        </w:rPr>
        <w:t>2</w:t>
      </w:r>
      <w:r>
        <w:t xml:space="preserve"> ve formě organického C je obecně limitována dostupností N a P a rychlostí mineralizace vytvořené organické hmoty. Tvorba zásob C v rostlinné biomase a půdě, které jsou nezbytným předpokladem dlouhodobého vázání CO</w:t>
      </w:r>
      <w:r>
        <w:rPr>
          <w:vertAlign w:val="subscript"/>
        </w:rPr>
        <w:t>2</w:t>
      </w:r>
      <w:r>
        <w:t xml:space="preserve"> tak závisí na využitelném množství těchto prvků. Na druhé straně ztráty N a P z terestrických ekosystémů jsou zdrojem druhotných problémů v dalších složkách životního prostředí. Navíc oba prvky představují strategickou živinu pro zemědělskou produkci, což platí zejména v případě P, neboť ČR nemá vlastní zdroje apatitových minerálů a bude i nadále odkázána na dovoz. Dosud známé světové zásoby těžitelných apatitů pro výrobu hnojiv se rychle tenčí a ceny této suroviny rostou. Z ekologického a v budoucnu zjevně i ekonomického hlediska je proto nezbytné minimalizovat ztráty živin ze zemědělských půd. Schopnost terestrických ekosystémů dlouhodobě poutat C, jakož i míra ztrát N a P, rovněž úzce souvisí se způsoby obhospodařování půd, které ovlivňuje míru její mineralizace, a péčí o krajinu, tj. se způsoby orby, rozsahem a stavem melioračních systémů a revitalizačními opatřeními (protierozní pásy, mokřady, nivy) atd. Optimalizace dostupnosti N a P v životním prostředí z hlediska maximální fixace CO</w:t>
      </w:r>
      <w:r>
        <w:rPr>
          <w:vertAlign w:val="subscript"/>
        </w:rPr>
        <w:t>2</w:t>
      </w:r>
      <w:r>
        <w:t xml:space="preserve">, maximálního výnosu </w:t>
      </w:r>
      <w:r>
        <w:t xml:space="preserve">zemědělského sektoru a za současné minimalizace jejich ztrát mj. v kalech z ČOV proto představuje hlavní prioritu, kterou má řešit tato kapitola. </w:t>
      </w:r>
    </w:p>
    <w:p w:rsidR="0017648C" w:rsidP="00AD7396" w14:paraId="2FC78C59" w14:textId="50D8E7FA">
      <w:r>
        <w:t>V průběhu 20. století byla v důsledku různých typů lidských aktivit mobilizována značná množství N a P, což způsobilo řádové zvýšení úrovně jejich toků ve srovnání s přirozenými cykly. Toto antropogenní ovlivnění cyklů N a P je v současnosti relativně vyšší než ovlivnění cyklu uhlíku a případě obou prvků vede zejména ke zvýšené mobilizaci jejich reaktivních forem (</w:t>
      </w:r>
      <w:r>
        <w:t>Nr</w:t>
      </w:r>
      <w:r>
        <w:t xml:space="preserve"> a </w:t>
      </w:r>
      <w:r>
        <w:t>Pr</w:t>
      </w:r>
      <w:r>
        <w:t xml:space="preserve">), které zásadním způsobem (většinou negativně) ovlivňují produktivitu terestrických a vodních ekosystémů. Současnými hlavními zdroji </w:t>
      </w:r>
      <w:r>
        <w:t>Nr</w:t>
      </w:r>
      <w:r>
        <w:t xml:space="preserve"> a </w:t>
      </w:r>
      <w:r>
        <w:t>Pr</w:t>
      </w:r>
      <w:r>
        <w:t xml:space="preserve"> v ČR jsou emise ze spalovacích procesů a zemědělství do atmosféry (</w:t>
      </w:r>
      <w:r>
        <w:t>Nr</w:t>
      </w:r>
      <w:r>
        <w:t>), hnojení zemědělské půdy, intenzivní produkce ryb v</w:t>
      </w:r>
      <w:r w:rsidR="0013289E">
        <w:t> </w:t>
      </w:r>
      <w:r>
        <w:t>rybnících a komunální znečištění (</w:t>
      </w:r>
      <w:r>
        <w:t>Nr</w:t>
      </w:r>
      <w:r>
        <w:t xml:space="preserve">, </w:t>
      </w:r>
      <w:r>
        <w:t>Pr</w:t>
      </w:r>
      <w:r>
        <w:t>) a detergenty a eroze půd (</w:t>
      </w:r>
      <w:r>
        <w:t>Pr</w:t>
      </w:r>
      <w:r>
        <w:t>). Tato mobilizace živin má za následek také jejich zvýšený export do ovzduší a do vod, kde působí silně negativně (pěstování určitých typů surovin pro biopaliva může tento problém ještě více akcelerovat). Výsledkem jsou nevratné ztráty živin z půd a</w:t>
      </w:r>
      <w:r w:rsidR="0013289E">
        <w:t> </w:t>
      </w:r>
      <w:r>
        <w:t xml:space="preserve">zvýšená eutrofizace povrchových vod. K té nadále významně přispívá vypouštění </w:t>
      </w:r>
      <w:r>
        <w:t>Nr</w:t>
      </w:r>
      <w:r>
        <w:t xml:space="preserve"> a </w:t>
      </w:r>
      <w:r>
        <w:t>Pr</w:t>
      </w:r>
      <w:r>
        <w:t xml:space="preserve"> z komunálních zdrojů. </w:t>
      </w:r>
    </w:p>
    <w:p w:rsidR="0017648C" w:rsidP="00AD7396" w14:paraId="1FA8F234" w14:textId="77777777">
      <w:r>
        <w:t xml:space="preserve">Hlavní dopady na životní prostředí: </w:t>
      </w:r>
    </w:p>
    <w:p w:rsidR="0017648C" w:rsidRPr="00AD7396" w:rsidP="00AD7396" w14:paraId="22E974CB" w14:textId="6A8A2F8A">
      <w:pPr>
        <w:pStyle w:val="ListParagraph"/>
      </w:pPr>
      <w:r w:rsidRPr="00AD7396">
        <w:t>Limitace živinami a jejich nevhodný poměr v půdě neumožňuje dlouhodobé vázání C. Společně s</w:t>
      </w:r>
      <w:r w:rsidR="0013289E">
        <w:t> </w:t>
      </w:r>
      <w:r w:rsidRPr="00AD7396">
        <w:t xml:space="preserve">nevhodným způsobem obhospodařování a zvýšenou mineralizací zásob půdní organické hmoty může být příčinou závažného poklesu bonity zemědělských půd a zvýšených emisí CO2 do atmosféry. </w:t>
      </w:r>
    </w:p>
    <w:p w:rsidR="0017648C" w:rsidRPr="00AD7396" w:rsidP="00AD7396" w14:paraId="713257D3" w14:textId="77777777">
      <w:pPr>
        <w:pStyle w:val="ListParagraph"/>
      </w:pPr>
      <w:r w:rsidRPr="00AD7396">
        <w:t xml:space="preserve">Emise </w:t>
      </w:r>
      <w:r w:rsidRPr="00AD7396">
        <w:t>Nr</w:t>
      </w:r>
      <w:r w:rsidRPr="00AD7396">
        <w:t xml:space="preserve"> do atmosféry přispívají ke zvyšování koncentrace skleníkových plynů, zhoršují znečištění přízemní vrstvy ozónem a působí acidifikaci půd a vod v citlivých horských oblastech, jejich rostoucí dusíkovou saturaci (spojenou se zvýšenými koncentracemi dusičnanů a toxických forem hliníku ve vodách a půdních roztocích) a v níže položených oblastech pak zejména zvýšené koncentrace dusičnanů v pitných a povrchových vodách. </w:t>
      </w:r>
    </w:p>
    <w:p w:rsidR="0017648C" w:rsidRPr="00AD7396" w:rsidP="00AD7396" w14:paraId="33602FD1" w14:textId="2DEC6500">
      <w:pPr>
        <w:pStyle w:val="ListParagraph"/>
      </w:pPr>
      <w:r w:rsidRPr="00AD7396">
        <w:t xml:space="preserve">Únik živin do povrchových vod spojený s jejich neefektivním využitím v půdách, rychlým odtokem vody z půd a zvýšenou erozí, působí silně negativně zvýšené koncentrace, zejména </w:t>
      </w:r>
      <w:r w:rsidRPr="00AD7396">
        <w:t>Pr</w:t>
      </w:r>
      <w:r w:rsidRPr="00AD7396">
        <w:t>, vyvolávají eutrofizaci a</w:t>
      </w:r>
      <w:r w:rsidR="0013289E">
        <w:t> </w:t>
      </w:r>
      <w:r w:rsidRPr="00AD7396">
        <w:t xml:space="preserve">sekundární organické znečištění vodních ekosystémů a tím jejich degradaci. Eutrofizace živinami při nízkém poměru N/P je spojená s rozvojem vodních květů sinic, které snižují možnosti využití vod pro rekreaci a jako zdrojů pitné vody. </w:t>
      </w:r>
    </w:p>
    <w:p w:rsidR="0017648C" w:rsidP="00AD7396" w14:paraId="6FA51B58" w14:textId="43E47230">
      <w:pPr>
        <w:pStyle w:val="Stejncl"/>
      </w:pPr>
      <w:r w:rsidRPr="00AD7396">
        <w:rPr>
          <w:rStyle w:val="Zelentun"/>
        </w:rPr>
        <w:t>Stěžejní cíl 2.2:</w:t>
      </w:r>
      <w:r>
        <w:t xml:space="preserve"> Optimalizace dostupnosti N a P v ekosystémech tak, aby bylo zajištěno dlouhodobé vázání C v půdách, a udržitelný rozvoj zemědělství a lesnictví při současném zlepšování kvality půd a</w:t>
      </w:r>
      <w:r w:rsidR="0013289E">
        <w:t> </w:t>
      </w:r>
      <w:r>
        <w:t>vod</w:t>
      </w:r>
    </w:p>
    <w:p w:rsidR="0017648C" w:rsidRPr="00AD7396" w:rsidP="00AD7396" w14:paraId="05263C54" w14:textId="77777777">
      <w:pPr>
        <w:rPr>
          <w:rStyle w:val="Zelentun"/>
        </w:rPr>
      </w:pPr>
      <w:r w:rsidRPr="00AD7396">
        <w:rPr>
          <w:rStyle w:val="Zelentun"/>
        </w:rPr>
        <w:t>Opatření:</w:t>
      </w:r>
    </w:p>
    <w:p w:rsidR="0017648C" w:rsidRPr="006C04FF" w:rsidP="00AD7396" w14:paraId="3BD1B6BC" w14:textId="22F36037">
      <w:pPr>
        <w:pStyle w:val="Heading3"/>
      </w:pPr>
      <w:r>
        <w:t>2.2.1</w:t>
      </w:r>
      <w:r>
        <w:tab/>
      </w:r>
      <w:r w:rsidRPr="006C04FF">
        <w:t>Optimalizace toků reaktivních forem dusíku a fosforu (</w:t>
      </w:r>
      <w:r w:rsidRPr="006C04FF">
        <w:t>Nr</w:t>
      </w:r>
      <w:r w:rsidRPr="006C04FF">
        <w:t xml:space="preserve"> a </w:t>
      </w:r>
      <w:r w:rsidRPr="006C04FF">
        <w:t>Pr</w:t>
      </w:r>
      <w:r w:rsidRPr="006C04FF">
        <w:t>)</w:t>
      </w:r>
    </w:p>
    <w:p w:rsidR="0017648C" w:rsidP="00AD7396" w14:paraId="21932A8A" w14:textId="77777777">
      <w:r>
        <w:t xml:space="preserve">Cílem v této oblasti je stanovit klíčové fyzikálně-chemické a biologické procesy odpovědné za odstraňování </w:t>
      </w:r>
      <w:r>
        <w:t>Nr</w:t>
      </w:r>
      <w:r>
        <w:t xml:space="preserve"> a </w:t>
      </w:r>
      <w:r>
        <w:t>Pr</w:t>
      </w:r>
      <w:r>
        <w:t xml:space="preserve"> z vody prosakující či protékající půdou ve všech typech terestrických ekosystémů a navrhnout opatření vedoucí k minimalizaci jejich ztrát. Rozvíjet metody udržitelného hospodaření v zemědělství, rybářství, lesnictví, čištění odpadních vod, druhotného využívání odpadů a minimalizaci emisí N ze stacionárních zdrojů a z dopravy do ovzduší. </w:t>
      </w:r>
    </w:p>
    <w:p w:rsidR="0017648C" w:rsidRPr="006C04FF" w:rsidP="00AD7396" w14:paraId="4720BC57" w14:textId="6EEADD93">
      <w:pPr>
        <w:pStyle w:val="Heading3"/>
      </w:pPr>
      <w:r>
        <w:t>2.2.2</w:t>
      </w:r>
      <w:r>
        <w:tab/>
      </w:r>
      <w:r w:rsidRPr="006C04FF">
        <w:t>Výzkum biogeochemických interakcí voda</w:t>
      </w:r>
      <w:r w:rsidR="00346D9B">
        <w:t>–</w:t>
      </w:r>
      <w:r w:rsidRPr="006C04FF">
        <w:t>hornina</w:t>
      </w:r>
      <w:r w:rsidR="00346D9B">
        <w:t>–</w:t>
      </w:r>
      <w:r w:rsidRPr="006C04FF">
        <w:t>vzduch a modelování kritických zátěží a</w:t>
      </w:r>
      <w:r w:rsidR="0013289E">
        <w:t> </w:t>
      </w:r>
      <w:r w:rsidRPr="006C04FF">
        <w:t>scénářů vývoje</w:t>
      </w:r>
    </w:p>
    <w:p w:rsidR="0017648C" w:rsidP="00AD7396" w14:paraId="10725437" w14:textId="77777777">
      <w:r>
        <w:t>Studium biogeochemických procesů v krajině se neobejde bez detailního výzkumu cyklů prvků v půdním prostředí a jejich toků na úrovni ekosystémů. Je proto třeba se soustavně věnovat zejména těmto tématům:</w:t>
      </w:r>
    </w:p>
    <w:p w:rsidR="0017648C" w:rsidRPr="00AD7396" w:rsidP="00AD7396" w14:paraId="0D156979" w14:textId="77777777">
      <w:pPr>
        <w:pStyle w:val="ListParagraph"/>
      </w:pPr>
      <w:r w:rsidRPr="00AD7396">
        <w:t>Srovnání biogeochemických (zásoby a toky prvků ekosystémem), biologických (mikrobiální společenstva) a biochemických (enzymatické aktivity) procesů v půdě porostů smrkového a bukového lesa, případně dalších typů lesů včetně lesů smíšených tvořených geograficky původními druhy.</w:t>
      </w:r>
    </w:p>
    <w:p w:rsidR="0017648C" w:rsidRPr="00AD7396" w:rsidP="00AD7396" w14:paraId="097BEFDF" w14:textId="77777777">
      <w:pPr>
        <w:pStyle w:val="ListParagraph"/>
      </w:pPr>
      <w:r w:rsidRPr="00AD7396">
        <w:t>Propojení biogeochemického a mikrobiálního výzkumu v lesních půdách – výzkum vztahu mezi chemickým složením půdních vod, mikrobiálním složením půd a respirací půdy.</w:t>
      </w:r>
    </w:p>
    <w:p w:rsidR="0017648C" w:rsidRPr="00AD7396" w:rsidP="00AD7396" w14:paraId="72ADF83A" w14:textId="77777777">
      <w:pPr>
        <w:pStyle w:val="ListParagraph"/>
      </w:pPr>
      <w:r w:rsidRPr="00AD7396">
        <w:t>Studium vlivu změny půdního pH a dostupnosti živin (C, N, P) na transformaci půdní organické hmoty.</w:t>
      </w:r>
    </w:p>
    <w:p w:rsidR="0017648C" w:rsidRPr="00AD7396" w:rsidP="00AD7396" w14:paraId="1718CE72" w14:textId="77777777">
      <w:pPr>
        <w:pStyle w:val="ListParagraph"/>
      </w:pPr>
      <w:r w:rsidRPr="00AD7396">
        <w:t>Kvantifikace koloběhu uhlíku v lesních ekosystémech se zaměřením na vliv atmosférické depozice na bilanci půdního uhlíku.</w:t>
      </w:r>
    </w:p>
    <w:p w:rsidR="0017648C" w:rsidRPr="00AD7396" w:rsidP="00AD7396" w14:paraId="2DB4AB2E" w14:textId="77777777">
      <w:pPr>
        <w:pStyle w:val="ListParagraph"/>
      </w:pPr>
      <w:r w:rsidRPr="00AD7396">
        <w:t>Experimentální sucho a jeho vliv na biogeochemii půd, mikrobiální společenstvo a fyziologii lesa.</w:t>
      </w:r>
    </w:p>
    <w:p w:rsidR="0017648C" w:rsidRPr="00AD7396" w:rsidP="00AD7396" w14:paraId="0717CD4B" w14:textId="77777777">
      <w:pPr>
        <w:pStyle w:val="ListParagraph"/>
      </w:pPr>
      <w:r w:rsidRPr="00AD7396">
        <w:t>Využití experimentálních výsledků pro zpřesnění kalibrací stávajících biogeochemických modelů.</w:t>
      </w:r>
    </w:p>
    <w:p w:rsidR="0017648C" w:rsidRPr="003951F3" w:rsidP="00AD7396" w14:paraId="0A41BB5B" w14:textId="77777777">
      <w:pPr>
        <w:pStyle w:val="Heading2"/>
        <w:rPr>
          <w:rFonts w:cs="Calibri"/>
          <w:b w:val="0"/>
          <w:iCs/>
          <w:sz w:val="24"/>
          <w:szCs w:val="24"/>
        </w:rPr>
      </w:pPr>
      <w:bookmarkStart w:id="30" w:name="_Toc106130003"/>
      <w:bookmarkStart w:id="31" w:name="_Toc256000009"/>
      <w:r w:rsidRPr="00105A97">
        <w:t>Podoblast 2.3 Nebezpečné látky v životním prostředí</w:t>
      </w:r>
      <w:bookmarkEnd w:id="31"/>
      <w:bookmarkEnd w:id="30"/>
    </w:p>
    <w:p w:rsidR="0017648C" w:rsidP="00AD7396" w14:paraId="16BD5ABE" w14:textId="464F3D33">
      <w:r>
        <w:t>Mezi globální změny lze zařadit také nakládání s látkami, které spadají pod mezinárodní úmluvy, neboť jsou globálním problémem ve smyslu možného přenosu v obchodním styku mezi zeměmi, přírodními procesy a</w:t>
      </w:r>
      <w:r w:rsidR="00471EF7">
        <w:t> </w:t>
      </w:r>
      <w:r>
        <w:t>v dalších oblastech.</w:t>
      </w:r>
    </w:p>
    <w:p w:rsidR="0017648C" w:rsidP="00AD7396" w14:paraId="62D4597F" w14:textId="325D2DD1">
      <w:r>
        <w:t>Zatížení životního prostředí persistentními organickými polutanty (</w:t>
      </w:r>
      <w:r>
        <w:t>POPs</w:t>
      </w:r>
      <w:r>
        <w:t xml:space="preserve">), těžkými kovy a dalšími nebezpečnými chemickými látkami patří k významným zdravotním i ekologickým rizikům. </w:t>
      </w:r>
      <w:r>
        <w:t>POPs</w:t>
      </w:r>
      <w:r>
        <w:t xml:space="preserve"> v prostředí jen velice obtížně degradují, setrvávají v životním prostředí řadu let, některé z nich jsou transportovány na dlouhé vzdálenosti. Ukládají se ve vodních sedimentech a postupně se hromadí v potravním řetězci. Vzhledem k tomu, že jsou málo rozpustné ve vodě a dobře rozpustné v tucích, jejich obsah v tukových tkáních organismů se zvyšuje v rámci potravního řetězce až o několik řádů. Mezi jejich nejvýznamnější nežádoucí zdravotní účinky patří poruchy reprodukce, ovlivnění hormonálních a imunitních funkcí a zvýšené riziko nádorových onemocnění. Některé </w:t>
      </w:r>
      <w:r>
        <w:t>POPs</w:t>
      </w:r>
      <w:r>
        <w:t xml:space="preserve"> působí jako tzv. endokrinní </w:t>
      </w:r>
      <w:r>
        <w:t>disruptory</w:t>
      </w:r>
      <w:r>
        <w:t>. Spolehlivým ukazatelem zátěže populace je obsah těchto látek v mateřském mléku. V ČR je tento ukazatel dlouhodobě sledován SZÚ. Prokazuje se významný dlouhodobý sestupný trend koncentrací DDT a dalších chlorovaných pesticidů používaných v 50. – 70. letech. Sestupný trend byl na konci 90. let a na přelomu tisíciletí pozorován i pro obsah polychlorovaných bifenylů. Vzhledem k tomu, že ČR řadu let plní závazky vyplývající ze Stockholmské úmluvy, lze očekávat postupný pokles látek typu POP v životním prostředí. Hlavním úkolem je zabránit výraznému vypouštění těchto látek do prostředí v důsledku lidské činnosti (těžký průmysl, spalování v lokálních topeništích atd.). Odlišná situace je v případě těžkých kovů. Těžké kovy (TK) v prostředí nedegradují, pouze mohou přecházet z méně stabilních forem na stabilnější, které jsou dlouhodobě uloženy v ekosystémech (např. lesní humus)</w:t>
      </w:r>
      <w:r w:rsidRPr="0065283F">
        <w:t xml:space="preserve">. Z řetězců životního prostředí mohou být odstraněny pouze lidským zásahem. V ČR jsou poměrně velké zátěže v důsledku </w:t>
      </w:r>
      <w:r>
        <w:t xml:space="preserve">dřívějšího způsobu průmyslové výroby, historické důlní činnosti a masivní povrchové těžby uhlí s jeho následujícím spalováním v energetice. Mezi málo sledované problémy patří pronikání residuí léčiv a kosmetických prostředků do odpadních vod a odtud do životního prostředí. </w:t>
      </w:r>
      <w:r w:rsidRPr="00010DCE">
        <w:t xml:space="preserve">Podrobně není ještě </w:t>
      </w:r>
      <w:r>
        <w:t xml:space="preserve">plně </w:t>
      </w:r>
      <w:r w:rsidRPr="00010DCE">
        <w:t xml:space="preserve">objasněn vliv </w:t>
      </w:r>
      <w:r w:rsidRPr="00010DCE">
        <w:t>mikroplastů</w:t>
      </w:r>
      <w:r w:rsidRPr="00010DCE">
        <w:t xml:space="preserve"> na živé organismy a lidské zdraví. Výskyt </w:t>
      </w:r>
      <w:r w:rsidRPr="00010DCE">
        <w:t>mikroplastů</w:t>
      </w:r>
      <w:r w:rsidRPr="00010DCE">
        <w:t xml:space="preserve"> v životním prostředí je globálním jevem</w:t>
      </w:r>
      <w:r>
        <w:t xml:space="preserve">, </w:t>
      </w:r>
      <w:r w:rsidRPr="00010DCE">
        <w:t xml:space="preserve">proto výzkum problematiky </w:t>
      </w:r>
      <w:r w:rsidRPr="00010DCE">
        <w:t>mikroplastů</w:t>
      </w:r>
      <w:r w:rsidRPr="00010DCE">
        <w:t xml:space="preserve"> si </w:t>
      </w:r>
      <w:r>
        <w:t xml:space="preserve">rovněž </w:t>
      </w:r>
      <w:r w:rsidRPr="00010DCE">
        <w:t>zasluhuje pozornost.</w:t>
      </w:r>
      <w:r>
        <w:t xml:space="preserve"> Záměr transformační evropské agendy – Evropa bez chemických látek – je velkou výzvou </w:t>
      </w:r>
      <w:r>
        <w:t>pro nakládání s chemickými látkami a jejich další využití. Předmětem výzkumu musí být nejen jejich škodlivost, likvidace a nemožnost uvádění na trh těch nejškodlivějších, ale rovněž nové ochranné a další látky s nižší uhlíkovou stopou a podstatně nižším vlivem na přírodu, společnost a lidské zdraví.</w:t>
      </w:r>
      <w:r w:rsidR="00346D9B">
        <w:t xml:space="preserve"> </w:t>
      </w:r>
    </w:p>
    <w:p w:rsidR="0017648C" w:rsidP="00AD7396" w14:paraId="794247F8" w14:textId="77777777">
      <w:pPr>
        <w:pStyle w:val="Stejncl"/>
      </w:pPr>
      <w:r w:rsidRPr="00AD7396">
        <w:rPr>
          <w:rStyle w:val="Zelentun"/>
        </w:rPr>
        <w:t>Stěžejní cíl 2.3:</w:t>
      </w:r>
      <w:r>
        <w:t xml:space="preserve"> Prostřednictvím výzkumu nových látek a snižováním vypouštění nebezpečných látek (</w:t>
      </w:r>
      <w:r>
        <w:t>POPs</w:t>
      </w:r>
      <w:r>
        <w:t>, TK a dalších polutantů) do prostředí zvýšit kvalitu životního prostředí</w:t>
      </w:r>
    </w:p>
    <w:p w:rsidR="0017648C" w:rsidRPr="00AD7396" w:rsidP="00AD7396" w14:paraId="08EB8E6A" w14:textId="77777777">
      <w:pPr>
        <w:rPr>
          <w:rStyle w:val="Zelentun"/>
        </w:rPr>
      </w:pPr>
      <w:r w:rsidRPr="00AD7396">
        <w:rPr>
          <w:rStyle w:val="Zelentun"/>
        </w:rPr>
        <w:t>Opatření:</w:t>
      </w:r>
    </w:p>
    <w:p w:rsidR="0017648C" w:rsidRPr="003951F3" w:rsidP="00AD7396" w14:paraId="4FC331D4" w14:textId="3D1DAA5F">
      <w:pPr>
        <w:pStyle w:val="Heading3"/>
      </w:pPr>
      <w:r>
        <w:t>2.3.1</w:t>
      </w:r>
      <w:r>
        <w:tab/>
      </w:r>
      <w:r w:rsidRPr="003951F3">
        <w:t>Životní prostředí a zdraví</w:t>
      </w:r>
    </w:p>
    <w:p w:rsidR="0017648C" w:rsidRPr="00B953C3" w:rsidP="00AD7396" w14:paraId="64036534" w14:textId="02CD6375">
      <w:pPr>
        <w:rPr>
          <w:rFonts w:cstheme="minorHAnsi"/>
        </w:rPr>
      </w:pPr>
      <w:r>
        <w:t>Cílem je redukovat až minimalizovat vnášení látek a faktorů s negativním působením na zdraví člověka do prostředí a uplatnit metody pro předcházení negativních vlivů na zdraví člověka a minimalizaci těchto vlivů u</w:t>
      </w:r>
      <w:r w:rsidR="00471EF7">
        <w:t> </w:t>
      </w:r>
      <w:r>
        <w:t xml:space="preserve">těch látek, které nově vstupují do životního prostředí a v životním prostředí se dlouhodobě vyskytují. Zvláštní pozornost by měla být věnována studiu zdravotních dopadů nanočástic a elektromagnetického pole. Předmětem výzkumu je také oblast veřejného zdraví, zahrnující širší problematiku environmentálních faktorů působících přímo i nepřímo na lidské zdraví. Výzkum by se měl zaměřit na výzkum a vývoj netoxických substituentů toxických látek, zejména v oblasti výrobků širokého použití (včetně vyhodnocení celého životního cyklu), rovněž na environmentální dopady životního stylu lidí v době pandemie </w:t>
      </w:r>
      <w:r w:rsidR="00135865">
        <w:t>covid</w:t>
      </w:r>
      <w:r w:rsidR="00471EF7">
        <w:t>-</w:t>
      </w:r>
      <w:r w:rsidRPr="00B953C3">
        <w:rPr>
          <w:rFonts w:cstheme="minorHAnsi"/>
        </w:rPr>
        <w:t>19. Výzkum se zaměří rovněž na kombinované účinky chemických látek</w:t>
      </w:r>
    </w:p>
    <w:p w:rsidR="0017648C" w:rsidRPr="006A5CF9" w:rsidP="00AD7396" w14:paraId="67DF3A36" w14:textId="0FF9D610">
      <w:pPr>
        <w:pStyle w:val="Heading3"/>
      </w:pPr>
      <w:r>
        <w:t>2.3.2</w:t>
      </w:r>
      <w:r>
        <w:tab/>
      </w:r>
      <w:r w:rsidRPr="006A5CF9">
        <w:t>Dlouhodobý monitoring biogeochemických a hydrologických cyklů</w:t>
      </w:r>
    </w:p>
    <w:p w:rsidR="0017648C" w:rsidP="00AD7396" w14:paraId="33E07FC6" w14:textId="6474E6F3">
      <w:r>
        <w:t>Systém dlouhodobého sledování chemismu a hydrologie srážek, povrchových vod, půd a vegetační struktury je důležitou součástí výzkumu změn životního prostředí České republiky. Údaje z těchto monitorovacích systémů (např. malá lesní povodí, jezera apod.) umožňují hodnotit trendy, příčiny a následky změn v</w:t>
      </w:r>
      <w:r w:rsidR="00471EF7">
        <w:t> </w:t>
      </w:r>
      <w:r>
        <w:t>ekosystémech na úrovni povodí i krajiny. Získané informace jsou využívány při tvorbě strategií a legislativy ochrany životního prostředí na národní a evropské úrovni.</w:t>
      </w:r>
    </w:p>
    <w:p w:rsidR="0017648C" w:rsidRPr="003951F3" w:rsidP="00AD7396" w14:paraId="031C6259" w14:textId="52E38677">
      <w:pPr>
        <w:pStyle w:val="Heading3"/>
      </w:pPr>
      <w:r>
        <w:t>2.3.3</w:t>
      </w:r>
      <w:r>
        <w:tab/>
      </w:r>
      <w:r w:rsidRPr="003951F3">
        <w:t>Výzkum kontaminace polutanty vstupujícími do složek životního prostředí v důsledku lidské činnosti, a to včetně jejich transportu, zachycení a degradace v</w:t>
      </w:r>
      <w:r>
        <w:t> </w:t>
      </w:r>
      <w:r w:rsidRPr="003951F3">
        <w:t>krajinných celcích, přenosy znečišťujících látek mezi složkami životního prostředí</w:t>
      </w:r>
    </w:p>
    <w:p w:rsidR="0017648C" w:rsidP="00AD7396" w14:paraId="521BEA95" w14:textId="382A73C2">
      <w:r>
        <w:t xml:space="preserve">Výzkum typů a kvantity persistentních organických polutantů a těžkých kovů včetně nově objevujících se tzv. </w:t>
      </w:r>
      <w:r>
        <w:t>emergentních</w:t>
      </w:r>
      <w:r>
        <w:t xml:space="preserve"> látek s prokázanými toxickými a ekotoxickými účinky</w:t>
      </w:r>
      <w:r w:rsidRPr="00B9445A">
        <w:t xml:space="preserve"> </w:t>
      </w:r>
      <w:r>
        <w:t xml:space="preserve">a dalšími ekologickými riziky v jednotlivých složkách životního prostředí, např. v půdách, plaveninách a jezerních sedimentech městských celků a jejich širšího okolí z hlediska rozhodujících faktorů ovlivňujících zachycení, akumulaci a degradaci polutantů a jejich </w:t>
      </w:r>
      <w:r>
        <w:t>kongenerů</w:t>
      </w:r>
      <w:r>
        <w:t xml:space="preserve"> je důležitou součástí hodnocení úspěšného naplňování stěžejního cíle 2.3. Za účelem ochrany biodiverzity je zapotřebí tato ekologická rizika sledovat i ve zvláště chráněných územích. Zvláště významné je – vzhledem k podmínkám tzv. taxonomie </w:t>
      </w:r>
      <w:r w:rsidR="00346D9B">
        <w:t>–</w:t>
      </w:r>
      <w:r>
        <w:t xml:space="preserve"> pokračovat ve sledování hmotových toků ekonomikou a přenos jednotlivých prvků a látek mezi složkami životního prostředí. </w:t>
      </w:r>
    </w:p>
    <w:p w:rsidR="0017648C" w:rsidRPr="00AC017A" w:rsidP="00AD7396" w14:paraId="5BD7F1CC" w14:textId="77777777">
      <w:pPr>
        <w:pStyle w:val="Heading2"/>
        <w:rPr>
          <w:rFonts w:cs="Calibri"/>
          <w:b w:val="0"/>
          <w:iCs/>
          <w:sz w:val="24"/>
          <w:szCs w:val="24"/>
        </w:rPr>
      </w:pPr>
      <w:bookmarkStart w:id="32" w:name="_Toc106130004"/>
      <w:bookmarkStart w:id="33" w:name="_Toc256000010"/>
      <w:r w:rsidRPr="00105A97">
        <w:t>Podoblast 2.4 Reakce biosféry na globální změnu klimatu</w:t>
      </w:r>
      <w:bookmarkEnd w:id="33"/>
      <w:bookmarkEnd w:id="32"/>
    </w:p>
    <w:p w:rsidR="0017648C" w:rsidP="00AD7396" w14:paraId="0663F61B" w14:textId="14EA6BF6">
      <w:r>
        <w:t xml:space="preserve">Prediktivní modely vývoje klimatu a vlivu změny klimatu na vývoj biosféry musí být založeny nejen na datech ze současnosti, ale i na detailní analýze globálních klimatických krizí v geologické minulosti. Globální </w:t>
      </w:r>
      <w:r>
        <w:t>klimatické krize v geologické minulosti svými parametry o několik řádů převyšují probíhající globální změny. Pochopení jejich dynamiky přináší zcela nová data o chování systému oceán</w:t>
      </w:r>
      <w:r w:rsidR="00346D9B">
        <w:t>–</w:t>
      </w:r>
      <w:r>
        <w:t>atmosféra v průběhu anomálních parametrů systému. Studium globálních změn v geologické minulosti a vývoje života poskytuje tedy nejen zcela zásadní znalosti o chování systému oceán</w:t>
      </w:r>
      <w:r w:rsidR="00346D9B">
        <w:t>–</w:t>
      </w:r>
      <w:r>
        <w:t>atmosféra v limitních parametrech systému, ale může významně zvýšit věrohodnost stochastických modelů vývoje současného klimatu a vývoje globální biodiverzity pro časově vzdálenou predikci. Tato analýza přináší tedy základní porozumění příčinám a</w:t>
      </w:r>
      <w:r w:rsidR="00471EF7">
        <w:t> </w:t>
      </w:r>
      <w:r>
        <w:t>současnému průběhu změny klimatu a předpokládanému vývoji do budoucna, proto je tato podoblast úzce provázána s podoblastí 1.1 Biodiverzita a podoblastí 2.1 Klimatologie a paleoklimatologie.</w:t>
      </w:r>
    </w:p>
    <w:p w:rsidR="0017648C" w:rsidRPr="00344C7D" w:rsidP="00AD7396" w14:paraId="46F7B2D2" w14:textId="28C10CF9">
      <w:pPr>
        <w:pStyle w:val="Stejncl"/>
      </w:pPr>
      <w:r w:rsidRPr="00AD7396">
        <w:rPr>
          <w:rStyle w:val="Zelentun"/>
        </w:rPr>
        <w:t>Stěžejní cíl 2.4:</w:t>
      </w:r>
      <w:r>
        <w:t xml:space="preserve"> </w:t>
      </w:r>
      <w:bookmarkStart w:id="34" w:name="_Hlk105240907"/>
      <w:r w:rsidRPr="00A543F2">
        <w:t>Získat dostatečný objem dat a informací k vytváření scénářů potenciálního vývoje klimatu a</w:t>
      </w:r>
      <w:r w:rsidR="00471EF7">
        <w:t> </w:t>
      </w:r>
      <w:r w:rsidRPr="00A543F2">
        <w:t>dopadu na biodiverzitu</w:t>
      </w:r>
      <w:bookmarkEnd w:id="34"/>
    </w:p>
    <w:p w:rsidR="0017648C" w:rsidRPr="00AD7396" w:rsidP="00AD7396" w14:paraId="751C5A0F" w14:textId="77777777">
      <w:pPr>
        <w:rPr>
          <w:rStyle w:val="Zelentun"/>
        </w:rPr>
      </w:pPr>
      <w:r w:rsidRPr="00AD7396">
        <w:rPr>
          <w:rStyle w:val="Zelentun"/>
        </w:rPr>
        <w:t>Opatření:</w:t>
      </w:r>
    </w:p>
    <w:p w:rsidR="0017648C" w:rsidP="00AD7396" w14:paraId="3B06421B" w14:textId="7F0C223C">
      <w:pPr>
        <w:pStyle w:val="Heading3"/>
      </w:pPr>
      <w:r>
        <w:t>2.4.1</w:t>
      </w:r>
      <w:r>
        <w:tab/>
      </w:r>
      <w:r w:rsidRPr="002A09C8">
        <w:t>Analýza změn klimatu v průběhu kolapsu globálního cyklu uhlíku na základě geologického záznamu</w:t>
      </w:r>
    </w:p>
    <w:p w:rsidR="0017648C" w:rsidRPr="00AB7910" w:rsidP="00AD7396" w14:paraId="28A840EF" w14:textId="4F3512B1">
      <w:pPr>
        <w:rPr>
          <w:b/>
          <w:bCs/>
        </w:rPr>
      </w:pPr>
      <w:r w:rsidRPr="00926A3F">
        <w:t>Analýza závislosti změn klimatu v průběhu kolapsu globálního cyklu uhlíku na základě geologického záznamu přináší zcela nová data pro testování prediktivních modelů vývoje současného klimatu v dlouhodobém horizontu. Geologický záznam v obdobích kolapsu globálního cyklu uhlíku jasně potvrzuje těsnou vazbu s globální změnou klimatu. Analýza závislosti změn klimatu v průběhu kolapsu globálního cyklu uhlíku na základě geologického záznamu tedy výrazně zpřesní predikované trajektorie jednotlivých složek systému oceán</w:t>
      </w:r>
      <w:r w:rsidR="00346D9B">
        <w:t>–</w:t>
      </w:r>
      <w:r w:rsidRPr="00926A3F">
        <w:t>atmosféra pro dlouhodobé predikce vývoje klimatu.</w:t>
      </w:r>
    </w:p>
    <w:p w:rsidR="0017648C" w:rsidP="00AD7396" w14:paraId="59CFD156" w14:textId="77777777">
      <w:r>
        <w:t>V souladu s Koncepcí výzkumu a vývoje MŽP v Oblasti 2. Globální změny by se výzkum měl soustředit na několik základních výzkumných celků a získané výsledky důsledně promítat do příslušných strategií na národní i mezinárodní úrovni:</w:t>
      </w:r>
    </w:p>
    <w:p w:rsidR="0017648C" w:rsidP="00AD7396" w14:paraId="149EB925" w14:textId="77777777">
      <w:pPr>
        <w:pStyle w:val="ListParagraph"/>
      </w:pPr>
      <w:r w:rsidRPr="00AD7396">
        <w:t>Analýza</w:t>
      </w:r>
      <w:r>
        <w:t xml:space="preserve"> závislosti změn povrchové teploty oceánů a dynamiky globálního cyklu uhlíku </w:t>
      </w:r>
    </w:p>
    <w:p w:rsidR="0017648C" w:rsidRPr="00AD7396" w:rsidP="00AD7396" w14:paraId="28317F4F" w14:textId="77777777">
      <w:pPr>
        <w:pStyle w:val="ListParagraph"/>
      </w:pPr>
      <w:r>
        <w:t xml:space="preserve">Analýza </w:t>
      </w:r>
      <w:r w:rsidRPr="00AD7396">
        <w:t xml:space="preserve">závislosti změn koncentrace CO2 v atmosféře na dynamice globálního cyklu uhlíku </w:t>
      </w:r>
    </w:p>
    <w:p w:rsidR="0017648C" w:rsidRPr="00AD7396" w:rsidP="00AD7396" w14:paraId="0DEDBC64" w14:textId="77777777">
      <w:pPr>
        <w:pStyle w:val="ListParagraph"/>
      </w:pPr>
      <w:r w:rsidRPr="00AD7396">
        <w:t>Analýza vztahu dynamiky globálního cyklu uhlíku a globálních cyklů dusíku a fosforu v průběhu klimatických anomálií (vazba na Podoblast 2.2 Biogeochemické cykly dusíku a fosforu)</w:t>
      </w:r>
    </w:p>
    <w:p w:rsidR="0017648C" w:rsidP="00AD7396" w14:paraId="7460EEC3" w14:textId="77777777">
      <w:pPr>
        <w:pStyle w:val="ListParagraph"/>
      </w:pPr>
      <w:r w:rsidRPr="00AD7396">
        <w:t>Tvorba numerických</w:t>
      </w:r>
      <w:r>
        <w:t xml:space="preserve"> modelů pro závislost změn klimatu v průběhu kolapsu globálního cyklu uhlíku</w:t>
      </w:r>
    </w:p>
    <w:p w:rsidR="0017648C" w:rsidRPr="00AC017A" w:rsidP="00AD7396" w14:paraId="40B75EA4" w14:textId="7FD71691">
      <w:pPr>
        <w:pStyle w:val="Heading3"/>
      </w:pPr>
      <w:r>
        <w:t>2.4.2</w:t>
      </w:r>
      <w:r>
        <w:tab/>
      </w:r>
      <w:r w:rsidRPr="00AC017A">
        <w:t>Vliv globálních klimatických anomálií na bio</w:t>
      </w:r>
      <w:r>
        <w:t xml:space="preserve">logickou rozmanitost </w:t>
      </w:r>
      <w:r w:rsidRPr="003E2590">
        <w:t>a funkce ekosystémů,</w:t>
      </w:r>
      <w:r w:rsidR="00346D9B">
        <w:t xml:space="preserve"> </w:t>
      </w:r>
      <w:r w:rsidRPr="003E2590">
        <w:t>zejména vodní režim krajiny</w:t>
      </w:r>
    </w:p>
    <w:p w:rsidR="0017648C" w:rsidP="00AE1B64" w14:paraId="55B69357" w14:textId="77777777">
      <w:r>
        <w:t xml:space="preserve">Současný pokles globální biodiverzity je často popisován vědeckou komunitou jako „Šesté globální vymírání“. Předchozích pět globálních vymírání (tj. prudkých poklesů globální biodiverzity) je známo z geologického záznamu vývoje mořského i terestrického ekosystému. Studium vlivu těchto globálních změn na vývoj života analýzou vybraných abiotických charakteristik </w:t>
      </w:r>
      <w:r>
        <w:t>paleoprostředí</w:t>
      </w:r>
      <w:r>
        <w:t xml:space="preserve"> a parametrů charakterizujících vývoj </w:t>
      </w:r>
      <w:r>
        <w:t>paleodiverzity</w:t>
      </w:r>
      <w:r>
        <w:t xml:space="preserve"> v obdobích před globálními krizemi, v jejich průběhu i po nich umožní nejen modelování reakce biosféry, ale i hledání společných prvků</w:t>
      </w:r>
      <w:r>
        <w:rPr>
          <w:lang w:val="en-US"/>
        </w:rPr>
        <w:t xml:space="preserve"> se </w:t>
      </w:r>
      <w:r>
        <w:t>současným poklesem biodiverzity na globální úrovni. Těmito daty lze zvýšit věrohodnost prediktivních modelů globálního poklesu biodiverzity pro dlouhodobou predikci.</w:t>
      </w:r>
    </w:p>
    <w:p w:rsidR="0017648C" w:rsidP="0017648C" w14:paraId="583F61AC" w14:textId="77777777">
      <w:pPr>
        <w:rPr>
          <w:rFonts w:ascii="Calibri" w:hAnsi="Calibri" w:cs="Calibri"/>
          <w:lang w:val="en-US"/>
        </w:rPr>
      </w:pPr>
    </w:p>
    <w:p w:rsidR="0017648C" w:rsidP="00AE1B64" w14:paraId="1292E0FF" w14:textId="77777777">
      <w:r>
        <w:t>V souladu s výše uvedenou oblastí 1. (podoblast Biodiverzita) a oblastí 2. Globální změny by se výzkum měl soustředit na několik základních výzkumných celků a získané výsledky důsledně promítat do příslušných strategií na národní i mezinárodní úrovni:</w:t>
      </w:r>
    </w:p>
    <w:p w:rsidR="0017648C" w:rsidP="00AE1B64" w14:paraId="27CE647D" w14:textId="38974A32">
      <w:pPr>
        <w:pStyle w:val="ListParagraph"/>
      </w:pPr>
      <w:r>
        <w:t>Analýza poklesu biodiverzity v mořském ekosystému v obdobích před globálními krizemi, v jejich průběhu i po nich</w:t>
      </w:r>
      <w:r w:rsidR="00346D9B">
        <w:t xml:space="preserve"> </w:t>
      </w:r>
    </w:p>
    <w:p w:rsidR="0017648C" w:rsidRPr="00CF6ADC" w:rsidP="00AE1B64" w14:paraId="33F1DEAF" w14:textId="4CC6ABB7">
      <w:pPr>
        <w:pStyle w:val="ListParagraph"/>
      </w:pPr>
      <w:r>
        <w:t>Analýza poklesu biodiverzity v terestrickém ekosystému v obdobích před globálními</w:t>
      </w:r>
      <w:r w:rsidRPr="00CF6ADC">
        <w:t xml:space="preserve"> krizemi, v jejich průběhu i po nich</w:t>
      </w:r>
      <w:r w:rsidR="00346D9B">
        <w:t xml:space="preserve"> </w:t>
      </w:r>
    </w:p>
    <w:p w:rsidR="0017648C" w:rsidP="00AE1B64" w14:paraId="60F8C028" w14:textId="77777777">
      <w:pPr>
        <w:pStyle w:val="ListParagraph"/>
      </w:pPr>
      <w:r>
        <w:t>Analýza vztahu dynamiky globálního cyklu uhlíku a poklesu biodiverzity v mořském i terestrickém ekosystému v obdobích globálních klimatických krizí</w:t>
      </w:r>
    </w:p>
    <w:p w:rsidR="00AE1B64" w:rsidP="00AE1B64" w14:paraId="0602BE22" w14:textId="77777777">
      <w:pPr>
        <w:pStyle w:val="ListParagraph"/>
        <w:sectPr w:rsidSect="009F0F2E">
          <w:headerReference w:type="default" r:id="rId10"/>
          <w:pgSz w:w="11906" w:h="16838"/>
          <w:pgMar w:top="1701" w:right="1134" w:bottom="1134" w:left="1134" w:header="709" w:footer="567" w:gutter="0"/>
          <w:cols w:space="708"/>
          <w:docGrid w:linePitch="360"/>
        </w:sectPr>
      </w:pPr>
      <w:r>
        <w:t>Tvorba numerických modelů závislosti poklesu biodiverzity, dynamiky změn klimatu, a globálního cyklu uhlíku na základě analýzy geologického záznamu</w:t>
      </w:r>
      <w:r w:rsidR="00346D9B">
        <w:t xml:space="preserve"> </w:t>
      </w:r>
    </w:p>
    <w:p w:rsidR="0017648C" w:rsidP="0017648C" w14:paraId="7F15DCEA" w14:textId="77777777">
      <w:pPr>
        <w:pStyle w:val="Heading1"/>
        <w:rPr>
          <w:b w:val="0"/>
          <w:sz w:val="24"/>
          <w:szCs w:val="24"/>
        </w:rPr>
      </w:pPr>
      <w:bookmarkStart w:id="35" w:name="_Toc106130005"/>
      <w:bookmarkStart w:id="36" w:name="_Toc256000011"/>
      <w:r w:rsidRPr="00105A97">
        <w:rPr>
          <w:sz w:val="28"/>
          <w:szCs w:val="28"/>
        </w:rPr>
        <w:t>Oblast 3. Udržitelný rozvoj krajiny a lidských sídel</w:t>
      </w:r>
      <w:bookmarkEnd w:id="36"/>
      <w:bookmarkEnd w:id="35"/>
    </w:p>
    <w:p w:rsidR="0017648C" w:rsidRPr="00B105F8" w:rsidP="00AE1B64" w14:paraId="2FC8F9CB" w14:textId="77777777">
      <w:pPr>
        <w:pStyle w:val="Heading2"/>
        <w:rPr>
          <w:rFonts w:cs="Calibri"/>
          <w:b w:val="0"/>
          <w:iCs/>
          <w:sz w:val="24"/>
          <w:szCs w:val="24"/>
        </w:rPr>
      </w:pPr>
      <w:bookmarkStart w:id="37" w:name="_Toc106130006"/>
      <w:bookmarkStart w:id="38" w:name="_Toc256000012"/>
      <w:r w:rsidRPr="00105A97">
        <w:t xml:space="preserve">Podoblast 3.1 </w:t>
      </w:r>
      <w:r w:rsidRPr="00105A97">
        <w:t>Zelená</w:t>
      </w:r>
      <w:r w:rsidRPr="00105A97">
        <w:t xml:space="preserve"> infrastruktura – stabilní struktura krajiny</w:t>
      </w:r>
      <w:bookmarkEnd w:id="38"/>
      <w:bookmarkEnd w:id="37"/>
    </w:p>
    <w:p w:rsidR="0017648C" w:rsidRPr="003E268F" w:rsidP="00AE1B64" w14:paraId="10584E13" w14:textId="77777777">
      <w:r>
        <w:t xml:space="preserve">Krajina je společným prostorem pro život lidí a fungování ekosystémů a je činností člověka významně ovlivňována. Využívání krajiny slouží k naplnění potřeby kvalitní existence a rozvoje současné společnosti, tedy k realizaci širokého spektra zájmů ať už hospodářských nebo volnočasových aktivit. Aby však byla zachována možnost uspokojit i potřeby budoucích generací, je potřeba usilovat o udržitelné užívání krajiny s plným vědomím jejích kulturně-historických, estetických /krajinný ráz, přírodní parky) a přírodních hodnot a s tím spojených limitů, stejně jako s vědomím možností a limitů ekonomického užitku a zájmů veřejnosti, které jsou s krajinou neodlučně </w:t>
      </w:r>
      <w:r w:rsidRPr="003E268F">
        <w:t xml:space="preserve">spjaty. </w:t>
      </w:r>
    </w:p>
    <w:p w:rsidR="0017648C" w:rsidP="00AE1B64" w14:paraId="789C8796" w14:textId="77777777">
      <w:r w:rsidRPr="003E268F">
        <w:t xml:space="preserve">Podoba krajiny je výsledkem dlouhodobého vzájemného působení přírodních procesů a lidské činnosti. Původní přírodní krajina byla na </w:t>
      </w:r>
      <w:r>
        <w:t xml:space="preserve">naprosté </w:t>
      </w:r>
      <w:r w:rsidRPr="003E268F">
        <w:t>většině území ČR více či méně pozměněna člověkem.</w:t>
      </w:r>
      <w:r>
        <w:t xml:space="preserve"> Podoba zemědělské krajiny, jak se původně tvořila od 13. století, se příliš nezměnila až do počátku 20. stol. </w:t>
      </w:r>
    </w:p>
    <w:p w:rsidR="0017648C" w:rsidP="00AE1B64" w14:paraId="3647B461" w14:textId="0AB5AE18">
      <w:r>
        <w:t>Rozvoj průmyslu a zavádění průmyslových postupů v zemědělství a lesnictví, především po roce 1945 urychlily negativní změny ve struktuře krajiny. Ve vysídleném pohraničí byla přerušena historická kontinuita osídlení. Po roce 1948 došlo k cílené likvidaci tradičních vazeb k půdě a majetku obecně, centralizaci hospodářství, zavádění velkovýrobních postupů a realizaci megalomanských projektů. V 70. a 80. letech 20.</w:t>
      </w:r>
      <w:r w:rsidR="00471EF7">
        <w:t> </w:t>
      </w:r>
      <w:r>
        <w:t>stol. pokračovalo scelování pozemků, plošné odvodnění krajiny, pozemkové úpravy a rekultivace, které zničily mnoho drobných krajinných prvků, čímž došlo ke zvětšení zrna krajinné mozaiky, a tím i ke snížení ekologické stability krajiny. Zároveň byla zničena celá řada hodnotných staveb. Těžbou uhlí se zcela změnil ráz krajiny v</w:t>
      </w:r>
      <w:r w:rsidR="00471EF7">
        <w:t> </w:t>
      </w:r>
      <w:r>
        <w:t>Podkrušnohoří a na Ostravsku. Po roce 1990 již byla z</w:t>
      </w:r>
      <w:r>
        <w:rPr>
          <w:bCs/>
        </w:rPr>
        <w:t xml:space="preserve">načná část odvodňovacích melioračních soustav a rekultivací prováděna zcela správně a zohledňovala moderní požadavky zemědělského hospodaření a současné Komplexní pozemkové úpravy jsou jedním z nejúčinnějších nástrojů ochrany půdy. </w:t>
      </w:r>
      <w:r>
        <w:t>Mezi nejvýznamnější negativní vlivy patří intenzivní změna rázu městské a příměstské krajiny výstavbou komerčních zón a rezidenčních čtvrtí. Necitlivá zástavba s neudržitelným trendem záboru půdy v posledních letech nevratně znehodnocuje 50 km</w:t>
      </w:r>
      <w:r>
        <w:rPr>
          <w:vertAlign w:val="superscript"/>
        </w:rPr>
        <w:t>2</w:t>
      </w:r>
      <w:r>
        <w:t xml:space="preserve"> půdy ročně. </w:t>
      </w:r>
    </w:p>
    <w:p w:rsidR="0017648C" w:rsidP="0017648C" w14:paraId="5FEAB02B" w14:textId="77777777">
      <w:pPr>
        <w:rPr>
          <w:rFonts w:ascii="Calibri" w:hAnsi="Calibri" w:cs="Calibri"/>
        </w:rPr>
      </w:pPr>
      <w:r>
        <w:rPr>
          <w:rFonts w:ascii="Calibri" w:hAnsi="Calibri" w:cs="Calibri"/>
        </w:rPr>
        <w:t>Dalším významným vlivem je postupné omezování průchodnosti krajiny, zejména liniovými stavbami, oplocováním a zástavbou, ale také v důsledku zemědělského hospodaření a zanedbáváním péče o cestní síť. V důsledku fragmentace zanikají biotopy řady druhů nebo dochází k omezování základních podmínek nezbytných pro jejich přítomnost v krajině (např. místa pro rozmnožování). Rizikem pro řadu organismů jsou také „antropogenní pasti“ a další ohrožující faktory související zejména s výstavbou a dopravou apod.</w:t>
      </w:r>
    </w:p>
    <w:p w:rsidR="0017648C" w:rsidP="0017648C" w14:paraId="32B32150" w14:textId="77777777">
      <w:pPr>
        <w:rPr>
          <w:rFonts w:ascii="Calibri" w:hAnsi="Calibri" w:cs="Calibri"/>
        </w:rPr>
      </w:pPr>
      <w:r>
        <w:rPr>
          <w:rFonts w:ascii="Calibri" w:hAnsi="Calibri" w:cs="Calibri"/>
        </w:rPr>
        <w:t xml:space="preserve">Velikost honů zemědělské půdy se významně nezmenšila, zrno krajinné mozaiky je příliš hrubé, což negativně ovlivňuje všechny krajinné funkce. Na druhou stranu drobné zemědělské plochy jsou opouštěny. I vysoká míra zornění (přes 70 %) a unifikace zemědělské produkce udržuje malou životaschopnost ekosystémů. Znečišťování cizorodými látkami, nevhodné používání hnojiv a eroze půdy představují hlavní negativní vlivy zemědělské činnosti. Takové hospodaření negativně ovlivňuje vodní, lesní a další přilehlé ekosystémy. </w:t>
      </w:r>
    </w:p>
    <w:p w:rsidR="00AE1B64" w:rsidP="0017648C" w14:paraId="1D11DA7F" w14:textId="539849B9">
      <w:pPr>
        <w:rPr>
          <w:rFonts w:ascii="Calibri" w:hAnsi="Calibri" w:cs="Calibri"/>
        </w:rPr>
      </w:pPr>
      <w:r>
        <w:rPr>
          <w:rFonts w:ascii="Calibri" w:hAnsi="Calibri" w:cs="Calibri"/>
        </w:rPr>
        <w:t xml:space="preserve">Důsledkem uvedených trendů a dlouhodobě neudržitelného využívání složek krajiny je zejména celkové zhoršení jejích ekologických funkcí a převládající znehodnocený vzhled a ráz. </w:t>
      </w:r>
    </w:p>
    <w:p w:rsidR="00AE1B64" w14:paraId="145123F6" w14:textId="77777777">
      <w:pPr>
        <w:spacing w:before="0" w:line="240" w:lineRule="auto"/>
        <w:jc w:val="left"/>
        <w:rPr>
          <w:rFonts w:ascii="Calibri" w:hAnsi="Calibri" w:cs="Calibri"/>
        </w:rPr>
      </w:pPr>
      <w:r>
        <w:rPr>
          <w:rFonts w:ascii="Calibri" w:hAnsi="Calibri" w:cs="Calibri"/>
        </w:rPr>
        <w:br w:type="page"/>
      </w:r>
    </w:p>
    <w:p w:rsidR="0017648C" w:rsidP="00AE1B64" w14:paraId="56D2DE9F" w14:textId="77777777">
      <w:pPr>
        <w:pStyle w:val="Stejncl"/>
      </w:pPr>
      <w:r w:rsidRPr="00AE1B64">
        <w:rPr>
          <w:rStyle w:val="Zelentun"/>
        </w:rPr>
        <w:t>Stěžejní cíl 3.1:</w:t>
      </w:r>
      <w:r>
        <w:t xml:space="preserve"> Zlepšení přirozených funkcí krajiny zvýšením ekologické stability a omezením fragmentace</w:t>
      </w:r>
    </w:p>
    <w:p w:rsidR="0017648C" w:rsidRPr="00AE1B64" w:rsidP="00AE1B64" w14:paraId="67CE47C2" w14:textId="77777777">
      <w:pPr>
        <w:rPr>
          <w:rStyle w:val="Zelentun"/>
        </w:rPr>
      </w:pPr>
      <w:r w:rsidRPr="00AE1B64">
        <w:rPr>
          <w:rStyle w:val="Zelentun"/>
        </w:rPr>
        <w:t>Opatření:</w:t>
      </w:r>
    </w:p>
    <w:p w:rsidR="0017648C" w:rsidRPr="00B0497E" w:rsidP="00AE1B64" w14:paraId="78E45744" w14:textId="32EBF28A">
      <w:pPr>
        <w:pStyle w:val="Heading3"/>
      </w:pPr>
      <w:r>
        <w:t>3.1.1</w:t>
      </w:r>
      <w:r>
        <w:tab/>
      </w:r>
      <w:r w:rsidRPr="00B0497E">
        <w:t>Vytvoření koncepčních nástrojů plánování krajiny</w:t>
      </w:r>
    </w:p>
    <w:p w:rsidR="0017648C" w:rsidP="00AE1B64" w14:paraId="489BFEEE" w14:textId="396332D1">
      <w:r>
        <w:t>Cílem je vytváření znalostní báze o krajině vedoucí k zajištění jejího funkčního uspořádání s cílem zachování a zlepšení jejich funkcí. Předmětem multidisciplinárního výzkumu jsou nástroje strategického, územního a</w:t>
      </w:r>
      <w:r w:rsidR="00471EF7">
        <w:t> </w:t>
      </w:r>
      <w:r>
        <w:t>krajinného plánování a vzájemné vztahy mezi nimi. Ve vazbě na implementaci mezinárodních úmluv je třeba hledat cesty k zefektivnění nástrojů ochrany přírodního a kulturního dědictví krajiny. Na základě výsledků výzkumu se stanovují potřeby a metody plánování, nízkonákladové realizace a údržby systému ploch zeleně požadovaných kulturních, sociálních, hygienických a mikroklimatických, popř. ekologických funkcí v kulturní krajině, na rozrůstajících se výměrách urbanizovaných ploch, nových nebo revitalizovaných průmyslových zón a rekultivovaných ploch po těžbě nebo dekontaminaci starých zátěží. Předmětem výzkumu a vývoje jsou rovněž nástroje participativního plánování krajiny v návaznosti na implementaci Evropské úmluvy o krajině. Výzkum v této oblasti se může stát součástí realizace iniciativy Nový evropský Bauhaus.</w:t>
      </w:r>
    </w:p>
    <w:p w:rsidR="0017648C" w:rsidRPr="00B0497E" w:rsidP="00AE1B64" w14:paraId="5E2E3F32" w14:textId="1618EC43">
      <w:pPr>
        <w:pStyle w:val="Heading3"/>
      </w:pPr>
      <w:r>
        <w:t>3.1.2</w:t>
      </w:r>
      <w:r>
        <w:tab/>
      </w:r>
      <w:r w:rsidRPr="00B0497E">
        <w:t>Diverzita kulturní krajiny a péče o její přírodní a kulturní dědictví</w:t>
      </w:r>
    </w:p>
    <w:p w:rsidR="0017648C" w:rsidP="00AE1B64" w14:paraId="0FEB94AD" w14:textId="20A09AAC">
      <w:r>
        <w:t>Cílem výzkumu v této oblasti je využití získávaných nových poznatků k vývoji nástrojů ochrany diverzity kulturní krajiny. Na kulturní krajinu, vzniklou dlouhodobým působením člověka a jeho hospodářskou činností, jsou vázány četné biotopy, společenstva a druhy</w:t>
      </w:r>
      <w:r w:rsidRPr="0065283F">
        <w:t xml:space="preserve">, </w:t>
      </w:r>
      <w:r>
        <w:t>jež jsou ohroženy změnami hospodaření v krajině, zábory půdy a změnou struktury krajiny, které byly nastartovány ve druhé polovině 20. století. Vývoj nástrojů pro zabezpečení komplexně pojatého, integrovaného systému péče o přírodní a kulturní dědictví, pro ochranu a</w:t>
      </w:r>
      <w:r w:rsidR="00471EF7">
        <w:t> </w:t>
      </w:r>
      <w:r>
        <w:t xml:space="preserve">udržitelný management struktur kulturní krajiny, které přispějí ke zlepšení přirozených funkcí krajiny a její ekologické stability, omezení fragmentace a výzkum jejich prostorové diferenciace jsou předpokladem pro vznik strategie ochrany krajiny a její realizace. </w:t>
      </w:r>
    </w:p>
    <w:p w:rsidR="0017648C" w:rsidRPr="00B0497E" w:rsidP="00AE1B64" w14:paraId="0A95A76B" w14:textId="64654E82">
      <w:pPr>
        <w:pStyle w:val="Heading3"/>
      </w:pPr>
      <w:r>
        <w:t>3.1.3</w:t>
      </w:r>
      <w:r>
        <w:tab/>
      </w:r>
      <w:r w:rsidRPr="00B0497E">
        <w:t>Snížení fragmentace krajiny</w:t>
      </w:r>
    </w:p>
    <w:p w:rsidR="0017648C" w:rsidP="00AE1B64" w14:paraId="2A4457EA" w14:textId="40A5EB39">
      <w:r>
        <w:t>Výzkum v oblasti fragmentace krajiny má za cíl vyhodnotit změny probíhající v této oblasti a navrhnout řešení především v oblasti územního plánování. Fragmentace krajiny představuje zásadní problém, který především v posledních desetiletích negativně ovlivňuje plnění ekologických funkcí krajiny (konektivita, migrační prostupnost, biodiverzita na úrovni druhů a biotopů).</w:t>
      </w:r>
      <w:r w:rsidR="00346D9B">
        <w:t xml:space="preserve"> </w:t>
      </w:r>
    </w:p>
    <w:p w:rsidR="0017648C" w:rsidRPr="00B0497E" w:rsidP="00AE1B64" w14:paraId="21943147" w14:textId="20BE6005">
      <w:pPr>
        <w:pStyle w:val="Heading3"/>
      </w:pPr>
      <w:r>
        <w:t>3.1.4</w:t>
      </w:r>
      <w:r>
        <w:tab/>
      </w:r>
      <w:r w:rsidRPr="00B0497E">
        <w:t>Ekosystémové služby</w:t>
      </w:r>
    </w:p>
    <w:p w:rsidR="0017648C" w:rsidP="00AE1B64" w14:paraId="41F42F58" w14:textId="1CA31074">
      <w:r>
        <w:t>Předmětem intenzivního výzkumu jsou ekosystémové služby, které mají významnou roli v realizaci evropských i národních strategií ochrany klimatu a podpory rozvoje biodiverzity. Součástí je rozvoj mapování a hodnocení ekosystémových služeb, včetně ekosystémového účetnictví.</w:t>
      </w:r>
      <w:r w:rsidR="00346D9B">
        <w:t xml:space="preserve"> </w:t>
      </w:r>
    </w:p>
    <w:p w:rsidR="0017648C" w:rsidP="00AE1B64" w14:paraId="7303D01E" w14:textId="0253FAA0">
      <w:r>
        <w:t>Nezbytným předpokladem udržitelného hospodářství jsou zdravé, odolné a produktivní ekosystémy, které jsou pak schopné poskytovat širokou škálu kvalitních ekosystémových funkcí a služeb, a to pro současné i</w:t>
      </w:r>
      <w:r w:rsidR="00471EF7">
        <w:t> </w:t>
      </w:r>
      <w:r>
        <w:t xml:space="preserve">budoucí generace, jde zejména o služby zásobovací (mj. produkce komodit, poskytování vodních zdrojů, aj.) a regulační (mj. regulace povodní, škůdců, klimatu, kvality vod a ovzduší aj.). Pokud jsou v krajině přítomné ekosystémy v dobrém stavu, snáze odolávají nepříznivým tlakům a v případě poškození se obnovují. Přirozená obnova ekosystémů je však obvykle dlouhodobý proces. To samozřejmě nekoresponduje s lidskou </w:t>
      </w:r>
      <w:r>
        <w:t>tendencí upřednostňovat krátkodobé zisky a okamžité užitky oproti udržitelnosti výhod a zisku budoucích generací. Negativní dopady dlouhodobého intenzivního využívání krajiny se kumulují a mohou být umocněny změnou klimatu.</w:t>
      </w:r>
    </w:p>
    <w:p w:rsidR="0017648C" w:rsidP="00AE1B64" w14:paraId="5472F131" w14:textId="43949DE3">
      <w:r>
        <w:t>Schopnost ekosystémů poskytovat širokou škálu ekosystémových funkcí a služeb, na které se přímo či nepřímo váže zachování a zvyšování kvality života obyvatel, závisí na jejich strukturální a funkční integritě. O</w:t>
      </w:r>
      <w:r w:rsidR="00471EF7">
        <w:t> </w:t>
      </w:r>
      <w:r>
        <w:t xml:space="preserve">funkční využití krajiny je proto třeba rozhodovat tak, aby bylo harmonizováno zajištění různých potřeb lidské společnosti, přičemž ekologická stabilita a biodiverzita krajiny musí být obnovována a posilována jednak ochranou, rozšiřováním a funkčním propojováním ekologicky stabilních ploch, jednak zmírňováním dopadů lidské činnosti na krajinu a ekosystémy. </w:t>
      </w:r>
    </w:p>
    <w:p w:rsidR="0017648C" w:rsidRPr="00B0497E" w:rsidP="00AE1B64" w14:paraId="6DE13DBA" w14:textId="77777777">
      <w:pPr>
        <w:pStyle w:val="Heading2"/>
        <w:rPr>
          <w:rFonts w:cs="Calibri"/>
          <w:b w:val="0"/>
          <w:iCs/>
          <w:sz w:val="24"/>
          <w:szCs w:val="24"/>
        </w:rPr>
      </w:pPr>
      <w:bookmarkStart w:id="39" w:name="_Toc106130007"/>
      <w:bookmarkStart w:id="40" w:name="_Toc256000013"/>
      <w:r w:rsidRPr="00105A97">
        <w:t>Podoblast 3.2 Zemědělství a lesnictví</w:t>
      </w:r>
      <w:bookmarkEnd w:id="40"/>
      <w:bookmarkEnd w:id="39"/>
    </w:p>
    <w:p w:rsidR="0017648C" w:rsidP="00AE1B64" w14:paraId="18425C41" w14:textId="40FC77EF">
      <w:r>
        <w:t>Vývoj zemědělství jako produkčního odvětví charakterizují následující čísla: zatímco v roce 1920 se na zemědělské půdě v ČR vyprodukovalo 2,6 mil. tun obilovin, v roce 1948 3,2 mil. tun, historicky nejvíce v roce 1990 8,9 mil. tun, v roce 2014 to bylo 7,6 mil. tun a v roce 2021 8,2 mil. tun. Produkce řepky olejné vzrostla z</w:t>
      </w:r>
      <w:r w:rsidR="004C4B78">
        <w:t> </w:t>
      </w:r>
      <w:r>
        <w:t>300 tisíc tun v roce 1990 na 1,24 mil. tun v roce 2014, v roce 2021 byl vypěstován 1 mil. tun. Produkce kukuřice vzrostla z 98 tisíc tun v roce 1990 na 988 tisíc v roce 2021. Spolu s růstem pěstebních ploch kukuřice (nejen na zrno, ale i na siláž a pro výrobu bioplynu) dochází k ohrožení půdní úrodnosti a retenční schopnosti krajiny. Živočišná výroba od roku 1990, měřená produkcí hovězího a vepřového masa, klesla na polovinu. Výměra zemědělského půdního fondu pomalu klesá, ale stále představuje více než polovinu plochy ČR. Trvalé odnímání půdy ze zemědělského půdního fondu, zejména v okolí velkých měst, a její přeměna na nepropustné povrchy je v ČR dlouhodobým problémem, který se v posledních letech daří pouze zpomalit. Pro zajištění přiměřené potravinové i energetické soběstačnosti je nezbytně nutné udržet strategickou výměru kvalitní zemědělské půdy.</w:t>
      </w:r>
      <w:r w:rsidR="00346D9B">
        <w:t xml:space="preserve"> </w:t>
      </w:r>
    </w:p>
    <w:p w:rsidR="0017648C" w:rsidP="00AE1B64" w14:paraId="77E92BA8" w14:textId="680D7D76">
      <w:r>
        <w:t>Se změnami zemědělské produkce roste význam mimoprodukčních funkcí sektoru, využívání území, vod a</w:t>
      </w:r>
      <w:r w:rsidR="004C4B78">
        <w:t> </w:t>
      </w:r>
      <w:r>
        <w:t>lesů. Lesy dosud zabíraly cca 34 % plochy ČR republiky a jejich zdravotní stav nebyl uspokojivý. Kůrovcová kalamita, která v posledních letech postihla řadu oblastí v ČR, přináší změny v krajině, které jsou nejvýraznější od 70. let.</w:t>
      </w:r>
      <w:r w:rsidR="00346D9B">
        <w:t xml:space="preserve"> </w:t>
      </w:r>
      <w:r>
        <w:t xml:space="preserve">Lesní ekosystémy a lesnické hospodaření se musí vyrovnávat s postupující změnou růstového prostředí, eutrofizací a degradací půd, relativně četnými klimatickými extrémy, biotickými a abiotickými kalamitami. </w:t>
      </w:r>
    </w:p>
    <w:p w:rsidR="0017648C" w:rsidP="00AE1B64" w14:paraId="473CD6B9" w14:textId="77777777">
      <w:r>
        <w:t>Nepříznivé klimatické podmínky oslabují lesní porosty, což v posledních letech přispělo k rozšíření biotických škůdců. Masivní kalamitní těžba dřeva v důsledku napadení kůrovcem,</w:t>
      </w:r>
    </w:p>
    <w:p w:rsidR="0017648C" w:rsidP="00AE1B64" w14:paraId="04065971" w14:textId="41D5B008">
      <w:r>
        <w:t>ale i polomů po vichřicích, přinesla pokles ceny dřeva a umocnila ekonomické škody v lesnictví. Současné lesní porosty jsou vystaveny řadě stresujících faktorů, např. dlouhodobému suchu, opakujícím se dlouhotrvajícím vlnám veder, biotickým činitelům (kůrovec) apod. Výsledkem výše uvedených vlivů je na velké části ČR odumírání a rozpad lesů, a to zejména v oblastech s převahou rozsáhlých stejnorodých a</w:t>
      </w:r>
      <w:r w:rsidR="004C4B78">
        <w:t> </w:t>
      </w:r>
      <w:r>
        <w:t>stejnověkých porostů nevhodné druhové skladby. V roce 2018 byl objem nahodilé těžby, který činil 23</w:t>
      </w:r>
      <w:r w:rsidR="004C4B78">
        <w:t> </w:t>
      </w:r>
      <w:r>
        <w:t>mil.</w:t>
      </w:r>
      <w:r w:rsidR="004C4B78">
        <w:t> </w:t>
      </w:r>
      <w:r>
        <w:t>m</w:t>
      </w:r>
      <w:r w:rsidRPr="004561DF">
        <w:rPr>
          <w:position w:val="6"/>
          <w:vertAlign w:val="superscript"/>
        </w:rPr>
        <w:t>3</w:t>
      </w:r>
      <w:r>
        <w:rPr>
          <w:position w:val="6"/>
        </w:rPr>
        <w:t xml:space="preserve"> </w:t>
      </w:r>
      <w:r>
        <w:t>b.k</w:t>
      </w:r>
      <w:r>
        <w:t>., nejvyšší v historii a oproti předchozímu roku byl zhruba dvojnásobný (11,7 mil. m</w:t>
      </w:r>
      <w:r w:rsidRPr="004561DF">
        <w:rPr>
          <w:position w:val="6"/>
          <w:vertAlign w:val="superscript"/>
        </w:rPr>
        <w:t>3</w:t>
      </w:r>
      <w:r>
        <w:rPr>
          <w:position w:val="6"/>
        </w:rPr>
        <w:t xml:space="preserve"> </w:t>
      </w:r>
      <w:r>
        <w:t>b.k</w:t>
      </w:r>
      <w:r>
        <w:t>. v roce 2017, resp. 9,4 mil. m</w:t>
      </w:r>
      <w:r w:rsidRPr="004561DF">
        <w:rPr>
          <w:position w:val="6"/>
          <w:vertAlign w:val="superscript"/>
        </w:rPr>
        <w:t>3</w:t>
      </w:r>
      <w:r>
        <w:rPr>
          <w:position w:val="6"/>
        </w:rPr>
        <w:t xml:space="preserve"> </w:t>
      </w:r>
      <w:r>
        <w:t>b.k</w:t>
      </w:r>
      <w:r>
        <w:t>. v roce 2016). Přitom většinu nahodilé těžby tvořila těžba hmyzová (13 mil. m</w:t>
      </w:r>
      <w:r w:rsidRPr="00D5240B">
        <w:rPr>
          <w:position w:val="6"/>
          <w:vertAlign w:val="superscript"/>
        </w:rPr>
        <w:t>3</w:t>
      </w:r>
      <w:r w:rsidR="004C4B78">
        <w:rPr>
          <w:position w:val="6"/>
        </w:rPr>
        <w:t> </w:t>
      </w:r>
      <w:r>
        <w:t>b.k</w:t>
      </w:r>
      <w:r>
        <w:t xml:space="preserve">.). V roce 2018 čítala celková rozloha holin 35 761 ha. V roce 2019 je odhadovaná celková rozloha holin včetně odumřelých porostů 84 850 ha. </w:t>
      </w:r>
    </w:p>
    <w:p w:rsidR="0017648C" w:rsidP="00AE1B64" w14:paraId="1B625F0D" w14:textId="77777777">
      <w:r>
        <w:t xml:space="preserve">Lesnictví na tyto jevy reaguje postupnou přeměnou dřevinné skladby a změnou hospodaření. Při obnově lesa se postupně zvyšuje podíl listnatých dřevin (např. buk, dub, javor, jeřáb). Podíl listnáčů na celkové výměře </w:t>
      </w:r>
      <w:r>
        <w:t xml:space="preserve">lesa postupně narůstá a v roce 2018 dosáhl 27,3 %. Také se více pracuje s přirozenou obnovou. Dochází tak k potřebným změnám směrem k přirozenější a stabilnější struktuře lesních porostů, i když nedostatečným tempem. Tyto procesy však bude nutno v dalších letech podporovat výrazněji. </w:t>
      </w:r>
    </w:p>
    <w:p w:rsidR="0017648C" w:rsidP="00AE1B64" w14:paraId="21F69DD4" w14:textId="77777777">
      <w:r>
        <w:t xml:space="preserve">Se změnou dotačních a klimatických podmínek se mění také objem a složení zemědělské produkce, jsou využívány kvalitativně nové odrůdy dosud pěstovaných plodin, v malé míře se uplatňují geneticky modifikované organizmy. Na stavu a vývoji zemědělství bude i nadále velkou měrou záviset také kvalita ekosystémových služeb. </w:t>
      </w:r>
    </w:p>
    <w:p w:rsidR="0017648C" w:rsidP="00AE1B64" w14:paraId="750BC026" w14:textId="4997B37D">
      <w:r>
        <w:t xml:space="preserve">Zemědělství zahrnuje také oblast myslivosti a rybářství, kterou více rozpracovává koncepce výzkumu </w:t>
      </w:r>
      <w:r>
        <w:t>MZe</w:t>
      </w:r>
      <w:r>
        <w:t xml:space="preserve"> a</w:t>
      </w:r>
      <w:r w:rsidR="004C4B78">
        <w:t> </w:t>
      </w:r>
      <w:r>
        <w:t>výzkum v těchto oblastech bude také resortem zemědělství podporován. Společným zájmem je zachování dobrých produkčních podmínek v zemědělství a ochrana přírody, klimatu a složek životního prostředí.</w:t>
      </w:r>
    </w:p>
    <w:p w:rsidR="0017648C" w:rsidP="00AE1B64" w14:paraId="0718ACB0" w14:textId="77777777">
      <w:pPr>
        <w:pStyle w:val="Stejncl"/>
      </w:pPr>
      <w:r w:rsidRPr="00AE1B64">
        <w:rPr>
          <w:rStyle w:val="Zelentun"/>
        </w:rPr>
        <w:t>Stěžejní cíl 3.2:</w:t>
      </w:r>
      <w:r>
        <w:t xml:space="preserve"> Dosažení přiměřené potravinové a surovinové soběstačnosti udržitelnými zemědělskými postupy a vytvoření polyfunkčního a trvale udržitelného lesnictví</w:t>
      </w:r>
    </w:p>
    <w:p w:rsidR="0017648C" w:rsidRPr="00B0497E" w:rsidP="00AE1B64" w14:paraId="63E8B6C1" w14:textId="4A0EEB62">
      <w:pPr>
        <w:pStyle w:val="Heading3"/>
      </w:pPr>
      <w:r>
        <w:t>3.2.1</w:t>
      </w:r>
      <w:r>
        <w:tab/>
      </w:r>
      <w:r w:rsidRPr="00B0497E">
        <w:t>Sladění produkčních a neprodukčních funkcí zemědělství a lesnictví s ohledem na</w:t>
      </w:r>
      <w:r>
        <w:t> </w:t>
      </w:r>
      <w:r w:rsidRPr="00B0497E">
        <w:t xml:space="preserve">ohrožené druhy závislé na způsobu hospodaření </w:t>
      </w:r>
    </w:p>
    <w:p w:rsidR="0017648C" w:rsidP="00AE1B64" w14:paraId="38ADA26C" w14:textId="63384046">
      <w:r>
        <w:t>Cílem je dosáhnout přiměřené potravinové a surovinové soběstačnosti udržitelnými zemědělskými a</w:t>
      </w:r>
      <w:r w:rsidR="004C4B78">
        <w:t> </w:t>
      </w:r>
      <w:r>
        <w:t>lesnickými postupy i při změně klimatu za udržitelného využívání přírodních zdrojů (hlavně půda a voda) s</w:t>
      </w:r>
      <w:r w:rsidR="004C4B78">
        <w:t> </w:t>
      </w:r>
      <w:r>
        <w:t>využitím moderních technologií. Je třeba systematicky harmonizovat produkční a mimoprodukční funkce krajiny a provádět opatření vedoucí ke zvyšování biodiverzity krajiny,</w:t>
      </w:r>
      <w:r w:rsidRPr="00FF122C">
        <w:t xml:space="preserve"> </w:t>
      </w:r>
      <w:r>
        <w:t xml:space="preserve">včetně diverzity druhů vázaných na zemědělskou krajinu, hledat soulad mezi různými typy </w:t>
      </w:r>
      <w:r>
        <w:t>agroenvironmentálních</w:t>
      </w:r>
      <w:r>
        <w:t xml:space="preserve"> programů, postupy dobré zemědělské a lesnické praxe, dále nástroje jejich implementace včetně ekonomických a plánovacích nástrojů (zejména zemědělských subvencí). Příkladem může být využití zemědělských strojů s alternativním pohonem využívající vyčištěný </w:t>
      </w:r>
      <w:r>
        <w:t>biomethan</w:t>
      </w:r>
      <w:r>
        <w:t xml:space="preserve"> z bioplynových stanic, přesné satelitní navádění zemědělské techniky na poli s minimem škod na půdě, </w:t>
      </w:r>
      <w:r>
        <w:t>agrofotovoltaika</w:t>
      </w:r>
      <w:r>
        <w:t xml:space="preserve"> a jiné způsoby zajištění více cílů Zelené dohody pro Evropu současně (biodiverzita, OZE, nižší chemická ochrana zemědělské produkce). Vývoj diverzity na ekosystémové i druhové úrovni je nutné průběžně monitorovat. </w:t>
      </w:r>
      <w:r w:rsidRPr="00B4430C">
        <w:t xml:space="preserve">V lesnictví </w:t>
      </w:r>
      <w:r>
        <w:t xml:space="preserve">může být příkladem </w:t>
      </w:r>
      <w:r w:rsidRPr="00B4430C">
        <w:t>odklon od pasečného hospodářského způsobu a zařízení lesů metodou věkových tříd, větší využívání tvořivých sil přírody a</w:t>
      </w:r>
      <w:r w:rsidR="004C4B78">
        <w:t> </w:t>
      </w:r>
      <w:r w:rsidRPr="00B4430C">
        <w:t>v odůvodněných případech částečná rehabilitace tradičních/historických způsobů hospodaření (výmladkový les, pastva v lese apod.).</w:t>
      </w:r>
      <w:r>
        <w:t xml:space="preserve"> </w:t>
      </w:r>
    </w:p>
    <w:p w:rsidR="0017648C" w:rsidP="00AE1B64" w14:paraId="52BDA320" w14:textId="037A2401">
      <w:pPr>
        <w:pStyle w:val="Heading3"/>
      </w:pPr>
      <w:r>
        <w:t>3.2.2</w:t>
      </w:r>
      <w:r>
        <w:tab/>
      </w:r>
      <w:r w:rsidRPr="00B0497E">
        <w:t>Vývoj a využití inovativních metod monitoringu vegetace založených na využití dálkového průzkumu Země, geografických informačních systémech a dalších metodách a pokročilých technologiích, nejlepších dostupných technikách v chovech hospodářských zvířat i při zapravování hnojiv do půdy. využití prediktivního modelování</w:t>
      </w:r>
    </w:p>
    <w:p w:rsidR="0017648C" w:rsidRPr="00B0497E" w:rsidP="00AE1B64" w14:paraId="5027E741" w14:textId="77777777">
      <w:pPr>
        <w:pStyle w:val="Bezmezer1"/>
      </w:pPr>
    </w:p>
    <w:p w:rsidR="0017648C" w:rsidRPr="00B0497E" w:rsidP="00AE1B64" w14:paraId="25DF8048" w14:textId="15909527">
      <w:pPr>
        <w:pStyle w:val="Heading3"/>
      </w:pPr>
      <w:r>
        <w:t>3.2.3</w:t>
      </w:r>
      <w:r>
        <w:tab/>
      </w:r>
      <w:r w:rsidRPr="00B0497E">
        <w:t xml:space="preserve">Rozvoj trvale udržitelného, přírodě blízkého hospodaření v lesích, které zajišťuje plnění všech mimoprodukčních funkcí. </w:t>
      </w:r>
    </w:p>
    <w:p w:rsidR="0017648C" w:rsidP="00AE1B64" w14:paraId="30339F20" w14:textId="18E2F85C">
      <w:r>
        <w:t xml:space="preserve">Vzhledem ke stávajícímu stavu lesních porostů v ČR především v návaznosti na rozsáhlou kůrovcovou gradaci je nezbytné změnit způsob hospodaření v lesích směrem k nepasečným formám hospodaření a zcela změnit </w:t>
      </w:r>
      <w:r>
        <w:t>stávající druhovou skladbu s dominantním smrkem tak, aby lesy lépe odolávaly probíhající změně klimatu a</w:t>
      </w:r>
      <w:r w:rsidR="004C4B78">
        <w:t> </w:t>
      </w:r>
      <w:r>
        <w:t>naplňovaly své mimoprodukční funkce (ochrana biodiverzity, ukládání uhlíku, hydrologická funkce)</w:t>
      </w:r>
      <w:r w:rsidR="00346D9B">
        <w:t xml:space="preserve"> </w:t>
      </w:r>
    </w:p>
    <w:p w:rsidR="0017648C" w:rsidRPr="00B0497E" w:rsidP="00AE1B64" w14:paraId="219215B4" w14:textId="46E08D6F">
      <w:pPr>
        <w:pStyle w:val="Heading3"/>
      </w:pPr>
      <w:r>
        <w:t>3.2.4</w:t>
      </w:r>
      <w:r>
        <w:tab/>
      </w:r>
      <w:r w:rsidRPr="00B0497E">
        <w:t xml:space="preserve">Vývoj </w:t>
      </w:r>
      <w:r w:rsidRPr="00B0497E">
        <w:t>agrotechnologií</w:t>
      </w:r>
      <w:r w:rsidRPr="00B0497E">
        <w:t xml:space="preserve"> pěstování energetických plodin 2. generace s ohledem na</w:t>
      </w:r>
      <w:r>
        <w:t> </w:t>
      </w:r>
      <w:r w:rsidRPr="00B0497E">
        <w:t>zlepšování půdních parametrů (kumulace uhlíku a uzavírání cyklů živin) a bez ohrožení biologické rozmanitosti</w:t>
      </w:r>
    </w:p>
    <w:p w:rsidR="0017648C" w:rsidRPr="00F71DDA" w:rsidP="00AE1B64" w14:paraId="7C57561B" w14:textId="0896B773">
      <w:r>
        <w:t>Vzhledem k rostoucímu důrazu na udržitelné hospodaření v lesích, vytváření podmínek pro rozvoj biodiverzity a ochranu půdy, mění se náhled na možnosti pěstování a využití energetických plodin, hledají se nové zdroje a způsoby využití OZE. Jedná se o dlouhodobý systematický výzkum, zejména v oblasti biotechnologií. Cílem podpory by měl být rozvoj pěstování perspektivních (energetických) plodin pro produkci biomasy na zemědělské půdě (pro energetické, průmyslové a surovinové využití) v souladu s</w:t>
      </w:r>
      <w:r w:rsidR="004C4B78">
        <w:t> </w:t>
      </w:r>
      <w:r>
        <w:t xml:space="preserve">prioritami rezortu životního prostředí, tzn. ochrana půdy, biodiverzity a snižování emisí skleníkových plynů včetně sekvestrace klíčových prvků (uhlík, dusík, fosfor). Toto může přispět k energetické a surovinové soběstačnosti ČR a vytvoření zdrojů pro rozvoj </w:t>
      </w:r>
      <w:r>
        <w:t>bioekonomiky</w:t>
      </w:r>
      <w:r>
        <w:t>.</w:t>
      </w:r>
    </w:p>
    <w:p w:rsidR="0017648C" w:rsidRPr="00F71DDA" w:rsidP="00AE1B64" w14:paraId="3BC11627" w14:textId="77777777">
      <w:pPr>
        <w:pStyle w:val="Heading2"/>
        <w:rPr>
          <w:rFonts w:cs="Calibri"/>
          <w:b w:val="0"/>
          <w:iCs/>
          <w:sz w:val="24"/>
          <w:szCs w:val="24"/>
        </w:rPr>
      </w:pPr>
      <w:bookmarkStart w:id="41" w:name="_Toc106130008"/>
      <w:bookmarkStart w:id="42" w:name="_Toc256000014"/>
      <w:r w:rsidRPr="00105A97">
        <w:t>Podoblast 3.3 Urbanismus a inteligentní lidská sídla</w:t>
      </w:r>
      <w:bookmarkEnd w:id="42"/>
      <w:bookmarkEnd w:id="41"/>
    </w:p>
    <w:p w:rsidR="0017648C" w:rsidP="00AE1B64" w14:paraId="17CBBD88" w14:textId="38F93F5E">
      <w:r>
        <w:t xml:space="preserve">Harmonický rozvoj sídel je dnes nejčastěji označován výrazem „SMART </w:t>
      </w:r>
      <w:r>
        <w:t>cities</w:t>
      </w:r>
      <w:r>
        <w:t>“.</w:t>
      </w:r>
      <w:r w:rsidR="00346D9B">
        <w:t xml:space="preserve"> </w:t>
      </w:r>
      <w:r>
        <w:t xml:space="preserve">Spočívá v poznání kritických míst mj. z hlediska nadměrné dopravy, geochemických kontaminací či pauperizovaných anebo sociálně vymezených částí sídla. Základem dalšího rozvoje sídel jsou urbanisticky propracovaná řešení vhodné dopravní sítě, uživatelsky přívětivé infrastruktury, komunitní soudržnosti a přirozených vazeb s okolní krajinou. Ucelený koncept schválila vláda v roce 2021 (viz Koncepce Smart </w:t>
      </w:r>
      <w:r>
        <w:t>Cities</w:t>
      </w:r>
      <w:r>
        <w:t xml:space="preserve"> – zvyšování odolnosti obcí, měst a regionů prostřednictvím SMART řešení).</w:t>
      </w:r>
    </w:p>
    <w:p w:rsidR="0017648C" w:rsidP="00AE1B64" w14:paraId="7EE173C8" w14:textId="0F2BE30E">
      <w:r>
        <w:t>Urbanizované prostory, a to nejen sídel, významně ovlivňují kvalitu životního prostředí. Vlivy vyplývají ze stavu a fungování jeho infrastruktury včetně bytového fondu, způsobu dopravy a komunikace, efektivnosti odpadového hospodářství a spotřeby energie. Orientace politiky životního prostředí se postupně přesouvá od regulace sektorů výroby k oblasti spotřeby. Další příležitosti ke snižování negativních vlivů na životní prostředí je dnes možné hledat především v efektivním využití energie a materiálů na straně spotřeby. Významnou roli v znečištění ovzduší má vytápění domácností, energetická spotřeba budov a dopravní náročnost sídel. Zastavěné plochy ovlivňují odtokové poměry území. Domácnosti a vodovody pro veřejnou potřebu jsou vedle energetiky významným spotřebitelem vody, přitom jen malá část vody spotřebovaná na provoz sídel vyžaduje kvalitu odpovídající pitné vodě. Postupně roste</w:t>
      </w:r>
      <w:r w:rsidR="00346D9B">
        <w:t xml:space="preserve"> </w:t>
      </w:r>
      <w:r>
        <w:t>znovu</w:t>
      </w:r>
      <w:r w:rsidR="00346D9B">
        <w:t>-</w:t>
      </w:r>
      <w:r>
        <w:t>využívání vyčištěných odpadních vod pro účely, které nevyžadují kvalitu pitných vod (a nedochází k vypouštění odpadních vod do vod podzemních – např. zavlažování ve venkovním prostředí), stanovují se požadavky na kvalitu užitkových vod.</w:t>
      </w:r>
      <w:r w:rsidR="00346D9B">
        <w:t xml:space="preserve"> </w:t>
      </w:r>
      <w:r>
        <w:t xml:space="preserve">Nakládání s komunálním odpadem je dosud nejproblematičtější částí odpadového hospodářství. </w:t>
      </w:r>
    </w:p>
    <w:p w:rsidR="0017648C" w:rsidP="00AE1B64" w14:paraId="3A0B1B15" w14:textId="7675F517">
      <w:r>
        <w:t>Spotřeba energie v budovách i v obecní infrastruktuře a nakládání s odpady jsou významné také z hlediska emisí skleníkových plynů. Roste význam energeticky úsporných budov jak z hlediska nákladů, tak z hlediska produkce emisí. Snižuje se spotřeba materiálů na výstavbu. Pro zabezpečení potřeby energie se více využívají lokální (obnovitelné) zdroje energie, vzniká komunitní energetika. ČR je na 4.</w:t>
      </w:r>
      <w:r w:rsidR="00346D9B">
        <w:t>–</w:t>
      </w:r>
      <w:r>
        <w:t>5. místě v EU v zásobování teplem z centrálních zdrojů, kde jsou možné další úspory a změna vytápěcího média. V domech se využívají moderní regulační systémy. Propracovanost a vysoká technologická úroveň systémů a rostoucí nároky na kvalitu bydlení však přinášejí také zvýšenou citlivost vůči rizikům (mimo jiné též rizika vyplývající ze změny klimatu) a nutnost zajištění bezpečnosti sídel.</w:t>
      </w:r>
      <w:r w:rsidR="00526DE1">
        <w:t xml:space="preserve"> </w:t>
      </w:r>
    </w:p>
    <w:p w:rsidR="0017648C" w:rsidRPr="00F31AEE" w:rsidP="00AE1B64" w14:paraId="37E8E05D" w14:textId="77777777">
      <w:pPr>
        <w:pStyle w:val="Stejncl"/>
      </w:pPr>
      <w:r w:rsidRPr="00AE1B64">
        <w:rPr>
          <w:rStyle w:val="Zelentun"/>
        </w:rPr>
        <w:t>Stěžejní cíl 3.3:</w:t>
      </w:r>
      <w:r>
        <w:t xml:space="preserve"> </w:t>
      </w:r>
      <w:r w:rsidRPr="00F31AEE">
        <w:t>Implementace urbanistických řešení, která umožní koncepční tvorbu „S</w:t>
      </w:r>
      <w:r>
        <w:t>mart</w:t>
      </w:r>
      <w:r w:rsidRPr="00F31AEE">
        <w:t xml:space="preserve"> </w:t>
      </w:r>
      <w:r>
        <w:t>C</w:t>
      </w:r>
      <w:r w:rsidRPr="00F31AEE">
        <w:t>ities</w:t>
      </w:r>
      <w:r w:rsidRPr="00F31AEE">
        <w:t>“ a</w:t>
      </w:r>
      <w:r>
        <w:t> </w:t>
      </w:r>
      <w:r w:rsidRPr="00F31AEE">
        <w:t>napomohou zkvalitnění funkce sídel v krajině a zkvalitnění životního prostředí uvnitř sídel, a to včetně modro-zelené infrastruktury</w:t>
      </w:r>
      <w:r>
        <w:t xml:space="preserve">. </w:t>
      </w:r>
      <w:r w:rsidRPr="00F31AEE">
        <w:t>Zajištění minimální energetické a</w:t>
      </w:r>
      <w:r>
        <w:t> </w:t>
      </w:r>
      <w:r w:rsidRPr="00F31AEE">
        <w:t>materiálové náročnosti sídel a implementace urbanistických řešení vedoucích ke</w:t>
      </w:r>
      <w:r>
        <w:t> </w:t>
      </w:r>
      <w:r w:rsidRPr="00F31AEE">
        <w:t>zkvalitnění funkce sídel a bydlení</w:t>
      </w:r>
      <w:r>
        <w:t>.</w:t>
      </w:r>
    </w:p>
    <w:p w:rsidR="0017648C" w:rsidRPr="00AE1B64" w:rsidP="00AE1B64" w14:paraId="61D68652" w14:textId="77777777">
      <w:pPr>
        <w:rPr>
          <w:rStyle w:val="Zelentun"/>
        </w:rPr>
      </w:pPr>
      <w:r w:rsidRPr="00AE1B64">
        <w:rPr>
          <w:rStyle w:val="Zelentun"/>
        </w:rPr>
        <w:t>Opatření:</w:t>
      </w:r>
    </w:p>
    <w:p w:rsidR="0017648C" w:rsidRPr="00F71DDA" w:rsidP="00AE1B64" w14:paraId="5C7F4C05" w14:textId="7539D641">
      <w:pPr>
        <w:pStyle w:val="Heading3"/>
      </w:pPr>
      <w:r>
        <w:t>3.3.1</w:t>
      </w:r>
      <w:r>
        <w:tab/>
      </w:r>
      <w:r w:rsidRPr="00F71DDA">
        <w:t>Návrh moderních metod a systémů budování a provozu inteligentních lidských sídel s</w:t>
      </w:r>
      <w:r w:rsidR="004C4B78">
        <w:t> </w:t>
      </w:r>
      <w:r w:rsidRPr="00F71DDA">
        <w:t>minimálními dopady na životní prostředí, bez tepelných ostrovů</w:t>
      </w:r>
    </w:p>
    <w:p w:rsidR="0017648C" w:rsidP="00AE1B64" w14:paraId="4365397F" w14:textId="77777777">
      <w:r>
        <w:t xml:space="preserve">Cílem je nacházet a vypracovávat nástroje a řešení pro budování a provoz udržitelných lidských sídel s ekonomicky úspornou, environmentálně a sociologicky příznivou infrastrukturou. Možným přístupem jsou </w:t>
      </w:r>
      <w:r>
        <w:t>smart</w:t>
      </w:r>
      <w:r>
        <w:t xml:space="preserve"> </w:t>
      </w:r>
      <w:r>
        <w:t>cities</w:t>
      </w:r>
      <w:r>
        <w:t>, holistický přístup k vytváření koncepčních řešení, s využitím dostupných nástrojů, zejména digitalizace. Vzhledem k sídelní struktuře ČR je potřebný výzkum na začátku, a to včetně potřebných indikátorů. Je rovněž třeba zkoumat efektivitu stávajících postupů, např. v rámci Národní sítě zdravých měst ČR. Cíl je třeba plnit s důrazem na spolupráci odborníků v oblasti urbanismu, architektury a řady dalších oborů.</w:t>
      </w:r>
    </w:p>
    <w:p w:rsidR="0017648C" w:rsidRPr="00F71DDA" w:rsidP="00AE1B64" w14:paraId="5CC4919D" w14:textId="373A9166">
      <w:pPr>
        <w:pStyle w:val="Heading3"/>
      </w:pPr>
      <w:r>
        <w:t>3.3.2</w:t>
      </w:r>
      <w:r>
        <w:tab/>
      </w:r>
      <w:r w:rsidRPr="00F71DDA">
        <w:t>Nový evropský Bauhaus, urbánní geologie, význam lidských sídel v ochraně biodiverzity a</w:t>
      </w:r>
      <w:r w:rsidR="004C4B78">
        <w:t> </w:t>
      </w:r>
      <w:r w:rsidRPr="00F71DDA">
        <w:t>snižování dopadů na klima, adaptace na změnu</w:t>
      </w:r>
      <w:r>
        <w:t xml:space="preserve"> klimatu</w:t>
      </w:r>
      <w:r w:rsidRPr="00F71DDA">
        <w:t xml:space="preserve"> ve městech a obcích ČR a vývoj inovativních metod monitoringu založených na využití dálkového průzkumu Země</w:t>
      </w:r>
    </w:p>
    <w:p w:rsidR="0017648C" w:rsidRPr="00F31AEE" w:rsidP="00AE1B64" w14:paraId="7C131690" w14:textId="69658268">
      <w:r>
        <w:t>Adaptace na změnu klimatu, využití modro-zelené infrastruktury, rozvoj biodiverzity v </w:t>
      </w:r>
      <w:r>
        <w:t>intravilánech</w:t>
      </w:r>
      <w:r>
        <w:t xml:space="preserve"> lidských sídel jsou významnými součástmi iniciativy Nový evropský Bauhaus, která dodává udržitelnému rozvoji dodává kulturní a kreativní rozměr, podporuje udržitelnost inovací, technologií a environmentálně příznivého hospodářství. Přináší výhody ekologické transformace díky hmatatelným zkušenostem na místní úrovni a</w:t>
      </w:r>
      <w:r w:rsidR="004C4B78">
        <w:t> </w:t>
      </w:r>
      <w:r>
        <w:t xml:space="preserve">napomáhá zlepšování </w:t>
      </w:r>
      <w:r w:rsidRPr="00F71DDA">
        <w:t>podmínek pro běžný život ve městech a obcích.</w:t>
      </w:r>
      <w:r w:rsidR="00346D9B">
        <w:t xml:space="preserve"> </w:t>
      </w:r>
      <w:r w:rsidRPr="00F71DDA">
        <w:t>Tato oblast je – vzhledem k sídelní struktuře ČR – významnou výzvou pro tvorbu prostředí v celé ČR jakožto kulturní krajiny (ve smyslu ovlivněné lidskou činností). Realizaci nových řešení umožňují nově dostupné nástroje včetně nástrojů monitoringu prostředí, které jsou založeny na dálkovém průzkumu Země. Tyto lze využít např. pro sledování životního prostředí ve městech a obcích, sledování tepelných ostrovů, znečištění ovzduší, teplotních map pro plánování a tvorbu zeleně, vyhodnocení struktury zeleně a sortimentu ve vazbě na mapu teplot povrchů.</w:t>
      </w:r>
      <w:r w:rsidR="00346D9B">
        <w:t xml:space="preserve"> </w:t>
      </w:r>
      <w:r w:rsidRPr="00F71DDA">
        <w:t>Udržitelný rozvoj měst není možný bez detailních informací o geotechnických vlastnostech podložních hornin a zemin v</w:t>
      </w:r>
      <w:r>
        <w:t> </w:t>
      </w:r>
      <w:r w:rsidRPr="00F71DDA">
        <w:t>městských aglomeracích. Tyto informace jsou v současné době rozdrobené a často špatně dostupné místním samosprávám.</w:t>
      </w:r>
      <w:r w:rsidR="00346D9B">
        <w:t xml:space="preserve"> </w:t>
      </w:r>
      <w:r w:rsidRPr="00F71DDA">
        <w:t>Novým světovým trendem v rozvoji městských oblastí je</w:t>
      </w:r>
      <w:r>
        <w:t> </w:t>
      </w:r>
      <w:r w:rsidRPr="00F71DDA">
        <w:t>komplexní management podpovrchového prostoru (</w:t>
      </w:r>
      <w:r w:rsidRPr="00F71DDA">
        <w:t>subsurface</w:t>
      </w:r>
      <w:r w:rsidRPr="00F71DDA">
        <w:t xml:space="preserve"> management, systémy BIM</w:t>
      </w:r>
      <w:r w:rsidR="00346D9B">
        <w:t xml:space="preserve"> – </w:t>
      </w:r>
      <w:r w:rsidRPr="00F71DDA">
        <w:t>building</w:t>
      </w:r>
      <w:r w:rsidRPr="00F71DDA">
        <w:t xml:space="preserve"> </w:t>
      </w:r>
      <w:r w:rsidRPr="00F71DDA">
        <w:t>information</w:t>
      </w:r>
      <w:r w:rsidRPr="00F71DDA">
        <w:t xml:space="preserve"> modelling a CIM</w:t>
      </w:r>
      <w:r w:rsidR="00346D9B">
        <w:t xml:space="preserve"> – </w:t>
      </w:r>
      <w:r w:rsidRPr="00F71DDA">
        <w:t xml:space="preserve">city </w:t>
      </w:r>
      <w:r w:rsidRPr="00F71DDA">
        <w:t>information</w:t>
      </w:r>
      <w:r w:rsidRPr="00F71DDA">
        <w:t xml:space="preserve"> modelling), který je využíván pro účely podzemních staveb různého charakteru.</w:t>
      </w:r>
    </w:p>
    <w:p w:rsidR="0017648C" w:rsidRPr="00F71DDA" w:rsidP="00AE1B64" w14:paraId="03558D0D" w14:textId="2F28922C">
      <w:pPr>
        <w:pStyle w:val="Heading3"/>
      </w:pPr>
      <w:r>
        <w:t>3.3.3</w:t>
      </w:r>
      <w:r>
        <w:tab/>
      </w:r>
      <w:r w:rsidRPr="00F71DDA">
        <w:t>Tvorba prostředí s využitím sídelní zeleně a vody v </w:t>
      </w:r>
      <w:r w:rsidRPr="00F71DDA">
        <w:t>intravilánu</w:t>
      </w:r>
      <w:r w:rsidRPr="00F71DDA">
        <w:t xml:space="preserve"> měst a obcí (zelená a</w:t>
      </w:r>
      <w:r>
        <w:t> </w:t>
      </w:r>
      <w:r w:rsidRPr="00F71DDA">
        <w:t>modrá infrastruktura), tvorba vhodných nástrojů k jeho revitalizaci při využití vhodných technologií a sortimentu rostlin a dřevin, rozvoj udržitelných měst a obcí</w:t>
      </w:r>
    </w:p>
    <w:p w:rsidR="00AE1B64" w:rsidP="00AE1B64" w14:paraId="78907699" w14:textId="77777777">
      <w:pPr>
        <w:sectPr w:rsidSect="009F0F2E">
          <w:headerReference w:type="default" r:id="rId11"/>
          <w:pgSz w:w="11906" w:h="16838"/>
          <w:pgMar w:top="1701" w:right="1134" w:bottom="1134" w:left="1134" w:header="709" w:footer="567" w:gutter="0"/>
          <w:cols w:space="708"/>
          <w:docGrid w:linePitch="360"/>
        </w:sectPr>
      </w:pPr>
      <w:r>
        <w:t xml:space="preserve">Cílem tohoto opatření je stanovení principů tvorby, revitalizace a propojení jednotlivých typů složek systému zeleně a vody v rámci stávající urbanistické struktury sídla. Důležitým aspektem je navrhování a ověřování </w:t>
      </w:r>
      <w:r>
        <w:t>progresivních, environmentálně příznivých a ekonomicky výhodných technologií při zřizování a udržování ploch a prvků systémů zeleně v sídlech při využití vhodného sortimentu rostlin a z důvodu zabránění tepelným ostrovům zejména dřevin. Nezbytnou podmínkou je i soustřeďování a testování vhodnosti taxonů neprodukčních rostlin a dřevin s důrazem na zhodnocení jejich odolnosti ke globální změně klimatu a přínosu pro životní prostředí sídel. Bude upřednostněn holistický přístup, který umožní plnění několika funkcí zeleně a vody (klimatickou, k ochraně ovzduší, využití OZE atd.) v </w:t>
      </w:r>
      <w:r>
        <w:t>intravilánech</w:t>
      </w:r>
      <w:r>
        <w:t xml:space="preserve"> udržitelně budovaných obcí a měst. Vytváření vhodné modrozelené infrastruktury ve městech nad 20 tisíc obyvatel je jedním z opatření evropské strategie pro podporu biodiverzity – Navrácení přírody do našeho života.</w:t>
      </w:r>
    </w:p>
    <w:p w:rsidR="0017648C" w:rsidP="00AE1B64" w14:paraId="5C5F3EEE" w14:textId="77777777">
      <w:pPr>
        <w:pStyle w:val="Heading1"/>
        <w:rPr>
          <w:b w:val="0"/>
          <w:sz w:val="24"/>
          <w:szCs w:val="24"/>
        </w:rPr>
      </w:pPr>
      <w:bookmarkStart w:id="43" w:name="_Toc106130009"/>
      <w:bookmarkStart w:id="44" w:name="_Toc256000015"/>
      <w:r w:rsidRPr="00105A97">
        <w:t>Oblast 4. Environmentální technologie a ekoinovace</w:t>
      </w:r>
      <w:bookmarkEnd w:id="44"/>
      <w:bookmarkEnd w:id="43"/>
    </w:p>
    <w:p w:rsidR="0017648C" w:rsidP="0017648C" w14:paraId="4CAF51AC" w14:textId="5EF8CF67">
      <w:pPr>
        <w:rPr>
          <w:rFonts w:ascii="Calibri" w:hAnsi="Calibri" w:cs="Calibri"/>
        </w:rPr>
      </w:pPr>
      <w:r>
        <w:rPr>
          <w:rFonts w:ascii="Calibri" w:hAnsi="Calibri" w:cs="Calibri"/>
          <w:b/>
        </w:rPr>
        <w:t>Hlavním cílem</w:t>
      </w:r>
      <w:r>
        <w:rPr>
          <w:rFonts w:ascii="Calibri" w:hAnsi="Calibri" w:cs="Calibri"/>
        </w:rPr>
        <w:t xml:space="preserve"> výzkumu v oblasti „</w:t>
      </w:r>
      <w:r>
        <w:rPr>
          <w:rFonts w:ascii="Calibri" w:hAnsi="Calibri" w:cs="Calibri"/>
          <w:b/>
        </w:rPr>
        <w:t>Environmentální technologie a </w:t>
      </w:r>
      <w:r>
        <w:rPr>
          <w:rFonts w:ascii="Calibri" w:hAnsi="Calibri" w:cs="Calibri"/>
          <w:b/>
        </w:rPr>
        <w:t>ekoinovace</w:t>
      </w:r>
      <w:r>
        <w:rPr>
          <w:rFonts w:ascii="Calibri" w:hAnsi="Calibri" w:cs="Calibri"/>
        </w:rPr>
        <w:t xml:space="preserve">“ je </w:t>
      </w:r>
      <w:r>
        <w:rPr>
          <w:rFonts w:ascii="Calibri" w:hAnsi="Calibri" w:cs="Calibri"/>
          <w:b/>
        </w:rPr>
        <w:t>rozvoj a posilování znalostní základny pro zavádění technologií a postupů, jejichž vliv na životní prostředí je nižší než u</w:t>
      </w:r>
      <w:r w:rsidR="004C4B78">
        <w:rPr>
          <w:rFonts w:ascii="Calibri" w:hAnsi="Calibri" w:cs="Calibri"/>
          <w:b/>
        </w:rPr>
        <w:t> </w:t>
      </w:r>
      <w:r>
        <w:rPr>
          <w:rFonts w:ascii="Calibri" w:hAnsi="Calibri" w:cs="Calibri"/>
          <w:b/>
        </w:rPr>
        <w:t>technologií s obdobnou funkcí a výkonem a technologií a nových postupů, které jsou využívány ke snížení zátěže životního prostředí v oblasti ochrany ovzduší, vod, při nakládání s odpady a přechodu na oběhové hospodářství, při procesu recyklace a likvidace starých ekologických škod</w:t>
      </w:r>
      <w:r>
        <w:rPr>
          <w:rFonts w:ascii="Calibri" w:hAnsi="Calibri" w:cs="Calibri"/>
        </w:rPr>
        <w:t xml:space="preserve">. Nejedná se přitom o technologie „na konci zařízení“, ale o technologie přispívající k dosažení klimatických cílů a se zohledněnými environmentálními limity od samého začátku (viz parametry taxonomie a metodu design </w:t>
      </w:r>
      <w:r>
        <w:rPr>
          <w:rFonts w:ascii="Calibri" w:hAnsi="Calibri" w:cs="Calibri"/>
        </w:rPr>
        <w:t>thinking</w:t>
      </w:r>
      <w:r>
        <w:rPr>
          <w:rFonts w:ascii="Calibri" w:hAnsi="Calibri" w:cs="Calibri"/>
        </w:rPr>
        <w:t xml:space="preserve">). Vzhledem k rozsahu a závažnosti této problematiky je oblast rozdělena na pět podoblastí. Výzkumné cíle jednotlivých podoblastí směřují k vyšší míře aplikace technologií a materiálů s minimální spotřebou energie a minimálním vlivem na životní prostředí a klima, k zavádění biotechnologií do výroby a k využívání biotechnologií při produkci obnovitelných zdrojů surovin a energie. Výzkumné cíle podoblastí se soustředí i na způsoby minimalizace odpadů a způsoby jejich opětovné použití a využití v duchu principů cirkulární ekonomiky. </w:t>
      </w:r>
    </w:p>
    <w:p w:rsidR="0017648C" w:rsidRPr="00105A97" w:rsidP="00AE1B64" w14:paraId="4A011C0B" w14:textId="77777777">
      <w:pPr>
        <w:pStyle w:val="Heading2"/>
      </w:pPr>
      <w:bookmarkStart w:id="45" w:name="_Toc106130010"/>
      <w:bookmarkStart w:id="46" w:name="_Toc256000016"/>
      <w:r w:rsidRPr="00105A97">
        <w:t>Podoblast 4.1 Technologie, techniky a materiály přátelské k životnímu prostředí</w:t>
      </w:r>
      <w:bookmarkEnd w:id="46"/>
      <w:bookmarkEnd w:id="45"/>
    </w:p>
    <w:p w:rsidR="0017648C" w:rsidP="00AE1B64" w14:paraId="6942E67A" w14:textId="030CB0DB">
      <w:r>
        <w:t>Negativní dopady na životní prostředí jsou dány zejména emisemi, které určují celkovou imisní situaci. V</w:t>
      </w:r>
      <w:r w:rsidR="004C4B78">
        <w:t> </w:t>
      </w:r>
      <w:r>
        <w:t xml:space="preserve">předchozích letech byly emise do ovzduší a vod snižovány prostřednictvím technologií „end </w:t>
      </w:r>
      <w:r>
        <w:t>of</w:t>
      </w:r>
      <w:r>
        <w:t xml:space="preserve"> </w:t>
      </w:r>
      <w:r>
        <w:t>pipe</w:t>
      </w:r>
      <w:r>
        <w:t>“, později – u největších znečišťovatelů – prostřednictvím integrovaného IPPC povolení. Příkladem je odsíření v</w:t>
      </w:r>
      <w:r w:rsidR="004C4B78">
        <w:t> </w:t>
      </w:r>
      <w:r>
        <w:t xml:space="preserve">elektrárnách a teplárnách spalujících hnědé uhlí, nebo ČOV měst a obcí. Jednalo se o velké investice, které byly jednoznačně dodatečným nákladem. České firmy v nich byly spíše subdodavateli jednodušších strojních součástí s nižší přidanou hodnotou. Environmentální a klimatické výzvy posledních deseti let vedly k novým technologiím, které jsou „end </w:t>
      </w:r>
      <w:r>
        <w:t>of</w:t>
      </w:r>
      <w:r>
        <w:t xml:space="preserve"> </w:t>
      </w:r>
      <w:r>
        <w:t>pipe</w:t>
      </w:r>
      <w:r>
        <w:t xml:space="preserve">“ pouze tam, kde to jinak není možné a také tam se jedná o zařízení podstatně sofistikovanější. </w:t>
      </w:r>
    </w:p>
    <w:p w:rsidR="0017648C" w:rsidP="00AE1B64" w14:paraId="3C467294" w14:textId="77777777">
      <w:r>
        <w:t>Tato podoblast by se měla zaměřit na všechny aplikace techniky, technologie a materiálů jejichž využitím dojde ke zlepšení životního prostředí, snížení dopadů na klima, kulturu a kvalitu života, případně ke snížení již existujících negativních dopadů vyplývajících z využívání současných technologických postupů. Postupy, kterými lze dosáhnout výše uvedených cílů, je vhodné směřovat k:</w:t>
      </w:r>
    </w:p>
    <w:p w:rsidR="0017648C" w:rsidRPr="00AE1B64" w:rsidP="00AE1B64" w14:paraId="75A66A1C" w14:textId="50F09849">
      <w:pPr>
        <w:pStyle w:val="ListParagraph"/>
      </w:pPr>
      <w:r w:rsidRPr="00AE1B64">
        <w:t>Snižování plynných emisí (skleníkové plyny, oxidy síry, dusíku apod.) vznikajících například ze spalování materiálů s obsahem uhlíku, biotechnologickými postupy, spalováním ropných derivátů, při těžbě a</w:t>
      </w:r>
      <w:r w:rsidR="004C4B78">
        <w:t> </w:t>
      </w:r>
      <w:r w:rsidRPr="00AE1B64">
        <w:t>transportu surovin apod. a to formou náhrady nebo zdokonalení současných technologií.</w:t>
      </w:r>
    </w:p>
    <w:p w:rsidR="0017648C" w:rsidRPr="00AE1B64" w:rsidP="00AE1B64" w14:paraId="0C41A5EB" w14:textId="1158A3E6">
      <w:pPr>
        <w:pStyle w:val="ListParagraph"/>
      </w:pPr>
      <w:r w:rsidRPr="00AE1B64">
        <w:t>Snižování emisí tuhých znečišťujících látek (PM10/PM2.5) produkovaných ve spalovacích procesech a</w:t>
      </w:r>
      <w:r w:rsidR="004C4B78">
        <w:t> </w:t>
      </w:r>
      <w:r w:rsidRPr="00AE1B64">
        <w:t>dopravě.</w:t>
      </w:r>
    </w:p>
    <w:p w:rsidR="0017648C" w:rsidRPr="00AE1B64" w:rsidP="00AE1B64" w14:paraId="4D86D1A8" w14:textId="77777777">
      <w:pPr>
        <w:pStyle w:val="ListParagraph"/>
      </w:pPr>
      <w:r w:rsidRPr="00AE1B64">
        <w:t>Omezení vypouštění nežádoucích látek do povrchových a podzemních vod a/nebo omezení spotřeby vody.</w:t>
      </w:r>
    </w:p>
    <w:p w:rsidR="0017648C" w:rsidRPr="00AE1B64" w:rsidP="00AE1B64" w14:paraId="4825F718" w14:textId="77777777">
      <w:pPr>
        <w:pStyle w:val="ListParagraph"/>
      </w:pPr>
      <w:r w:rsidRPr="00AE1B64">
        <w:t>zintenzivnění transformací energií a materiálů vedoucí k celkovému zvýšení účinnosti využití primárních zdrojů.</w:t>
      </w:r>
    </w:p>
    <w:p w:rsidR="0017648C" w:rsidRPr="00AE1B64" w:rsidP="00AE1B64" w14:paraId="73851E1F" w14:textId="77777777">
      <w:pPr>
        <w:pStyle w:val="ListParagraph"/>
      </w:pPr>
      <w:r w:rsidRPr="00AE1B64">
        <w:t>Snižování energetické náročnosti při výrobě a užívání nových výrobků.</w:t>
      </w:r>
    </w:p>
    <w:p w:rsidR="0017648C" w:rsidP="00AE1B64" w14:paraId="54E17343" w14:textId="77777777">
      <w:pPr>
        <w:pStyle w:val="ListParagraph"/>
      </w:pPr>
      <w:r w:rsidRPr="00AE1B64">
        <w:t>Optimalizace</w:t>
      </w:r>
      <w:r>
        <w:t xml:space="preserve"> výroby, užití a skladování energie.</w:t>
      </w:r>
    </w:p>
    <w:p w:rsidR="0017648C" w:rsidP="00AE1B64" w14:paraId="3CD34DA0" w14:textId="77777777">
      <w:pPr>
        <w:pStyle w:val="Stejncl"/>
      </w:pPr>
      <w:r w:rsidRPr="00AE1B64">
        <w:rPr>
          <w:rStyle w:val="Zelentun"/>
        </w:rPr>
        <w:t>Stěžejní cíl 4.1:</w:t>
      </w:r>
      <w:r>
        <w:t xml:space="preserve"> Aplikace nových technologií, materiálů a výrobků, které umožní snížit negativní dopady současných výrobních postupů a které přispějí ke zlepšení životního prostředí a kultury života společnosti.</w:t>
      </w:r>
    </w:p>
    <w:p w:rsidR="0017648C" w:rsidRPr="00AE1B64" w:rsidP="00AE1B64" w14:paraId="21044FAB" w14:textId="77777777">
      <w:pPr>
        <w:rPr>
          <w:rStyle w:val="Zelentun"/>
        </w:rPr>
      </w:pPr>
      <w:r w:rsidRPr="00AE1B64">
        <w:rPr>
          <w:rStyle w:val="Zelentun"/>
        </w:rPr>
        <w:t xml:space="preserve">Opatření: </w:t>
      </w:r>
    </w:p>
    <w:p w:rsidR="0017648C" w:rsidRPr="0019552F" w:rsidP="00AE1B64" w14:paraId="34CEE4FA" w14:textId="2018494A">
      <w:pPr>
        <w:pStyle w:val="Heading3"/>
      </w:pPr>
      <w:r>
        <w:t>4.1.1</w:t>
      </w:r>
      <w:r>
        <w:tab/>
      </w:r>
      <w:r w:rsidRPr="0019552F">
        <w:t>Technologie a výrobky zvyšující celkovou účinnost využití primárních zdrojů</w:t>
      </w:r>
    </w:p>
    <w:p w:rsidR="0017648C" w:rsidRPr="0019552F" w:rsidP="00AE1B64" w14:paraId="45B8F191" w14:textId="089FCF39">
      <w:r w:rsidRPr="0019552F">
        <w:t>Výzkum v oblasti nových technologií je již v současnosti zaměřen na co nejefektivnější využití primárních zdrojů energie, dále by se měl orientovat na efektivitu řešení ve větších celcích, zejména na komunitní energetiku s tím, že v technologiích určených k přeměně energie jsou sledovány jak environmentální, tak klimatické parametry, tedy také co nejnižší uhlíková stopa v celém životním cyklu.</w:t>
      </w:r>
      <w:r w:rsidR="00346D9B">
        <w:t xml:space="preserve"> </w:t>
      </w:r>
      <w:r w:rsidRPr="0019552F">
        <w:t xml:space="preserve">Dlouhodobější výzkum je orientován na technologie co možná </w:t>
      </w:r>
      <w:r w:rsidRPr="0019552F">
        <w:t>bezuhlíkové</w:t>
      </w:r>
      <w:r w:rsidRPr="0019552F">
        <w:t>, přátelské k životnímu prostředí</w:t>
      </w:r>
      <w:r w:rsidR="00346D9B">
        <w:t xml:space="preserve"> </w:t>
      </w:r>
      <w:r w:rsidRPr="0019552F">
        <w:t>„by design“. Rovněž je nezbytné systematicky zkoumat, hodnotit a snižovat materiálovou náročnost technologií výroby a akumulace elektřiny a tepla. Dále je významné zvyšování materiálové efektivity v ekonomice a</w:t>
      </w:r>
      <w:r>
        <w:t> </w:t>
      </w:r>
      <w:r w:rsidRPr="0019552F">
        <w:t>ve</w:t>
      </w:r>
      <w:r>
        <w:t> </w:t>
      </w:r>
      <w:r w:rsidRPr="0019552F">
        <w:t>společnosti. Důležitý proto bude výzkum a vývoj nových materiálů, postupů a technologií za</w:t>
      </w:r>
      <w:r w:rsidRPr="005303E3">
        <w:t xml:space="preserve"> </w:t>
      </w:r>
      <w:r w:rsidRPr="0019552F">
        <w:t xml:space="preserve">účelem snižování materiálové náročnosti, realizace konceptu „od kolébky ke kolébce“, tedy co nejvyšší </w:t>
      </w:r>
      <w:r w:rsidRPr="0019552F">
        <w:t>cirkularity</w:t>
      </w:r>
      <w:r w:rsidRPr="0019552F">
        <w:t xml:space="preserve"> hmot.</w:t>
      </w:r>
    </w:p>
    <w:p w:rsidR="0017648C" w:rsidRPr="0019552F" w:rsidP="00AE1B64" w14:paraId="2E66350D" w14:textId="10704515">
      <w:pPr>
        <w:pStyle w:val="Heading3"/>
      </w:pPr>
      <w:r>
        <w:t>4.1.2</w:t>
      </w:r>
      <w:r>
        <w:tab/>
      </w:r>
      <w:r w:rsidRPr="0019552F">
        <w:t>Výzkum a využití geotermální energie pro účely vytápění, chlazení a kogenerační výrobu energie včetně možností skladování tepla v horninovém prostředí a</w:t>
      </w:r>
      <w:r>
        <w:t> </w:t>
      </w:r>
      <w:r w:rsidRPr="0019552F">
        <w:t>podzemních prostorách vzniklých důlní činností</w:t>
      </w:r>
    </w:p>
    <w:p w:rsidR="0017648C" w:rsidP="00AE1B64" w14:paraId="0B79950C" w14:textId="77777777">
      <w:r>
        <w:t>Jedním z významných alternativních obnovitelných zdrojů, s nímž se počítá v koncepci dlouhodobého rozvoje městských aglomerací v ČR, je geotermální energie. Nastavení principů, podmínek využitelnosti geotermálních zdrojů, způsobu jejich vyhledávání, ověřování a exploatace, s důrazem jak na ochranu geotermálního zdroje samotného, tak i vlivu tohoto zdroje na jeho okolí je důležité pro další rozvoj tohoto významného ekologicky šetrného energetického zdroje. Skladování energie se stává významným prvkem energetických systémů. Geologické prostředí umožňuje využití této technologie v podstatně větších množstvích než povrchová zařízení, např. ve formě skladování tepla / chladu, vodíku nebo nízkouhlíkových plynů. Strategickým cílem je vytipování a ověření vhodných geologických struktur využitelných k těmto účelům, včetně otestování technologií a různých provozních režimů formou pilotních projektů.</w:t>
      </w:r>
      <w:r w:rsidRPr="00AA0B7F">
        <w:t xml:space="preserve"> </w:t>
      </w:r>
      <w:r>
        <w:t>Zkoumány by měly být rovněž interakce mezi využitím mělké geotermie / energie prostředí a jinými součástmi životního prostředí.</w:t>
      </w:r>
    </w:p>
    <w:p w:rsidR="0017648C" w:rsidP="00AE1B64" w14:paraId="06210AA9" w14:textId="77777777">
      <w:r>
        <w:t xml:space="preserve">Vzhledem k rostoucí potřebě </w:t>
      </w:r>
      <w:r>
        <w:t>resilience</w:t>
      </w:r>
      <w:r>
        <w:t xml:space="preserve">, lokální výroby i spotřeby energie, je třeba využít všechny možnosti, které dává specifické prostředí České republiky, a to včetně podzemních prostor, které vznikly důlní činností. </w:t>
      </w:r>
    </w:p>
    <w:p w:rsidR="0017648C" w:rsidRPr="0019552F" w:rsidP="00AE1B64" w14:paraId="473B046D" w14:textId="1957E952">
      <w:pPr>
        <w:pStyle w:val="Heading3"/>
      </w:pPr>
      <w:r>
        <w:t>4.1.3</w:t>
      </w:r>
      <w:r>
        <w:tab/>
      </w:r>
      <w:r w:rsidRPr="0019552F">
        <w:t>Environmentální aspekty průmyslu 4.0, digitální technologie v ochraně životního prostředí</w:t>
      </w:r>
    </w:p>
    <w:p w:rsidR="0017648C" w:rsidRPr="0019552F" w:rsidP="00AE1B64" w14:paraId="43AE605C" w14:textId="25C9D25E">
      <w:r w:rsidRPr="0019552F">
        <w:t>Průmyslu 4.0 – fyzicko</w:t>
      </w:r>
      <w:r>
        <w:t>-</w:t>
      </w:r>
      <w:r w:rsidRPr="0019552F">
        <w:t>robotické systémy, digitální dvojčata výrobních postupů mohou velmi významně přispívat ke snižování materiálové a energetické náročnosti produkce. Výrobní podniky postavené zcela na principech průmyslu 4.0 by měly umožňovat radikální snížení emisních limitů, resp. inventuru a následně zcela nový přístup ke stanovování emisních parametrů (tj. následkem revoluce 4.0 provést „revoluci v legislativě“). V tomto smyslu je budována tzv. taxonomie, orientace na takové „zelené“ technologie, které radikálně snižují dopady na životní prostředí a klima. Výzkum se zaměří rovněž na technologie</w:t>
      </w:r>
      <w:r>
        <w:t xml:space="preserve"> ke </w:t>
      </w:r>
      <w:r w:rsidRPr="0019552F">
        <w:t>sníž</w:t>
      </w:r>
      <w:r>
        <w:t>eni</w:t>
      </w:r>
      <w:r w:rsidRPr="0019552F">
        <w:t xml:space="preserve"> hlukov</w:t>
      </w:r>
      <w:r>
        <w:t>é</w:t>
      </w:r>
      <w:r w:rsidRPr="0019552F">
        <w:t xml:space="preserve"> zátěž</w:t>
      </w:r>
      <w:r>
        <w:t>e</w:t>
      </w:r>
      <w:r w:rsidRPr="0019552F">
        <w:t xml:space="preserve"> obyvatelstva i krajiny</w:t>
      </w:r>
      <w:r>
        <w:t>.</w:t>
      </w:r>
      <w:r w:rsidRPr="0019552F">
        <w:t xml:space="preserve"> </w:t>
      </w:r>
      <w:r>
        <w:t>B</w:t>
      </w:r>
      <w:r w:rsidRPr="0019552F">
        <w:t>ude sledováno a vyhodnocováno, jaký vliv má hluk na</w:t>
      </w:r>
      <w:r>
        <w:t> </w:t>
      </w:r>
      <w:r w:rsidRPr="0019552F">
        <w:t>biodiverzitu</w:t>
      </w:r>
      <w:r>
        <w:t xml:space="preserve"> </w:t>
      </w:r>
      <w:r>
        <w:t>a</w:t>
      </w:r>
      <w:r w:rsidR="004C4B78">
        <w:t> </w:t>
      </w:r>
      <w:r w:rsidRPr="0019552F">
        <w:t>výsledky budou aplikovány do praxe s využitím nástrojů posuzování vlivů na</w:t>
      </w:r>
      <w:r>
        <w:t> </w:t>
      </w:r>
      <w:r w:rsidRPr="0019552F">
        <w:t xml:space="preserve">životní prostředí. Podobně bude sledován vliv světelného znečištění na biodiverzitu i lidské zdraví a výsledky výzkumu budou využity v praxi. </w:t>
      </w:r>
    </w:p>
    <w:p w:rsidR="0017648C" w:rsidRPr="00035AFA" w:rsidP="00AE1B64" w14:paraId="6B549544" w14:textId="77777777">
      <w:pPr>
        <w:pStyle w:val="Heading2"/>
        <w:rPr>
          <w:rFonts w:cs="Calibri"/>
          <w:b w:val="0"/>
          <w:iCs/>
          <w:sz w:val="24"/>
          <w:szCs w:val="24"/>
        </w:rPr>
      </w:pPr>
      <w:bookmarkStart w:id="47" w:name="_Toc106130011"/>
      <w:bookmarkStart w:id="48" w:name="_Toc256000017"/>
      <w:r w:rsidRPr="00105A97">
        <w:t>Podoblast 4.2 Biotechnologie, materiálově, energeticky a emisně efektivní technologie, výrobky a služby</w:t>
      </w:r>
      <w:bookmarkEnd w:id="48"/>
      <w:bookmarkEnd w:id="47"/>
    </w:p>
    <w:p w:rsidR="0017648C" w:rsidP="00AE1B64" w14:paraId="4204329F" w14:textId="49A576BC">
      <w:r>
        <w:t>Biotechnologie jsou typickými znalostními technologiemi, které využívají organismy, resp. přírodní biologické procesy k získání přidané hodnoty. Jedná se o obor, který má do budoucna nejvyšší růstový potenciál. Společným rysem je provázání nových metod a biologických přístupů s výzkumem moderních technologií a</w:t>
      </w:r>
      <w:r w:rsidR="004C4B78">
        <w:t> </w:t>
      </w:r>
      <w:r>
        <w:t xml:space="preserve">produkčních systémů. V ČR je na relativně dobré úrovni rozvoj aplikací molekulárně genetických, buněčných a fyzikálně-chemických metod a rozvoj aplikací efektivních biotechnologií v zemědělství a potravinářství. </w:t>
      </w:r>
    </w:p>
    <w:p w:rsidR="0017648C" w:rsidP="00AE1B64" w14:paraId="23A23468" w14:textId="77777777">
      <w:r>
        <w:t>Biotechnologický rozvoj agrárního sektoru přispěl k zavádění technologií respektujících ochranu zemědělské a potravinářské produkce, produkční systémy chovu hospodářských zvířat, inovativní a efektivnější technologie produkce potravin a technologie umožňují snížení ekologické zátěže agrárního sektoru na životní prostředí, včetně snížení energetické náročnosti produkčních systémů. Postupně se rozvíjí biotechnické metody ke zlepšení bezpečnosti a jakosti produkce a racionální využití zemědělské produkce, především vedlejších produktů a odpadů k průmyslovému zpracování a energetickým účelům (bioplyn, biopaliva).</w:t>
      </w:r>
    </w:p>
    <w:p w:rsidR="0017648C" w:rsidP="00AE1B64" w14:paraId="3061D296" w14:textId="77777777">
      <w:r>
        <w:t xml:space="preserve">V blízké budoucnosti dojde k širokému využití poznatků molekulární biologie pro vývoj nových diagnostických metod, tkáňových kultur pro testování potravin, resp. jejich složek z hlediska bezpečnosti a případného dlouhodobého genetického poškození, interakcí léčiv a potravin apod., vývoj </w:t>
      </w:r>
      <w:r>
        <w:t>enkapsulovaných</w:t>
      </w:r>
      <w:r>
        <w:t xml:space="preserve"> preparátů pro řízené uvolňování živin, léků apod. Existují možnosti využití </w:t>
      </w:r>
      <w:r>
        <w:t>nanotechnologicky</w:t>
      </w:r>
      <w:r>
        <w:t xml:space="preserve"> a biotechnologicky připravených materiálů v konstrukci strojů a zařízení. </w:t>
      </w:r>
    </w:p>
    <w:p w:rsidR="0017648C" w:rsidP="00AE1B64" w14:paraId="1664A9E4" w14:textId="77777777">
      <w:pPr>
        <w:pStyle w:val="Stejncl"/>
      </w:pPr>
      <w:r w:rsidRPr="00AE1B64">
        <w:rPr>
          <w:rStyle w:val="Zelentun"/>
        </w:rPr>
        <w:t>Stěžejní cíl 4.2:</w:t>
      </w:r>
      <w:r>
        <w:t xml:space="preserve"> Efektivní a environmentálně příznivé využití živých organismů při produkci obnovitelných zdrojů surovin a energie při zachování kvality přírodních zdrojů a životního prostředí</w:t>
      </w:r>
    </w:p>
    <w:p w:rsidR="0017648C" w:rsidRPr="00AE1B64" w:rsidP="00AE1B64" w14:paraId="70FA09CD" w14:textId="77777777">
      <w:pPr>
        <w:rPr>
          <w:rStyle w:val="Zelentun"/>
        </w:rPr>
      </w:pPr>
      <w:r w:rsidRPr="00AE1B64">
        <w:rPr>
          <w:rStyle w:val="Zelentun"/>
        </w:rPr>
        <w:t>Opatření:</w:t>
      </w:r>
    </w:p>
    <w:p w:rsidR="0017648C" w:rsidRPr="00035AFA" w:rsidP="00AE1B64" w14:paraId="7A09D648" w14:textId="55E62316">
      <w:pPr>
        <w:pStyle w:val="Heading3"/>
      </w:pPr>
      <w:r>
        <w:t>4.2.1</w:t>
      </w:r>
      <w:r>
        <w:tab/>
      </w:r>
      <w:r w:rsidRPr="00035AFA">
        <w:t>Získávání kvalitativně nových primárních produktů využitím biotechnologických metod</w:t>
      </w:r>
    </w:p>
    <w:p w:rsidR="0017648C" w:rsidP="00AE1B64" w14:paraId="3683C500" w14:textId="130A99BB">
      <w:r>
        <w:t>Cílem je získávat kvalitativně nové primární produkty, vyhovující specifickým potřebám výživy, průmyslu a</w:t>
      </w:r>
      <w:r w:rsidR="004C4B78">
        <w:t> </w:t>
      </w:r>
      <w:r>
        <w:t>energetiky. S ohledem na existenci velkých výzkumných infrastruktur ČR s dobrým výzkumným potenciálem je vhodné podporovat je v zapojování do dlouhodobějších mezinárodních projektů ke studiu a vytváření zcela nových řešení.</w:t>
      </w:r>
      <w:r w:rsidR="00346D9B">
        <w:t xml:space="preserve"> </w:t>
      </w:r>
    </w:p>
    <w:p w:rsidR="0017648C" w:rsidRPr="00035AFA" w:rsidP="00AE1B64" w14:paraId="6470D441" w14:textId="7F45860B">
      <w:pPr>
        <w:pStyle w:val="Heading3"/>
      </w:pPr>
      <w:r>
        <w:t>4.2.2</w:t>
      </w:r>
      <w:r>
        <w:tab/>
      </w:r>
      <w:r w:rsidRPr="00035AFA">
        <w:t>Příprava biotechnologických postupů pro komplexní bezodpadové využití biomasy</w:t>
      </w:r>
    </w:p>
    <w:p w:rsidR="0017648C" w:rsidP="00AE1B64" w14:paraId="255E1A35" w14:textId="77777777">
      <w:r>
        <w:t>Cílem je využití biotechnologických procesů k návrhu bezodpadových řetězců výroby (bezodpadové cykly) při současném zachování kvality životního prostředí a s minimálními dopady na klima.</w:t>
      </w:r>
    </w:p>
    <w:p w:rsidR="0017648C" w:rsidRPr="00035AFA" w:rsidP="00AE1B64" w14:paraId="39904489" w14:textId="5EA0340E">
      <w:pPr>
        <w:pStyle w:val="Heading3"/>
      </w:pPr>
      <w:r>
        <w:t>4.2.3</w:t>
      </w:r>
      <w:r>
        <w:tab/>
      </w:r>
      <w:r w:rsidRPr="00035AFA">
        <w:t>Optimalizace využití biomasy pro potravinářské, materiálové, průmyslové a</w:t>
      </w:r>
      <w:r>
        <w:t> </w:t>
      </w:r>
      <w:r w:rsidRPr="00035AFA">
        <w:t>surovinové využití</w:t>
      </w:r>
    </w:p>
    <w:p w:rsidR="0017648C" w:rsidRPr="00E61478" w:rsidP="00AE1B64" w14:paraId="5A0A2004" w14:textId="700136B2">
      <w:r>
        <w:t>Cílem je hledání postupů a technologií využití reziduální a cíleně produkované biomasy, které by optimalizovaly přínosy pro životní prostředí a minimalizovaly negativní dopady na životní prostředí, s</w:t>
      </w:r>
      <w:r w:rsidR="004C4B78">
        <w:t> </w:t>
      </w:r>
      <w:r>
        <w:t>ohledem na ekonomickou efektivitu v současných případně očekávaných tržních podmínkách ČR a EU.</w:t>
      </w:r>
    </w:p>
    <w:p w:rsidR="0017648C" w:rsidRPr="00105A97" w:rsidP="00AE1B64" w14:paraId="7C96D3C6" w14:textId="77777777">
      <w:pPr>
        <w:pStyle w:val="Heading2"/>
      </w:pPr>
      <w:bookmarkStart w:id="49" w:name="_Toc106130012"/>
      <w:bookmarkStart w:id="50" w:name="_Toc256000018"/>
      <w:r w:rsidRPr="00105A97">
        <w:t>Podoblast 4.3 Minimalizace tvorby odpadů a jejich opětovné použití a využití</w:t>
      </w:r>
      <w:bookmarkEnd w:id="50"/>
      <w:bookmarkEnd w:id="49"/>
    </w:p>
    <w:p w:rsidR="0017648C" w:rsidP="00AE1B64" w14:paraId="662AE9AB" w14:textId="77777777">
      <w:r>
        <w:t xml:space="preserve">Nový pohled na nakládání s odpady a obecně s hmotou poskytuje nově schválený strategický rámec Cirkulární Česko 2040, který je popsán výše. </w:t>
      </w:r>
      <w:r w:rsidRPr="00FE429F">
        <w:t xml:space="preserve">Aktualizovaný Plán odpadového hospodářství ČR představuje dlouhodobou vizi a koncepci odpadového hospodářství České republiky s výhledem do 2035. </w:t>
      </w:r>
      <w:r>
        <w:t xml:space="preserve">Nová odpadová legislativa stanovuje zákaz skládkování využitelného odpadu od roku 2030, což umožňuje velmi rychlý </w:t>
      </w:r>
      <w:r>
        <w:t>screening</w:t>
      </w:r>
      <w:r>
        <w:t xml:space="preserve"> uplatnění nových metod co nejefektivnějšího využití odpadů.</w:t>
      </w:r>
    </w:p>
    <w:p w:rsidR="0017648C" w:rsidP="00AE1B64" w14:paraId="6E2D4EA0" w14:textId="7A0E0E1E">
      <w:r>
        <w:t>V roce 2020 bylo v ČR celková produkce odpadů 38,5 mil. tun, z toho (1,8 mil. tun nebezpečných odpadů a</w:t>
      </w:r>
      <w:r w:rsidR="004C4B78">
        <w:t> </w:t>
      </w:r>
      <w:r>
        <w:t>36,7 mil. tun ostatních odpadů). Z celkového množství všech vyprodukovaných odpadů jich bylo 89,8 % využito. Dominuje především materiálové využití, jehož podíl se dlouhodobě zvyšuje. V roce 2020 se zvýšil podíl materiálově využitých odpadů na 86,2 % a podíl energeticky využitých odpadů se zvýšil na 3,6 %. Podíl odpadů odstraněných skládkováním byl v roce 2020 na hodnotě 9,8 %.</w:t>
      </w:r>
      <w:r w:rsidRPr="006C0991">
        <w:t xml:space="preserve"> </w:t>
      </w:r>
    </w:p>
    <w:p w:rsidR="0017648C" w:rsidP="00AE1B64" w14:paraId="1B4812C7" w14:textId="77777777">
      <w:r>
        <w:t>Situace v oblasti nakládání s komunálními odpady v ČR celkově není dlouhodobě vyhovující (skládkování komunálních odpadů je nad úrovní průměru EU27 a recyklace pod jejím průměrem). Cílem je razantnější snižování podílu skládkování na celkové produkci komunálních odpadů a současně zvyšování jejich materiálového a rovněž energetického využití, a to v souladu s principy oběhového hospodářství a s potřebou naplnění evropských cílů oběhového hospodářství.</w:t>
      </w:r>
    </w:p>
    <w:p w:rsidR="0017648C" w:rsidP="00AE1B64" w14:paraId="5C70B9BD" w14:textId="77777777">
      <w:r>
        <w:t xml:space="preserve">V roce 2020 byla celková produkce KO 5,7 mil. tun, tedy 535,5 kg/obyv. Podíl produkce komunálních odpadů na celkové produkci odpadů v roce 2020 dosahoval 14,9 %. V roce 2020 bylo využito 51,2 % vyprodukovaných komunálních odpadů, z toho 38,6 % materiálově (recyklace a kompostování) a 12,6 % energeticky (přeměna na teplo nebo elektrickou energii v ZEVO). V nakládání s komunálními odpady však i nadále převažuje skládkování. Na skládkách bylo uloženo 47,8 % komunálních odpadů. Roste separace biologicky rozložitelných komunálních odpadů. </w:t>
      </w:r>
    </w:p>
    <w:p w:rsidR="0017648C" w:rsidP="00AE1B64" w14:paraId="6DC0EE7C" w14:textId="7003F5B5">
      <w:r>
        <w:t xml:space="preserve">V ČR je zaveden systém zpětného odběru </w:t>
      </w:r>
      <w:r w:rsidR="00346D9B">
        <w:t>–</w:t>
      </w:r>
      <w:r>
        <w:t xml:space="preserve"> separace některých komodit a odděleného sběru výrobků s</w:t>
      </w:r>
      <w:r w:rsidR="004C4B78">
        <w:t> </w:t>
      </w:r>
      <w:r>
        <w:t xml:space="preserve">ukončenou životností. Jedná se o elektrická a elektronická zařízení, baterie a akumulátory, zářivky a výbojky, pneumatiky a autovraky, oleje, v nejbližších letech </w:t>
      </w:r>
      <w:r>
        <w:t>přibudou</w:t>
      </w:r>
      <w:r>
        <w:t xml:space="preserve"> další komodity, zejména textil. Významným odvětvím odpadového hospodářství je rovněž nakládání s obaly. ČR úspěšně plní cíle využití a recyklace u</w:t>
      </w:r>
      <w:r w:rsidR="004C4B78">
        <w:t> </w:t>
      </w:r>
      <w:r>
        <w:t>odpadů z obalů. V roce 2020 byla celková produkce 1,3 mil. tun odpadů z obalů, z toho bylo 76 % odpadů z obalů recyklováno.</w:t>
      </w:r>
    </w:p>
    <w:p w:rsidR="00AE1B64" w:rsidP="00AE1B64" w14:paraId="69516BD3" w14:textId="3BB78CC0">
      <w:r>
        <w:t>V květnu 2018 byl schválen tzv. Balíček k oběhovému hospodářství, který zahrnuje změnu šesti odpadových směrnic a stanovuje nová pravidla a závazné cíle, které přispějí k předcházení vzniku odpadů a, pokud to není možné, k podstatnému zvýšení recyklace komunálního odpadu a obalových odpadů a postupnému snižování skládkování odpadů.</w:t>
      </w:r>
    </w:p>
    <w:p w:rsidR="0017648C" w:rsidP="00AE1B64" w14:paraId="4F551C3E" w14:textId="73A27D8D">
      <w:r>
        <w:t xml:space="preserve">V březnu 2020 představila Evropská komise Nový akční plán pro oběhové hospodářství, který rozpracovává další související opatření, vedoucí ke skutečnému přechodu na oběhové hospodářství v celé Evropě. Nový </w:t>
      </w:r>
      <w:r>
        <w:t xml:space="preserve">Akční plán pro oběhové hospodářství se systémově zaměřuje na celý životní cyklus výrobků – výrobou, designem, obaly, zpracování surovin či životností výrobků apod. </w:t>
      </w:r>
    </w:p>
    <w:p w:rsidR="0017648C" w:rsidP="00AE1B64" w14:paraId="42414BD3" w14:textId="77777777">
      <w:pPr>
        <w:pStyle w:val="Stejncl"/>
      </w:pPr>
      <w:r w:rsidRPr="00AE1B64">
        <w:rPr>
          <w:rStyle w:val="Zelentun"/>
        </w:rPr>
        <w:t>Stěžejní cíl 4.3:</w:t>
      </w:r>
      <w:r>
        <w:t xml:space="preserve"> Cirkulární Česko – inovativní postupy vedou k zavádění oběhového hospodářství a metod pro předcházení vzniku a opětovné použití odpadů</w:t>
      </w:r>
    </w:p>
    <w:p w:rsidR="0017648C" w:rsidRPr="00AE1B64" w:rsidP="00AE1B64" w14:paraId="412AA06C" w14:textId="77777777">
      <w:pPr>
        <w:rPr>
          <w:rStyle w:val="Zelentun"/>
        </w:rPr>
      </w:pPr>
      <w:r w:rsidRPr="00AE1B64">
        <w:rPr>
          <w:rStyle w:val="Zelentun"/>
        </w:rPr>
        <w:t>Opatření:</w:t>
      </w:r>
    </w:p>
    <w:p w:rsidR="0017648C" w:rsidRPr="005771C8" w:rsidP="00AE1B64" w14:paraId="4613B4E0" w14:textId="3D5FE8D6">
      <w:pPr>
        <w:pStyle w:val="Heading3"/>
      </w:pPr>
      <w:r>
        <w:t>4.3.1</w:t>
      </w:r>
      <w:r>
        <w:tab/>
      </w:r>
      <w:r w:rsidRPr="005771C8">
        <w:t>Výzkum ekologických inovací a nových recyklačních technologií, jejichž výstupem jsou látky srovnatelné kvalitou s primárními surovinami a podporují přechod na oběhové hospodářství v</w:t>
      </w:r>
      <w:r>
        <w:t> </w:t>
      </w:r>
      <w:r w:rsidRPr="005771C8">
        <w:t>průmyslu</w:t>
      </w:r>
    </w:p>
    <w:p w:rsidR="0017648C" w:rsidP="00AE1B64" w14:paraId="3E7208A9" w14:textId="13B212EA">
      <w:r>
        <w:t xml:space="preserve">Cílem je vývoj komplexních recyklačních technologií, jejichž produktem jsou výchozí materiály recyklovaných výrobků. Výzkum rovněž povede k rozvoji recyklačního průmyslu především v oblasti inovativních technologií a výrobních a opravárenských kapacit. </w:t>
      </w:r>
      <w:r w:rsidRPr="00DB0337">
        <w:t>Podpora v oblasti rozvoje digitalizace v odpadovém hospodářství a</w:t>
      </w:r>
      <w:r w:rsidR="004C4B78">
        <w:t> </w:t>
      </w:r>
      <w:r w:rsidRPr="00DB0337">
        <w:t>smart</w:t>
      </w:r>
      <w:r w:rsidRPr="00DB0337">
        <w:t xml:space="preserve"> „chytrém“ odpadové hospodářství, včetně digitalizace materiálových toků a jejich přesného monitoringu</w:t>
      </w:r>
      <w:r>
        <w:t xml:space="preserve">. Zavedení systému monitoringu a prohloubení metodiky analýzy životního cyklu dovolí vybrat optimální způsob recyklace, návrat druhotných surovin do výroby, nové způsoby jejich využití, metody up–recycling, minimalizaci nerecyklovatelného odpadu a jeho využití. Výzkum naváže na postupy oběhového hospodářství postupně zaváděného v rámci EU. Výzkum a vývoj bude zaměřen i na znovuzískávání </w:t>
      </w:r>
      <w:r>
        <w:t>nutrientů</w:t>
      </w:r>
      <w:r>
        <w:t xml:space="preserve"> z odpadních vod.</w:t>
      </w:r>
    </w:p>
    <w:p w:rsidR="0017648C" w:rsidRPr="005771C8" w:rsidP="00AE1B64" w14:paraId="4E9D184D" w14:textId="6FC2902C">
      <w:pPr>
        <w:pStyle w:val="Heading3"/>
      </w:pPr>
      <w:r>
        <w:t>4.3.2</w:t>
      </w:r>
      <w:r>
        <w:tab/>
      </w:r>
      <w:r w:rsidRPr="005771C8">
        <w:t>Výzkum a vývoj nových technologických řešení, inovací, ekonomických nástrojů a</w:t>
      </w:r>
      <w:r>
        <w:t> </w:t>
      </w:r>
      <w:r w:rsidRPr="005771C8">
        <w:t>efektivních postupů zaměřených na zvyšování využití odpadů, zapracování odpadů do výrobků a přípravy k opětovnému použití, s minimalizací negativních dopadů na životní prostředí a vedoucích k</w:t>
      </w:r>
      <w:r w:rsidR="004C4B78">
        <w:t> </w:t>
      </w:r>
      <w:r w:rsidRPr="005771C8">
        <w:t>posunu na vyšší stupně v hierarchii nakládání s</w:t>
      </w:r>
      <w:r>
        <w:t> </w:t>
      </w:r>
      <w:r w:rsidRPr="005771C8">
        <w:t>odpady a přechodu na oběhové hospodářství.</w:t>
      </w:r>
    </w:p>
    <w:p w:rsidR="0017648C" w:rsidP="00AE1B64" w14:paraId="2E370752" w14:textId="77777777">
      <w:r>
        <w:t xml:space="preserve">Cílem je vývoj nových technologií pro např. materiálovou recyklaci prioritních druhů odpadů; chemickou recyklaci odpadů, které nelze zpracovávat prostřednictvím mechanických procesů a rovněž inovativních technologií pro energetické využití odpadů nevhodných k materiálové recyklaci. </w:t>
      </w:r>
      <w:r w:rsidRPr="00DB0337">
        <w:t>Výzkum a vývoj nových inovativních materiálů, postupů technologií a výrobků s</w:t>
      </w:r>
      <w:r>
        <w:t> </w:t>
      </w:r>
      <w:r w:rsidRPr="00DB0337">
        <w:t xml:space="preserve">ohledem na zajištění jejich </w:t>
      </w:r>
      <w:r w:rsidRPr="00DB0337">
        <w:t>cirkularity</w:t>
      </w:r>
      <w:r w:rsidRPr="00DB0337">
        <w:t xml:space="preserve"> a snižování materiálové náročnosti</w:t>
      </w:r>
      <w:r>
        <w:t>. Vývoj moderních a inovativních technologií a postupů pro využití odpadů přispěje zásadním způsobem k přechodu na principy oběhového hospodářství.</w:t>
      </w:r>
    </w:p>
    <w:p w:rsidR="0017648C" w:rsidRPr="005771C8" w:rsidP="00AE1B64" w14:paraId="504E2E5E" w14:textId="2B5A07D8">
      <w:pPr>
        <w:pStyle w:val="Heading3"/>
      </w:pPr>
      <w:r>
        <w:t>4.3.3</w:t>
      </w:r>
      <w:r>
        <w:tab/>
      </w:r>
      <w:r w:rsidRPr="005771C8">
        <w:t>Inovativní postupy pro zavádění oběhového hospodářství a výzkum efektivních nástrojů a</w:t>
      </w:r>
      <w:r w:rsidR="004C4B78">
        <w:t> </w:t>
      </w:r>
      <w:r w:rsidRPr="005771C8">
        <w:t>metody pro předcházení vzniku a opětovné použití odpadů s minimalizací negativního vlivu na životní prostředí.</w:t>
      </w:r>
    </w:p>
    <w:p w:rsidR="0017648C" w:rsidP="00AE1B64" w14:paraId="0BA26304" w14:textId="77777777">
      <w:r>
        <w:t>K přechodu k oběhovému hospodářství a zvýhodnění druhotných surovin ve výrobním procesu může přispět podpora trhu s druhotnými surovinami, využívání udržitelného zadávání veřejných zakázek pro podporu používání výrobků z druhotných surovin, posouzení možností snížené daně z přidané hodnoty na činnosti recyklace, revize zpoplatnění nebo zdanění primárních surovin, používání nekvalitních materiálů, výrobků s krátkou životností nebo s obsahem nebezpečných látek. Opatření tedy mohou být nejen technologická, ale také procesní, organizační či administrativní, a to s využitím potenciálu společenskovědních oborů.</w:t>
      </w:r>
    </w:p>
    <w:p w:rsidR="0017648C" w:rsidRPr="005771C8" w:rsidP="00AE1B64" w14:paraId="6FBD456D" w14:textId="77777777">
      <w:r w:rsidRPr="005771C8">
        <w:t>Znalost toku hmoty ekonomikou a její znovuvyužití (k naplnění vizí Cirkulárního Česka) bude vyžadovat zavedení systematického monitoringu materiálových toků a vybraných látek včetně vytvoření odpovídajícího informačního systému.</w:t>
      </w:r>
    </w:p>
    <w:p w:rsidR="0017648C" w:rsidRPr="0018185C" w:rsidP="00AE1B64" w14:paraId="3EA7DEB4" w14:textId="77777777">
      <w:pPr>
        <w:pStyle w:val="Heading2"/>
        <w:rPr>
          <w:rFonts w:cs="Calibri"/>
          <w:b w:val="0"/>
          <w:iCs/>
          <w:sz w:val="24"/>
          <w:szCs w:val="24"/>
        </w:rPr>
      </w:pPr>
      <w:bookmarkStart w:id="51" w:name="_Toc106130013"/>
      <w:bookmarkStart w:id="52" w:name="_Toc256000019"/>
      <w:r w:rsidRPr="00105A97">
        <w:t>Podoblast 4.4 Odstraňování nebezpečných látek a starých škod z životního prostředí</w:t>
      </w:r>
      <w:bookmarkEnd w:id="52"/>
      <w:bookmarkEnd w:id="51"/>
    </w:p>
    <w:p w:rsidR="0017648C" w:rsidP="00AE1B64" w14:paraId="260B2D2A" w14:textId="6577DB81">
      <w:r>
        <w:t>Rozsáhlá průmyslová výroba, charakteristická pro území ČR od začátku 20. století, je provázena ekologickými škodami, specifickým znečištěním půdy a podzemních vod. Velké ekologické zátěže jsou spojeny zejména s</w:t>
      </w:r>
      <w:r w:rsidR="004C4B78">
        <w:t> </w:t>
      </w:r>
      <w:r>
        <w:t>chemickým průmyslem, dále s chemickými úpravami, které doprovázejí prakticky každou větší průmyslovou nebo energetickou výrobu a se znečištěním ropnými látkami, zejména v místech jejich skladování. K likvidaci těchto škod začalo docházet od roku 1990, po privatizaci státního majetku.</w:t>
      </w:r>
      <w:r w:rsidR="00346D9B">
        <w:t xml:space="preserve"> </w:t>
      </w:r>
      <w:r>
        <w:t xml:space="preserve">U řady starých ekologických zátěží stát garantuje jejich likvidaci a k likvidaci postupně dochází. Zákon č. 167/2008 Sb., o předcházení ekologické újmě, vyžaduje od firem, které mohou svým provozem takovou škodu způsobit, vysoké finanční garance (pojištění nebo zajištění). </w:t>
      </w:r>
    </w:p>
    <w:p w:rsidR="0017648C" w:rsidP="00AE1B64" w14:paraId="7A06BC50" w14:textId="4FA80C15">
      <w:r>
        <w:t>K likvidaci starých ekologických zátěží byly vyvinuty spolehlivé technologie, které jsou však finančně značně náročné. V současné době byla zlikvidována velká část nejproblematičtějších ekologických zátěží, v databázi SEZ je v současnosti cca 10 000 identifikovaných zátěží s různou mírou nebezpečí (dle klasifikace).</w:t>
      </w:r>
      <w:r w:rsidR="00346D9B">
        <w:t xml:space="preserve"> </w:t>
      </w:r>
      <w:r>
        <w:t>Pojištění (zajištění) firem na budoucí likvidaci případné škody je postaveno na cenách současných technologií, což lze považovat za velkou pobídku pro hledání nových metod levnějšího dosahování srovnatelných parametrů čistoty složek životního prostředí.</w:t>
      </w:r>
      <w:r w:rsidR="00346D9B">
        <w:t xml:space="preserve"> </w:t>
      </w:r>
      <w:r>
        <w:t>Vedle starých ekologických zátěží však vznikají tzv. nové, tedy zatížení odbouratelnými chemickými látkami, jejichž přísun do životního prostředí způsobuje „nasycenost“ půdy, tedy určitou systematickou zátěž.</w:t>
      </w:r>
    </w:p>
    <w:p w:rsidR="0017648C" w:rsidP="00AE1B64" w14:paraId="5CE8E30E" w14:textId="77777777">
      <w:pPr>
        <w:pStyle w:val="Stejncl"/>
      </w:pPr>
      <w:r w:rsidRPr="00AE1B64">
        <w:rPr>
          <w:rStyle w:val="Zelentun"/>
        </w:rPr>
        <w:t>Stěžejní cíl 4.4:</w:t>
      </w:r>
      <w:r>
        <w:t xml:space="preserve"> Ekonomicky efektivní sanací starých ekologických zátěží vzniká prostor pro nové aktivity, kontaminovaná území jsou stabilizována</w:t>
      </w:r>
    </w:p>
    <w:p w:rsidR="0017648C" w:rsidRPr="00AE1B64" w:rsidP="00AE1B64" w14:paraId="6B036C57" w14:textId="77777777">
      <w:pPr>
        <w:rPr>
          <w:rStyle w:val="Zelentun"/>
        </w:rPr>
      </w:pPr>
      <w:r w:rsidRPr="00AE1B64">
        <w:rPr>
          <w:rStyle w:val="Zelentun"/>
        </w:rPr>
        <w:t>Opatření:</w:t>
      </w:r>
    </w:p>
    <w:p w:rsidR="0017648C" w:rsidRPr="0018185C" w:rsidP="00AE1B64" w14:paraId="6E15CDF7" w14:textId="4E7A9478">
      <w:pPr>
        <w:pStyle w:val="Heading3"/>
      </w:pPr>
      <w:r>
        <w:t>4.4.1</w:t>
      </w:r>
      <w:r>
        <w:tab/>
      </w:r>
      <w:r w:rsidRPr="0018185C">
        <w:t>Zvýšení efektivnosti sanačních technologií a zavedení nových metod sanace</w:t>
      </w:r>
    </w:p>
    <w:p w:rsidR="0017648C" w:rsidP="00AE1B64" w14:paraId="61DA7EDD" w14:textId="77777777">
      <w:r>
        <w:t xml:space="preserve">Předmětem opatření je výzkum a vývoj nových, ekonomicky méně náročných sanačních technologií se speciálním zřetelem na kombinaci fyzikálních, biologických a chemických principů. </w:t>
      </w:r>
    </w:p>
    <w:p w:rsidR="0017648C" w:rsidRPr="0018185C" w:rsidP="00AE1B64" w14:paraId="7735549B" w14:textId="77777777">
      <w:pPr>
        <w:pStyle w:val="Heading2"/>
        <w:rPr>
          <w:rFonts w:cs="Calibri"/>
          <w:b w:val="0"/>
          <w:iCs/>
          <w:sz w:val="24"/>
          <w:szCs w:val="24"/>
        </w:rPr>
      </w:pPr>
      <w:bookmarkStart w:id="53" w:name="_Toc106130014"/>
      <w:bookmarkStart w:id="54" w:name="_Toc256000020"/>
      <w:r w:rsidRPr="00105A97">
        <w:t>Podoblast 4.5 Minimalizace rizik z chemických látek</w:t>
      </w:r>
      <w:bookmarkEnd w:id="54"/>
      <w:bookmarkEnd w:id="53"/>
    </w:p>
    <w:p w:rsidR="0017648C" w:rsidP="00AE1B64" w14:paraId="7CFC0B92" w14:textId="77777777">
      <w:r>
        <w:rPr>
          <w:rStyle w:val="A2"/>
          <w:rFonts w:cs="Calibri"/>
          <w:sz w:val="24"/>
        </w:rPr>
        <w:t>Cílem nové evropské strategie pro udržitelnost v oblasti chemických látek – K životnímu</w:t>
      </w:r>
      <w:r>
        <w:rPr>
          <w:rStyle w:val="A2"/>
          <w:rFonts w:cs="Calibri"/>
          <w:b/>
          <w:bCs/>
          <w:sz w:val="24"/>
        </w:rPr>
        <w:t xml:space="preserve"> </w:t>
      </w:r>
      <w:r>
        <w:rPr>
          <w:rStyle w:val="A2"/>
          <w:rFonts w:cs="Calibri"/>
          <w:sz w:val="24"/>
        </w:rPr>
        <w:t>prostředí bez chemických látek</w:t>
      </w:r>
      <w:r>
        <w:t xml:space="preserve">, je zajistit v Evropě dostatek netoxických chemických látek (soběstačnost) pro potřeby evropské společnosti a s ohledem na parametry Zelené dohody pro Evropu. </w:t>
      </w:r>
    </w:p>
    <w:p w:rsidR="0017648C" w:rsidP="00AE1B64" w14:paraId="0E59A5CA" w14:textId="4EDD15DB">
      <w:r>
        <w:t xml:space="preserve">Dosud nejrozsáhlejší evropská legislativa, která se chemickými látkami zabývá – nařízení REACH – reaguje na rostoucí riziko stále většího objemu a druhů chemických látek, které jsou vyráběny, využívány, uváděny na trh a posléze uvolňovány do prostředí s neblahým dopadem na zdraví a biotu. Globalizovaný trh a přenesená odpovědnost na výrobce a obchod za nezávadnost produktů při překotném vývoji produktů i chemických látek však nedovoluje plné uplatnění principu předběžné opatrnosti, kdy mnohdy nejsou známy možné dlouhodobé účinky látek na zdraví a životní prostředí. Jedná se o nakládání s desítkami tisíc látek s tím, že jsou </w:t>
      </w:r>
      <w:r>
        <w:t>postupně identifikovány ty mimořádně škodlivé, které se postupně přestávají vyrábět a jsou odstraňovány z</w:t>
      </w:r>
      <w:r w:rsidR="004C4B78">
        <w:t> </w:t>
      </w:r>
      <w:r>
        <w:t xml:space="preserve">trhu za definovaných podmínek. </w:t>
      </w:r>
    </w:p>
    <w:p w:rsidR="0017648C" w:rsidP="00AE1B64" w14:paraId="69ECE1A9" w14:textId="77777777">
      <w:r>
        <w:t>Nebezpečné chemické látky a směsi jsou zdrojem rizik pro vznik závažných havárií, které mohou vyvolat mimořádnou událost až krizovou situaci samostatně nebo v důsledku synergických vlivů, popřípadě domino efektu. Významnou hrozbou je možnost jejich zneužití při teroristickém útoku proti obyvatelstvu, životnímu prostředí, kritické infrastruktuře nebo majetku. Problémem jsou také události typu „</w:t>
      </w:r>
      <w:r>
        <w:t>silent</w:t>
      </w:r>
      <w:r>
        <w:t xml:space="preserve"> </w:t>
      </w:r>
      <w:r>
        <w:t>spring</w:t>
      </w:r>
      <w:r>
        <w:t xml:space="preserve">“, tedy mimořádné události a krizové situace vznikající dlouhodobou a rostoucí kontaminací složek životního prostředí nebezpečnými a perzistentními chemickými látkami. </w:t>
      </w:r>
    </w:p>
    <w:p w:rsidR="0017648C" w:rsidP="00AE1B64" w14:paraId="1026012D" w14:textId="77777777">
      <w:r>
        <w:t xml:space="preserve">Nebezpečné chemické a radioaktivní látky, jaderné materiály a biologické agens (CBRN látky) patří mezi závažné zdroje rizik antropogenního původu. Jsou nejčastěji nositelem ohrožení nebo příčinou závažných havárií a mohou být také zneužitelné k různým formám teroristického útoku. Mohou také vyvolat narušení funkce kritické infrastruktury, zejména v oblasti energetiky a výroby pitné vody </w:t>
      </w:r>
      <w:r w:rsidRPr="0066197B">
        <w:t>a sloužit k vyvolávání společenského neklidu.</w:t>
      </w:r>
    </w:p>
    <w:p w:rsidR="0017648C" w:rsidP="00AE1B64" w14:paraId="52312852" w14:textId="77777777">
      <w:r>
        <w:t xml:space="preserve">Alarmující je rostoucí zátěž hormonálními (endokrinními) </w:t>
      </w:r>
      <w:r>
        <w:t>disruptory</w:t>
      </w:r>
      <w:r>
        <w:t xml:space="preserve">, karcinogenními a mutagenními látkami. Kromě škod, které mohou vzniknout na ekosystémových službách z dlouhodobého působení chemických látek, existuje nezanedbatelné riziko také v důsledku náhlých přírodních jevů (povodní) nebo chyb lidského faktoru při výrobě a používání. </w:t>
      </w:r>
    </w:p>
    <w:p w:rsidR="0017648C" w:rsidP="00AE1B64" w14:paraId="59FACCC3" w14:textId="77777777">
      <w:pPr>
        <w:rPr>
          <w:rFonts w:ascii="Calibri" w:hAnsi="Calibri" w:cs="Calibri"/>
        </w:rPr>
      </w:pPr>
      <w:r>
        <w:t xml:space="preserve">Hlavním cílem výzkumu proto zůstává snižování množství rizikových látek a jejich objemů a hledání alternativních látek, které mají menší nebo žádné negativní vlivy na zdraví a životní </w:t>
      </w:r>
      <w:r>
        <w:rPr>
          <w:rFonts w:ascii="Calibri" w:hAnsi="Calibri" w:cs="Calibri"/>
        </w:rPr>
        <w:t xml:space="preserve">prostředí. Důležitou součástí je výzkum metod a technologií likvidace případných havárií. </w:t>
      </w:r>
    </w:p>
    <w:p w:rsidR="0017648C" w:rsidP="00AE1B64" w14:paraId="3C9004A4" w14:textId="77777777">
      <w:pPr>
        <w:pStyle w:val="Stejncl"/>
      </w:pPr>
      <w:r w:rsidRPr="00AE1B64">
        <w:rPr>
          <w:rStyle w:val="Zelentun"/>
        </w:rPr>
        <w:t>Stěžejní cíl 4.5:</w:t>
      </w:r>
      <w:r>
        <w:t xml:space="preserve"> Výzkum a vývoj nových technologií pro omezení látek typu </w:t>
      </w:r>
      <w:r>
        <w:t>POPs</w:t>
      </w:r>
      <w:r>
        <w:t>, toxických kovů a dalších polutantů v prostředí, snížení zátěže rizikovými látkami, připravenost na potenciální havárie</w:t>
      </w:r>
    </w:p>
    <w:p w:rsidR="0017648C" w:rsidRPr="00AE1B64" w:rsidP="00AE1B64" w14:paraId="5F1BF7DF" w14:textId="77777777">
      <w:pPr>
        <w:rPr>
          <w:rStyle w:val="Zelentun"/>
        </w:rPr>
      </w:pPr>
      <w:r w:rsidRPr="00AE1B64">
        <w:rPr>
          <w:rStyle w:val="Zelentun"/>
        </w:rPr>
        <w:t>Opatření:</w:t>
      </w:r>
    </w:p>
    <w:p w:rsidR="0017648C" w:rsidRPr="00A87EFB" w:rsidP="00AE1B64" w14:paraId="793DE7FF" w14:textId="7715E75E">
      <w:pPr>
        <w:pStyle w:val="Heading3"/>
      </w:pPr>
      <w:r>
        <w:t>4.5.1</w:t>
      </w:r>
      <w:r>
        <w:tab/>
      </w:r>
      <w:r w:rsidRPr="00A25F16">
        <w:t xml:space="preserve">Technologie pro minimalizaci rizik </w:t>
      </w:r>
      <w:r w:rsidRPr="00A25F16">
        <w:t>POPs</w:t>
      </w:r>
      <w:r w:rsidRPr="00A25F16">
        <w:t xml:space="preserve">, toxických kovů, hormonálních </w:t>
      </w:r>
      <w:r w:rsidRPr="00A25F16">
        <w:t>disruptorů</w:t>
      </w:r>
      <w:r w:rsidRPr="00A25F16">
        <w:t>, residuí léčiv a pesticidů a dalších polutantů na zdraví člověka a živých organismů, výzkum chemických látek potenciálně rizikových pro zdraví lidí a kvalitu životního prostředí</w:t>
      </w:r>
    </w:p>
    <w:p w:rsidR="0017648C" w:rsidP="00AE1B64" w14:paraId="5289E287" w14:textId="77777777">
      <w:r>
        <w:t>Předmětem výzkumu je identifikace nebezpečných látek a mechanismů jejich působení v prostředí, rovněž technologie náhrad těchto látek environmentálně příznivějšími alternativami. Součástí výzkumu by měly být také metody dekontaminace a další způsoby odstraňování nebezpečných látek z různých typů prostředí včetně vodního, a to při dlouhodobém působení poškození i haváriích. Součástí řešení je určení investičních a provozních nákladů nutných k odstraňování vybraných látek a zavedení ekonomicky udržitelných modelů dodatečného čištění.</w:t>
      </w:r>
    </w:p>
    <w:p w:rsidR="0017648C" w:rsidRPr="0018185C" w:rsidP="00AE1B64" w14:paraId="18303B4D" w14:textId="64BF3C35">
      <w:pPr>
        <w:pStyle w:val="Heading3"/>
      </w:pPr>
      <w:r>
        <w:t>4.5.2</w:t>
      </w:r>
      <w:r>
        <w:tab/>
      </w:r>
      <w:r w:rsidRPr="0018185C">
        <w:t>Technologie pro náhradu rizikových látek, které podléhají legislativě REACH a náhrada nebezpečných látek méně škodlivými</w:t>
      </w:r>
    </w:p>
    <w:p w:rsidR="0017648C" w:rsidP="00AE1B64" w14:paraId="2C0E1671" w14:textId="5DC9F0F5">
      <w:r>
        <w:t>Cílem výzkumu jsou nové technologie, využívající látky, které jsou méně škodlivé než dosud používané, případně náhrada agens ve stávajících zařízeních. K tomu je potřeba zpracovávat studie rizika a ekonomickou analýzu efektivnosti náhrady (v poměru k riziku, kterým jsou stávající chemické látky).</w:t>
      </w:r>
      <w:r w:rsidR="00346D9B">
        <w:t xml:space="preserve"> </w:t>
      </w:r>
    </w:p>
    <w:p w:rsidR="0017648C" w:rsidP="0017648C" w14:paraId="337FA818" w14:textId="77777777">
      <w:pPr>
        <w:pStyle w:val="Bezmezer1"/>
        <w:jc w:val="both"/>
        <w:rPr>
          <w:rFonts w:cs="Calibri"/>
          <w:sz w:val="24"/>
          <w:szCs w:val="24"/>
        </w:rPr>
      </w:pPr>
    </w:p>
    <w:p w:rsidR="0017648C" w:rsidRPr="0018185C" w:rsidP="00AE1B64" w14:paraId="43607FA7" w14:textId="16A0C94A">
      <w:pPr>
        <w:pStyle w:val="Heading3"/>
      </w:pPr>
      <w:r>
        <w:t>4.5.3</w:t>
      </w:r>
      <w:r>
        <w:tab/>
      </w:r>
      <w:r w:rsidRPr="0018185C">
        <w:t>Výzkum pro potřeby realizace strategie „Evropa bez chemických látek“</w:t>
      </w:r>
    </w:p>
    <w:p w:rsidR="0017648C" w:rsidRPr="00F31AEE" w:rsidP="00AE1B64" w14:paraId="7D757AB6" w14:textId="77777777">
      <w:r w:rsidRPr="00F31AEE">
        <w:t>V nové evropské strategii pro chemické látky je deklarována podpora výzkumu pro realizaci strategie na celoevropské úrovni, mj. v rámci programu Horizont Evropa. Vzhledem ke</w:t>
      </w:r>
      <w:r>
        <w:t> </w:t>
      </w:r>
      <w:r w:rsidRPr="00F31AEE">
        <w:t>kapacitě výzkumné infrastruktury a kvalitě výzkumu v oblasti chemie v ČR je vhodné podpořit úsilí českých subjektů zapojit se do celoevropského výzkumu. Podle strategie se</w:t>
      </w:r>
      <w:r>
        <w:t> </w:t>
      </w:r>
      <w:r w:rsidRPr="00F31AEE">
        <w:t>podpora bude týkat zejména výzkumu a vývoje pokročilých materiálů pro aplikace v</w:t>
      </w:r>
      <w:r>
        <w:t> </w:t>
      </w:r>
      <w:r w:rsidRPr="00F31AEE">
        <w:t>odvětvích energetiky, stavebnictví, mobility, zdravotnictví, zemědělství a elektroniky s cílem uskutečnit zelenou a digitální transformaci. Dále výzkumu, vývoje a zavádění nízkouhlíkových chemických a materiálových výrobních procesů s co nejmenším dopadem na životní prostředí, rovněž výzkumu a vývoje inovativních obchodních modelů, jako je obchodní model založený na výkonnosti, s cílem zajistit účinnější využívání chemických látek a jiných zdrojů a</w:t>
      </w:r>
      <w:r>
        <w:t> </w:t>
      </w:r>
      <w:r w:rsidRPr="00F31AEE">
        <w:t xml:space="preserve">minimalizaci odpadů a emisí. Podpořen bude rovněž výzkum a vývoj v oblasti dekontaminačních řešení v suchozemském a vodním prostředí. Výzkum </w:t>
      </w:r>
      <w:r>
        <w:t xml:space="preserve">bude zaměřen rovněž na </w:t>
      </w:r>
      <w:r w:rsidRPr="00F31AEE">
        <w:t>kombinovan</w:t>
      </w:r>
      <w:r>
        <w:t xml:space="preserve">é </w:t>
      </w:r>
      <w:r w:rsidRPr="00F31AEE">
        <w:t>účink</w:t>
      </w:r>
      <w:r>
        <w:t>y</w:t>
      </w:r>
      <w:r w:rsidRPr="00F31AEE">
        <w:t xml:space="preserve"> chemických látek. </w:t>
      </w:r>
    </w:p>
    <w:p w:rsidR="0017648C" w:rsidRPr="0042573A" w:rsidP="00AE1B64" w14:paraId="37811B89" w14:textId="36943544">
      <w:pPr>
        <w:pStyle w:val="Heading3"/>
      </w:pPr>
      <w:r>
        <w:t>4.5.4</w:t>
      </w:r>
      <w:r>
        <w:tab/>
      </w:r>
      <w:r w:rsidRPr="0042573A">
        <w:t>Výzkum pro potřeby úložišť radioaktivních odpadů</w:t>
      </w:r>
    </w:p>
    <w:p w:rsidR="0017648C" w:rsidP="00AE1B64" w14:paraId="75A13AB6" w14:textId="77777777">
      <w:r>
        <w:t>V souvislosti s využíváním jaderných energetických zdrojů v ČR je třeba zajistit z hlediska geologického poznání vybudování bezpečného hlubinného úložiště vyhořelého jaderného paliva a dalších vysoce radioaktivních odpadů, a to prostřednictvím následujících aktivit:</w:t>
      </w:r>
    </w:p>
    <w:p w:rsidR="0017648C" w:rsidRPr="00AE1B64" w:rsidP="00AE1B64" w14:paraId="45564AFB" w14:textId="77777777">
      <w:pPr>
        <w:pStyle w:val="ListParagraph"/>
      </w:pPr>
      <w:r w:rsidRPr="00AE1B64">
        <w:t>trojrozměrné strukturně geologické modelování geologické stavby kandidátských lokalit hlubinného úložiště,</w:t>
      </w:r>
    </w:p>
    <w:p w:rsidR="0017648C" w:rsidRPr="00AE1B64" w:rsidP="00AE1B64" w14:paraId="1A876A8F" w14:textId="77777777">
      <w:pPr>
        <w:pStyle w:val="ListParagraph"/>
      </w:pPr>
      <w:r w:rsidRPr="00AE1B64">
        <w:t xml:space="preserve">geologický, geofyzikální, hydrogeologický a </w:t>
      </w:r>
      <w:r w:rsidRPr="00AE1B64">
        <w:t>hydrogeochemický</w:t>
      </w:r>
      <w:r w:rsidRPr="00AE1B64">
        <w:t xml:space="preserve"> výzkum těchto lokalit a výzkum </w:t>
      </w:r>
      <w:r w:rsidRPr="00AE1B64">
        <w:t>petrofyzikálních</w:t>
      </w:r>
      <w:r w:rsidRPr="00AE1B64">
        <w:t xml:space="preserve"> vlastností hostitelského prostředí,</w:t>
      </w:r>
    </w:p>
    <w:p w:rsidR="0017648C" w:rsidRPr="00AE1B64" w:rsidP="00AE1B64" w14:paraId="580FAE97" w14:textId="77777777">
      <w:pPr>
        <w:pStyle w:val="ListParagraph"/>
      </w:pPr>
      <w:r w:rsidRPr="00AE1B64">
        <w:t>výzkum vlivu exogenních procesů na stabilitu úložiště,</w:t>
      </w:r>
    </w:p>
    <w:p w:rsidR="0017648C" w:rsidRPr="00AE1B64" w:rsidP="00AE1B64" w14:paraId="6CA9AAFF" w14:textId="77777777">
      <w:pPr>
        <w:pStyle w:val="ListParagraph"/>
      </w:pPr>
      <w:r w:rsidRPr="00AE1B64">
        <w:t>budování podzemní laboratoře pro provádění experimentů vedoucích k poznání geologických, hydrogeologických a geochemických procesů v úložišti,</w:t>
      </w:r>
    </w:p>
    <w:p w:rsidR="0017648C" w:rsidRPr="00AE1B64" w:rsidP="00AE1B64" w14:paraId="4411F82A" w14:textId="77777777">
      <w:pPr>
        <w:pStyle w:val="ListParagraph"/>
      </w:pPr>
      <w:r w:rsidRPr="00AE1B64">
        <w:t xml:space="preserve">výzkum hydraulických, geochemických, mineralogických a strukturních parametrů těsnících materiálů úložiště, zejména materiálů na bázi bentonitu, </w:t>
      </w:r>
    </w:p>
    <w:p w:rsidR="00AE1B64" w:rsidP="00AE1B64" w14:paraId="57D7E278" w14:textId="77777777">
      <w:pPr>
        <w:pStyle w:val="ListParagraph"/>
        <w:sectPr w:rsidSect="009F0F2E">
          <w:headerReference w:type="default" r:id="rId12"/>
          <w:pgSz w:w="11906" w:h="16838"/>
          <w:pgMar w:top="1701" w:right="1134" w:bottom="1134" w:left="1134" w:header="709" w:footer="567" w:gutter="0"/>
          <w:cols w:space="708"/>
          <w:docGrid w:linePitch="360"/>
        </w:sectPr>
      </w:pPr>
      <w:r w:rsidRPr="00AE1B64">
        <w:t xml:space="preserve">rozvoj alternativní metody ukládání radioaktivních odpadů do hlubokých </w:t>
      </w:r>
      <w:r w:rsidRPr="00AE1B64">
        <w:t>širokoprofilových</w:t>
      </w:r>
      <w:r w:rsidRPr="00AE1B64">
        <w:t xml:space="preserve"> vrtů.</w:t>
      </w:r>
    </w:p>
    <w:p w:rsidR="0017648C" w:rsidP="00AE1B64" w14:paraId="210211C2" w14:textId="77777777">
      <w:pPr>
        <w:pStyle w:val="Heading1"/>
      </w:pPr>
      <w:bookmarkStart w:id="55" w:name="_Toc106130015"/>
      <w:bookmarkStart w:id="56" w:name="_Toc256000021"/>
      <w:r w:rsidRPr="00105A97">
        <w:t>Oblast 5. Environmentálně příznivá společnost</w:t>
      </w:r>
      <w:bookmarkEnd w:id="56"/>
      <w:bookmarkEnd w:id="55"/>
    </w:p>
    <w:p w:rsidR="0017648C" w:rsidP="0017648C" w14:paraId="5141C8C6" w14:textId="77777777">
      <w:pPr>
        <w:rPr>
          <w:rFonts w:ascii="Calibri" w:hAnsi="Calibri" w:cs="Calibri"/>
        </w:rPr>
      </w:pPr>
      <w:r>
        <w:rPr>
          <w:rFonts w:ascii="Calibri" w:hAnsi="Calibri" w:cs="Calibri"/>
          <w:b/>
        </w:rPr>
        <w:t>Hlavním cílem</w:t>
      </w:r>
      <w:r>
        <w:rPr>
          <w:rFonts w:ascii="Calibri" w:hAnsi="Calibri" w:cs="Calibri"/>
        </w:rPr>
        <w:t xml:space="preserve"> výzkumu v oblasti „</w:t>
      </w:r>
      <w:r>
        <w:rPr>
          <w:rFonts w:ascii="Calibri" w:hAnsi="Calibri" w:cs="Calibri"/>
          <w:b/>
        </w:rPr>
        <w:t>Environmentálně příznivá společnost</w:t>
      </w:r>
      <w:r>
        <w:rPr>
          <w:rFonts w:ascii="Calibri" w:hAnsi="Calibri" w:cs="Calibri"/>
        </w:rPr>
        <w:t xml:space="preserve">“ je </w:t>
      </w:r>
      <w:r>
        <w:rPr>
          <w:rFonts w:ascii="Calibri" w:hAnsi="Calibri" w:cs="Calibri"/>
          <w:b/>
        </w:rPr>
        <w:t>rozvoj a posilování znalostní základny pro udržitelný rozvoj společnosti, ekologickou výchovu, takové chování jednotlivce i společnosti, který bude bránit zhoršování životního prostředí, ztrátě biodiverzity a neudržitelnému využívání přírodních zdrojů.</w:t>
      </w:r>
      <w:r>
        <w:rPr>
          <w:rFonts w:ascii="Calibri" w:hAnsi="Calibri" w:cs="Calibri"/>
        </w:rPr>
        <w:t xml:space="preserve"> Předmětem výzkumu bude digitalizace procesů veřejné správy a využití nových poznatků z oblasti IT, umělé inteligence a dalších oblastí k minimalizaci spotřeby energie a hmoty, zvyšování odolnosti společnosti a přírody využitím nových řešení. Výzkum směřuje k nalezení opatření, která umožní přechod společnosti k udržitelným vzorcům výroby a spotřeby a k vytvoření vhodného mixu nástrojů environmentálně příznivého růstu, které budou v souladu s legislativou ČR, EU a budou zohledňovat mezinárodní závazky o životním prostředí.</w:t>
      </w:r>
    </w:p>
    <w:p w:rsidR="0017648C" w:rsidRPr="00877B1D" w:rsidP="0013289E" w14:paraId="6293E31A" w14:textId="77777777">
      <w:pPr>
        <w:pStyle w:val="Heading2"/>
        <w:rPr>
          <w:rFonts w:cs="Calibri"/>
          <w:b w:val="0"/>
          <w:iCs/>
          <w:sz w:val="24"/>
          <w:szCs w:val="24"/>
        </w:rPr>
      </w:pPr>
      <w:bookmarkStart w:id="57" w:name="_Toc106130016"/>
      <w:bookmarkStart w:id="58" w:name="_Toc256000022"/>
      <w:r w:rsidRPr="00105A97">
        <w:t>Podoblast 5.1 Spotřební chování obyvatelstva</w:t>
      </w:r>
      <w:bookmarkEnd w:id="58"/>
      <w:bookmarkEnd w:id="57"/>
    </w:p>
    <w:p w:rsidR="0017648C" w:rsidP="0013289E" w14:paraId="61185F36" w14:textId="4C9A312F">
      <w:r>
        <w:t>Při enormním světovém populačním růstu se stanou zásadními pro udržitelné stabilní fungování veškerých světových přírodních zdrojů spotřební návyky obyvatel. Tzv. vyspělý svět, kam ve spotřebním vzorci patří i</w:t>
      </w:r>
      <w:r w:rsidR="004C4B78">
        <w:t> </w:t>
      </w:r>
      <w:r>
        <w:t>ČR, vykazuje neudržitelné přečerpávání přírodních zdrojů i prostoru a při jeho přenesení do rozvíjejících se zemí jen uspíší nenahraditelnou ztrátu biodiverzity, ztrátu ekosystémových funkcí a služeb, intenzivní rybolov ve světovém oceánu, předčasné vyčerpávání energetických i surovinových zdrojů. Nerovnováha nabídky a</w:t>
      </w:r>
      <w:r w:rsidR="004C4B78">
        <w:t> </w:t>
      </w:r>
      <w:r>
        <w:t>poptávky spolu s populačním růstem je pak významným zdrojem napětí v rozvojovém světě. K roku 2050 se předpokládá 9 miliard obyvatel na planetě. V současnosti tvoří polovinu světové populace mládež do 20</w:t>
      </w:r>
      <w:r w:rsidR="004C4B78">
        <w:t> </w:t>
      </w:r>
      <w:r>
        <w:t>let, přičemž 90 % žije v</w:t>
      </w:r>
      <w:r w:rsidR="00346D9B">
        <w:t xml:space="preserve"> </w:t>
      </w:r>
      <w:r>
        <w:t xml:space="preserve">zemích globálního Jihu. Vhodné a vyspělé chování spotřebitele však může zásadním způsobem tlumit stávající nerovnováhy a dát čas pro výzkum, vývoj, inovace i udržitelnou výrobu a ke zlepšení způsobů rozhodování i vládnutí. Tzv. vyspělý svět vyrábí stále mnoho nepotřebných výrobků a provozuje mnoho zbytných služeb za podmínek, které neodrážejí skutečné ceny, kdy nejsou </w:t>
      </w:r>
      <w:r>
        <w:t>internalizovány</w:t>
      </w:r>
      <w:r>
        <w:t xml:space="preserve"> škody na ekosystémových službách, biodiverzitě, na zdraví obyvatel a ani v dopravě. </w:t>
      </w:r>
    </w:p>
    <w:p w:rsidR="0017648C" w:rsidP="0013289E" w14:paraId="2C3236BC" w14:textId="77777777">
      <w:r>
        <w:t xml:space="preserve">Výroba, která též ovlivňuje stav životního prostředí a přírodních zdrojů, je do značné míry určována spotřebou. Zatímco sektory významné z hlediska dopadů na životní prostředí jsou dlouhodobě předmětem zájmu politiky životního prostředí, ovlivňování spotřeby domácností ve vztahu k dopadům na životní prostředí bylo spíše na okraji zájmu výzkumné i rozhodovací sféry. Uplatnění inovativních nástrojů k ovlivnění spotřebního chování může přinést významné efekty pro minimalizaci dopadů lidské činnosti na životní prostředí. </w:t>
      </w:r>
    </w:p>
    <w:p w:rsidR="0017648C" w:rsidP="0013289E" w14:paraId="1AB5579A" w14:textId="7051063C">
      <w:r>
        <w:t>Udržitelná spotřeba je významně dána možnostmi daného území, pro které by měla být analyzována a</w:t>
      </w:r>
      <w:r w:rsidR="004C4B78">
        <w:t> </w:t>
      </w:r>
      <w:r>
        <w:t xml:space="preserve">modelována s obdobnými přístupy, jako je stanovení ekologické stopy, s cílem stanovení i optimální hustoty obyvatel pro dané území při reálném spotřebním vzorci. </w:t>
      </w:r>
    </w:p>
    <w:p w:rsidR="0017648C" w:rsidP="0013289E" w14:paraId="0C4AB7FE" w14:textId="3E888BA3">
      <w:r>
        <w:t xml:space="preserve">Používání a spotřeba výrobků, které jsou více příznivé k životnímu prostředí a více prospěšné zdraví než jiné výrobky se srovnatelnou užitnou hodnotou je podporována několika evropskými a národními programy (Květina – </w:t>
      </w:r>
      <w:r>
        <w:t>The</w:t>
      </w:r>
      <w:r>
        <w:t xml:space="preserve"> </w:t>
      </w:r>
      <w:r>
        <w:t>Flower</w:t>
      </w:r>
      <w:r>
        <w:t xml:space="preserve">, národní program Ekologicky šetrný výrobek, Klasa, biopotraviny, značení energeticky nejefektivnějších výrobků značkou </w:t>
      </w:r>
      <w:r>
        <w:t>Energy</w:t>
      </w:r>
      <w:r>
        <w:t xml:space="preserve"> Star, energetické štítkování spotřebičů v domácnostech, evropská norma </w:t>
      </w:r>
      <w:r>
        <w:t>ecodesignu</w:t>
      </w:r>
      <w:r>
        <w:t xml:space="preserve"> o hospodaření s energií, energetické štítkování budov, zavádění norem kvality svého produkčního procesu, z hlediska životního prostředí zejména ISO 14 000, systém EMAS a v chemickém průmyslu dobrovolnými aktivitami </w:t>
      </w:r>
      <w:r>
        <w:t>Responsible</w:t>
      </w:r>
      <w:r>
        <w:t xml:space="preserve"> care. Radikálního snížení zátěže životního prostředí na straně </w:t>
      </w:r>
      <w:r>
        <w:t>výroby nástroji přímého ovlivnění (normativními nástroji</w:t>
      </w:r>
      <w:r w:rsidR="00346D9B">
        <w:t xml:space="preserve"> –</w:t>
      </w:r>
      <w:r>
        <w:t xml:space="preserve"> </w:t>
      </w:r>
      <w:r>
        <w:t>command</w:t>
      </w:r>
      <w:r>
        <w:t xml:space="preserve"> and </w:t>
      </w:r>
      <w:r>
        <w:t>control</w:t>
      </w:r>
      <w:r>
        <w:t xml:space="preserve">) nelze nyní v krátké době dosáhnout v potřebné míře, a tak na významu nabývá volba spotřebitelů a poptávka po určitých typech výrobků. Zejména v bohaté části světa se stále více se rozšiřují iniciativy typu </w:t>
      </w:r>
      <w:r>
        <w:t>reuse</w:t>
      </w:r>
      <w:r>
        <w:t xml:space="preserve"> center, znovuvyužití výrobků, </w:t>
      </w:r>
      <w:r>
        <w:t>slowfashion</w:t>
      </w:r>
      <w:r>
        <w:t>, kdy lidé sami mění své spotřební chování směrem k vyšší udržitelnosti. Nepochybně se jedná o dlouhodobé vlivy ekologické výchovy a diskuse o udržitelnosti ve veřejném prostoru.</w:t>
      </w:r>
    </w:p>
    <w:p w:rsidR="0017648C" w:rsidP="0013289E" w14:paraId="5E3A1E74" w14:textId="77777777">
      <w:pPr>
        <w:pStyle w:val="Stejncl"/>
      </w:pPr>
      <w:r w:rsidRPr="0013289E">
        <w:rPr>
          <w:rStyle w:val="Zelentun"/>
        </w:rPr>
        <w:t>Stěžejní cíl 5.1:</w:t>
      </w:r>
      <w:r>
        <w:t xml:space="preserve"> Získat dostatek znalostí k podpoře udržitelné spotřeby </w:t>
      </w:r>
    </w:p>
    <w:p w:rsidR="0017648C" w:rsidRPr="0013289E" w:rsidP="0013289E" w14:paraId="3C96F3BB" w14:textId="77777777">
      <w:pPr>
        <w:rPr>
          <w:rStyle w:val="Zelentun"/>
        </w:rPr>
      </w:pPr>
      <w:r w:rsidRPr="0013289E">
        <w:rPr>
          <w:rStyle w:val="Zelentun"/>
        </w:rPr>
        <w:t>Opatření:</w:t>
      </w:r>
    </w:p>
    <w:p w:rsidR="0017648C" w:rsidRPr="00877B1D" w:rsidP="0013289E" w14:paraId="5765F581" w14:textId="1DD1FE76">
      <w:pPr>
        <w:pStyle w:val="Heading3"/>
      </w:pPr>
      <w:r>
        <w:t>5.1.1</w:t>
      </w:r>
      <w:r>
        <w:tab/>
      </w:r>
      <w:r w:rsidRPr="00877B1D">
        <w:t>Vývoj účinných postupů ke změně spotřebního chování ve směru minimalizace dopadů spotřeby na stabilní fungování přírodních zdrojů a ekosystémové služby</w:t>
      </w:r>
    </w:p>
    <w:p w:rsidR="0017648C" w:rsidP="0013289E" w14:paraId="6B6A2BC5" w14:textId="31A16420">
      <w:r>
        <w:t>Na základě výzkumu hodnocení celoživotního cyklu výrobků a služeb a jejich dopadů na životní prostředí a</w:t>
      </w:r>
      <w:r w:rsidR="004C4B78">
        <w:t> </w:t>
      </w:r>
      <w:r>
        <w:t>stabilní fungování přírodních zdrojů budou hledány a vypracovány postupy vedoucí k příznivé změně spotřebního chování obyvatel, a to z hlediska národního i mezinárodního. Budou zkoumány metody analýzy životního cyklu výrobků a služeb, ekologická stopa, zdokonalovány metody environmentálního značení, energetického štítkování a materiálové efektivnosti. Výzkum v této oblasti je až dosud velmi omezený, ačkoliv otázky lidských postojů, hodnot, motivace, chování jsou jedním ze základních témat potřebných pro uplatnění environmentálně příznivého chování v širokém měřítku.</w:t>
      </w:r>
    </w:p>
    <w:p w:rsidR="0017648C" w:rsidRPr="00877B1D" w:rsidP="0013289E" w14:paraId="12DD94B3" w14:textId="57FEEFD7">
      <w:pPr>
        <w:pStyle w:val="Heading3"/>
      </w:pPr>
      <w:r>
        <w:t>5.1.2</w:t>
      </w:r>
      <w:r>
        <w:tab/>
      </w:r>
      <w:r w:rsidRPr="00877B1D">
        <w:t>Ecodesign</w:t>
      </w:r>
      <w:r w:rsidRPr="00877B1D">
        <w:t xml:space="preserve">, dobrovolné nástroje, ekologická výchova, </w:t>
      </w:r>
      <w:r w:rsidRPr="00877B1D">
        <w:t>environmental</w:t>
      </w:r>
      <w:r w:rsidRPr="00877B1D">
        <w:t xml:space="preserve"> </w:t>
      </w:r>
      <w:r w:rsidRPr="00877B1D">
        <w:t>literacy</w:t>
      </w:r>
      <w:r w:rsidRPr="00877B1D">
        <w:t xml:space="preserve"> – nástroje k podpoře udržitelného rozvoje, ochraně klimatu a životního prostředí</w:t>
      </w:r>
    </w:p>
    <w:p w:rsidR="0017648C" w:rsidP="0013289E" w14:paraId="5A1AB0A7" w14:textId="22107277">
      <w:r>
        <w:t>EVVO je dlouhodobým systémovým preventivním nástrojem pro omezování budoucích škod</w:t>
      </w:r>
      <w:r w:rsidR="0013289E">
        <w:t xml:space="preserve"> </w:t>
      </w:r>
      <w:r>
        <w:t xml:space="preserve">na životním prostředí, které jsou spojeny s nedostatečnou informovaností a nedostatkem kompetencí při rozhodovacích procesech. Součástí jsou kromě standardního vzdělání a výchovy dětí a mladistvých také osvětové kampaně pro širokou veřejnost či podpora občanského aktivismu a participace na ochraně životního prostředí. K realizaci SPŽP do roku 2030 se bude výzkum v této oblasti (podobně v dalších, dobrovolných nástrojích, </w:t>
      </w:r>
      <w:r>
        <w:t>environmental</w:t>
      </w:r>
      <w:r>
        <w:t xml:space="preserve"> </w:t>
      </w:r>
      <w:r>
        <w:t>literacy</w:t>
      </w:r>
      <w:r>
        <w:t xml:space="preserve"> </w:t>
      </w:r>
      <w:r>
        <w:t>atd</w:t>
      </w:r>
      <w:r>
        <w:t xml:space="preserve">) zaměřovat na nové formy a prostředky vzdělávání – tímto procesem po zkušenostech z pandemie </w:t>
      </w:r>
      <w:r w:rsidR="00135865">
        <w:t>covid</w:t>
      </w:r>
      <w:r>
        <w:t xml:space="preserve">-19 prochází celý vzdělávací systém. </w:t>
      </w:r>
    </w:p>
    <w:p w:rsidR="0017648C" w:rsidP="0013289E" w14:paraId="5C73C0F6" w14:textId="77777777">
      <w:r>
        <w:t xml:space="preserve">EVVO a vzdělávání pro udržitelný rozvoj mohou hrát důležitou roli v ovlivnění k odpovědnému </w:t>
      </w:r>
      <w:r>
        <w:t>proenvironmentálnímu</w:t>
      </w:r>
      <w:r>
        <w:t xml:space="preserve"> jednání, zejména pak ve vazbě na řešení změn klimatu a dosažení klimatické neutrality do roku 2050. </w:t>
      </w:r>
    </w:p>
    <w:p w:rsidR="0017648C" w:rsidRPr="005413DC" w:rsidP="0013289E" w14:paraId="2D7389F0" w14:textId="06536083">
      <w:pPr>
        <w:pStyle w:val="Heading3"/>
      </w:pPr>
      <w:r>
        <w:t>5.1.3</w:t>
      </w:r>
      <w:r>
        <w:tab/>
      </w:r>
      <w:r w:rsidRPr="005413DC">
        <w:t xml:space="preserve">Evidence </w:t>
      </w:r>
      <w:r w:rsidRPr="005413DC">
        <w:t>based</w:t>
      </w:r>
      <w:r w:rsidRPr="005413DC">
        <w:t xml:space="preserve"> a evidence </w:t>
      </w:r>
      <w:r w:rsidRPr="005413DC">
        <w:t>informed</w:t>
      </w:r>
      <w:r w:rsidRPr="005413DC">
        <w:t xml:space="preserve"> </w:t>
      </w:r>
      <w:r w:rsidRPr="005413DC">
        <w:t>policy</w:t>
      </w:r>
      <w:r w:rsidRPr="005413DC">
        <w:t xml:space="preserve"> – systém sběru a vyhodnocování dat pro tvorbu politik a strategií v ochraně životního prostředí a ochraně klimatu</w:t>
      </w:r>
    </w:p>
    <w:p w:rsidR="0017648C" w:rsidP="0013289E" w14:paraId="6C8BE925" w14:textId="77777777">
      <w:r>
        <w:t xml:space="preserve">Nejen občané, veřejnost, ale také veřejná správa může významným způsobem přispět k orientaci lidí k environmentálně a klimaticky příznivým vzorcům spotřeby. K tomu, aby bylo možné zpracovávat odpovídající koncepce a politiky, poskytovat veřejnosti relevantní informace, je potřebné systematicky sbírat data, a to nejen o životním prostředí, ale z hlediska udržitelného rozvoje. Potřeba (typů) dat se v čase mění, jak ukazuje také tato koncepce – proto také vytváření dostatečného znalostního zázemí veřejného sektoru je soustavnou výzkumnou činností. Veřejná správa ovšem musí mít odpovídající data stále dostupná, což ovlivňuje celý mechanizmus sběru dat (kdo může sbírat, kdo uchovává, kdo a jak vyhodnocuje </w:t>
      </w:r>
      <w:r>
        <w:t>atd</w:t>
      </w:r>
      <w:r>
        <w:t xml:space="preserve">). Možnosti </w:t>
      </w:r>
      <w:r>
        <w:t>zpracování velkých dat (big data) dávají zcela nové příležitosti po ekonomicky efektivní řešení řady environmentálních problémů a tím také vytváření prostředí pro odpovědné vzorce spotřeby.</w:t>
      </w:r>
    </w:p>
    <w:p w:rsidR="0017648C" w:rsidRPr="005413DC" w:rsidP="0013289E" w14:paraId="0BD64D8A" w14:textId="77777777">
      <w:pPr>
        <w:pStyle w:val="Heading2"/>
        <w:rPr>
          <w:rFonts w:cs="Calibri"/>
          <w:b w:val="0"/>
          <w:iCs/>
          <w:sz w:val="24"/>
          <w:szCs w:val="24"/>
        </w:rPr>
      </w:pPr>
      <w:bookmarkStart w:id="59" w:name="_Toc106130017"/>
      <w:bookmarkStart w:id="60" w:name="_Toc256000023"/>
      <w:r w:rsidRPr="00105A97">
        <w:t>Podoblast 5.2 Nástroje environmentálně příznivého růstu</w:t>
      </w:r>
      <w:bookmarkEnd w:id="60"/>
      <w:bookmarkEnd w:id="59"/>
    </w:p>
    <w:p w:rsidR="0017648C" w:rsidP="0013289E" w14:paraId="5FBD44BB" w14:textId="1A2F927A">
      <w:r>
        <w:t xml:space="preserve">Ochrana životního prostředí a ovlivňování klimatu lidskou činností primárně závisí na tom, jak společnost – lidé, vnímají priority pro své rozhodování. Výzkum </w:t>
      </w:r>
      <w:r>
        <w:t>megatrendů</w:t>
      </w:r>
      <w:r>
        <w:t xml:space="preserve"> ukazuje, že rozhodujícím se stává individualizace „všeho“, příprava výrobků a služeb „na míru“, rovněž rozhodování je zásadně ovlivňováno chováním jednotlivce a společnosti než „stranou výroby“.</w:t>
      </w:r>
      <w:r w:rsidR="00346D9B">
        <w:t xml:space="preserve"> </w:t>
      </w:r>
      <w:r>
        <w:t xml:space="preserve">Z tohoto důvodu se přesouvá význam volby na stranu spotřeby proti straně výroby. Podobně iniciací nových řešení nejsou ti, kteří vyrábějí, ale společnost, která poptává, a to jednotlivci nebo veřejný sektor. Toto se využívá jak k realizaci 17 cílů udržitelného rozvoje OSN do roku 2030 (17 </w:t>
      </w:r>
      <w:r>
        <w:t>SDGs</w:t>
      </w:r>
      <w:r>
        <w:t xml:space="preserve">), tak v Evropském klimatickém paktu, který předešel legislativu v oblasti klimatu. </w:t>
      </w:r>
    </w:p>
    <w:p w:rsidR="0017648C" w:rsidP="0013289E" w14:paraId="2EB4F00A" w14:textId="77777777">
      <w:r>
        <w:t xml:space="preserve">Evropský klimatický pakt je nástrojem, který má vést k zainteresování veřejnosti na dosahování klimatických cílů. Podle slov </w:t>
      </w:r>
      <w:r>
        <w:rPr>
          <w:rStyle w:val="None"/>
          <w:rFonts w:ascii="Calibri" w:hAnsi="Calibri" w:cs="Calibri"/>
        </w:rPr>
        <w:t>předsedkyně Evropské komise spojí „</w:t>
      </w:r>
      <w:r>
        <w:rPr>
          <w:rStyle w:val="None"/>
          <w:rFonts w:ascii="Calibri" w:hAnsi="Calibri" w:cs="Calibri"/>
          <w:i/>
        </w:rPr>
        <w:t>regiony, místní společenství, občanskou společnost, průmysl a školy.</w:t>
      </w:r>
      <w:r>
        <w:rPr>
          <w:rStyle w:val="None"/>
          <w:rFonts w:ascii="Calibri" w:hAnsi="Calibri" w:cs="Calibri"/>
        </w:rPr>
        <w:t xml:space="preserve"> </w:t>
      </w:r>
      <w:r>
        <w:rPr>
          <w:rStyle w:val="None"/>
          <w:rFonts w:ascii="Calibri" w:hAnsi="Calibri" w:cs="Calibri"/>
          <w:i/>
        </w:rPr>
        <w:t xml:space="preserve">Společně navrhnou a zavážou se k souboru závazků, které povedou ke změně chování, od jednotlivce až po tu největší nadnárodní společnost.“ </w:t>
      </w:r>
      <w:r>
        <w:rPr>
          <w:rStyle w:val="None"/>
          <w:rFonts w:ascii="Calibri" w:hAnsi="Calibri" w:cs="Calibri"/>
        </w:rPr>
        <w:t>Klimatický pakt poskytuje prostor pro spolupráci při řešení změny klimatu a zhoršování životního prostředí a při uchopení příležitostí, které v souvislosti s rozhodnými opatřeními a udržitelným způsobem života nastávají. Pakt má sdružovat občany</w:t>
      </w:r>
      <w:r>
        <w:t xml:space="preserve"> z různých prostředí, aby jim pomohl lépe porozumět problémům, přičemž bude Evropany vyzývat k účasti a využití výhod, k vyvíjení velkých i malých řešení, k nalézání způsobů, jak ovlivnit a změnit chování lidí a k podnícení a rozšíření pozitivní změny. </w:t>
      </w:r>
    </w:p>
    <w:p w:rsidR="0017648C" w:rsidP="0013289E" w14:paraId="61477E93" w14:textId="77777777">
      <w:r>
        <w:t xml:space="preserve">Přenesení důrazu z výroby na spotřebu, tedy kdo nová řešení poptává a kdo poptávku naplňuje, je zásadním způsobem ovlivněno politicky stanovenými cíli, v současnosti 17 </w:t>
      </w:r>
      <w:r>
        <w:t>SDGs</w:t>
      </w:r>
      <w:r>
        <w:t xml:space="preserve"> a </w:t>
      </w:r>
      <w:r>
        <w:t>Zelenou</w:t>
      </w:r>
      <w:r>
        <w:t xml:space="preserve"> dohodou pro Evropu. S tím nabývají na významu velké společenské výzvy a s nimi spojené výzkumné mise, stanovené v rámci evropského výzkumného programu Horizont Evropa a v prostředí ČR Národní RIS3 strategií. Vše je vázáno k cílům udržitelného rozvoje, ochrany klimatu a životního prostředí. K prvním vyhlášeným k podpoře v roce 2022 patří 100 uhlíkově neutrálních měst do roku 2030 (</w:t>
      </w:r>
      <w:r>
        <w:t>smart</w:t>
      </w:r>
      <w:r>
        <w:t xml:space="preserve"> city) a likvidace </w:t>
      </w:r>
      <w:r>
        <w:t>mikroplastů</w:t>
      </w:r>
      <w:r>
        <w:t xml:space="preserve"> v oceánech.</w:t>
      </w:r>
    </w:p>
    <w:p w:rsidR="0017648C" w:rsidP="0017648C" w14:paraId="54A809A3" w14:textId="77777777">
      <w:pPr>
        <w:rPr>
          <w:rFonts w:ascii="Calibri" w:hAnsi="Calibri" w:cs="Calibri"/>
        </w:rPr>
      </w:pPr>
      <w:r>
        <w:rPr>
          <w:rFonts w:ascii="Calibri" w:hAnsi="Calibri" w:cs="Calibri"/>
        </w:rPr>
        <w:t xml:space="preserve">Rovněž koncept SMART </w:t>
      </w:r>
      <w:r>
        <w:rPr>
          <w:rFonts w:ascii="Calibri" w:hAnsi="Calibri" w:cs="Calibri"/>
        </w:rPr>
        <w:t>cities</w:t>
      </w:r>
      <w:r>
        <w:rPr>
          <w:rFonts w:ascii="Calibri" w:hAnsi="Calibri" w:cs="Calibri"/>
        </w:rPr>
        <w:t xml:space="preserve"> v ČR (viz rovněž kap. 3.3) je orientován na udržitelný rozvoj společnosti v ČR s využitím nových nástrojů, zejména digitalizace. Toto však vyžaduje další výzkum a rozpracovávání konkrétních řešení.</w:t>
      </w:r>
    </w:p>
    <w:p w:rsidR="0017648C" w:rsidP="0017648C" w14:paraId="3CE31054" w14:textId="77777777">
      <w:pPr>
        <w:rPr>
          <w:rFonts w:ascii="Calibri" w:hAnsi="Calibri" w:cs="Calibri"/>
        </w:rPr>
      </w:pPr>
      <w:r>
        <w:rPr>
          <w:rFonts w:ascii="Calibri" w:hAnsi="Calibri" w:cs="Calibri"/>
        </w:rPr>
        <w:t xml:space="preserve">V ČR se dlouhodobě uplatňuje systém ekonomických nástrojů ochrany životního prostředí, jehož hlavním prvkem jsou poplatky za znečištění životního prostředí a za využití přírodních zdrojů (poplatky za znečištění ovzduší, vod, nakládání s odpady, poplatky za vyjmutí půdy ze ZPF, za dobývací území nebo poplatky za vytěžené nerosty). Jejich výše je ale relativně nízká a působí současně s administrativními nástroji. Existuje však celá škála dalších ekonomických nástrojů. V současnosti je to nepochybně systém obchodování EU ETS, dotační podpora inovativních řešení atd. </w:t>
      </w:r>
    </w:p>
    <w:p w:rsidR="0017648C" w:rsidP="0017648C" w14:paraId="1AB3B8DF" w14:textId="77777777">
      <w:pPr>
        <w:rPr>
          <w:rFonts w:ascii="Calibri" w:hAnsi="Calibri" w:cs="Calibri"/>
        </w:rPr>
      </w:pPr>
      <w:r>
        <w:rPr>
          <w:rFonts w:ascii="Calibri" w:hAnsi="Calibri" w:cs="Calibri"/>
        </w:rPr>
        <w:t xml:space="preserve">Novou oblastí výzkumu je výzkum účinnosti interpretace přírodního a kulturního dědictví. Interpretace přírodního a kulturního dědictví (environmentální interpretace) představuje základní přístup ke vzdělávání návštěvníků určitých lokalit a formování jejich postojů a chování k lokalitě. Nově koncipovanou je i oblast výzkumu rozvoje kompetencí pro řešení environmentálních problémů a konfliktů. Pro EVVO je v posledních dvaceti letech charakteristický posun od pouhého vzdělávání o problémech k zapojování cílových skupin do jejich řešení. Existující metodické postupy nejsou ale v České republice natolik rozšířeny, aby se v nich nepokračovalo, zároveň aby byly využívány inovativní metody výchovy a vzdělávání. Klíčové je zde i zjištění, </w:t>
      </w:r>
      <w:r>
        <w:rPr>
          <w:rFonts w:ascii="Calibri" w:hAnsi="Calibri" w:cs="Calibri"/>
        </w:rPr>
        <w:t xml:space="preserve">jak je ochrana přírody a životního prostředí prezentována v médiích, tzn., jak média konstruují obraz environmentálních problémů a jejich řešení. Pro zvolení efektivních metod environmentální osvěty veřejnosti je potřeba využít výzkumů kombinujících </w:t>
      </w:r>
      <w:r>
        <w:rPr>
          <w:rFonts w:ascii="Calibri" w:hAnsi="Calibri" w:cs="Calibri"/>
        </w:rPr>
        <w:t>ekopsychologii</w:t>
      </w:r>
      <w:r>
        <w:rPr>
          <w:rFonts w:ascii="Calibri" w:hAnsi="Calibri" w:cs="Calibri"/>
        </w:rPr>
        <w:t xml:space="preserve"> a sociologické zjišťování environmentálních postojů obyvatel. </w:t>
      </w:r>
    </w:p>
    <w:p w:rsidR="0017648C" w:rsidP="0013289E" w14:paraId="43C04EA1" w14:textId="2BE6285E">
      <w:pPr>
        <w:pStyle w:val="Stejncl"/>
      </w:pPr>
      <w:r w:rsidRPr="0013289E">
        <w:rPr>
          <w:rStyle w:val="Zelentun"/>
        </w:rPr>
        <w:t>Stěžejní cíl 5.2:</w:t>
      </w:r>
      <w:r w:rsidR="00346D9B">
        <w:t xml:space="preserve"> </w:t>
      </w:r>
      <w:r>
        <w:t xml:space="preserve">Podpořit s využitím výsledků výzkumu dosahování 17 </w:t>
      </w:r>
      <w:r>
        <w:t>SDGs</w:t>
      </w:r>
      <w:r>
        <w:t xml:space="preserve"> v ČR, a to na národní i místní úrovni, environmentálně a klimaticky příznivého jednání společnosti, včetně ekonomicky efektivní regulace</w:t>
      </w:r>
    </w:p>
    <w:p w:rsidR="0017648C" w:rsidRPr="00E40E59" w:rsidP="0013289E" w14:paraId="54486064" w14:textId="45864A76">
      <w:pPr>
        <w:pStyle w:val="Heading3"/>
      </w:pPr>
      <w:r>
        <w:t>5.2.1</w:t>
      </w:r>
      <w:r>
        <w:tab/>
      </w:r>
      <w:r w:rsidRPr="00E40E59">
        <w:t>17 cílů udržitelného rozvoje a holistické řešení problémů ochrany životního prostředí a</w:t>
      </w:r>
      <w:r w:rsidR="004C4B78">
        <w:t> </w:t>
      </w:r>
      <w:r w:rsidRPr="00E40E59">
        <w:t>ochrany klimatu</w:t>
      </w:r>
    </w:p>
    <w:p w:rsidR="0017648C" w:rsidRPr="00E40E59" w:rsidP="0013289E" w14:paraId="52EF128D" w14:textId="77777777">
      <w:r w:rsidRPr="00E40E59">
        <w:t xml:space="preserve">Přestože každý ze 17 </w:t>
      </w:r>
      <w:r w:rsidRPr="00E40E59">
        <w:t>SDGs</w:t>
      </w:r>
      <w:r w:rsidRPr="00E40E59">
        <w:t xml:space="preserve"> má zázemí v určitém segmentu výzkumu, holistické uchopení </w:t>
      </w:r>
      <w:r w:rsidRPr="00E40E59">
        <w:t>SGDs</w:t>
      </w:r>
      <w:r w:rsidRPr="00E40E59">
        <w:t xml:space="preserve"> nemá zatím v ČR výrazné výzkumné zázemí, což oslabuje roli ČR v mezinárodní spolupráci. Strategický rámec ČR 2030 překládá globální </w:t>
      </w:r>
      <w:r w:rsidRPr="00E40E59">
        <w:t>SDGs</w:t>
      </w:r>
      <w:r w:rsidRPr="00E40E59">
        <w:t xml:space="preserve"> do národního kontextu a definuje vlastní strategické cíle a podcíle pro otázky udržitelného rozvoje na národní úrovni. Strategický rámec ČR 2030 zároveň slouží jako vodítko při formování resortních strategií zajišťující, aby jejich cíle byly v souladu s principy udržitelného rozvoje. Související implementační plán pak představuje konkrétní soubor opatření pro naplňování těchto národních strategických cílů včetně přehledu resortních strategií, jež svými cíli taktéž synergicky přispívají k naplňování udržitelné vize ČR 2030. Je vhodné, aby v této oblasti existoval systematický výzkum s výhledem za rok 2030. Předmětem výzkumu by měly být mj. postupy pro zavádění inovací ve veřejné správě s ohledem na dlouhodobé cíle udržitelného rozvoje. </w:t>
      </w:r>
    </w:p>
    <w:p w:rsidR="0017648C" w:rsidRPr="005413DC" w:rsidP="0013289E" w14:paraId="0C2D198F" w14:textId="7B4C11EA">
      <w:pPr>
        <w:pStyle w:val="Heading3"/>
      </w:pPr>
      <w:r>
        <w:t>5.2.2</w:t>
      </w:r>
      <w:r>
        <w:tab/>
      </w:r>
      <w:r w:rsidRPr="005413DC">
        <w:t>Koncept SMART řešení pro udržitelný rozvoj obcí, měst a regionů</w:t>
      </w:r>
    </w:p>
    <w:p w:rsidR="0017648C" w:rsidP="0013289E" w14:paraId="0A3DFA27" w14:textId="7370C2A6">
      <w:pPr>
        <w:rPr>
          <w:b/>
        </w:rPr>
      </w:pPr>
      <w:r>
        <w:t xml:space="preserve">Na úrovni České republiky, regionální a místní úrovni je udržitelný rozvoj prosazován několika nástroji. Dlouhodobě k nim patří MA21, novější koncept, který vznikl s ohledem na dostupnost nových nástrojů, zejména digitalizace, jsou SMART řešení – udržitelný rozvoj území různé velikosti a různých vazeb v daném území i přes jeho hranice. Koncept SMART nabývá na významu vzhledem k sídelní struktuře ČR a novým řešením, která byla akcelerována změnou způsobu života lidí během pandemie </w:t>
      </w:r>
      <w:r w:rsidR="00135865">
        <w:t>covid</w:t>
      </w:r>
      <w:r w:rsidR="004C4B78">
        <w:t>-</w:t>
      </w:r>
      <w:r>
        <w:t xml:space="preserve">19. Trend decentralizace a individualizace řešení je celosvětový, měnící se trh práce mj. v důsledku robotizace umožňuje postupný přechod k uhlíkově neutrálnější a environmentálně příznivější společnosti. K tomuto je však potřebný jak robustní technologický, tak společenskovědní výzkum. </w:t>
      </w:r>
    </w:p>
    <w:p w:rsidR="0017648C" w:rsidRPr="005413DC" w:rsidP="0013289E" w14:paraId="024F652C" w14:textId="2E241288">
      <w:pPr>
        <w:pStyle w:val="Heading3"/>
      </w:pPr>
      <w:r>
        <w:t>5.2.3</w:t>
      </w:r>
      <w:r>
        <w:tab/>
      </w:r>
      <w:r w:rsidRPr="005413DC">
        <w:t>Inovativní nástroje ochrany životního prostředí a minimalizace nákladů jejich fungování</w:t>
      </w:r>
    </w:p>
    <w:p w:rsidR="0017648C" w:rsidP="0013289E" w14:paraId="15A8DDE0" w14:textId="77777777">
      <w:r>
        <w:t xml:space="preserve">Udržení kvalitního životního prostředí a jeho další zlepšování je možné pouze s uplatněním inovativních nástrojů využívajících tržních a ekonomických principů. Výzkum by měl zahrnout i širokou oblast vzdělání pro udržitelný rozvoj. </w:t>
      </w:r>
    </w:p>
    <w:p w:rsidR="0017648C" w:rsidRPr="00320A24" w:rsidP="0017648C" w14:paraId="68B8D707" w14:textId="28E1D9B7">
      <w:r>
        <w:rPr>
          <w:rFonts w:ascii="Calibri" w:hAnsi="Calibri" w:cs="Calibri"/>
        </w:rPr>
        <w:t>Podpora výzkumu v oblasti potřebnosti EVVO a EP se zaměřením na vliv kontaktu s přírodou na kompetence, environmentální historii, postoje a environmentální gramotnost veřejnosti, dále pak výzkum v oblasti pedagogických a didaktických přístupů, evaluací (vyhodnocování metod) a vývoje nových postupů. EVVO a</w:t>
      </w:r>
      <w:r w:rsidR="0013289E">
        <w:rPr>
          <w:rFonts w:ascii="Calibri" w:hAnsi="Calibri" w:cs="Calibri"/>
        </w:rPr>
        <w:t> </w:t>
      </w:r>
      <w:r>
        <w:rPr>
          <w:rFonts w:ascii="Calibri" w:hAnsi="Calibri" w:cs="Calibri"/>
        </w:rPr>
        <w:t>EP jsou nutné při vybudování environmentálně příznivé společnosti.</w:t>
      </w:r>
    </w:p>
    <w:sectPr w:rsidSect="009F0F2E">
      <w:headerReference w:type="default" r:id="rId13"/>
      <w:pgSz w:w="11906" w:h="16838"/>
      <w:pgMar w:top="1701" w:right="1134" w:bottom="1134" w:left="1134" w:header="709" w:footer="567"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sdt>
    <w:sdtPr>
      <w:rPr>
        <w:rStyle w:val="PageNumber"/>
      </w:rPr>
      <w:id w:val="403491633"/>
      <w:docPartObj>
        <w:docPartGallery w:val="Page Numbers (Bottom of Page)"/>
        <w:docPartUnique/>
      </w:docPartObj>
    </w:sdtPr>
    <w:sdtEndPr>
      <w:rPr>
        <w:rStyle w:val="PageNumber"/>
      </w:rPr>
    </w:sdtEndPr>
    <w:sdtContent>
      <w:p w:rsidR="005F382C" w:rsidP="0004788E" w14:paraId="0EF4813A" w14:textId="2281C0A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rPr>
          <w:fldChar w:fldCharType="end"/>
        </w:r>
      </w:p>
    </w:sdtContent>
  </w:sdt>
  <w:p w:rsidR="005F382C" w:rsidP="0002197C" w14:paraId="2BF5C788"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sdt>
    <w:sdtPr>
      <w:rPr>
        <w:rStyle w:val="PageNumber"/>
        <w:color w:val="467A26"/>
      </w:rPr>
      <w:id w:val="-1224591995"/>
      <w:docPartObj>
        <w:docPartGallery w:val="Page Numbers (Bottom of Page)"/>
        <w:docPartUnique/>
      </w:docPartObj>
    </w:sdtPr>
    <w:sdtEndPr>
      <w:rPr>
        <w:rStyle w:val="PageNumber"/>
      </w:rPr>
    </w:sdtEndPr>
    <w:sdtContent>
      <w:p w:rsidR="005F382C" w:rsidRPr="005E2C7B" w:rsidP="00F95379" w14:paraId="3EB176AB" w14:textId="097A5FBF">
        <w:pPr>
          <w:pStyle w:val="Footer"/>
          <w:framePr w:w="454" w:h="454" w:hRule="exact" w:wrap="none" w:vAnchor="page" w:hAnchor="page" w:x="11454" w:y="16359" w:anchorLock="1"/>
          <w:spacing w:before="100"/>
          <w:jc w:val="center"/>
          <w:rPr>
            <w:rStyle w:val="PageNumber"/>
            <w:color w:val="467A26"/>
          </w:rPr>
        </w:pPr>
        <w:r w:rsidRPr="005E2C7B">
          <w:rPr>
            <w:rStyle w:val="PageNumber"/>
            <w:b/>
            <w:bCs/>
            <w:color w:val="467A26"/>
            <w:sz w:val="20"/>
            <w:szCs w:val="22"/>
          </w:rPr>
          <w:fldChar w:fldCharType="begin"/>
        </w:r>
        <w:r w:rsidRPr="005E2C7B">
          <w:rPr>
            <w:rStyle w:val="PageNumber"/>
            <w:b/>
            <w:bCs/>
            <w:color w:val="467A26"/>
            <w:sz w:val="20"/>
            <w:szCs w:val="22"/>
          </w:rPr>
          <w:instrText xml:space="preserve"> PAGE </w:instrText>
        </w:r>
        <w:r w:rsidRPr="005E2C7B">
          <w:rPr>
            <w:rStyle w:val="PageNumber"/>
            <w:b/>
            <w:bCs/>
            <w:color w:val="467A26"/>
            <w:sz w:val="20"/>
            <w:szCs w:val="22"/>
          </w:rPr>
          <w:fldChar w:fldCharType="separate"/>
        </w:r>
        <w:r w:rsidRPr="005E2C7B">
          <w:rPr>
            <w:rStyle w:val="PageNumber"/>
            <w:b/>
            <w:bCs/>
            <w:color w:val="467A26"/>
            <w:sz w:val="20"/>
            <w:szCs w:val="22"/>
          </w:rPr>
          <w:t>45</w:t>
        </w:r>
        <w:r w:rsidRPr="005E2C7B">
          <w:rPr>
            <w:rStyle w:val="PageNumber"/>
            <w:b/>
            <w:bCs/>
            <w:color w:val="467A26"/>
            <w:sz w:val="20"/>
            <w:szCs w:val="22"/>
          </w:rPr>
          <w:fldChar w:fldCharType="end"/>
        </w:r>
      </w:p>
    </w:sdtContent>
  </w:sdt>
  <w:p w:rsidR="005F382C" w:rsidP="0002197C" w14:paraId="5AE28266" w14:textId="6D5827FA">
    <w:pPr>
      <w:pStyle w:val="Footer"/>
      <w:ind w:right="360"/>
    </w:pPr>
    <w:r>
      <w:rPr>
        <w:noProof/>
      </w:rPr>
      <w:drawing>
        <wp:anchor distT="0" distB="0" distL="114300" distR="114300" simplePos="0" relativeHeight="251658240" behindDoc="1" locked="1" layoutInCell="1" allowOverlap="1">
          <wp:simplePos x="0" y="0"/>
          <wp:positionH relativeFrom="page">
            <wp:posOffset>19050</wp:posOffset>
          </wp:positionH>
          <wp:positionV relativeFrom="page">
            <wp:posOffset>10372725</wp:posOffset>
          </wp:positionV>
          <wp:extent cx="7537450" cy="312420"/>
          <wp:effectExtent l="0" t="0" r="6350" b="0"/>
          <wp:wrapNone/>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64584" name="Obrázek 8"/>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37450" cy="312420"/>
                  </a:xfrm>
                  <a:prstGeom prst="rect">
                    <a:avLst/>
                  </a:prstGeom>
                </pic:spPr>
              </pic:pic>
            </a:graphicData>
          </a:graphic>
          <wp14:sizeRelH relativeFrom="margin">
            <wp14:pctWidth>0</wp14:pctWidth>
          </wp14:sizeRelH>
          <wp14:sizeRelV relativeFrom="margin">
            <wp14:pctHeight>0</wp14:pctHeight>
          </wp14:sizeRelV>
        </wp:anchor>
      </w:drawing>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E13BD4" w14:paraId="7B306137" w14:textId="6940C9AD">
    <w:pPr>
      <w:pStyle w:val="Header"/>
    </w:pPr>
    <w:r>
      <w:rPr>
        <w:noProof/>
      </w:rPr>
      <w:drawing>
        <wp:anchor distT="0" distB="0" distL="114300" distR="114300" simplePos="0" relativeHeight="251659264" behindDoc="0" locked="1" layoutInCell="1" allowOverlap="0">
          <wp:simplePos x="0" y="0"/>
          <wp:positionH relativeFrom="page">
            <wp:align>center</wp:align>
          </wp:positionH>
          <wp:positionV relativeFrom="page">
            <wp:align>top</wp:align>
          </wp:positionV>
          <wp:extent cx="7578000" cy="565200"/>
          <wp:effectExtent l="0" t="0" r="4445" b="6350"/>
          <wp:wrapNone/>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5408060" name="Obrázek 20"/>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78000" cy="5652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E5A33" w14:paraId="6BC98973" w14:textId="77777777">
    <w:pPr>
      <w:pStyle w:val="Header"/>
    </w:pPr>
    <w:r>
      <w:rPr>
        <w:noProof/>
      </w:rPr>
      <w:drawing>
        <wp:anchor distT="0" distB="0" distL="114300" distR="114300" simplePos="0" relativeHeight="251660288" behindDoc="1" locked="1" layoutInCell="1" allowOverlap="0">
          <wp:simplePos x="0" y="0"/>
          <wp:positionH relativeFrom="page">
            <wp:align>center</wp:align>
          </wp:positionH>
          <wp:positionV relativeFrom="page">
            <wp:align>top</wp:align>
          </wp:positionV>
          <wp:extent cx="7576185" cy="565150"/>
          <wp:effectExtent l="0" t="0" r="5715" b="6350"/>
          <wp:wrapNone/>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0987359" name="Obrázek 19"/>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76736" cy="565199"/>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774BE" w14:paraId="063C2149" w14:textId="77777777">
    <w:pPr>
      <w:pStyle w:val="Header"/>
    </w:pPr>
    <w:r>
      <w:rPr>
        <w:noProof/>
      </w:rPr>
      <w:drawing>
        <wp:anchor distT="0" distB="0" distL="114300" distR="114300" simplePos="0" relativeHeight="251661312" behindDoc="1" locked="1" layoutInCell="1" allowOverlap="0">
          <wp:simplePos x="0" y="0"/>
          <wp:positionH relativeFrom="page">
            <wp:align>center</wp:align>
          </wp:positionH>
          <wp:positionV relativeFrom="page">
            <wp:align>top</wp:align>
          </wp:positionV>
          <wp:extent cx="7576185" cy="565150"/>
          <wp:effectExtent l="0" t="0" r="5715" b="6350"/>
          <wp:wrapNone/>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62702" name="Obrázek 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76723" cy="565199"/>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774BE" w14:paraId="430CD9AD" w14:textId="77777777">
    <w:pPr>
      <w:pStyle w:val="Header"/>
    </w:pPr>
    <w:r>
      <w:rPr>
        <w:noProof/>
      </w:rPr>
      <w:drawing>
        <wp:anchor distT="0" distB="0" distL="114300" distR="114300" simplePos="0" relativeHeight="251662336" behindDoc="1" locked="1" layoutInCell="1" allowOverlap="0">
          <wp:simplePos x="0" y="0"/>
          <wp:positionH relativeFrom="page">
            <wp:align>center</wp:align>
          </wp:positionH>
          <wp:positionV relativeFrom="page">
            <wp:align>top</wp:align>
          </wp:positionV>
          <wp:extent cx="7576185" cy="565150"/>
          <wp:effectExtent l="0" t="0" r="5715" b="6350"/>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6411799" name="Obrázek 3"/>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76723" cy="565198"/>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774BE" w14:paraId="212FAAFB" w14:textId="77777777">
    <w:pPr>
      <w:pStyle w:val="Header"/>
    </w:pPr>
    <w:r>
      <w:rPr>
        <w:noProof/>
      </w:rPr>
      <w:drawing>
        <wp:anchor distT="0" distB="0" distL="114300" distR="114300" simplePos="0" relativeHeight="251663360" behindDoc="1" locked="1" layoutInCell="1" allowOverlap="0">
          <wp:simplePos x="0" y="0"/>
          <wp:positionH relativeFrom="page">
            <wp:align>center</wp:align>
          </wp:positionH>
          <wp:positionV relativeFrom="page">
            <wp:align>top</wp:align>
          </wp:positionV>
          <wp:extent cx="7576185" cy="565150"/>
          <wp:effectExtent l="0" t="0" r="5715" b="6350"/>
          <wp:wrapNone/>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7534637" name="Obrázek 4"/>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76709" cy="565198"/>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774BE" w14:paraId="47BFDE1E" w14:textId="77777777">
    <w:pPr>
      <w:pStyle w:val="Header"/>
    </w:pPr>
    <w:r>
      <w:rPr>
        <w:noProof/>
      </w:rPr>
      <w:drawing>
        <wp:anchor distT="0" distB="0" distL="114300" distR="114300" simplePos="0" relativeHeight="251664384" behindDoc="1" locked="1" layoutInCell="1" allowOverlap="0">
          <wp:simplePos x="0" y="0"/>
          <wp:positionH relativeFrom="page">
            <wp:align>center</wp:align>
          </wp:positionH>
          <wp:positionV relativeFrom="page">
            <wp:align>top</wp:align>
          </wp:positionV>
          <wp:extent cx="7576185" cy="565150"/>
          <wp:effectExtent l="0" t="0" r="5715" b="6350"/>
          <wp:wrapNone/>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1012494" name="Obrázek 5"/>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576709" cy="565197"/>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55950E92"/>
    <w:multiLevelType w:val="multilevel"/>
    <w:tmpl w:val="CDC0DEA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
    <w:nsid w:val="57CA1BEE"/>
    <w:multiLevelType w:val="multilevel"/>
    <w:tmpl w:val="2470304E"/>
    <w:lvl w:ilvl="0">
      <w:start w:val="1"/>
      <w:numFmt w:val="bullet"/>
      <w:lvlText w:val=""/>
      <w:lvlJc w:val="left"/>
      <w:pPr>
        <w:tabs>
          <w:tab w:val="num" w:pos="283"/>
        </w:tabs>
        <w:ind w:left="283" w:hanging="283"/>
      </w:pPr>
      <w:rPr>
        <w:rFonts w:ascii="Symbol" w:hAnsi="Symbol" w:cs="Symbol" w:hint="default"/>
      </w:rPr>
    </w:lvl>
    <w:lvl w:ilvl="1">
      <w:start w:val="1"/>
      <w:numFmt w:val="decimal"/>
      <w:pStyle w:val="slovanseznam"/>
      <w:lvlText w:val="%2."/>
      <w:lvlJc w:val="left"/>
      <w:pPr>
        <w:tabs>
          <w:tab w:val="num" w:pos="567"/>
        </w:tabs>
        <w:ind w:left="567" w:hanging="284"/>
      </w:pPr>
      <w:rPr>
        <w:rFonts w:hint="default"/>
      </w:rPr>
    </w:lvl>
    <w:lvl w:ilvl="2">
      <w:start w:val="1"/>
      <w:numFmt w:val="bullet"/>
      <w:lvlText w:val=""/>
      <w:lvlJc w:val="left"/>
      <w:pPr>
        <w:tabs>
          <w:tab w:val="num" w:pos="850"/>
        </w:tabs>
        <w:ind w:left="850" w:hanging="283"/>
      </w:pPr>
      <w:rPr>
        <w:rFonts w:ascii="Symbol" w:hAnsi="Symbol" w:cs="Symbol" w:hint="default"/>
      </w:rPr>
    </w:lvl>
    <w:lvl w:ilvl="3">
      <w:start w:val="1"/>
      <w:numFmt w:val="bullet"/>
      <w:lvlText w:val=""/>
      <w:lvlJc w:val="left"/>
      <w:pPr>
        <w:tabs>
          <w:tab w:val="num" w:pos="1134"/>
        </w:tabs>
        <w:ind w:left="1134" w:hanging="284"/>
      </w:pPr>
      <w:rPr>
        <w:rFonts w:ascii="Symbol" w:hAnsi="Symbol" w:cs="Symbol" w:hint="default"/>
      </w:rPr>
    </w:lvl>
    <w:lvl w:ilvl="4">
      <w:start w:val="0"/>
      <w:numFmt w:val="none"/>
      <w:suff w:val="nothing"/>
      <w:lvlJc w:val="left"/>
      <w:pPr>
        <w:tabs>
          <w:tab w:val="num" w:pos="0"/>
        </w:tabs>
        <w:ind w:left="0" w:firstLine="0"/>
      </w:pPr>
    </w:lvl>
    <w:lvl w:ilvl="5">
      <w:start w:val="0"/>
      <w:numFmt w:val="none"/>
      <w:suff w:val="nothing"/>
      <w:lvlJc w:val="left"/>
      <w:pPr>
        <w:tabs>
          <w:tab w:val="num" w:pos="0"/>
        </w:tabs>
        <w:ind w:left="0" w:firstLine="0"/>
      </w:pPr>
    </w:lvl>
    <w:lvl w:ilvl="6">
      <w:start w:val="0"/>
      <w:numFmt w:val="none"/>
      <w:suff w:val="nothing"/>
      <w:lvlJc w:val="left"/>
      <w:pPr>
        <w:tabs>
          <w:tab w:val="num" w:pos="0"/>
        </w:tabs>
        <w:ind w:left="0" w:firstLine="0"/>
      </w:pPr>
    </w:lvl>
    <w:lvl w:ilvl="7">
      <w:start w:val="0"/>
      <w:numFmt w:val="none"/>
      <w:suff w:val="nothing"/>
      <w:lvlJc w:val="left"/>
      <w:pPr>
        <w:tabs>
          <w:tab w:val="num" w:pos="0"/>
        </w:tabs>
        <w:ind w:left="0" w:firstLine="0"/>
      </w:pPr>
    </w:lvl>
    <w:lvl w:ilvl="8">
      <w:start w:val="0"/>
      <w:numFmt w:val="none"/>
      <w:suff w:val="nothing"/>
      <w:lvlJc w:val="left"/>
      <w:pPr>
        <w:tabs>
          <w:tab w:val="num" w:pos="0"/>
        </w:tabs>
        <w:ind w:left="0" w:firstLine="0"/>
      </w:pPr>
    </w:lvl>
  </w:abstractNum>
  <w:abstractNum w:abstractNumId="2">
    <w:nsid w:val="758D0073"/>
    <w:multiLevelType w:val="multilevel"/>
    <w:tmpl w:val="35F6A910"/>
    <w:lvl w:ilvl="0">
      <w:start w:val="1"/>
      <w:numFmt w:val="bullet"/>
      <w:pStyle w:val="ListBullet"/>
      <w:lvlText w:val=""/>
      <w:lvlJc w:val="left"/>
      <w:pPr>
        <w:tabs>
          <w:tab w:val="num" w:pos="283"/>
        </w:tabs>
        <w:ind w:left="283" w:hanging="283"/>
      </w:pPr>
      <w:rPr>
        <w:rFonts w:ascii="Symbol" w:hAnsi="Symbol" w:cs="Symbol" w:hint="default"/>
      </w:rPr>
    </w:lvl>
    <w:lvl w:ilvl="1">
      <w:start w:val="1"/>
      <w:numFmt w:val="bullet"/>
      <w:pStyle w:val="ListBulletLevel2"/>
      <w:lvlText w:val=""/>
      <w:lvlJc w:val="left"/>
      <w:pPr>
        <w:tabs>
          <w:tab w:val="num" w:pos="567"/>
        </w:tabs>
        <w:ind w:left="567" w:hanging="284"/>
      </w:pPr>
      <w:rPr>
        <w:rFonts w:ascii="Symbol" w:hAnsi="Symbol" w:cs="Symbol" w:hint="default"/>
      </w:rPr>
    </w:lvl>
    <w:lvl w:ilvl="2">
      <w:start w:val="1"/>
      <w:numFmt w:val="bullet"/>
      <w:pStyle w:val="ListBulletLevel3"/>
      <w:lvlText w:val=""/>
      <w:lvlJc w:val="left"/>
      <w:pPr>
        <w:tabs>
          <w:tab w:val="num" w:pos="850"/>
        </w:tabs>
        <w:ind w:left="850" w:hanging="283"/>
      </w:pPr>
      <w:rPr>
        <w:rFonts w:ascii="Symbol" w:hAnsi="Symbol" w:cs="Symbol" w:hint="default"/>
      </w:rPr>
    </w:lvl>
    <w:lvl w:ilvl="3">
      <w:start w:val="1"/>
      <w:numFmt w:val="bullet"/>
      <w:pStyle w:val="ListBulletLevel4"/>
      <w:lvlText w:val=""/>
      <w:lvlJc w:val="left"/>
      <w:pPr>
        <w:tabs>
          <w:tab w:val="num" w:pos="1134"/>
        </w:tabs>
        <w:ind w:left="1134" w:hanging="284"/>
      </w:pPr>
      <w:rPr>
        <w:rFonts w:ascii="Symbol" w:hAnsi="Symbol" w:cs="Symbol" w:hint="default"/>
      </w:rPr>
    </w:lvl>
    <w:lvl w:ilvl="4">
      <w:start w:val="0"/>
      <w:numFmt w:val="none"/>
      <w:suff w:val="nothing"/>
      <w:lvlJc w:val="left"/>
      <w:pPr>
        <w:tabs>
          <w:tab w:val="num" w:pos="0"/>
        </w:tabs>
        <w:ind w:left="0" w:firstLine="0"/>
      </w:pPr>
    </w:lvl>
    <w:lvl w:ilvl="5">
      <w:start w:val="0"/>
      <w:numFmt w:val="none"/>
      <w:suff w:val="nothing"/>
      <w:lvlJc w:val="left"/>
      <w:pPr>
        <w:tabs>
          <w:tab w:val="num" w:pos="0"/>
        </w:tabs>
        <w:ind w:left="0" w:firstLine="0"/>
      </w:pPr>
    </w:lvl>
    <w:lvl w:ilvl="6">
      <w:start w:val="0"/>
      <w:numFmt w:val="none"/>
      <w:suff w:val="nothing"/>
      <w:lvlJc w:val="left"/>
      <w:pPr>
        <w:tabs>
          <w:tab w:val="num" w:pos="0"/>
        </w:tabs>
        <w:ind w:left="0" w:firstLine="0"/>
      </w:pPr>
    </w:lvl>
    <w:lvl w:ilvl="7">
      <w:start w:val="0"/>
      <w:numFmt w:val="none"/>
      <w:suff w:val="nothing"/>
      <w:lvlJc w:val="left"/>
      <w:pPr>
        <w:tabs>
          <w:tab w:val="num" w:pos="0"/>
        </w:tabs>
        <w:ind w:left="0" w:firstLine="0"/>
      </w:pPr>
    </w:lvl>
    <w:lvl w:ilvl="8">
      <w:start w:val="0"/>
      <w:numFmt w:val="none"/>
      <w:suff w:val="nothing"/>
      <w:lvlJc w:val="left"/>
      <w:pPr>
        <w:tabs>
          <w:tab w:val="num" w:pos="0"/>
        </w:tabs>
        <w:ind w:left="0" w:firstLine="0"/>
      </w:pPr>
    </w:lvl>
  </w:abstractNum>
  <w:num w:numId="1">
    <w:abstractNumId w:val="2"/>
  </w:num>
  <w:num w:numId="2">
    <w:abstractNumId w:val="0"/>
  </w:num>
  <w:num w:numId="3">
    <w:abstractNumId w:val="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51270"/>
    <w:rsid w:val="00002E3A"/>
    <w:rsid w:val="000041D5"/>
    <w:rsid w:val="00004EA3"/>
    <w:rsid w:val="00010DCE"/>
    <w:rsid w:val="000119E6"/>
    <w:rsid w:val="00012FF0"/>
    <w:rsid w:val="00013F31"/>
    <w:rsid w:val="0001498B"/>
    <w:rsid w:val="0002197C"/>
    <w:rsid w:val="00024E8F"/>
    <w:rsid w:val="00025372"/>
    <w:rsid w:val="00033598"/>
    <w:rsid w:val="00035AFA"/>
    <w:rsid w:val="00035F28"/>
    <w:rsid w:val="00037339"/>
    <w:rsid w:val="000378A0"/>
    <w:rsid w:val="000435A2"/>
    <w:rsid w:val="00043D33"/>
    <w:rsid w:val="00046D2C"/>
    <w:rsid w:val="0004788E"/>
    <w:rsid w:val="00061000"/>
    <w:rsid w:val="00062456"/>
    <w:rsid w:val="00065A1A"/>
    <w:rsid w:val="00086079"/>
    <w:rsid w:val="00095E3A"/>
    <w:rsid w:val="000B18E1"/>
    <w:rsid w:val="000B3C7B"/>
    <w:rsid w:val="000B6863"/>
    <w:rsid w:val="000B7960"/>
    <w:rsid w:val="000C29E0"/>
    <w:rsid w:val="000C3317"/>
    <w:rsid w:val="000C588F"/>
    <w:rsid w:val="000C5B29"/>
    <w:rsid w:val="000C663D"/>
    <w:rsid w:val="000C6710"/>
    <w:rsid w:val="000D19C6"/>
    <w:rsid w:val="000D5516"/>
    <w:rsid w:val="000E4983"/>
    <w:rsid w:val="000E52AF"/>
    <w:rsid w:val="000E56C9"/>
    <w:rsid w:val="000E7BF7"/>
    <w:rsid w:val="000F4463"/>
    <w:rsid w:val="000F57E6"/>
    <w:rsid w:val="000F6C70"/>
    <w:rsid w:val="001030AA"/>
    <w:rsid w:val="001032AB"/>
    <w:rsid w:val="001036E4"/>
    <w:rsid w:val="0010434A"/>
    <w:rsid w:val="00104DF2"/>
    <w:rsid w:val="00105A97"/>
    <w:rsid w:val="001137D2"/>
    <w:rsid w:val="001178EC"/>
    <w:rsid w:val="00122780"/>
    <w:rsid w:val="0013289E"/>
    <w:rsid w:val="00133465"/>
    <w:rsid w:val="00134973"/>
    <w:rsid w:val="00135865"/>
    <w:rsid w:val="00136010"/>
    <w:rsid w:val="00143E4F"/>
    <w:rsid w:val="00147AA2"/>
    <w:rsid w:val="001666DC"/>
    <w:rsid w:val="00166B85"/>
    <w:rsid w:val="0017648C"/>
    <w:rsid w:val="001803C5"/>
    <w:rsid w:val="00181154"/>
    <w:rsid w:val="0018185C"/>
    <w:rsid w:val="001822E5"/>
    <w:rsid w:val="00194991"/>
    <w:rsid w:val="0019552F"/>
    <w:rsid w:val="001A4976"/>
    <w:rsid w:val="001A6F10"/>
    <w:rsid w:val="001A7BA7"/>
    <w:rsid w:val="001C559B"/>
    <w:rsid w:val="001C5A55"/>
    <w:rsid w:val="001C7DB3"/>
    <w:rsid w:val="001D259A"/>
    <w:rsid w:val="001D3445"/>
    <w:rsid w:val="001D3C01"/>
    <w:rsid w:val="001D692A"/>
    <w:rsid w:val="001E09FB"/>
    <w:rsid w:val="001E36D9"/>
    <w:rsid w:val="00200D4C"/>
    <w:rsid w:val="002012D0"/>
    <w:rsid w:val="00201555"/>
    <w:rsid w:val="00203727"/>
    <w:rsid w:val="00203F29"/>
    <w:rsid w:val="00204E6D"/>
    <w:rsid w:val="00211D7D"/>
    <w:rsid w:val="00211F50"/>
    <w:rsid w:val="00215583"/>
    <w:rsid w:val="00230280"/>
    <w:rsid w:val="0023092C"/>
    <w:rsid w:val="002371D9"/>
    <w:rsid w:val="0023789F"/>
    <w:rsid w:val="00240AF2"/>
    <w:rsid w:val="00244500"/>
    <w:rsid w:val="0024505C"/>
    <w:rsid w:val="00251ED7"/>
    <w:rsid w:val="00252E74"/>
    <w:rsid w:val="00264C39"/>
    <w:rsid w:val="002670C2"/>
    <w:rsid w:val="002676A0"/>
    <w:rsid w:val="00270DD5"/>
    <w:rsid w:val="00273964"/>
    <w:rsid w:val="00276400"/>
    <w:rsid w:val="00276564"/>
    <w:rsid w:val="0027658F"/>
    <w:rsid w:val="002768EB"/>
    <w:rsid w:val="00276AE8"/>
    <w:rsid w:val="00282244"/>
    <w:rsid w:val="0028513F"/>
    <w:rsid w:val="00287CE6"/>
    <w:rsid w:val="002912F6"/>
    <w:rsid w:val="00292DF4"/>
    <w:rsid w:val="0029632E"/>
    <w:rsid w:val="002A09C8"/>
    <w:rsid w:val="002A5570"/>
    <w:rsid w:val="002A568F"/>
    <w:rsid w:val="002A658D"/>
    <w:rsid w:val="002B1D0B"/>
    <w:rsid w:val="002B3BC7"/>
    <w:rsid w:val="002B64DA"/>
    <w:rsid w:val="002B7204"/>
    <w:rsid w:val="002D213E"/>
    <w:rsid w:val="002D2C78"/>
    <w:rsid w:val="002D4B80"/>
    <w:rsid w:val="002D710D"/>
    <w:rsid w:val="002E58AD"/>
    <w:rsid w:val="002E7381"/>
    <w:rsid w:val="002F0601"/>
    <w:rsid w:val="002F0742"/>
    <w:rsid w:val="002F631D"/>
    <w:rsid w:val="002F7183"/>
    <w:rsid w:val="00300014"/>
    <w:rsid w:val="00304E9E"/>
    <w:rsid w:val="00304F32"/>
    <w:rsid w:val="0030567F"/>
    <w:rsid w:val="003109F4"/>
    <w:rsid w:val="003153A2"/>
    <w:rsid w:val="00320A24"/>
    <w:rsid w:val="00323EEA"/>
    <w:rsid w:val="00325B11"/>
    <w:rsid w:val="00330BA5"/>
    <w:rsid w:val="00337963"/>
    <w:rsid w:val="003414C2"/>
    <w:rsid w:val="00342125"/>
    <w:rsid w:val="00344A91"/>
    <w:rsid w:val="00344C7D"/>
    <w:rsid w:val="00346D9B"/>
    <w:rsid w:val="00350867"/>
    <w:rsid w:val="00352B62"/>
    <w:rsid w:val="00356799"/>
    <w:rsid w:val="003615B9"/>
    <w:rsid w:val="0036399B"/>
    <w:rsid w:val="00367C3C"/>
    <w:rsid w:val="00371C96"/>
    <w:rsid w:val="0037237A"/>
    <w:rsid w:val="00373B86"/>
    <w:rsid w:val="0037473C"/>
    <w:rsid w:val="003951F3"/>
    <w:rsid w:val="003A4B4F"/>
    <w:rsid w:val="003B2EA9"/>
    <w:rsid w:val="003B3A0E"/>
    <w:rsid w:val="003B6D91"/>
    <w:rsid w:val="003B7E41"/>
    <w:rsid w:val="003C2CE0"/>
    <w:rsid w:val="003C35A0"/>
    <w:rsid w:val="003E2590"/>
    <w:rsid w:val="003E268F"/>
    <w:rsid w:val="003E4611"/>
    <w:rsid w:val="003E5A3C"/>
    <w:rsid w:val="003F0E81"/>
    <w:rsid w:val="003F399A"/>
    <w:rsid w:val="003F4F25"/>
    <w:rsid w:val="003F6F67"/>
    <w:rsid w:val="00402A28"/>
    <w:rsid w:val="00403B04"/>
    <w:rsid w:val="00403BD1"/>
    <w:rsid w:val="00414566"/>
    <w:rsid w:val="00417332"/>
    <w:rsid w:val="0042573A"/>
    <w:rsid w:val="00425843"/>
    <w:rsid w:val="004315EB"/>
    <w:rsid w:val="004324EE"/>
    <w:rsid w:val="004354DA"/>
    <w:rsid w:val="00435BA0"/>
    <w:rsid w:val="00437B37"/>
    <w:rsid w:val="0044141A"/>
    <w:rsid w:val="004455D7"/>
    <w:rsid w:val="00451E31"/>
    <w:rsid w:val="004561DF"/>
    <w:rsid w:val="00456DE6"/>
    <w:rsid w:val="00461F99"/>
    <w:rsid w:val="00462D65"/>
    <w:rsid w:val="00471EF7"/>
    <w:rsid w:val="00477AFF"/>
    <w:rsid w:val="00487406"/>
    <w:rsid w:val="004A0BE7"/>
    <w:rsid w:val="004A5906"/>
    <w:rsid w:val="004A5B74"/>
    <w:rsid w:val="004A7144"/>
    <w:rsid w:val="004A7D30"/>
    <w:rsid w:val="004B3E21"/>
    <w:rsid w:val="004C23DF"/>
    <w:rsid w:val="004C26AD"/>
    <w:rsid w:val="004C2C90"/>
    <w:rsid w:val="004C4B78"/>
    <w:rsid w:val="004D2310"/>
    <w:rsid w:val="004D30DD"/>
    <w:rsid w:val="004D4D18"/>
    <w:rsid w:val="004D4D8D"/>
    <w:rsid w:val="004D6941"/>
    <w:rsid w:val="004E1441"/>
    <w:rsid w:val="004E1C67"/>
    <w:rsid w:val="004E7B31"/>
    <w:rsid w:val="004F0AC0"/>
    <w:rsid w:val="004F1A99"/>
    <w:rsid w:val="004F4CD0"/>
    <w:rsid w:val="004F62F8"/>
    <w:rsid w:val="00505B91"/>
    <w:rsid w:val="00506A3A"/>
    <w:rsid w:val="00507C77"/>
    <w:rsid w:val="00515D55"/>
    <w:rsid w:val="0051714C"/>
    <w:rsid w:val="005222C2"/>
    <w:rsid w:val="00524987"/>
    <w:rsid w:val="0052647B"/>
    <w:rsid w:val="00526DE1"/>
    <w:rsid w:val="005303E3"/>
    <w:rsid w:val="00532F23"/>
    <w:rsid w:val="00537840"/>
    <w:rsid w:val="005413DC"/>
    <w:rsid w:val="00542736"/>
    <w:rsid w:val="005436A6"/>
    <w:rsid w:val="005454CA"/>
    <w:rsid w:val="00551604"/>
    <w:rsid w:val="00551CAB"/>
    <w:rsid w:val="00551E70"/>
    <w:rsid w:val="00557612"/>
    <w:rsid w:val="0056386C"/>
    <w:rsid w:val="0056753A"/>
    <w:rsid w:val="0057167E"/>
    <w:rsid w:val="00571F11"/>
    <w:rsid w:val="0057361F"/>
    <w:rsid w:val="00576D82"/>
    <w:rsid w:val="005771C8"/>
    <w:rsid w:val="00580EB6"/>
    <w:rsid w:val="00584F74"/>
    <w:rsid w:val="00585900"/>
    <w:rsid w:val="005900E5"/>
    <w:rsid w:val="0059064A"/>
    <w:rsid w:val="005908CE"/>
    <w:rsid w:val="00590A7E"/>
    <w:rsid w:val="005A1FC4"/>
    <w:rsid w:val="005A4B64"/>
    <w:rsid w:val="005B4C72"/>
    <w:rsid w:val="005B6AC4"/>
    <w:rsid w:val="005C2368"/>
    <w:rsid w:val="005C3B2B"/>
    <w:rsid w:val="005D09C5"/>
    <w:rsid w:val="005E1EC8"/>
    <w:rsid w:val="005E1ECA"/>
    <w:rsid w:val="005E2C7B"/>
    <w:rsid w:val="005E48E9"/>
    <w:rsid w:val="005F11F6"/>
    <w:rsid w:val="005F37A2"/>
    <w:rsid w:val="005F382C"/>
    <w:rsid w:val="005F6D95"/>
    <w:rsid w:val="006023DE"/>
    <w:rsid w:val="006070E5"/>
    <w:rsid w:val="00607F23"/>
    <w:rsid w:val="0061047E"/>
    <w:rsid w:val="00610F06"/>
    <w:rsid w:val="00614232"/>
    <w:rsid w:val="00614C0A"/>
    <w:rsid w:val="0062445E"/>
    <w:rsid w:val="00625E19"/>
    <w:rsid w:val="006276A9"/>
    <w:rsid w:val="00630247"/>
    <w:rsid w:val="00630C7E"/>
    <w:rsid w:val="006328FA"/>
    <w:rsid w:val="0063327F"/>
    <w:rsid w:val="00636F5D"/>
    <w:rsid w:val="006415D5"/>
    <w:rsid w:val="00641AE9"/>
    <w:rsid w:val="00646D1E"/>
    <w:rsid w:val="00647846"/>
    <w:rsid w:val="00651AB1"/>
    <w:rsid w:val="0065283F"/>
    <w:rsid w:val="0066197B"/>
    <w:rsid w:val="00664D33"/>
    <w:rsid w:val="00665B8B"/>
    <w:rsid w:val="00672E2B"/>
    <w:rsid w:val="006754F4"/>
    <w:rsid w:val="00675566"/>
    <w:rsid w:val="00675704"/>
    <w:rsid w:val="00675AB2"/>
    <w:rsid w:val="00676E58"/>
    <w:rsid w:val="006774BE"/>
    <w:rsid w:val="006917E1"/>
    <w:rsid w:val="00692F5C"/>
    <w:rsid w:val="006952A5"/>
    <w:rsid w:val="006979C2"/>
    <w:rsid w:val="006A33FF"/>
    <w:rsid w:val="006A5CF9"/>
    <w:rsid w:val="006A7ED1"/>
    <w:rsid w:val="006B6659"/>
    <w:rsid w:val="006C04FF"/>
    <w:rsid w:val="006C0991"/>
    <w:rsid w:val="006C6288"/>
    <w:rsid w:val="006D1ECB"/>
    <w:rsid w:val="006E2559"/>
    <w:rsid w:val="006E5A33"/>
    <w:rsid w:val="006F13A8"/>
    <w:rsid w:val="006F46DB"/>
    <w:rsid w:val="00702701"/>
    <w:rsid w:val="007146F7"/>
    <w:rsid w:val="00716833"/>
    <w:rsid w:val="00721466"/>
    <w:rsid w:val="00725E7A"/>
    <w:rsid w:val="0072650D"/>
    <w:rsid w:val="00726F64"/>
    <w:rsid w:val="007352F5"/>
    <w:rsid w:val="00740A9C"/>
    <w:rsid w:val="007426E5"/>
    <w:rsid w:val="007432D6"/>
    <w:rsid w:val="00743FF4"/>
    <w:rsid w:val="007575DD"/>
    <w:rsid w:val="0076175A"/>
    <w:rsid w:val="00762BE8"/>
    <w:rsid w:val="00767AC3"/>
    <w:rsid w:val="0077108A"/>
    <w:rsid w:val="007761FB"/>
    <w:rsid w:val="00780977"/>
    <w:rsid w:val="00784419"/>
    <w:rsid w:val="00785753"/>
    <w:rsid w:val="007862D1"/>
    <w:rsid w:val="00792389"/>
    <w:rsid w:val="00793A63"/>
    <w:rsid w:val="007944FD"/>
    <w:rsid w:val="007A04D6"/>
    <w:rsid w:val="007A4243"/>
    <w:rsid w:val="007B054B"/>
    <w:rsid w:val="007B0D84"/>
    <w:rsid w:val="007C3883"/>
    <w:rsid w:val="007C446E"/>
    <w:rsid w:val="007C7A60"/>
    <w:rsid w:val="007D0FBD"/>
    <w:rsid w:val="007D2745"/>
    <w:rsid w:val="007D7564"/>
    <w:rsid w:val="007E25A2"/>
    <w:rsid w:val="007E741A"/>
    <w:rsid w:val="007F1594"/>
    <w:rsid w:val="007F1C29"/>
    <w:rsid w:val="007F3EC0"/>
    <w:rsid w:val="00804327"/>
    <w:rsid w:val="00812537"/>
    <w:rsid w:val="00814C11"/>
    <w:rsid w:val="008172D3"/>
    <w:rsid w:val="00817D90"/>
    <w:rsid w:val="00824E52"/>
    <w:rsid w:val="008273F5"/>
    <w:rsid w:val="00827792"/>
    <w:rsid w:val="00830D12"/>
    <w:rsid w:val="00832F4D"/>
    <w:rsid w:val="00835C59"/>
    <w:rsid w:val="008363D8"/>
    <w:rsid w:val="0083645E"/>
    <w:rsid w:val="00840D5B"/>
    <w:rsid w:val="00843F15"/>
    <w:rsid w:val="008501F1"/>
    <w:rsid w:val="00850214"/>
    <w:rsid w:val="00850BE0"/>
    <w:rsid w:val="00851052"/>
    <w:rsid w:val="008533F0"/>
    <w:rsid w:val="00853B70"/>
    <w:rsid w:val="00854AA0"/>
    <w:rsid w:val="00857624"/>
    <w:rsid w:val="008626B5"/>
    <w:rsid w:val="00864436"/>
    <w:rsid w:val="0086796C"/>
    <w:rsid w:val="008700CE"/>
    <w:rsid w:val="00870FF4"/>
    <w:rsid w:val="00877B1D"/>
    <w:rsid w:val="0088104D"/>
    <w:rsid w:val="00881842"/>
    <w:rsid w:val="00895592"/>
    <w:rsid w:val="00897656"/>
    <w:rsid w:val="008A090D"/>
    <w:rsid w:val="008A17F5"/>
    <w:rsid w:val="008A512C"/>
    <w:rsid w:val="008A67D2"/>
    <w:rsid w:val="008B6986"/>
    <w:rsid w:val="008C001E"/>
    <w:rsid w:val="008C0F42"/>
    <w:rsid w:val="008C1D57"/>
    <w:rsid w:val="008C46D2"/>
    <w:rsid w:val="008C7CAF"/>
    <w:rsid w:val="008D3F0C"/>
    <w:rsid w:val="008E6D78"/>
    <w:rsid w:val="008F02F0"/>
    <w:rsid w:val="008F0FD5"/>
    <w:rsid w:val="008F3CD7"/>
    <w:rsid w:val="008F3FD7"/>
    <w:rsid w:val="0090106F"/>
    <w:rsid w:val="009019E5"/>
    <w:rsid w:val="00901BBF"/>
    <w:rsid w:val="00902B11"/>
    <w:rsid w:val="00905E2F"/>
    <w:rsid w:val="0091103B"/>
    <w:rsid w:val="00911329"/>
    <w:rsid w:val="009118F4"/>
    <w:rsid w:val="00926A3F"/>
    <w:rsid w:val="00934762"/>
    <w:rsid w:val="00935F6B"/>
    <w:rsid w:val="0093742A"/>
    <w:rsid w:val="00947FAC"/>
    <w:rsid w:val="00952253"/>
    <w:rsid w:val="009565E9"/>
    <w:rsid w:val="00956B8F"/>
    <w:rsid w:val="009579AC"/>
    <w:rsid w:val="00965447"/>
    <w:rsid w:val="00971E63"/>
    <w:rsid w:val="00972A87"/>
    <w:rsid w:val="00972AF1"/>
    <w:rsid w:val="00973CA6"/>
    <w:rsid w:val="00976181"/>
    <w:rsid w:val="00980FFB"/>
    <w:rsid w:val="00983580"/>
    <w:rsid w:val="00990500"/>
    <w:rsid w:val="0099061D"/>
    <w:rsid w:val="00990B82"/>
    <w:rsid w:val="00993565"/>
    <w:rsid w:val="00994703"/>
    <w:rsid w:val="009A1555"/>
    <w:rsid w:val="009A5C7D"/>
    <w:rsid w:val="009A7A5C"/>
    <w:rsid w:val="009B03E1"/>
    <w:rsid w:val="009B06CA"/>
    <w:rsid w:val="009B2C85"/>
    <w:rsid w:val="009B6AAD"/>
    <w:rsid w:val="009C0E86"/>
    <w:rsid w:val="009C3075"/>
    <w:rsid w:val="009D13E8"/>
    <w:rsid w:val="009D16E8"/>
    <w:rsid w:val="009D2718"/>
    <w:rsid w:val="009D4F19"/>
    <w:rsid w:val="009D64DA"/>
    <w:rsid w:val="009E257B"/>
    <w:rsid w:val="009E3B69"/>
    <w:rsid w:val="009E6D58"/>
    <w:rsid w:val="009F0F2E"/>
    <w:rsid w:val="009F2AC0"/>
    <w:rsid w:val="009F2D60"/>
    <w:rsid w:val="009F3835"/>
    <w:rsid w:val="00A0214C"/>
    <w:rsid w:val="00A02276"/>
    <w:rsid w:val="00A1237C"/>
    <w:rsid w:val="00A12A9D"/>
    <w:rsid w:val="00A14FEF"/>
    <w:rsid w:val="00A17976"/>
    <w:rsid w:val="00A25F16"/>
    <w:rsid w:val="00A31DC7"/>
    <w:rsid w:val="00A323CE"/>
    <w:rsid w:val="00A35AE2"/>
    <w:rsid w:val="00A40115"/>
    <w:rsid w:val="00A515F7"/>
    <w:rsid w:val="00A52642"/>
    <w:rsid w:val="00A52699"/>
    <w:rsid w:val="00A52E57"/>
    <w:rsid w:val="00A52F41"/>
    <w:rsid w:val="00A534E9"/>
    <w:rsid w:val="00A543F2"/>
    <w:rsid w:val="00A57794"/>
    <w:rsid w:val="00A612CE"/>
    <w:rsid w:val="00A6581B"/>
    <w:rsid w:val="00A722F1"/>
    <w:rsid w:val="00A8296E"/>
    <w:rsid w:val="00A87EFB"/>
    <w:rsid w:val="00A947DA"/>
    <w:rsid w:val="00A94AE8"/>
    <w:rsid w:val="00A95971"/>
    <w:rsid w:val="00AA0B7F"/>
    <w:rsid w:val="00AA3956"/>
    <w:rsid w:val="00AB2A04"/>
    <w:rsid w:val="00AB4490"/>
    <w:rsid w:val="00AB53B6"/>
    <w:rsid w:val="00AB7910"/>
    <w:rsid w:val="00AC017A"/>
    <w:rsid w:val="00AC01D0"/>
    <w:rsid w:val="00AC2915"/>
    <w:rsid w:val="00AC6CCF"/>
    <w:rsid w:val="00AD406C"/>
    <w:rsid w:val="00AD7396"/>
    <w:rsid w:val="00AE0D51"/>
    <w:rsid w:val="00AE117F"/>
    <w:rsid w:val="00AE1B64"/>
    <w:rsid w:val="00AE1F48"/>
    <w:rsid w:val="00AF0CAE"/>
    <w:rsid w:val="00AF30D3"/>
    <w:rsid w:val="00AF345B"/>
    <w:rsid w:val="00B02B1F"/>
    <w:rsid w:val="00B04936"/>
    <w:rsid w:val="00B0497E"/>
    <w:rsid w:val="00B07276"/>
    <w:rsid w:val="00B072B9"/>
    <w:rsid w:val="00B105E5"/>
    <w:rsid w:val="00B105F8"/>
    <w:rsid w:val="00B13E26"/>
    <w:rsid w:val="00B14320"/>
    <w:rsid w:val="00B20359"/>
    <w:rsid w:val="00B23A3A"/>
    <w:rsid w:val="00B26805"/>
    <w:rsid w:val="00B26C86"/>
    <w:rsid w:val="00B26E32"/>
    <w:rsid w:val="00B354B6"/>
    <w:rsid w:val="00B368DD"/>
    <w:rsid w:val="00B37964"/>
    <w:rsid w:val="00B4430C"/>
    <w:rsid w:val="00B502C4"/>
    <w:rsid w:val="00B51394"/>
    <w:rsid w:val="00B55443"/>
    <w:rsid w:val="00B55489"/>
    <w:rsid w:val="00B5574D"/>
    <w:rsid w:val="00B56ED9"/>
    <w:rsid w:val="00B57F47"/>
    <w:rsid w:val="00B57F85"/>
    <w:rsid w:val="00B601C6"/>
    <w:rsid w:val="00B61C1F"/>
    <w:rsid w:val="00B62C64"/>
    <w:rsid w:val="00B6422E"/>
    <w:rsid w:val="00B712E8"/>
    <w:rsid w:val="00B8036C"/>
    <w:rsid w:val="00B8179D"/>
    <w:rsid w:val="00B82818"/>
    <w:rsid w:val="00B871FF"/>
    <w:rsid w:val="00B9151C"/>
    <w:rsid w:val="00B91C47"/>
    <w:rsid w:val="00B9445A"/>
    <w:rsid w:val="00B953C3"/>
    <w:rsid w:val="00B978CC"/>
    <w:rsid w:val="00B97FC1"/>
    <w:rsid w:val="00BA0D16"/>
    <w:rsid w:val="00BA1A3D"/>
    <w:rsid w:val="00BB4FF9"/>
    <w:rsid w:val="00BB6FEE"/>
    <w:rsid w:val="00BC1CEB"/>
    <w:rsid w:val="00BC6532"/>
    <w:rsid w:val="00BC7487"/>
    <w:rsid w:val="00BD2637"/>
    <w:rsid w:val="00BD65A4"/>
    <w:rsid w:val="00BE3457"/>
    <w:rsid w:val="00BE5846"/>
    <w:rsid w:val="00BE65F0"/>
    <w:rsid w:val="00BE6A1E"/>
    <w:rsid w:val="00BE71D3"/>
    <w:rsid w:val="00BF1065"/>
    <w:rsid w:val="00C035CA"/>
    <w:rsid w:val="00C050AC"/>
    <w:rsid w:val="00C127E1"/>
    <w:rsid w:val="00C12E6A"/>
    <w:rsid w:val="00C23264"/>
    <w:rsid w:val="00C2554B"/>
    <w:rsid w:val="00C3512E"/>
    <w:rsid w:val="00C37612"/>
    <w:rsid w:val="00C37D38"/>
    <w:rsid w:val="00C52BB9"/>
    <w:rsid w:val="00C56D35"/>
    <w:rsid w:val="00C605E1"/>
    <w:rsid w:val="00C63F92"/>
    <w:rsid w:val="00C7327A"/>
    <w:rsid w:val="00C803FC"/>
    <w:rsid w:val="00C90545"/>
    <w:rsid w:val="00C93353"/>
    <w:rsid w:val="00C939F6"/>
    <w:rsid w:val="00C95DAE"/>
    <w:rsid w:val="00C97B83"/>
    <w:rsid w:val="00CA067C"/>
    <w:rsid w:val="00CA212E"/>
    <w:rsid w:val="00CA25EC"/>
    <w:rsid w:val="00CA75FF"/>
    <w:rsid w:val="00CB2809"/>
    <w:rsid w:val="00CC2343"/>
    <w:rsid w:val="00CC3235"/>
    <w:rsid w:val="00CC406A"/>
    <w:rsid w:val="00CD5021"/>
    <w:rsid w:val="00CE049C"/>
    <w:rsid w:val="00CE0559"/>
    <w:rsid w:val="00CE129F"/>
    <w:rsid w:val="00CE4BCA"/>
    <w:rsid w:val="00CE70A1"/>
    <w:rsid w:val="00CE74F7"/>
    <w:rsid w:val="00CF6ADC"/>
    <w:rsid w:val="00D01121"/>
    <w:rsid w:val="00D020F3"/>
    <w:rsid w:val="00D032D0"/>
    <w:rsid w:val="00D05C25"/>
    <w:rsid w:val="00D07896"/>
    <w:rsid w:val="00D1196B"/>
    <w:rsid w:val="00D2114A"/>
    <w:rsid w:val="00D21D35"/>
    <w:rsid w:val="00D251AF"/>
    <w:rsid w:val="00D2616C"/>
    <w:rsid w:val="00D26A43"/>
    <w:rsid w:val="00D31DFE"/>
    <w:rsid w:val="00D3223B"/>
    <w:rsid w:val="00D33FD5"/>
    <w:rsid w:val="00D4251F"/>
    <w:rsid w:val="00D43FFF"/>
    <w:rsid w:val="00D447CB"/>
    <w:rsid w:val="00D5240B"/>
    <w:rsid w:val="00D57F6A"/>
    <w:rsid w:val="00D61C66"/>
    <w:rsid w:val="00D62C39"/>
    <w:rsid w:val="00D62E9D"/>
    <w:rsid w:val="00D63AED"/>
    <w:rsid w:val="00D70238"/>
    <w:rsid w:val="00D705FF"/>
    <w:rsid w:val="00D70AFA"/>
    <w:rsid w:val="00D723E8"/>
    <w:rsid w:val="00D73D2A"/>
    <w:rsid w:val="00D85EE5"/>
    <w:rsid w:val="00D91D07"/>
    <w:rsid w:val="00D947C6"/>
    <w:rsid w:val="00D9565B"/>
    <w:rsid w:val="00D969E4"/>
    <w:rsid w:val="00D9749A"/>
    <w:rsid w:val="00DA6B6A"/>
    <w:rsid w:val="00DA6F7C"/>
    <w:rsid w:val="00DB0337"/>
    <w:rsid w:val="00DB50B9"/>
    <w:rsid w:val="00DC2A5D"/>
    <w:rsid w:val="00DC6615"/>
    <w:rsid w:val="00DD0360"/>
    <w:rsid w:val="00DD0CA5"/>
    <w:rsid w:val="00DD1687"/>
    <w:rsid w:val="00DD361B"/>
    <w:rsid w:val="00DD7712"/>
    <w:rsid w:val="00DE0DB1"/>
    <w:rsid w:val="00DE13DC"/>
    <w:rsid w:val="00DE56EA"/>
    <w:rsid w:val="00DE652D"/>
    <w:rsid w:val="00DF2F94"/>
    <w:rsid w:val="00DF4038"/>
    <w:rsid w:val="00E01022"/>
    <w:rsid w:val="00E039E1"/>
    <w:rsid w:val="00E04295"/>
    <w:rsid w:val="00E04425"/>
    <w:rsid w:val="00E055C5"/>
    <w:rsid w:val="00E13451"/>
    <w:rsid w:val="00E13BD4"/>
    <w:rsid w:val="00E145FE"/>
    <w:rsid w:val="00E1724E"/>
    <w:rsid w:val="00E223B2"/>
    <w:rsid w:val="00E23A68"/>
    <w:rsid w:val="00E2507D"/>
    <w:rsid w:val="00E25AEC"/>
    <w:rsid w:val="00E32B27"/>
    <w:rsid w:val="00E33417"/>
    <w:rsid w:val="00E33537"/>
    <w:rsid w:val="00E33C62"/>
    <w:rsid w:val="00E34010"/>
    <w:rsid w:val="00E36EF1"/>
    <w:rsid w:val="00E40A93"/>
    <w:rsid w:val="00E40E59"/>
    <w:rsid w:val="00E457E8"/>
    <w:rsid w:val="00E5318A"/>
    <w:rsid w:val="00E553E7"/>
    <w:rsid w:val="00E561E0"/>
    <w:rsid w:val="00E57996"/>
    <w:rsid w:val="00E61478"/>
    <w:rsid w:val="00E776DA"/>
    <w:rsid w:val="00E856E3"/>
    <w:rsid w:val="00E86B1F"/>
    <w:rsid w:val="00E87E09"/>
    <w:rsid w:val="00E93045"/>
    <w:rsid w:val="00E95F83"/>
    <w:rsid w:val="00E97DFB"/>
    <w:rsid w:val="00EA27BB"/>
    <w:rsid w:val="00EA2D10"/>
    <w:rsid w:val="00EA5331"/>
    <w:rsid w:val="00EA7C5C"/>
    <w:rsid w:val="00EC5227"/>
    <w:rsid w:val="00ED011F"/>
    <w:rsid w:val="00EE1AF2"/>
    <w:rsid w:val="00EE66B8"/>
    <w:rsid w:val="00EE6F61"/>
    <w:rsid w:val="00EF1D30"/>
    <w:rsid w:val="00F00BCF"/>
    <w:rsid w:val="00F0185B"/>
    <w:rsid w:val="00F01973"/>
    <w:rsid w:val="00F06444"/>
    <w:rsid w:val="00F07255"/>
    <w:rsid w:val="00F10B03"/>
    <w:rsid w:val="00F13BB6"/>
    <w:rsid w:val="00F204C2"/>
    <w:rsid w:val="00F25710"/>
    <w:rsid w:val="00F25998"/>
    <w:rsid w:val="00F26824"/>
    <w:rsid w:val="00F30806"/>
    <w:rsid w:val="00F31AEE"/>
    <w:rsid w:val="00F37ACB"/>
    <w:rsid w:val="00F42AC2"/>
    <w:rsid w:val="00F44C42"/>
    <w:rsid w:val="00F51270"/>
    <w:rsid w:val="00F60152"/>
    <w:rsid w:val="00F60BCB"/>
    <w:rsid w:val="00F63844"/>
    <w:rsid w:val="00F65823"/>
    <w:rsid w:val="00F70E86"/>
    <w:rsid w:val="00F71DDA"/>
    <w:rsid w:val="00F75A3C"/>
    <w:rsid w:val="00F82029"/>
    <w:rsid w:val="00F90B7C"/>
    <w:rsid w:val="00F90C55"/>
    <w:rsid w:val="00F90EF5"/>
    <w:rsid w:val="00F94F09"/>
    <w:rsid w:val="00F95379"/>
    <w:rsid w:val="00F95956"/>
    <w:rsid w:val="00FA618E"/>
    <w:rsid w:val="00FB4116"/>
    <w:rsid w:val="00FC0978"/>
    <w:rsid w:val="00FE379C"/>
    <w:rsid w:val="00FE3ECB"/>
    <w:rsid w:val="00FE429F"/>
    <w:rsid w:val="00FE5B36"/>
    <w:rsid w:val="00FF122C"/>
    <w:rsid w:val="00FF3222"/>
  </w:rsids>
  <m:mathPr>
    <m:mathFont m:val="Cambria Math"/>
  </m:mathPr>
  <w:themeFontLang w:val="cs-CZ"/>
  <w:clrSchemeMapping w:bg1="light1" w:t1="dark1" w:bg2="light2" w:t2="dark2" w:accent1="accent1" w:accent2="accent2" w:accent3="accent3" w:accent4="accent4" w:accent5="accent5" w:accent6="accent6" w:hyperlink="hyperlink" w:followedHyperlink="followedHyperlink"/>
  <w15:chartTrackingRefBased/>
  <w15:docId w15:val="{9ECAF69A-0B52-E749-A1C3-2A5F81D1D1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cs-CZ" w:eastAsia="en-US" w:bidi="ar-SA"/>
      </w:rPr>
    </w:rPrDefault>
    <w:pPrDefault/>
  </w:docDefaults>
  <w:latentStyles w:defLockedState="0" w:defUIPriority="99" w:defSemiHidden="0" w:defUnhideWhenUsed="0" w:defQFormat="0" w:count="375">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72AF1"/>
    <w:pPr>
      <w:spacing w:before="120" w:line="276" w:lineRule="auto"/>
      <w:jc w:val="both"/>
    </w:pPr>
    <w:rPr>
      <w:sz w:val="22"/>
    </w:rPr>
  </w:style>
  <w:style w:type="paragraph" w:styleId="Heading1">
    <w:name w:val="heading 1"/>
    <w:basedOn w:val="Normal"/>
    <w:next w:val="Normal"/>
    <w:link w:val="Nadpis1Char"/>
    <w:uiPriority w:val="9"/>
    <w:rsid w:val="00CE129F"/>
    <w:pPr>
      <w:keepNext/>
      <w:keepLines/>
      <w:pBdr>
        <w:bottom w:val="single" w:sz="18" w:space="1" w:color="467A26"/>
      </w:pBdr>
      <w:suppressAutoHyphens/>
      <w:spacing w:before="240" w:after="240"/>
      <w:outlineLvl w:val="0"/>
    </w:pPr>
    <w:rPr>
      <w:rFonts w:ascii="Calibri" w:hAnsi="Calibri" w:eastAsiaTheme="majorEastAsia" w:cs="Calibri"/>
      <w:b/>
      <w:caps/>
      <w:color w:val="467A26"/>
      <w:sz w:val="32"/>
      <w:szCs w:val="32"/>
      <w:lang w:eastAsia="en-GB"/>
    </w:rPr>
  </w:style>
  <w:style w:type="paragraph" w:styleId="Heading2">
    <w:name w:val="heading 2"/>
    <w:basedOn w:val="Normal"/>
    <w:next w:val="Normal"/>
    <w:link w:val="Nadpis2Char"/>
    <w:uiPriority w:val="9"/>
    <w:unhideWhenUsed/>
    <w:rsid w:val="00CE129F"/>
    <w:pPr>
      <w:keepNext/>
      <w:keepLines/>
      <w:spacing w:before="480"/>
      <w:outlineLvl w:val="1"/>
    </w:pPr>
    <w:rPr>
      <w:rFonts w:eastAsiaTheme="majorEastAsia" w:cstheme="minorHAnsi"/>
      <w:b/>
      <w:bCs/>
      <w:color w:val="467A26"/>
      <w:sz w:val="26"/>
      <w:szCs w:val="26"/>
    </w:rPr>
  </w:style>
  <w:style w:type="paragraph" w:styleId="Heading3">
    <w:name w:val="heading 3"/>
    <w:aliases w:val="Podnadpis2"/>
    <w:basedOn w:val="Normal"/>
    <w:next w:val="Normal"/>
    <w:link w:val="Nadpis3Char"/>
    <w:uiPriority w:val="9"/>
    <w:unhideWhenUsed/>
    <w:qFormat/>
    <w:rsid w:val="00276564"/>
    <w:pPr>
      <w:keepNext/>
      <w:keepLines/>
      <w:shd w:val="clear" w:color="auto" w:fill="CEE5B8"/>
      <w:suppressAutoHyphens/>
      <w:spacing w:before="360"/>
      <w:ind w:left="709" w:hanging="709"/>
      <w:outlineLvl w:val="2"/>
    </w:pPr>
    <w:rPr>
      <w:rFonts w:eastAsia="SimSun" w:cs="Calibri"/>
      <w:bCs/>
      <w:i/>
      <w:color w:val="467A26"/>
      <w:sz w:val="24"/>
      <w:szCs w:val="28"/>
      <w:lang w:eastAsia="en-GB"/>
    </w:rPr>
  </w:style>
  <w:style w:type="paragraph" w:styleId="Heading4">
    <w:name w:val="heading 4"/>
    <w:basedOn w:val="Normal"/>
    <w:next w:val="Normal"/>
    <w:link w:val="Nadpis4Char"/>
    <w:uiPriority w:val="9"/>
    <w:unhideWhenUsed/>
    <w:rsid w:val="00D020F3"/>
    <w:pPr>
      <w:keepNext/>
      <w:keepLines/>
      <w:numPr>
        <w:ilvl w:val="3"/>
        <w:numId w:val="2"/>
      </w:numPr>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Nadpis5Char"/>
    <w:uiPriority w:val="9"/>
    <w:semiHidden/>
    <w:unhideWhenUsed/>
    <w:rsid w:val="00B57F47"/>
    <w:pPr>
      <w:keepNext/>
      <w:keepLines/>
      <w:numPr>
        <w:ilvl w:val="4"/>
        <w:numId w:val="2"/>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Nadpis6Char"/>
    <w:uiPriority w:val="9"/>
    <w:semiHidden/>
    <w:unhideWhenUsed/>
    <w:qFormat/>
    <w:rsid w:val="00B57F47"/>
    <w:pPr>
      <w:keepNext/>
      <w:keepLines/>
      <w:numPr>
        <w:ilvl w:val="5"/>
        <w:numId w:val="2"/>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Nadpis7Char"/>
    <w:uiPriority w:val="9"/>
    <w:semiHidden/>
    <w:unhideWhenUsed/>
    <w:qFormat/>
    <w:rsid w:val="00B57F47"/>
    <w:pPr>
      <w:keepNext/>
      <w:keepLines/>
      <w:numPr>
        <w:ilvl w:val="6"/>
        <w:numId w:val="2"/>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Nadpis8Char"/>
    <w:uiPriority w:val="9"/>
    <w:semiHidden/>
    <w:unhideWhenUsed/>
    <w:qFormat/>
    <w:rsid w:val="00B57F47"/>
    <w:pPr>
      <w:keepNext/>
      <w:keepLines/>
      <w:numPr>
        <w:ilvl w:val="7"/>
        <w:numId w:val="2"/>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Nadpis9Char"/>
    <w:uiPriority w:val="9"/>
    <w:semiHidden/>
    <w:unhideWhenUsed/>
    <w:qFormat/>
    <w:rsid w:val="00B57F47"/>
    <w:pPr>
      <w:keepNext/>
      <w:keepLines/>
      <w:numPr>
        <w:ilvl w:val="8"/>
        <w:numId w:val="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ullet 1,Bullet Points,Conclusion de partie,Dot pt,F5 List Paragraph,Heading 2_sj,Indicator Text,List Paragraph Char Char Char,List Paragraph1,List Paragraph12,List Paragraph_0,MAIN CONTENT,Nad,No Spacing1,Numbered Para 1,tabulky"/>
    <w:basedOn w:val="ListBulletLevel2"/>
    <w:link w:val="OdstavecseseznamemChar"/>
    <w:uiPriority w:val="34"/>
    <w:qFormat/>
    <w:rsid w:val="004C23DF"/>
    <w:pPr>
      <w:tabs>
        <w:tab w:val="num" w:pos="426"/>
        <w:tab w:val="clear" w:pos="567"/>
      </w:tabs>
      <w:ind w:left="426"/>
    </w:pPr>
    <w:rPr>
      <w:lang w:val="cs-CZ"/>
    </w:rPr>
  </w:style>
  <w:style w:type="character" w:customStyle="1" w:styleId="OdstavecseseznamemChar">
    <w:name w:val="Odstavec se seznamem Char"/>
    <w:aliases w:val="Bullet 1 Char,Bullet Points Char,Conclusion de partie Char,Dot pt Char,F5 List Paragraph Char,Heading 2_sj Char,Indicator Text Char,List Paragraph Char Char Char Char,List Paragraph1 Char,List Paragraph12 Char,MAIN CONTENT Char"/>
    <w:basedOn w:val="DefaultParagraphFont"/>
    <w:link w:val="ListParagraph"/>
    <w:uiPriority w:val="34"/>
    <w:qFormat/>
    <w:locked/>
    <w:rsid w:val="004C23DF"/>
    <w:rPr>
      <w:rFonts w:ascii="Calibri" w:eastAsia="Times New Roman" w:hAnsi="Calibri" w:cs="Times New Roman"/>
      <w:sz w:val="22"/>
      <w:szCs w:val="20"/>
      <w:lang w:eastAsia="en-IE"/>
    </w:rPr>
  </w:style>
  <w:style w:type="paragraph" w:styleId="TOC2">
    <w:name w:val="toc 2"/>
    <w:basedOn w:val="Normal"/>
    <w:next w:val="Normal"/>
    <w:autoRedefine/>
    <w:uiPriority w:val="39"/>
    <w:unhideWhenUsed/>
    <w:rsid w:val="0061047E"/>
    <w:pPr>
      <w:tabs>
        <w:tab w:val="right" w:leader="dot" w:pos="9628"/>
      </w:tabs>
      <w:spacing w:before="60"/>
      <w:ind w:left="283"/>
      <w:jc w:val="left"/>
    </w:pPr>
    <w:rPr>
      <w:rFonts w:cstheme="minorHAnsi"/>
      <w:i/>
      <w:iCs/>
      <w:szCs w:val="20"/>
    </w:rPr>
  </w:style>
  <w:style w:type="paragraph" w:styleId="TOC1">
    <w:name w:val="toc 1"/>
    <w:basedOn w:val="Normal"/>
    <w:next w:val="Normal"/>
    <w:autoRedefine/>
    <w:uiPriority w:val="39"/>
    <w:unhideWhenUsed/>
    <w:rsid w:val="0013289E"/>
    <w:pPr>
      <w:tabs>
        <w:tab w:val="left" w:pos="440"/>
        <w:tab w:val="right" w:leader="dot" w:pos="9628"/>
      </w:tabs>
      <w:spacing w:before="200" w:after="120"/>
      <w:ind w:left="284" w:hanging="284"/>
      <w:jc w:val="left"/>
    </w:pPr>
    <w:rPr>
      <w:rFonts w:cstheme="minorHAnsi"/>
      <w:b/>
      <w:bCs/>
      <w:noProof/>
      <w:szCs w:val="20"/>
    </w:rPr>
  </w:style>
  <w:style w:type="paragraph" w:styleId="TOC3">
    <w:name w:val="toc 3"/>
    <w:basedOn w:val="Normal"/>
    <w:next w:val="Normal"/>
    <w:autoRedefine/>
    <w:uiPriority w:val="39"/>
    <w:unhideWhenUsed/>
    <w:rsid w:val="00971E63"/>
    <w:pPr>
      <w:spacing w:before="0"/>
      <w:ind w:left="440"/>
      <w:jc w:val="left"/>
    </w:pPr>
    <w:rPr>
      <w:rFonts w:cstheme="minorHAnsi"/>
      <w:sz w:val="20"/>
      <w:szCs w:val="20"/>
    </w:rPr>
  </w:style>
  <w:style w:type="character" w:styleId="Hyperlink">
    <w:name w:val="Hyperlink"/>
    <w:basedOn w:val="DefaultParagraphFont"/>
    <w:uiPriority w:val="99"/>
    <w:unhideWhenUsed/>
    <w:rsid w:val="00971E63"/>
    <w:rPr>
      <w:color w:val="0563C1" w:themeColor="hyperlink"/>
      <w:u w:val="single"/>
    </w:rPr>
  </w:style>
  <w:style w:type="paragraph" w:styleId="TOC4">
    <w:name w:val="toc 4"/>
    <w:basedOn w:val="Normal"/>
    <w:next w:val="Normal"/>
    <w:autoRedefine/>
    <w:uiPriority w:val="39"/>
    <w:unhideWhenUsed/>
    <w:rsid w:val="00971E63"/>
    <w:pPr>
      <w:spacing w:before="0"/>
      <w:ind w:left="660"/>
      <w:jc w:val="left"/>
    </w:pPr>
    <w:rPr>
      <w:rFonts w:cstheme="minorHAnsi"/>
      <w:sz w:val="20"/>
      <w:szCs w:val="20"/>
    </w:rPr>
  </w:style>
  <w:style w:type="paragraph" w:styleId="ListBullet">
    <w:name w:val="List Bullet"/>
    <w:basedOn w:val="Normal"/>
    <w:uiPriority w:val="99"/>
    <w:rsid w:val="00456DE6"/>
    <w:pPr>
      <w:numPr>
        <w:numId w:val="1"/>
      </w:numPr>
      <w:suppressAutoHyphens/>
      <w:spacing w:after="240"/>
    </w:pPr>
    <w:rPr>
      <w:rFonts w:ascii="Calibri" w:eastAsia="Times New Roman" w:hAnsi="Calibri" w:cs="Times New Roman"/>
      <w:szCs w:val="20"/>
      <w:lang w:val="en-GB" w:eastAsia="en-IE"/>
    </w:rPr>
  </w:style>
  <w:style w:type="paragraph" w:customStyle="1" w:styleId="ListBulletLevel2">
    <w:name w:val="List Bullet (Level 2)"/>
    <w:basedOn w:val="Normal"/>
    <w:uiPriority w:val="99"/>
    <w:rsid w:val="00DF2F94"/>
    <w:pPr>
      <w:numPr>
        <w:ilvl w:val="1"/>
        <w:numId w:val="1"/>
      </w:numPr>
      <w:suppressAutoHyphens/>
      <w:spacing w:before="40"/>
      <w:ind w:left="568"/>
    </w:pPr>
    <w:rPr>
      <w:rFonts w:ascii="Calibri" w:eastAsia="Times New Roman" w:hAnsi="Calibri" w:cs="Times New Roman"/>
      <w:szCs w:val="20"/>
      <w:lang w:val="en-GB" w:eastAsia="en-IE"/>
    </w:rPr>
  </w:style>
  <w:style w:type="paragraph" w:customStyle="1" w:styleId="ListBulletLevel3">
    <w:name w:val="List Bullet (Level 3)"/>
    <w:basedOn w:val="Normal"/>
    <w:uiPriority w:val="99"/>
    <w:unhideWhenUsed/>
    <w:rsid w:val="0002197C"/>
    <w:pPr>
      <w:numPr>
        <w:ilvl w:val="2"/>
        <w:numId w:val="1"/>
      </w:numPr>
      <w:suppressAutoHyphens/>
      <w:spacing w:after="240"/>
    </w:pPr>
    <w:rPr>
      <w:rFonts w:ascii="Times New Roman" w:eastAsia="Times New Roman" w:hAnsi="Times New Roman" w:cs="Times New Roman"/>
      <w:szCs w:val="20"/>
      <w:lang w:val="en-GB" w:eastAsia="en-IE"/>
    </w:rPr>
  </w:style>
  <w:style w:type="paragraph" w:customStyle="1" w:styleId="ListBulletLevel4">
    <w:name w:val="List Bullet (Level 4)"/>
    <w:basedOn w:val="Normal"/>
    <w:uiPriority w:val="99"/>
    <w:unhideWhenUsed/>
    <w:rsid w:val="0002197C"/>
    <w:pPr>
      <w:numPr>
        <w:ilvl w:val="3"/>
        <w:numId w:val="1"/>
      </w:numPr>
      <w:suppressAutoHyphens/>
      <w:spacing w:after="240"/>
    </w:pPr>
    <w:rPr>
      <w:rFonts w:ascii="Times New Roman" w:eastAsia="Times New Roman" w:hAnsi="Times New Roman" w:cs="Times New Roman"/>
      <w:szCs w:val="20"/>
      <w:lang w:val="en-GB" w:eastAsia="en-IE"/>
    </w:rPr>
  </w:style>
  <w:style w:type="paragraph" w:styleId="Footer">
    <w:name w:val="footer"/>
    <w:basedOn w:val="Normal"/>
    <w:link w:val="ZpatChar"/>
    <w:uiPriority w:val="99"/>
    <w:unhideWhenUsed/>
    <w:rsid w:val="0002197C"/>
    <w:pPr>
      <w:tabs>
        <w:tab w:val="center" w:pos="4513"/>
        <w:tab w:val="right" w:pos="9026"/>
      </w:tabs>
    </w:pPr>
  </w:style>
  <w:style w:type="character" w:customStyle="1" w:styleId="ZpatChar">
    <w:name w:val="Zápatí Char"/>
    <w:basedOn w:val="DefaultParagraphFont"/>
    <w:link w:val="Footer"/>
    <w:uiPriority w:val="99"/>
    <w:rsid w:val="0002197C"/>
  </w:style>
  <w:style w:type="character" w:styleId="PageNumber">
    <w:name w:val="page number"/>
    <w:basedOn w:val="DefaultParagraphFont"/>
    <w:uiPriority w:val="99"/>
    <w:semiHidden/>
    <w:unhideWhenUsed/>
    <w:rsid w:val="0002197C"/>
  </w:style>
  <w:style w:type="character" w:styleId="Emphasis">
    <w:name w:val="Emphasis"/>
    <w:uiPriority w:val="20"/>
    <w:rsid w:val="00B8179D"/>
    <w:rPr>
      <w:rFonts w:ascii="Calibri" w:hAnsi="Calibri" w:cs="Calibri"/>
      <w:bCs/>
      <w:color w:val="auto"/>
    </w:rPr>
  </w:style>
  <w:style w:type="character" w:customStyle="1" w:styleId="TextkomenteChar">
    <w:name w:val="Text komentáře Char"/>
    <w:basedOn w:val="DefaultParagraphFont"/>
    <w:link w:val="CommentText"/>
    <w:uiPriority w:val="99"/>
    <w:semiHidden/>
    <w:qFormat/>
    <w:rsid w:val="00A515F7"/>
    <w:rPr>
      <w:rFonts w:ascii="Arial" w:eastAsia="SimSun" w:hAnsi="Arial" w:cs="Times New Roman"/>
      <w:color w:val="000000"/>
      <w:sz w:val="20"/>
      <w:szCs w:val="20"/>
      <w:lang w:val="cs-CZ" w:eastAsia="cs-CZ"/>
    </w:rPr>
  </w:style>
  <w:style w:type="paragraph" w:styleId="CommentText">
    <w:name w:val="annotation text"/>
    <w:basedOn w:val="Normal"/>
    <w:link w:val="TextkomenteChar"/>
    <w:uiPriority w:val="99"/>
    <w:semiHidden/>
    <w:qFormat/>
    <w:rsid w:val="00A515F7"/>
    <w:pPr>
      <w:widowControl w:val="0"/>
      <w:suppressAutoHyphens/>
      <w:spacing w:after="60" w:line="288" w:lineRule="auto"/>
      <w:ind w:firstLine="539"/>
      <w:textAlignment w:val="baseline"/>
    </w:pPr>
    <w:rPr>
      <w:rFonts w:ascii="Arial" w:eastAsia="SimSun" w:hAnsi="Arial" w:cs="Times New Roman"/>
      <w:color w:val="000000"/>
      <w:sz w:val="20"/>
      <w:szCs w:val="20"/>
      <w:shd w:val="clear" w:color="auto" w:fill="FFFFFF"/>
      <w:lang w:eastAsia="cs-CZ"/>
    </w:rPr>
  </w:style>
  <w:style w:type="character" w:customStyle="1" w:styleId="CommentTextChar1">
    <w:name w:val="Comment Text Char1"/>
    <w:basedOn w:val="DefaultParagraphFont"/>
    <w:uiPriority w:val="99"/>
    <w:semiHidden/>
    <w:rsid w:val="00A515F7"/>
    <w:rPr>
      <w:sz w:val="20"/>
      <w:szCs w:val="20"/>
    </w:rPr>
  </w:style>
  <w:style w:type="character" w:customStyle="1" w:styleId="A2">
    <w:name w:val="A2"/>
    <w:uiPriority w:val="99"/>
    <w:rsid w:val="001032AB"/>
    <w:rPr>
      <w:rFonts w:ascii="Calibri" w:hAnsi="Calibri" w:cs="Arial"/>
      <w:color w:val="000000"/>
      <w:sz w:val="22"/>
      <w:szCs w:val="20"/>
    </w:rPr>
  </w:style>
  <w:style w:type="character" w:customStyle="1" w:styleId="Internetovodkaz">
    <w:name w:val="Internetový odkaz"/>
    <w:basedOn w:val="DefaultParagraphFont"/>
    <w:uiPriority w:val="99"/>
    <w:unhideWhenUsed/>
    <w:rsid w:val="00972A87"/>
    <w:rPr>
      <w:color w:val="0563C1" w:themeColor="hyperlink"/>
      <w:u w:val="single"/>
    </w:rPr>
  </w:style>
  <w:style w:type="character" w:customStyle="1" w:styleId="Bodytext">
    <w:name w:val="Body text_"/>
    <w:basedOn w:val="DefaultParagraphFont"/>
    <w:link w:val="BodyText8"/>
    <w:qFormat/>
    <w:rsid w:val="00972A87"/>
    <w:rPr>
      <w:rFonts w:ascii="Calibri" w:eastAsia="Calibri" w:hAnsi="Calibri" w:cs="Calibri"/>
      <w:sz w:val="21"/>
      <w:szCs w:val="21"/>
      <w:shd w:val="clear" w:color="auto" w:fill="FFFFFF"/>
    </w:rPr>
  </w:style>
  <w:style w:type="character" w:customStyle="1" w:styleId="None">
    <w:name w:val="None"/>
    <w:rsid w:val="00972A87"/>
  </w:style>
  <w:style w:type="character" w:customStyle="1" w:styleId="Zelentun">
    <w:name w:val="Zelená tučná"/>
    <w:qFormat/>
    <w:rsid w:val="002676A0"/>
    <w:rPr>
      <w:b/>
      <w:color w:val="467A26"/>
    </w:rPr>
  </w:style>
  <w:style w:type="character" w:customStyle="1" w:styleId="none0">
    <w:name w:val="none"/>
    <w:basedOn w:val="DefaultParagraphFont"/>
    <w:rsid w:val="00972A87"/>
  </w:style>
  <w:style w:type="paragraph" w:customStyle="1" w:styleId="BodyText8">
    <w:name w:val="Body Text8"/>
    <w:basedOn w:val="Normal"/>
    <w:link w:val="Bodytext"/>
    <w:rsid w:val="00972A87"/>
    <w:pPr>
      <w:shd w:val="clear" w:color="auto" w:fill="FFFFFF"/>
      <w:suppressAutoHyphens/>
      <w:spacing w:before="60" w:after="240" w:line="269" w:lineRule="exact"/>
      <w:ind w:hanging="580"/>
    </w:pPr>
    <w:rPr>
      <w:rFonts w:ascii="Calibri" w:eastAsia="Calibri" w:hAnsi="Calibri" w:cs="Calibri"/>
      <w:sz w:val="21"/>
      <w:szCs w:val="21"/>
    </w:rPr>
  </w:style>
  <w:style w:type="paragraph" w:customStyle="1" w:styleId="BodyA">
    <w:name w:val="Body A"/>
    <w:rsid w:val="00972A87"/>
    <w:pPr>
      <w:suppressAutoHyphens/>
      <w:spacing w:after="160" w:line="276" w:lineRule="auto"/>
      <w:jc w:val="both"/>
    </w:pPr>
    <w:rPr>
      <w:rFonts w:ascii="Times New Roman" w:eastAsia="Arial Unicode MS" w:hAnsi="Times New Roman" w:cs="Arial Unicode MS"/>
      <w:color w:val="000000"/>
      <w:sz w:val="22"/>
      <w:szCs w:val="22"/>
      <w:u w:color="000000"/>
      <w:lang w:eastAsia="fr-BE"/>
      <w14:textOutline w14:w="12700">
        <w14:noFill/>
        <w14:miter w14:lim="400000"/>
      </w14:textOutline>
    </w:rPr>
  </w:style>
  <w:style w:type="paragraph" w:customStyle="1" w:styleId="Stejncl">
    <w:name w:val="Stěžejní cíl"/>
    <w:basedOn w:val="Normal"/>
    <w:qFormat/>
    <w:rsid w:val="00EA5331"/>
    <w:pPr>
      <w:pBdr>
        <w:top w:val="single" w:sz="8" w:space="1" w:color="467A26"/>
        <w:left w:val="single" w:sz="8" w:space="4" w:color="467A26"/>
        <w:bottom w:val="single" w:sz="8" w:space="1" w:color="467A26"/>
        <w:right w:val="single" w:sz="8" w:space="4" w:color="467A26"/>
      </w:pBdr>
      <w:suppressAutoHyphens/>
      <w:spacing w:beforeAutospacing="1" w:afterAutospacing="1"/>
      <w:ind w:left="1560" w:hanging="1560"/>
    </w:pPr>
    <w:rPr>
      <w:rFonts w:eastAsia="Times New Roman" w:cs="Times New Roman"/>
      <w:color w:val="467A26"/>
      <w:lang w:eastAsia="en-GB"/>
    </w:rPr>
  </w:style>
  <w:style w:type="character" w:styleId="Strong">
    <w:name w:val="Strong"/>
    <w:basedOn w:val="DefaultParagraphFont"/>
    <w:uiPriority w:val="22"/>
    <w:rsid w:val="00664D33"/>
    <w:rPr>
      <w:b/>
      <w:bCs/>
    </w:rPr>
  </w:style>
  <w:style w:type="character" w:customStyle="1" w:styleId="UnresolvedMention">
    <w:name w:val="Unresolved Mention"/>
    <w:basedOn w:val="DefaultParagraphFont"/>
    <w:uiPriority w:val="99"/>
    <w:semiHidden/>
    <w:unhideWhenUsed/>
    <w:rsid w:val="00990500"/>
    <w:rPr>
      <w:color w:val="605E5C"/>
      <w:shd w:val="clear" w:color="auto" w:fill="E1DFDD"/>
    </w:rPr>
  </w:style>
  <w:style w:type="character" w:styleId="FollowedHyperlink">
    <w:name w:val="FollowedHyperlink"/>
    <w:basedOn w:val="DefaultParagraphFont"/>
    <w:uiPriority w:val="99"/>
    <w:semiHidden/>
    <w:unhideWhenUsed/>
    <w:rsid w:val="00A52699"/>
    <w:rPr>
      <w:color w:val="954F72" w:themeColor="followedHyperlink"/>
      <w:u w:val="single"/>
    </w:rPr>
  </w:style>
  <w:style w:type="paragraph" w:customStyle="1" w:styleId="Bezmezer1">
    <w:name w:val="Bez mezer1"/>
    <w:rsid w:val="00EE66B8"/>
    <w:pPr>
      <w:suppressAutoHyphens/>
    </w:pPr>
    <w:rPr>
      <w:rFonts w:eastAsia="SimSun" w:cs="Times New Roman"/>
      <w:sz w:val="22"/>
      <w:szCs w:val="22"/>
    </w:rPr>
  </w:style>
  <w:style w:type="character" w:styleId="CommentReference">
    <w:name w:val="annotation reference"/>
    <w:basedOn w:val="DefaultParagraphFont"/>
    <w:uiPriority w:val="99"/>
    <w:semiHidden/>
    <w:qFormat/>
    <w:rsid w:val="00C56D35"/>
    <w:rPr>
      <w:rFonts w:cs="Times New Roman"/>
      <w:sz w:val="16"/>
    </w:rPr>
  </w:style>
  <w:style w:type="character" w:customStyle="1" w:styleId="markedcontent">
    <w:name w:val="markedcontent"/>
    <w:basedOn w:val="DefaultParagraphFont"/>
    <w:rsid w:val="00C56D35"/>
  </w:style>
  <w:style w:type="character" w:customStyle="1" w:styleId="Nadpis3Char">
    <w:name w:val="Nadpis 3 Char"/>
    <w:aliases w:val="Podnadpis2 Char"/>
    <w:basedOn w:val="DefaultParagraphFont"/>
    <w:link w:val="Heading3"/>
    <w:uiPriority w:val="9"/>
    <w:qFormat/>
    <w:rsid w:val="00276564"/>
    <w:rPr>
      <w:rFonts w:eastAsia="SimSun" w:cs="Calibri"/>
      <w:bCs/>
      <w:i/>
      <w:color w:val="467A26"/>
      <w:szCs w:val="28"/>
      <w:shd w:val="clear" w:color="auto" w:fill="CEE5B8"/>
      <w:lang w:eastAsia="en-GB"/>
    </w:rPr>
  </w:style>
  <w:style w:type="character" w:customStyle="1" w:styleId="Nadpis2Char">
    <w:name w:val="Nadpis 2 Char"/>
    <w:basedOn w:val="DefaultParagraphFont"/>
    <w:link w:val="Heading2"/>
    <w:uiPriority w:val="9"/>
    <w:rsid w:val="00CE129F"/>
    <w:rPr>
      <w:rFonts w:eastAsiaTheme="majorEastAsia" w:cstheme="minorHAnsi"/>
      <w:b/>
      <w:bCs/>
      <w:color w:val="467A26"/>
      <w:sz w:val="26"/>
      <w:szCs w:val="26"/>
    </w:rPr>
  </w:style>
  <w:style w:type="character" w:customStyle="1" w:styleId="Nadpis1Char">
    <w:name w:val="Nadpis 1 Char"/>
    <w:basedOn w:val="DefaultParagraphFont"/>
    <w:link w:val="Heading1"/>
    <w:uiPriority w:val="9"/>
    <w:qFormat/>
    <w:rsid w:val="00CE129F"/>
    <w:rPr>
      <w:rFonts w:ascii="Calibri" w:hAnsi="Calibri" w:eastAsiaTheme="majorEastAsia" w:cs="Calibri"/>
      <w:b/>
      <w:caps/>
      <w:color w:val="467A26"/>
      <w:sz w:val="32"/>
      <w:szCs w:val="32"/>
      <w:lang w:eastAsia="en-GB"/>
    </w:rPr>
  </w:style>
  <w:style w:type="character" w:customStyle="1" w:styleId="Nadpis4Char">
    <w:name w:val="Nadpis 4 Char"/>
    <w:basedOn w:val="DefaultParagraphFont"/>
    <w:link w:val="Heading4"/>
    <w:uiPriority w:val="9"/>
    <w:rsid w:val="00D020F3"/>
    <w:rPr>
      <w:rFonts w:asciiTheme="majorHAnsi" w:eastAsiaTheme="majorEastAsia" w:hAnsiTheme="majorHAnsi" w:cstheme="majorBidi"/>
      <w:i/>
      <w:iCs/>
      <w:color w:val="2F5496" w:themeColor="accent1" w:themeShade="BF"/>
      <w:sz w:val="22"/>
    </w:rPr>
  </w:style>
  <w:style w:type="paragraph" w:styleId="TOCHeading">
    <w:name w:val="TOC Heading"/>
    <w:basedOn w:val="Heading1"/>
    <w:next w:val="Normal"/>
    <w:uiPriority w:val="39"/>
    <w:unhideWhenUsed/>
    <w:rsid w:val="00D63AED"/>
    <w:pPr>
      <w:suppressAutoHyphens w:val="0"/>
      <w:spacing w:line="259" w:lineRule="auto"/>
      <w:outlineLvl w:val="9"/>
    </w:pPr>
    <w:rPr>
      <w:lang w:eastAsia="cs-CZ"/>
    </w:rPr>
  </w:style>
  <w:style w:type="paragraph" w:styleId="CommentSubject">
    <w:name w:val="annotation subject"/>
    <w:basedOn w:val="CommentText"/>
    <w:next w:val="CommentText"/>
    <w:link w:val="PedmtkomenteChar"/>
    <w:uiPriority w:val="99"/>
    <w:semiHidden/>
    <w:unhideWhenUsed/>
    <w:rsid w:val="003F4F25"/>
    <w:pPr>
      <w:widowControl/>
      <w:suppressAutoHyphens w:val="0"/>
      <w:spacing w:after="0" w:line="240" w:lineRule="auto"/>
      <w:ind w:firstLine="0"/>
      <w:jc w:val="left"/>
      <w:textAlignment w:val="auto"/>
    </w:pPr>
    <w:rPr>
      <w:rFonts w:asciiTheme="minorHAnsi" w:eastAsiaTheme="minorHAnsi" w:hAnsiTheme="minorHAnsi" w:cstheme="minorBidi"/>
      <w:b/>
      <w:bCs/>
      <w:color w:val="auto"/>
      <w:shd w:val="clear" w:color="auto" w:fill="auto"/>
      <w:lang w:eastAsia="en-US"/>
    </w:rPr>
  </w:style>
  <w:style w:type="character" w:customStyle="1" w:styleId="PedmtkomenteChar">
    <w:name w:val="Předmět komentáře Char"/>
    <w:basedOn w:val="TextkomenteChar"/>
    <w:link w:val="CommentSubject"/>
    <w:uiPriority w:val="99"/>
    <w:semiHidden/>
    <w:rsid w:val="003F4F25"/>
    <w:rPr>
      <w:rFonts w:ascii="Arial" w:eastAsia="SimSun" w:hAnsi="Arial" w:cs="Times New Roman"/>
      <w:b/>
      <w:bCs/>
      <w:color w:val="000000"/>
      <w:sz w:val="20"/>
      <w:szCs w:val="20"/>
      <w:lang w:val="cs-CZ" w:eastAsia="cs-CZ"/>
    </w:rPr>
  </w:style>
  <w:style w:type="paragraph" w:styleId="BalloonText">
    <w:name w:val="Balloon Text"/>
    <w:basedOn w:val="Normal"/>
    <w:link w:val="TextbublinyChar"/>
    <w:uiPriority w:val="99"/>
    <w:semiHidden/>
    <w:unhideWhenUsed/>
    <w:rsid w:val="003F4F25"/>
    <w:rPr>
      <w:rFonts w:ascii="Segoe UI" w:hAnsi="Segoe UI" w:cs="Segoe UI"/>
      <w:sz w:val="18"/>
      <w:szCs w:val="18"/>
    </w:rPr>
  </w:style>
  <w:style w:type="character" w:customStyle="1" w:styleId="TextbublinyChar">
    <w:name w:val="Text bubliny Char"/>
    <w:basedOn w:val="DefaultParagraphFont"/>
    <w:link w:val="BalloonText"/>
    <w:uiPriority w:val="99"/>
    <w:semiHidden/>
    <w:rsid w:val="003F4F25"/>
    <w:rPr>
      <w:rFonts w:ascii="Segoe UI" w:hAnsi="Segoe UI" w:cs="Segoe UI"/>
      <w:sz w:val="18"/>
      <w:szCs w:val="18"/>
    </w:rPr>
  </w:style>
  <w:style w:type="paragraph" w:styleId="Header">
    <w:name w:val="header"/>
    <w:basedOn w:val="Normal"/>
    <w:link w:val="ZhlavChar"/>
    <w:uiPriority w:val="99"/>
    <w:unhideWhenUsed/>
    <w:rsid w:val="00451E31"/>
    <w:pPr>
      <w:tabs>
        <w:tab w:val="center" w:pos="4536"/>
        <w:tab w:val="right" w:pos="9072"/>
      </w:tabs>
    </w:pPr>
  </w:style>
  <w:style w:type="character" w:customStyle="1" w:styleId="ZhlavChar">
    <w:name w:val="Záhlaví Char"/>
    <w:basedOn w:val="DefaultParagraphFont"/>
    <w:link w:val="Header"/>
    <w:uiPriority w:val="99"/>
    <w:rsid w:val="00451E31"/>
  </w:style>
  <w:style w:type="character" w:customStyle="1" w:styleId="Nadpis5Char">
    <w:name w:val="Nadpis 5 Char"/>
    <w:basedOn w:val="DefaultParagraphFont"/>
    <w:link w:val="Heading5"/>
    <w:uiPriority w:val="9"/>
    <w:semiHidden/>
    <w:rsid w:val="00B57F47"/>
    <w:rPr>
      <w:rFonts w:asciiTheme="majorHAnsi" w:eastAsiaTheme="majorEastAsia" w:hAnsiTheme="majorHAnsi" w:cstheme="majorBidi"/>
      <w:color w:val="2F5496" w:themeColor="accent1" w:themeShade="BF"/>
      <w:sz w:val="22"/>
    </w:rPr>
  </w:style>
  <w:style w:type="character" w:customStyle="1" w:styleId="Nadpis6Char">
    <w:name w:val="Nadpis 6 Char"/>
    <w:basedOn w:val="DefaultParagraphFont"/>
    <w:link w:val="Heading6"/>
    <w:uiPriority w:val="9"/>
    <w:semiHidden/>
    <w:rsid w:val="00B57F47"/>
    <w:rPr>
      <w:rFonts w:asciiTheme="majorHAnsi" w:eastAsiaTheme="majorEastAsia" w:hAnsiTheme="majorHAnsi" w:cstheme="majorBidi"/>
      <w:color w:val="1F3763" w:themeColor="accent1" w:themeShade="7F"/>
      <w:sz w:val="22"/>
    </w:rPr>
  </w:style>
  <w:style w:type="character" w:customStyle="1" w:styleId="Nadpis7Char">
    <w:name w:val="Nadpis 7 Char"/>
    <w:basedOn w:val="DefaultParagraphFont"/>
    <w:link w:val="Heading7"/>
    <w:uiPriority w:val="9"/>
    <w:semiHidden/>
    <w:rsid w:val="00B57F47"/>
    <w:rPr>
      <w:rFonts w:asciiTheme="majorHAnsi" w:eastAsiaTheme="majorEastAsia" w:hAnsiTheme="majorHAnsi" w:cstheme="majorBidi"/>
      <w:i/>
      <w:iCs/>
      <w:color w:val="1F3763" w:themeColor="accent1" w:themeShade="7F"/>
      <w:sz w:val="22"/>
    </w:rPr>
  </w:style>
  <w:style w:type="character" w:customStyle="1" w:styleId="Nadpis8Char">
    <w:name w:val="Nadpis 8 Char"/>
    <w:basedOn w:val="DefaultParagraphFont"/>
    <w:link w:val="Heading8"/>
    <w:uiPriority w:val="9"/>
    <w:semiHidden/>
    <w:rsid w:val="00B57F47"/>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DefaultParagraphFont"/>
    <w:link w:val="Heading9"/>
    <w:uiPriority w:val="9"/>
    <w:semiHidden/>
    <w:rsid w:val="00B57F47"/>
    <w:rPr>
      <w:rFonts w:asciiTheme="majorHAnsi" w:eastAsiaTheme="majorEastAsia" w:hAnsiTheme="majorHAnsi" w:cstheme="majorBidi"/>
      <w:i/>
      <w:iCs/>
      <w:color w:val="272727" w:themeColor="text1" w:themeTint="D8"/>
      <w:sz w:val="21"/>
      <w:szCs w:val="21"/>
    </w:rPr>
  </w:style>
  <w:style w:type="paragraph" w:styleId="Subtitle">
    <w:name w:val="Subtitle"/>
    <w:basedOn w:val="Heading2"/>
    <w:next w:val="Normal"/>
    <w:link w:val="PodnadpisChar"/>
    <w:uiPriority w:val="11"/>
    <w:rsid w:val="00BE71D3"/>
    <w:pPr>
      <w:shd w:val="clear" w:color="auto" w:fill="CEE5B8"/>
      <w:spacing w:before="360"/>
    </w:pPr>
  </w:style>
  <w:style w:type="character" w:customStyle="1" w:styleId="PodnadpisChar">
    <w:name w:val="Podnadpis Char"/>
    <w:basedOn w:val="DefaultParagraphFont"/>
    <w:link w:val="Subtitle"/>
    <w:uiPriority w:val="11"/>
    <w:rsid w:val="00BE71D3"/>
    <w:rPr>
      <w:rFonts w:ascii="Calibri" w:hAnsi="Calibri" w:eastAsiaTheme="majorEastAsia" w:cs="Calibri"/>
      <w:b/>
      <w:bCs/>
      <w:color w:val="467A26"/>
      <w:sz w:val="26"/>
      <w:szCs w:val="26"/>
      <w:shd w:val="clear" w:color="auto" w:fill="CEE5B8"/>
    </w:rPr>
  </w:style>
  <w:style w:type="paragraph" w:styleId="TOC5">
    <w:name w:val="toc 5"/>
    <w:basedOn w:val="Normal"/>
    <w:next w:val="Normal"/>
    <w:autoRedefine/>
    <w:uiPriority w:val="39"/>
    <w:unhideWhenUsed/>
    <w:rsid w:val="0093742A"/>
    <w:pPr>
      <w:spacing w:before="0"/>
      <w:ind w:left="880"/>
      <w:jc w:val="left"/>
    </w:pPr>
    <w:rPr>
      <w:rFonts w:cstheme="minorHAnsi"/>
      <w:sz w:val="20"/>
      <w:szCs w:val="20"/>
    </w:rPr>
  </w:style>
  <w:style w:type="paragraph" w:styleId="TOC6">
    <w:name w:val="toc 6"/>
    <w:basedOn w:val="Normal"/>
    <w:next w:val="Normal"/>
    <w:autoRedefine/>
    <w:uiPriority w:val="39"/>
    <w:unhideWhenUsed/>
    <w:rsid w:val="0093742A"/>
    <w:pPr>
      <w:spacing w:before="0"/>
      <w:ind w:left="1100"/>
      <w:jc w:val="left"/>
    </w:pPr>
    <w:rPr>
      <w:rFonts w:cstheme="minorHAnsi"/>
      <w:sz w:val="20"/>
      <w:szCs w:val="20"/>
    </w:rPr>
  </w:style>
  <w:style w:type="paragraph" w:styleId="TOC7">
    <w:name w:val="toc 7"/>
    <w:basedOn w:val="Normal"/>
    <w:next w:val="Normal"/>
    <w:autoRedefine/>
    <w:uiPriority w:val="39"/>
    <w:unhideWhenUsed/>
    <w:rsid w:val="0093742A"/>
    <w:pPr>
      <w:spacing w:before="0"/>
      <w:ind w:left="1320"/>
      <w:jc w:val="left"/>
    </w:pPr>
    <w:rPr>
      <w:rFonts w:cstheme="minorHAnsi"/>
      <w:sz w:val="20"/>
      <w:szCs w:val="20"/>
    </w:rPr>
  </w:style>
  <w:style w:type="paragraph" w:styleId="TOC8">
    <w:name w:val="toc 8"/>
    <w:basedOn w:val="Normal"/>
    <w:next w:val="Normal"/>
    <w:autoRedefine/>
    <w:uiPriority w:val="39"/>
    <w:unhideWhenUsed/>
    <w:rsid w:val="0093742A"/>
    <w:pPr>
      <w:spacing w:before="0"/>
      <w:ind w:left="1540"/>
      <w:jc w:val="left"/>
    </w:pPr>
    <w:rPr>
      <w:rFonts w:cstheme="minorHAnsi"/>
      <w:sz w:val="20"/>
      <w:szCs w:val="20"/>
    </w:rPr>
  </w:style>
  <w:style w:type="paragraph" w:styleId="TOC9">
    <w:name w:val="toc 9"/>
    <w:basedOn w:val="Normal"/>
    <w:next w:val="Normal"/>
    <w:autoRedefine/>
    <w:uiPriority w:val="39"/>
    <w:unhideWhenUsed/>
    <w:rsid w:val="0093742A"/>
    <w:pPr>
      <w:spacing w:before="0"/>
      <w:ind w:left="1760"/>
      <w:jc w:val="left"/>
    </w:pPr>
    <w:rPr>
      <w:rFonts w:cstheme="minorHAnsi"/>
      <w:sz w:val="20"/>
      <w:szCs w:val="20"/>
    </w:rPr>
  </w:style>
  <w:style w:type="paragraph" w:customStyle="1" w:styleId="slovanseznam">
    <w:name w:val="číslovaný seznam"/>
    <w:basedOn w:val="ListParagraph"/>
    <w:link w:val="slovanseznamChar"/>
    <w:rsid w:val="004C23DF"/>
    <w:pPr>
      <w:numPr>
        <w:numId w:val="3"/>
      </w:numPr>
    </w:pPr>
  </w:style>
  <w:style w:type="table" w:styleId="GridTable3Accent6">
    <w:name w:val="Grid Table 3 Accent 6"/>
    <w:basedOn w:val="TableNormal"/>
    <w:uiPriority w:val="48"/>
    <w:rsid w:val="0088184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character" w:customStyle="1" w:styleId="slovanseznamChar">
    <w:name w:val="číslovaný seznam Char"/>
    <w:basedOn w:val="OdstavecseseznamemChar"/>
    <w:link w:val="slovanseznam"/>
    <w:rsid w:val="004C23DF"/>
    <w:rPr>
      <w:rFonts w:ascii="Calibri" w:eastAsia="Times New Roman" w:hAnsi="Calibri" w:cs="Times New Roman"/>
      <w:sz w:val="22"/>
      <w:szCs w:val="20"/>
      <w:lang w:eastAsia="en-IE"/>
    </w:rPr>
  </w:style>
  <w:style w:type="table" w:styleId="GridTable5DarkAccent6">
    <w:name w:val="Grid Table 5 Dark Accent 6"/>
    <w:basedOn w:val="TableNormal"/>
    <w:uiPriority w:val="50"/>
    <w:rsid w:val="00A8296E"/>
    <w:rPr>
      <w:rFonts w:ascii="Calibri" w:hAnsi="Calibri"/>
      <w:sz w:val="22"/>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shd w:val="clear" w:color="auto" w:fill="467A2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E8F3DD"/>
      </w:tcPr>
    </w:tblStylePr>
    <w:tblStylePr w:type="band2Horz">
      <w:tblPr/>
      <w:tcPr>
        <w:shd w:val="clear" w:color="auto" w:fill="CEE5B8"/>
      </w:tcPr>
    </w:tblStylePr>
  </w:style>
  <w:style w:type="paragraph" w:styleId="NormalWeb">
    <w:name w:val="Normal (Web)"/>
    <w:basedOn w:val="Normal"/>
    <w:uiPriority w:val="99"/>
    <w:unhideWhenUsed/>
    <w:rsid w:val="00BD2637"/>
    <w:pPr>
      <w:spacing w:before="100" w:beforeAutospacing="1" w:after="100" w:afterAutospacing="1" w:line="240" w:lineRule="auto"/>
      <w:jc w:val="left"/>
    </w:pPr>
    <w:rPr>
      <w:rFonts w:ascii="Times New Roman" w:eastAsia="Times New Roman" w:hAnsi="Times New Roman" w:cs="Times New Roman"/>
      <w:sz w:val="24"/>
      <w:lang w:eastAsia="en-GB"/>
    </w:rPr>
  </w:style>
  <w:style w:type="table" w:styleId="TableGrid">
    <w:name w:val="Table Grid"/>
    <w:basedOn w:val="TableNormal"/>
    <w:uiPriority w:val="39"/>
    <w:rsid w:val="00BD263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rsid w:val="00E457E8"/>
    <w:pPr>
      <w:jc w:val="both"/>
    </w:pPr>
    <w:rPr>
      <w:sz w:val="22"/>
    </w:rPr>
  </w:style>
  <w:style w:type="paragraph" w:customStyle="1" w:styleId="Zdroj">
    <w:name w:val="Zdroj"/>
    <w:basedOn w:val="Normal"/>
    <w:link w:val="ZdrojChar"/>
    <w:rsid w:val="00325B11"/>
    <w:pPr>
      <w:spacing w:before="60" w:after="240"/>
      <w:jc w:val="right"/>
    </w:pPr>
    <w:rPr>
      <w:i/>
      <w:iCs/>
    </w:rPr>
  </w:style>
  <w:style w:type="character" w:customStyle="1" w:styleId="ZdrojChar">
    <w:name w:val="Zdroj Char"/>
    <w:basedOn w:val="DefaultParagraphFont"/>
    <w:link w:val="Zdroj"/>
    <w:rsid w:val="00325B11"/>
    <w:rPr>
      <w:i/>
      <w:iCs/>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header" Target="header3.xml" /><Relationship Id="rId11" Type="http://schemas.openxmlformats.org/officeDocument/2006/relationships/header" Target="header4.xml" /><Relationship Id="rId12" Type="http://schemas.openxmlformats.org/officeDocument/2006/relationships/header" Target="header5.xml" /><Relationship Id="rId13" Type="http://schemas.openxmlformats.org/officeDocument/2006/relationships/header" Target="header6.xml" /><Relationship Id="rId14" Type="http://schemas.openxmlformats.org/officeDocument/2006/relationships/theme" Target="theme/theme1.xml" /><Relationship Id="rId15" Type="http://schemas.openxmlformats.org/officeDocument/2006/relationships/numbering" Target="numbering.xml" /><Relationship Id="rId16"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jpeg" /><Relationship Id="rId6" Type="http://schemas.openxmlformats.org/officeDocument/2006/relationships/header" Target="header1.xml" /><Relationship Id="rId7" Type="http://schemas.openxmlformats.org/officeDocument/2006/relationships/footer" Target="footer1.xml" /><Relationship Id="rId8" Type="http://schemas.openxmlformats.org/officeDocument/2006/relationships/footer" Target="footer2.xml" /><Relationship Id="rId9" Type="http://schemas.openxmlformats.org/officeDocument/2006/relationships/header" Target="header2.xml" /></Relationships>
</file>

<file path=word/_rels/footer2.xml.rels>&#65279;<?xml version="1.0" encoding="utf-8" standalone="yes"?><Relationships xmlns="http://schemas.openxmlformats.org/package/2006/relationships"><Relationship Id="rId1" Type="http://schemas.openxmlformats.org/officeDocument/2006/relationships/image" Target="media/image3.png" /></Relationships>
</file>

<file path=word/_rels/header1.xml.rels>&#65279;<?xml version="1.0" encoding="utf-8" standalone="yes"?><Relationships xmlns="http://schemas.openxmlformats.org/package/2006/relationships"><Relationship Id="rId1" Type="http://schemas.openxmlformats.org/officeDocument/2006/relationships/image" Target="media/image2.png" /></Relationships>
</file>

<file path=word/_rels/header2.xml.rels>&#65279;<?xml version="1.0" encoding="utf-8" standalone="yes"?><Relationships xmlns="http://schemas.openxmlformats.org/package/2006/relationships"><Relationship Id="rId1" Type="http://schemas.openxmlformats.org/officeDocument/2006/relationships/image" Target="media/image4.png" /></Relationships>
</file>

<file path=word/_rels/header3.xml.rels>&#65279;<?xml version="1.0" encoding="utf-8" standalone="yes"?><Relationships xmlns="http://schemas.openxmlformats.org/package/2006/relationships"><Relationship Id="rId1" Type="http://schemas.openxmlformats.org/officeDocument/2006/relationships/image" Target="media/image5.png" /></Relationships>
</file>

<file path=word/_rels/header4.xml.rels>&#65279;<?xml version="1.0" encoding="utf-8" standalone="yes"?><Relationships xmlns="http://schemas.openxmlformats.org/package/2006/relationships"><Relationship Id="rId1" Type="http://schemas.openxmlformats.org/officeDocument/2006/relationships/image" Target="media/image6.png" /></Relationships>
</file>

<file path=word/_rels/header5.xml.rels>&#65279;<?xml version="1.0" encoding="utf-8" standalone="yes"?><Relationships xmlns="http://schemas.openxmlformats.org/package/2006/relationships"><Relationship Id="rId1" Type="http://schemas.openxmlformats.org/officeDocument/2006/relationships/image" Target="media/image7.png" /></Relationships>
</file>

<file path=word/_rels/header6.xml.rels>&#65279;<?xml version="1.0" encoding="utf-8" standalone="yes"?><Relationships xmlns="http://schemas.openxmlformats.org/package/2006/relationships"><Relationship Id="rId1" Type="http://schemas.openxmlformats.org/officeDocument/2006/relationships/image" Target="media/image8.pn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9F1841-0DC7-4465-BE57-1A6CA199CF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145</TotalTime>
  <Pages>45</Pages>
  <Words>20751</Words>
  <Characters>122435</Characters>
  <Application>Microsoft Office Word</Application>
  <DocSecurity>0</DocSecurity>
  <Lines>1020</Lines>
  <Paragraphs>285</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142901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rut bizkova</dc:creator>
  <cp:lastModifiedBy>Hajdová Olga</cp:lastModifiedBy>
  <cp:revision>25</cp:revision>
  <dcterms:created xsi:type="dcterms:W3CDTF">2022-07-21T09:25:00Z</dcterms:created>
  <dcterms:modified xsi:type="dcterms:W3CDTF">2022-08-26T07:05:00Z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nonymizaceNavrh">
    <vt:lpwstr/>
  </property>
  <property fmtid="{D5CDD505-2E9C-101B-9397-08002B2CF9AE}" pid="3" name="Cislo_PostaOdesPisemnostDokumentVerze_PostaOdesPisemnost">
    <vt:lpwstr>VÝTISK Č. ...</vt:lpwstr>
  </property>
  <property fmtid="{D5CDD505-2E9C-101B-9397-08002B2CF9AE}" pid="4" name="CJ">
    <vt:lpwstr>MZP/2022/320/1032</vt:lpwstr>
  </property>
  <property fmtid="{D5CDD505-2E9C-101B-9397-08002B2CF9AE}" pid="5" name="CJ_PostaDoruc_PisemnostOdpovedNa_Pisemnost">
    <vt:lpwstr>XXX-XXX-XXX</vt:lpwstr>
  </property>
  <property fmtid="{D5CDD505-2E9C-101B-9397-08002B2CF9AE}" pid="6" name="CJ_Spis_Pisemnost">
    <vt:lpwstr>MZP/2022/320/522</vt:lpwstr>
  </property>
  <property fmtid="{D5CDD505-2E9C-101B-9397-08002B2CF9AE}" pid="7" name="Contact_PostaOdes">
    <vt:lpwstr>{NameAddress_Contact_PostaOdes}
{FullAddress_Contact_PostaOdes}</vt:lpwstr>
  </property>
  <property fmtid="{D5CDD505-2E9C-101B-9397-08002B2CF9AE}" pid="8" name="Contact_PostaOdes_All">
    <vt:lpwstr>ROZDĚLOVNÍK...</vt:lpwstr>
  </property>
  <property fmtid="{D5CDD505-2E9C-101B-9397-08002B2CF9AE}" pid="9" name="DatumNaroz">
    <vt:lpwstr/>
  </property>
  <property fmtid="{D5CDD505-2E9C-101B-9397-08002B2CF9AE}" pid="10" name="DatumPlatnosti_PisemnostTypZpristupneniInformaciZOSZ_Pisemnost">
    <vt:lpwstr>ZOSZ_DatumPlatnosti</vt:lpwstr>
  </property>
  <property fmtid="{D5CDD505-2E9C-101B-9397-08002B2CF9AE}" pid="11" name="DatumPoriz_Pisemnost">
    <vt:lpwstr>26.8.2022</vt:lpwstr>
  </property>
  <property fmtid="{D5CDD505-2E9C-101B-9397-08002B2CF9AE}" pid="12" name="DisplayName_CisloObalky_PostaOdes">
    <vt:lpwstr>ČÍSLO OBÁLKY</vt:lpwstr>
  </property>
  <property fmtid="{D5CDD505-2E9C-101B-9397-08002B2CF9AE}" pid="13" name="DisplayName_CJCol">
    <vt:lpwstr>&lt;TABLE&gt;&lt;TR&gt;&lt;TD&gt;Č.j.:&lt;/TD&gt;&lt;TD&gt;MZP/2022/320/1032&lt;/TD&gt;&lt;/TR&gt;&lt;TR&gt;&lt;TD&gt;&lt;/TD&gt;&lt;TD&gt;&lt;/TD&gt;&lt;/TR&gt;&lt;/TABLE&gt;</vt:lpwstr>
  </property>
  <property fmtid="{D5CDD505-2E9C-101B-9397-08002B2CF9AE}" pid="14" name="DisplayName_SlozkaStupenUtajeniCollection_Slozka_Pisemnost">
    <vt:lpwstr/>
  </property>
  <property fmtid="{D5CDD505-2E9C-101B-9397-08002B2CF9AE}" pid="15" name="DisplayName_SpisovyUzel_PoziceZodpo_Pisemnost">
    <vt:lpwstr>Odbor finančních a dobrovolných nástrojů</vt:lpwstr>
  </property>
  <property fmtid="{D5CDD505-2E9C-101B-9397-08002B2CF9AE}" pid="16" name="DisplayName_UserPoriz_Pisemnost">
    <vt:lpwstr>Ing. Olga Hajdová</vt:lpwstr>
  </property>
  <property fmtid="{D5CDD505-2E9C-101B-9397-08002B2CF9AE}" pid="17" name="DuvodZmeny_SlozkaStupenUtajeniCollection_Slozka_Pisemnost">
    <vt:lpwstr/>
  </property>
  <property fmtid="{D5CDD505-2E9C-101B-9397-08002B2CF9AE}" pid="18" name="EC_Pisemnost">
    <vt:lpwstr>ENV/2022/269182</vt:lpwstr>
  </property>
  <property fmtid="{D5CDD505-2E9C-101B-9397-08002B2CF9AE}" pid="19" name="Key_BarCode_Pisemnost">
    <vt:lpwstr>*B001376683*</vt:lpwstr>
  </property>
  <property fmtid="{D5CDD505-2E9C-101B-9397-08002B2CF9AE}" pid="20" name="Key_BarCode_PostaOdes">
    <vt:lpwstr>11101001011</vt:lpwstr>
  </property>
  <property fmtid="{D5CDD505-2E9C-101B-9397-08002B2CF9AE}" pid="21" name="KRukam">
    <vt:lpwstr>{KRukam}</vt:lpwstr>
  </property>
  <property fmtid="{D5CDD505-2E9C-101B-9397-08002B2CF9AE}" pid="22" name="NameAddress_Contact_SpisovyUzel_PoziceZodpo_Pisemnost">
    <vt:lpwstr>ADRESÁT SU...</vt:lpwstr>
  </property>
  <property fmtid="{D5CDD505-2E9C-101B-9397-08002B2CF9AE}" pid="23" name="NamePostalAddress_Contact_PostaOdes">
    <vt:lpwstr>{NameAddress_Contact_PostaOdes}
{PostalAddress_Contact_PostaOdes}</vt:lpwstr>
  </property>
  <property fmtid="{D5CDD505-2E9C-101B-9397-08002B2CF9AE}" pid="24" name="Odkaz">
    <vt:lpwstr>ODKAZ</vt:lpwstr>
  </property>
  <property fmtid="{D5CDD505-2E9C-101B-9397-08002B2CF9AE}" pid="25" name="Password_PisemnostTypZpristupneniInformaciZOSZ_Pisemnost">
    <vt:lpwstr>ZOSZ_Password</vt:lpwstr>
  </property>
  <property fmtid="{D5CDD505-2E9C-101B-9397-08002B2CF9AE}" pid="26" name="PocetListuDokumentu_Pisemnost">
    <vt:lpwstr>1</vt:lpwstr>
  </property>
  <property fmtid="{D5CDD505-2E9C-101B-9397-08002B2CF9AE}" pid="27" name="PocetListu_Pisemnost">
    <vt:lpwstr>1/4</vt:lpwstr>
  </property>
  <property fmtid="{D5CDD505-2E9C-101B-9397-08002B2CF9AE}" pid="28" name="PocetPriloh_Pisemnost">
    <vt:lpwstr>4</vt:lpwstr>
  </property>
  <property fmtid="{D5CDD505-2E9C-101B-9397-08002B2CF9AE}" pid="29" name="Podpis">
    <vt:lpwstr/>
  </property>
  <property fmtid="{D5CDD505-2E9C-101B-9397-08002B2CF9AE}" pid="30" name="PoleVlastnost">
    <vt:lpwstr/>
  </property>
  <property fmtid="{D5CDD505-2E9C-101B-9397-08002B2CF9AE}" pid="31" name="PostalAddress_Contact_SpisovyUzel_PoziceZodpo_Pisemnost">
    <vt:lpwstr>ADRESA SU...</vt:lpwstr>
  </property>
  <property fmtid="{D5CDD505-2E9C-101B-9397-08002B2CF9AE}" pid="32" name="QREC_Pisemnost">
    <vt:lpwstr>ENV/2022/269182</vt:lpwstr>
  </property>
  <property fmtid="{D5CDD505-2E9C-101B-9397-08002B2CF9AE}" pid="33" name="RC">
    <vt:lpwstr/>
  </property>
  <property fmtid="{D5CDD505-2E9C-101B-9397-08002B2CF9AE}" pid="34" name="SkartacniZnakLhuta_PisemnostZnak">
    <vt:lpwstr>A/10</vt:lpwstr>
  </property>
  <property fmtid="{D5CDD505-2E9C-101B-9397-08002B2CF9AE}" pid="35" name="SmlouvaCislo">
    <vt:lpwstr>ČÍSLO SMLOUVY</vt:lpwstr>
  </property>
  <property fmtid="{D5CDD505-2E9C-101B-9397-08002B2CF9AE}" pid="36" name="SZ_Spis_Pisemnost">
    <vt:lpwstr>ZN/MZP/2022/320/180</vt:lpwstr>
  </property>
  <property fmtid="{D5CDD505-2E9C-101B-9397-08002B2CF9AE}" pid="37" name="TEST">
    <vt:lpwstr>testovací pole</vt:lpwstr>
  </property>
  <property fmtid="{D5CDD505-2E9C-101B-9397-08002B2CF9AE}" pid="38" name="TypPrilohy_Pisemnost">
    <vt:lpwstr>TYP PŘÍLOHY</vt:lpwstr>
  </property>
  <property fmtid="{D5CDD505-2E9C-101B-9397-08002B2CF9AE}" pid="39" name="UserName_PisemnostTypZpristupneniInformaciZOSZ_Pisemnost">
    <vt:lpwstr>ZOSZ_UserName</vt:lpwstr>
  </property>
  <property fmtid="{D5CDD505-2E9C-101B-9397-08002B2CF9AE}" pid="40" name="Vec_Pisemnost">
    <vt:lpwstr>Žádost o zařazení materiálu Aktualizace koncepce výzkumu, vývoje a inovací Ministerstva životního prostředí na léta 2016–2035 s výhledem do roku 2050 k projednání RVVI</vt:lpwstr>
  </property>
  <property fmtid="{D5CDD505-2E9C-101B-9397-08002B2CF9AE}" pid="41" name="Zkratka_SpisovyUzel_PoziceZodpo_Pisemnost">
    <vt:lpwstr>320</vt:lpwstr>
  </property>
</Properties>
</file>