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2881" w:rsidRPr="00972881" w:rsidRDefault="00BD5E6B" w:rsidP="00972881">
      <w:pPr>
        <w:pBdr>
          <w:bottom w:val="single" w:sz="6" w:space="1" w:color="auto"/>
        </w:pBdr>
        <w:jc w:val="center"/>
        <w:rPr>
          <w:rFonts w:ascii="Arial" w:hAnsi="Arial" w:cs="Arial"/>
          <w:b/>
          <w:color w:val="0070C0"/>
          <w:sz w:val="28"/>
          <w:szCs w:val="28"/>
        </w:rPr>
      </w:pPr>
      <w:r w:rsidRPr="008C5426">
        <w:rPr>
          <w:rFonts w:ascii="Arial" w:hAnsi="Arial" w:cs="Arial"/>
          <w:b/>
          <w:color w:val="0070C0"/>
          <w:sz w:val="28"/>
          <w:szCs w:val="28"/>
        </w:rPr>
        <w:t>Stanovisko Rady pro výzkum, vývoj a inovace k</w:t>
      </w:r>
      <w:r w:rsidR="000E131B" w:rsidRPr="008C5426">
        <w:rPr>
          <w:rFonts w:ascii="Arial" w:hAnsi="Arial" w:cs="Arial"/>
          <w:b/>
          <w:color w:val="0070C0"/>
          <w:sz w:val="28"/>
          <w:szCs w:val="28"/>
        </w:rPr>
        <w:t> </w:t>
      </w:r>
      <w:r w:rsidR="00001AA2" w:rsidRPr="008C5426">
        <w:rPr>
          <w:rFonts w:ascii="Arial" w:hAnsi="Arial" w:cs="Arial"/>
          <w:b/>
          <w:color w:val="0070C0"/>
          <w:sz w:val="28"/>
          <w:szCs w:val="28"/>
        </w:rPr>
        <w:t>Program</w:t>
      </w:r>
      <w:r w:rsidRPr="008C5426">
        <w:rPr>
          <w:rFonts w:ascii="Arial" w:hAnsi="Arial" w:cs="Arial"/>
          <w:b/>
          <w:color w:val="0070C0"/>
          <w:sz w:val="28"/>
          <w:szCs w:val="28"/>
        </w:rPr>
        <w:t>u</w:t>
      </w:r>
      <w:r w:rsidR="00001AA2" w:rsidRPr="008C5426">
        <w:rPr>
          <w:rFonts w:ascii="Arial" w:hAnsi="Arial" w:cs="Arial"/>
          <w:b/>
          <w:color w:val="0070C0"/>
          <w:sz w:val="28"/>
          <w:szCs w:val="28"/>
        </w:rPr>
        <w:t xml:space="preserve"> </w:t>
      </w:r>
    </w:p>
    <w:p w:rsidR="00972881" w:rsidRPr="00F24C5F" w:rsidRDefault="00972881" w:rsidP="00F24C5F">
      <w:pPr>
        <w:pBdr>
          <w:bottom w:val="single" w:sz="6" w:space="1" w:color="auto"/>
        </w:pBdr>
        <w:jc w:val="center"/>
        <w:rPr>
          <w:rFonts w:ascii="Arial" w:hAnsi="Arial" w:cs="Arial"/>
          <w:b/>
          <w:bCs/>
          <w:color w:val="0070C0"/>
          <w:sz w:val="28"/>
          <w:szCs w:val="28"/>
        </w:rPr>
      </w:pPr>
      <w:r w:rsidRPr="00972881">
        <w:rPr>
          <w:rFonts w:ascii="Arial" w:hAnsi="Arial" w:cs="Arial"/>
          <w:b/>
          <w:color w:val="0070C0"/>
          <w:sz w:val="28"/>
          <w:szCs w:val="28"/>
        </w:rPr>
        <w:t xml:space="preserve"> </w:t>
      </w:r>
      <w:r w:rsidRPr="00972881">
        <w:rPr>
          <w:rFonts w:ascii="Arial" w:hAnsi="Arial" w:cs="Arial"/>
          <w:b/>
          <w:bCs/>
          <w:color w:val="0070C0"/>
          <w:sz w:val="28"/>
          <w:szCs w:val="28"/>
        </w:rPr>
        <w:t>na podporu aplikovaného výzkumu a inovací THÉTA 2</w:t>
      </w:r>
    </w:p>
    <w:p w:rsidR="00F24C5F" w:rsidRDefault="00F24C5F" w:rsidP="00F24C5F">
      <w:pPr>
        <w:pStyle w:val="Normalodsazen"/>
        <w:spacing w:after="120" w:line="240" w:lineRule="auto"/>
        <w:ind w:firstLine="0"/>
        <w:rPr>
          <w:b/>
          <w:color w:val="0070C0"/>
          <w:sz w:val="24"/>
        </w:rPr>
      </w:pPr>
    </w:p>
    <w:p w:rsidR="001E1D3D" w:rsidRPr="001E1D3D" w:rsidRDefault="0078058C" w:rsidP="00F32836">
      <w:pPr>
        <w:pStyle w:val="Normalodsazen"/>
        <w:numPr>
          <w:ilvl w:val="0"/>
          <w:numId w:val="21"/>
        </w:numPr>
        <w:spacing w:after="120" w:line="240" w:lineRule="auto"/>
        <w:ind w:left="426" w:hanging="357"/>
        <w:rPr>
          <w:b/>
          <w:color w:val="0070C0"/>
          <w:sz w:val="24"/>
        </w:rPr>
      </w:pPr>
      <w:r w:rsidRPr="008C5426">
        <w:rPr>
          <w:b/>
          <w:color w:val="0070C0"/>
          <w:sz w:val="24"/>
        </w:rPr>
        <w:t>Způsob předložení návrhu</w:t>
      </w:r>
    </w:p>
    <w:p w:rsidR="0027273E" w:rsidRDefault="0027273E" w:rsidP="0027273E">
      <w:pPr>
        <w:spacing w:after="120"/>
        <w:jc w:val="both"/>
        <w:rPr>
          <w:rFonts w:ascii="Arial" w:eastAsiaTheme="minorHAnsi" w:hAnsi="Arial" w:cs="Arial"/>
          <w:color w:val="000000"/>
          <w:lang w:eastAsia="en-US"/>
        </w:rPr>
      </w:pPr>
      <w:r w:rsidRPr="0027273E">
        <w:rPr>
          <w:rFonts w:ascii="Arial" w:eastAsiaTheme="minorHAnsi" w:hAnsi="Arial" w:cs="Arial"/>
          <w:color w:val="000000"/>
          <w:lang w:eastAsia="en-US"/>
        </w:rPr>
        <w:t xml:space="preserve">Dopisem ze dne </w:t>
      </w:r>
      <w:r>
        <w:rPr>
          <w:rFonts w:ascii="Arial" w:eastAsiaTheme="minorHAnsi" w:hAnsi="Arial" w:cs="Arial"/>
          <w:color w:val="000000"/>
          <w:lang w:eastAsia="en-US"/>
        </w:rPr>
        <w:t>8</w:t>
      </w:r>
      <w:r w:rsidRPr="0027273E">
        <w:rPr>
          <w:rFonts w:ascii="Arial" w:eastAsiaTheme="minorHAnsi" w:hAnsi="Arial" w:cs="Arial"/>
          <w:color w:val="000000"/>
          <w:lang w:eastAsia="en-US"/>
        </w:rPr>
        <w:t xml:space="preserve">. </w:t>
      </w:r>
      <w:r>
        <w:rPr>
          <w:rFonts w:ascii="Arial" w:eastAsiaTheme="minorHAnsi" w:hAnsi="Arial" w:cs="Arial"/>
          <w:color w:val="000000"/>
          <w:lang w:eastAsia="en-US"/>
        </w:rPr>
        <w:t>prosince</w:t>
      </w:r>
      <w:r w:rsidRPr="0027273E">
        <w:rPr>
          <w:rFonts w:ascii="Arial" w:eastAsiaTheme="minorHAnsi" w:hAnsi="Arial" w:cs="Arial"/>
          <w:color w:val="000000"/>
          <w:lang w:eastAsia="en-US"/>
        </w:rPr>
        <w:t xml:space="preserve"> 20</w:t>
      </w:r>
      <w:r>
        <w:rPr>
          <w:rFonts w:ascii="Arial" w:eastAsiaTheme="minorHAnsi" w:hAnsi="Arial" w:cs="Arial"/>
          <w:color w:val="000000"/>
          <w:lang w:eastAsia="en-US"/>
        </w:rPr>
        <w:t>22</w:t>
      </w:r>
      <w:r w:rsidRPr="0027273E">
        <w:rPr>
          <w:rFonts w:ascii="Arial" w:eastAsiaTheme="minorHAnsi" w:hAnsi="Arial" w:cs="Arial"/>
          <w:color w:val="000000"/>
          <w:lang w:eastAsia="en-US"/>
        </w:rPr>
        <w:t xml:space="preserve"> č. j. </w:t>
      </w:r>
      <w:r w:rsidR="00F03F29">
        <w:rPr>
          <w:rFonts w:ascii="Arial" w:eastAsiaTheme="minorHAnsi" w:hAnsi="Arial" w:cs="Arial"/>
          <w:color w:val="000000"/>
          <w:lang w:eastAsia="en-US"/>
        </w:rPr>
        <w:t>TACR/1-286</w:t>
      </w:r>
      <w:r w:rsidRPr="0027273E">
        <w:rPr>
          <w:rFonts w:ascii="Arial" w:eastAsiaTheme="minorHAnsi" w:hAnsi="Arial" w:cs="Arial"/>
          <w:color w:val="000000"/>
          <w:lang w:eastAsia="en-US"/>
        </w:rPr>
        <w:t>/2022 adresovaným ministryni pro vědu, výzkum a inovace a předsedkyni Rady pro výzkum, vývoj a inovace (dále jen „Rada“) Mgr. Helen</w:t>
      </w:r>
      <w:r w:rsidR="00F03F29">
        <w:rPr>
          <w:rFonts w:ascii="Arial" w:eastAsiaTheme="minorHAnsi" w:hAnsi="Arial" w:cs="Arial"/>
          <w:color w:val="000000"/>
          <w:lang w:eastAsia="en-US"/>
        </w:rPr>
        <w:t>ě</w:t>
      </w:r>
      <w:r w:rsidRPr="0027273E">
        <w:rPr>
          <w:rFonts w:ascii="Arial" w:eastAsiaTheme="minorHAnsi" w:hAnsi="Arial" w:cs="Arial"/>
          <w:color w:val="000000"/>
          <w:lang w:eastAsia="en-US"/>
        </w:rPr>
        <w:t xml:space="preserve"> </w:t>
      </w:r>
      <w:proofErr w:type="spellStart"/>
      <w:r w:rsidRPr="0027273E">
        <w:rPr>
          <w:rFonts w:ascii="Arial" w:eastAsiaTheme="minorHAnsi" w:hAnsi="Arial" w:cs="Arial"/>
          <w:color w:val="000000"/>
          <w:lang w:eastAsia="en-US"/>
        </w:rPr>
        <w:t>Langšádlov</w:t>
      </w:r>
      <w:r w:rsidR="00F03F29">
        <w:rPr>
          <w:rFonts w:ascii="Arial" w:eastAsiaTheme="minorHAnsi" w:hAnsi="Arial" w:cs="Arial"/>
          <w:color w:val="000000"/>
          <w:lang w:eastAsia="en-US"/>
        </w:rPr>
        <w:t>é</w:t>
      </w:r>
      <w:proofErr w:type="spellEnd"/>
      <w:r w:rsidRPr="0027273E">
        <w:rPr>
          <w:rFonts w:ascii="Arial" w:eastAsiaTheme="minorHAnsi" w:hAnsi="Arial" w:cs="Arial"/>
          <w:color w:val="000000"/>
          <w:lang w:eastAsia="en-US"/>
        </w:rPr>
        <w:t xml:space="preserve"> předložil </w:t>
      </w:r>
      <w:r w:rsidR="00F03F29">
        <w:rPr>
          <w:rFonts w:ascii="Arial" w:eastAsiaTheme="minorHAnsi" w:hAnsi="Arial" w:cs="Arial"/>
          <w:color w:val="000000"/>
          <w:lang w:eastAsia="en-US"/>
        </w:rPr>
        <w:t>p</w:t>
      </w:r>
      <w:r w:rsidR="00F03F29" w:rsidRPr="0027273E">
        <w:rPr>
          <w:rFonts w:ascii="Arial" w:eastAsiaTheme="minorHAnsi" w:hAnsi="Arial" w:cs="Arial"/>
          <w:color w:val="000000"/>
          <w:lang w:eastAsia="en-US"/>
        </w:rPr>
        <w:t>ředseda Technologické agentury České republiky</w:t>
      </w:r>
      <w:r w:rsidRPr="0027273E">
        <w:rPr>
          <w:rFonts w:ascii="Arial" w:eastAsiaTheme="minorHAnsi" w:hAnsi="Arial" w:cs="Arial"/>
          <w:color w:val="000000"/>
          <w:lang w:eastAsia="en-US"/>
        </w:rPr>
        <w:t xml:space="preserve"> </w:t>
      </w:r>
      <w:r w:rsidR="00471208" w:rsidRPr="00471208">
        <w:rPr>
          <w:rFonts w:ascii="Arial" w:eastAsiaTheme="minorHAnsi" w:hAnsi="Arial" w:cs="Arial"/>
          <w:color w:val="000000"/>
          <w:lang w:eastAsia="en-US"/>
        </w:rPr>
        <w:t xml:space="preserve">prof. Ing. Petr Konvalinka, CSc., </w:t>
      </w:r>
      <w:proofErr w:type="spellStart"/>
      <w:r w:rsidR="00471208" w:rsidRPr="00471208">
        <w:rPr>
          <w:rFonts w:ascii="Arial" w:eastAsiaTheme="minorHAnsi" w:hAnsi="Arial" w:cs="Arial"/>
          <w:color w:val="000000"/>
          <w:lang w:eastAsia="en-US"/>
        </w:rPr>
        <w:t>FEng</w:t>
      </w:r>
      <w:proofErr w:type="spellEnd"/>
      <w:r w:rsidR="00471208" w:rsidRPr="00471208">
        <w:rPr>
          <w:rFonts w:ascii="Arial" w:eastAsiaTheme="minorHAnsi" w:hAnsi="Arial" w:cs="Arial"/>
          <w:color w:val="000000"/>
          <w:lang w:eastAsia="en-US"/>
        </w:rPr>
        <w:t>.</w:t>
      </w:r>
      <w:r w:rsidRPr="0027273E">
        <w:rPr>
          <w:rFonts w:ascii="Arial" w:eastAsiaTheme="minorHAnsi" w:hAnsi="Arial" w:cs="Arial"/>
          <w:color w:val="000000"/>
          <w:lang w:eastAsia="en-US"/>
        </w:rPr>
        <w:t xml:space="preserve"> </w:t>
      </w:r>
      <w:proofErr w:type="gramStart"/>
      <w:r w:rsidRPr="0027273E">
        <w:rPr>
          <w:rFonts w:ascii="Arial" w:eastAsiaTheme="minorHAnsi" w:hAnsi="Arial" w:cs="Arial"/>
          <w:color w:val="000000"/>
          <w:lang w:eastAsia="en-US"/>
        </w:rPr>
        <w:t>ke</w:t>
      </w:r>
      <w:proofErr w:type="gramEnd"/>
      <w:r w:rsidRPr="0027273E">
        <w:rPr>
          <w:rFonts w:ascii="Arial" w:eastAsiaTheme="minorHAnsi" w:hAnsi="Arial" w:cs="Arial"/>
          <w:color w:val="000000"/>
          <w:lang w:eastAsia="en-US"/>
        </w:rPr>
        <w:t xml:space="preserve"> stanovisku Rady návrh Programu na podpor</w:t>
      </w:r>
      <w:r w:rsidRPr="00F03F29">
        <w:rPr>
          <w:rFonts w:ascii="Arial" w:eastAsiaTheme="minorHAnsi" w:hAnsi="Arial" w:cs="Arial"/>
          <w:color w:val="000000"/>
          <w:lang w:eastAsia="en-US"/>
        </w:rPr>
        <w:t xml:space="preserve">u </w:t>
      </w:r>
      <w:r w:rsidR="00F03F29" w:rsidRPr="00F03F29">
        <w:rPr>
          <w:rFonts w:ascii="Arial" w:eastAsiaTheme="minorHAnsi" w:hAnsi="Arial" w:cs="Arial"/>
          <w:bCs/>
          <w:color w:val="000000"/>
          <w:lang w:eastAsia="en-US"/>
        </w:rPr>
        <w:t>aplikovaného výzkumu a inovací THÉTA 2</w:t>
      </w:r>
      <w:r w:rsidRPr="00F03F29">
        <w:rPr>
          <w:rFonts w:ascii="Arial" w:eastAsiaTheme="minorHAnsi" w:hAnsi="Arial" w:cs="Arial"/>
          <w:color w:val="000000"/>
          <w:lang w:eastAsia="en-US"/>
        </w:rPr>
        <w:t xml:space="preserve"> (</w:t>
      </w:r>
      <w:r w:rsidRPr="0027273E">
        <w:rPr>
          <w:rFonts w:ascii="Arial" w:eastAsiaTheme="minorHAnsi" w:hAnsi="Arial" w:cs="Arial"/>
          <w:color w:val="000000"/>
          <w:lang w:eastAsia="en-US"/>
        </w:rPr>
        <w:t>dále jen „Program“).</w:t>
      </w:r>
    </w:p>
    <w:p w:rsidR="00F24C5F" w:rsidRPr="0027273E" w:rsidRDefault="00F24C5F" w:rsidP="0027273E">
      <w:pPr>
        <w:spacing w:after="120"/>
        <w:jc w:val="both"/>
        <w:rPr>
          <w:rFonts w:ascii="Arial" w:eastAsiaTheme="minorHAnsi" w:hAnsi="Arial" w:cs="Arial"/>
          <w:color w:val="000000"/>
          <w:lang w:eastAsia="en-US"/>
        </w:rPr>
      </w:pPr>
    </w:p>
    <w:p w:rsidR="008C5426" w:rsidRPr="0026232B" w:rsidRDefault="008C5426" w:rsidP="00F32836">
      <w:pPr>
        <w:pStyle w:val="Normalodsazen"/>
        <w:numPr>
          <w:ilvl w:val="0"/>
          <w:numId w:val="21"/>
        </w:numPr>
        <w:spacing w:after="120" w:line="240" w:lineRule="auto"/>
        <w:ind w:left="426"/>
        <w:rPr>
          <w:b/>
          <w:color w:val="0070C0"/>
          <w:sz w:val="24"/>
        </w:rPr>
      </w:pPr>
      <w:r w:rsidRPr="008C5426">
        <w:rPr>
          <w:b/>
          <w:color w:val="0070C0"/>
          <w:sz w:val="24"/>
        </w:rPr>
        <w:t>K hodnocení návrhu Programu Radou</w:t>
      </w:r>
    </w:p>
    <w:p w:rsidR="008C5426" w:rsidRPr="008C5426" w:rsidRDefault="008C5426" w:rsidP="001E1D3D">
      <w:pPr>
        <w:pStyle w:val="Zkladntext2"/>
        <w:spacing w:after="120"/>
        <w:jc w:val="both"/>
        <w:rPr>
          <w:rFonts w:ascii="Arial" w:hAnsi="Arial" w:cs="Arial"/>
          <w:szCs w:val="24"/>
        </w:rPr>
      </w:pPr>
      <w:r w:rsidRPr="00765BA0">
        <w:rPr>
          <w:rFonts w:ascii="Arial" w:hAnsi="Arial" w:cs="Arial"/>
          <w:szCs w:val="24"/>
        </w:rPr>
        <w:t xml:space="preserve">Rada posoudila návrh </w:t>
      </w:r>
      <w:r w:rsidR="0026232B">
        <w:rPr>
          <w:rFonts w:ascii="Arial" w:hAnsi="Arial" w:cs="Arial"/>
          <w:szCs w:val="24"/>
        </w:rPr>
        <w:t>P</w:t>
      </w:r>
      <w:r w:rsidRPr="00765BA0">
        <w:rPr>
          <w:rFonts w:ascii="Arial" w:hAnsi="Arial" w:cs="Arial"/>
          <w:szCs w:val="24"/>
        </w:rPr>
        <w:t>rogramu</w:t>
      </w:r>
      <w:r w:rsidR="0026232B">
        <w:rPr>
          <w:rFonts w:ascii="Arial" w:hAnsi="Arial" w:cs="Arial"/>
          <w:szCs w:val="24"/>
        </w:rPr>
        <w:t xml:space="preserve"> na svém </w:t>
      </w:r>
      <w:r w:rsidR="00AC23A5">
        <w:rPr>
          <w:rFonts w:ascii="Arial" w:hAnsi="Arial" w:cs="Arial"/>
          <w:szCs w:val="24"/>
        </w:rPr>
        <w:t>38</w:t>
      </w:r>
      <w:r w:rsidR="00F45C23">
        <w:rPr>
          <w:rFonts w:ascii="Arial" w:hAnsi="Arial" w:cs="Arial"/>
          <w:szCs w:val="24"/>
        </w:rPr>
        <w:t>6</w:t>
      </w:r>
      <w:r w:rsidR="0026232B">
        <w:rPr>
          <w:rFonts w:ascii="Arial" w:hAnsi="Arial" w:cs="Arial"/>
          <w:szCs w:val="24"/>
        </w:rPr>
        <w:t xml:space="preserve">. zasedání dne </w:t>
      </w:r>
      <w:r w:rsidR="00F45C23">
        <w:rPr>
          <w:rFonts w:ascii="Arial" w:hAnsi="Arial" w:cs="Arial"/>
          <w:szCs w:val="24"/>
        </w:rPr>
        <w:t>27</w:t>
      </w:r>
      <w:r w:rsidR="0026232B">
        <w:rPr>
          <w:rFonts w:ascii="Arial" w:hAnsi="Arial" w:cs="Arial"/>
          <w:szCs w:val="24"/>
        </w:rPr>
        <w:t xml:space="preserve">. </w:t>
      </w:r>
      <w:r w:rsidR="00AC23A5">
        <w:rPr>
          <w:rFonts w:ascii="Arial" w:hAnsi="Arial" w:cs="Arial"/>
          <w:szCs w:val="24"/>
        </w:rPr>
        <w:t>l</w:t>
      </w:r>
      <w:r w:rsidR="00F45C23">
        <w:rPr>
          <w:rFonts w:ascii="Arial" w:hAnsi="Arial" w:cs="Arial"/>
          <w:szCs w:val="24"/>
        </w:rPr>
        <w:t>edna</w:t>
      </w:r>
      <w:r w:rsidR="0026232B">
        <w:rPr>
          <w:rFonts w:ascii="Arial" w:hAnsi="Arial" w:cs="Arial"/>
          <w:szCs w:val="24"/>
        </w:rPr>
        <w:t xml:space="preserve"> 202</w:t>
      </w:r>
      <w:r w:rsidR="00F45C23">
        <w:rPr>
          <w:rFonts w:ascii="Arial" w:hAnsi="Arial" w:cs="Arial"/>
          <w:szCs w:val="24"/>
        </w:rPr>
        <w:t>3</w:t>
      </w:r>
      <w:r w:rsidR="0087304A">
        <w:rPr>
          <w:rFonts w:ascii="Arial" w:hAnsi="Arial" w:cs="Arial"/>
          <w:szCs w:val="24"/>
        </w:rPr>
        <w:t>, a to </w:t>
      </w:r>
      <w:r w:rsidRPr="00765BA0">
        <w:rPr>
          <w:rFonts w:ascii="Arial" w:hAnsi="Arial" w:cs="Arial"/>
          <w:szCs w:val="24"/>
        </w:rPr>
        <w:t>podle</w:t>
      </w:r>
      <w:r>
        <w:rPr>
          <w:rFonts w:ascii="Arial" w:hAnsi="Arial" w:cs="Arial"/>
          <w:szCs w:val="24"/>
        </w:rPr>
        <w:t xml:space="preserve"> následujících dokumentů:</w:t>
      </w:r>
    </w:p>
    <w:p w:rsidR="008C5426" w:rsidRDefault="008C5426" w:rsidP="0087304A">
      <w:pPr>
        <w:pStyle w:val="Odstavecseseznamem"/>
        <w:numPr>
          <w:ilvl w:val="0"/>
          <w:numId w:val="20"/>
        </w:numPr>
        <w:spacing w:after="120"/>
        <w:ind w:left="426" w:hanging="283"/>
        <w:contextualSpacing w:val="0"/>
        <w:jc w:val="both"/>
        <w:rPr>
          <w:rFonts w:ascii="Arial" w:hAnsi="Arial" w:cs="Arial"/>
        </w:rPr>
      </w:pPr>
      <w:r>
        <w:rPr>
          <w:rFonts w:ascii="Arial" w:hAnsi="Arial" w:cs="Arial"/>
        </w:rPr>
        <w:t>z</w:t>
      </w:r>
      <w:r w:rsidRPr="00A07E2A">
        <w:rPr>
          <w:rFonts w:ascii="Arial" w:hAnsi="Arial" w:cs="Arial"/>
        </w:rPr>
        <w:t>ákona</w:t>
      </w:r>
      <w:r w:rsidRPr="00FA1461">
        <w:rPr>
          <w:rFonts w:ascii="Arial" w:hAnsi="Arial" w:cs="Arial"/>
        </w:rPr>
        <w:t xml:space="preserve"> č. 130/2002 Sb., o podpoře výzkumu, experimentálního vývoje a</w:t>
      </w:r>
      <w:r>
        <w:rPr>
          <w:rFonts w:ascii="Arial" w:hAnsi="Arial" w:cs="Arial"/>
        </w:rPr>
        <w:t> </w:t>
      </w:r>
      <w:r w:rsidRPr="00FA1461">
        <w:rPr>
          <w:rFonts w:ascii="Arial" w:hAnsi="Arial" w:cs="Arial"/>
        </w:rPr>
        <w:t>inovací z veřejných prostředků a o změně některých zákonů (zákon o</w:t>
      </w:r>
      <w:r>
        <w:rPr>
          <w:rFonts w:ascii="Arial" w:hAnsi="Arial" w:cs="Arial"/>
        </w:rPr>
        <w:t> </w:t>
      </w:r>
      <w:r w:rsidRPr="00FA1461">
        <w:rPr>
          <w:rFonts w:ascii="Arial" w:hAnsi="Arial" w:cs="Arial"/>
        </w:rPr>
        <w:t>podpoře výzkumu, experimentálního vývoje a inovací), ve znění pozdějších předpisů</w:t>
      </w:r>
      <w:r w:rsidR="0087304A">
        <w:rPr>
          <w:rFonts w:ascii="Arial" w:hAnsi="Arial" w:cs="Arial"/>
        </w:rPr>
        <w:t>;</w:t>
      </w:r>
    </w:p>
    <w:p w:rsidR="008C5426" w:rsidRPr="008C5426" w:rsidRDefault="008C5426" w:rsidP="0087304A">
      <w:pPr>
        <w:pStyle w:val="Odstavecseseznamem"/>
        <w:numPr>
          <w:ilvl w:val="0"/>
          <w:numId w:val="20"/>
        </w:numPr>
        <w:spacing w:after="120"/>
        <w:ind w:left="426" w:hanging="283"/>
        <w:jc w:val="both"/>
        <w:rPr>
          <w:rFonts w:ascii="Arial" w:hAnsi="Arial" w:cs="Arial"/>
        </w:rPr>
      </w:pPr>
      <w:r w:rsidRPr="008C5426">
        <w:rPr>
          <w:rFonts w:ascii="Arial" w:hAnsi="Arial" w:cs="Arial"/>
        </w:rPr>
        <w:t>M</w:t>
      </w:r>
      <w:r w:rsidRPr="008C5426">
        <w:rPr>
          <w:rFonts w:ascii="Arial" w:eastAsiaTheme="minorHAnsi" w:hAnsi="Arial" w:cs="Arial"/>
          <w:color w:val="000000"/>
          <w:lang w:eastAsia="en-US"/>
        </w:rPr>
        <w:t>etodiky hodnocení výzkumných organizací a hodnocení programů účelové podpory výzkumu, vývoje a inovací schválené usnesením vlády ze dne 8. února 2017 č.</w:t>
      </w:r>
      <w:r w:rsidR="0087304A">
        <w:rPr>
          <w:rFonts w:ascii="Arial" w:eastAsiaTheme="minorHAnsi" w:hAnsi="Arial" w:cs="Arial"/>
          <w:color w:val="000000"/>
          <w:lang w:eastAsia="en-US"/>
        </w:rPr>
        <w:t xml:space="preserve"> 107 (dále jen „Metodika M17+“);</w:t>
      </w:r>
    </w:p>
    <w:p w:rsidR="008C5426" w:rsidRPr="00BA3705" w:rsidRDefault="008C5426" w:rsidP="0087304A">
      <w:pPr>
        <w:pStyle w:val="Zkladntext2"/>
        <w:numPr>
          <w:ilvl w:val="0"/>
          <w:numId w:val="20"/>
        </w:numPr>
        <w:spacing w:after="120"/>
        <w:ind w:left="426" w:hanging="283"/>
        <w:jc w:val="both"/>
        <w:rPr>
          <w:rFonts w:ascii="Arial" w:hAnsi="Arial" w:cs="Arial"/>
          <w:szCs w:val="24"/>
        </w:rPr>
      </w:pPr>
      <w:r w:rsidRPr="00BA3705">
        <w:rPr>
          <w:rFonts w:ascii="Arial" w:eastAsiaTheme="minorHAnsi" w:hAnsi="Arial" w:cs="Arial"/>
          <w:color w:val="000000"/>
          <w:szCs w:val="24"/>
          <w:lang w:eastAsia="en-US"/>
        </w:rPr>
        <w:t>Základní</w:t>
      </w:r>
      <w:r>
        <w:rPr>
          <w:rFonts w:ascii="Arial" w:eastAsiaTheme="minorHAnsi" w:hAnsi="Arial" w:cs="Arial"/>
          <w:color w:val="000000"/>
          <w:szCs w:val="24"/>
          <w:lang w:eastAsia="en-US"/>
        </w:rPr>
        <w:t>ch</w:t>
      </w:r>
      <w:r w:rsidRPr="00BA3705">
        <w:rPr>
          <w:rFonts w:ascii="Arial" w:eastAsiaTheme="minorHAnsi" w:hAnsi="Arial" w:cs="Arial"/>
          <w:color w:val="000000"/>
          <w:szCs w:val="24"/>
          <w:lang w:eastAsia="en-US"/>
        </w:rPr>
        <w:t xml:space="preserve"> princip</w:t>
      </w:r>
      <w:r>
        <w:rPr>
          <w:rFonts w:ascii="Arial" w:eastAsiaTheme="minorHAnsi" w:hAnsi="Arial" w:cs="Arial"/>
          <w:color w:val="000000"/>
          <w:szCs w:val="24"/>
          <w:lang w:eastAsia="en-US"/>
        </w:rPr>
        <w:t>ů</w:t>
      </w:r>
      <w:r w:rsidRPr="00BA3705">
        <w:rPr>
          <w:rFonts w:ascii="Arial" w:eastAsiaTheme="minorHAnsi" w:hAnsi="Arial" w:cs="Arial"/>
          <w:color w:val="000000"/>
          <w:szCs w:val="24"/>
          <w:lang w:eastAsia="en-US"/>
        </w:rPr>
        <w:t xml:space="preserve"> přípravy a hodnocení programů a skupin grantových projektů výzkumu, vývoje a inovací (pří</w:t>
      </w:r>
      <w:r>
        <w:rPr>
          <w:rFonts w:ascii="Arial" w:eastAsiaTheme="minorHAnsi" w:hAnsi="Arial" w:cs="Arial"/>
          <w:color w:val="000000"/>
          <w:szCs w:val="24"/>
          <w:lang w:eastAsia="en-US"/>
        </w:rPr>
        <w:t>loha k usnesení vlády ze dne 13. k</w:t>
      </w:r>
      <w:r w:rsidR="0087304A">
        <w:rPr>
          <w:rFonts w:ascii="Arial" w:eastAsiaTheme="minorHAnsi" w:hAnsi="Arial" w:cs="Arial"/>
          <w:color w:val="000000"/>
          <w:szCs w:val="24"/>
          <w:lang w:eastAsia="en-US"/>
        </w:rPr>
        <w:t>větna 2015 č. </w:t>
      </w:r>
      <w:proofErr w:type="gramStart"/>
      <w:r w:rsidRPr="00BA3705">
        <w:rPr>
          <w:rFonts w:ascii="Arial" w:eastAsiaTheme="minorHAnsi" w:hAnsi="Arial" w:cs="Arial"/>
          <w:color w:val="000000"/>
          <w:szCs w:val="24"/>
          <w:lang w:eastAsia="en-US"/>
        </w:rPr>
        <w:t>351)</w:t>
      </w:r>
      <w:r>
        <w:rPr>
          <w:rFonts w:ascii="Arial" w:eastAsiaTheme="minorHAnsi" w:hAnsi="Arial" w:cs="Arial"/>
          <w:color w:val="000000"/>
          <w:szCs w:val="24"/>
          <w:lang w:eastAsia="en-US"/>
        </w:rPr>
        <w:t xml:space="preserve"> (dále</w:t>
      </w:r>
      <w:proofErr w:type="gramEnd"/>
      <w:r>
        <w:rPr>
          <w:rFonts w:ascii="Arial" w:eastAsiaTheme="minorHAnsi" w:hAnsi="Arial" w:cs="Arial"/>
          <w:color w:val="000000"/>
          <w:szCs w:val="24"/>
          <w:lang w:eastAsia="en-US"/>
        </w:rPr>
        <w:t xml:space="preserve"> jen „Principy“)</w:t>
      </w:r>
      <w:r w:rsidR="0087304A">
        <w:rPr>
          <w:rFonts w:ascii="Arial" w:eastAsiaTheme="minorHAnsi" w:hAnsi="Arial" w:cs="Arial"/>
          <w:color w:val="000000"/>
          <w:szCs w:val="24"/>
          <w:lang w:eastAsia="en-US"/>
        </w:rPr>
        <w:t>;</w:t>
      </w:r>
    </w:p>
    <w:p w:rsidR="008C5426" w:rsidRDefault="008C5426" w:rsidP="0087304A">
      <w:pPr>
        <w:pStyle w:val="Zkladntext2"/>
        <w:numPr>
          <w:ilvl w:val="0"/>
          <w:numId w:val="20"/>
        </w:numPr>
        <w:spacing w:after="120"/>
        <w:ind w:left="426" w:hanging="283"/>
        <w:jc w:val="both"/>
        <w:rPr>
          <w:rFonts w:ascii="Arial" w:hAnsi="Arial" w:cs="Arial"/>
          <w:szCs w:val="24"/>
        </w:rPr>
      </w:pPr>
      <w:r w:rsidRPr="00BA3705">
        <w:rPr>
          <w:rFonts w:ascii="Arial" w:hAnsi="Arial" w:cs="Arial"/>
          <w:szCs w:val="24"/>
        </w:rPr>
        <w:t>Národní politik</w:t>
      </w:r>
      <w:r>
        <w:rPr>
          <w:rFonts w:ascii="Arial" w:hAnsi="Arial" w:cs="Arial"/>
          <w:szCs w:val="24"/>
        </w:rPr>
        <w:t>y</w:t>
      </w:r>
      <w:r w:rsidRPr="00BA3705">
        <w:rPr>
          <w:rFonts w:ascii="Arial" w:hAnsi="Arial" w:cs="Arial"/>
          <w:szCs w:val="24"/>
        </w:rPr>
        <w:t xml:space="preserve"> výzkumu, vývoje a inovací</w:t>
      </w:r>
      <w:r>
        <w:rPr>
          <w:rFonts w:ascii="Arial" w:hAnsi="Arial" w:cs="Arial"/>
          <w:szCs w:val="24"/>
        </w:rPr>
        <w:t xml:space="preserve"> České republiky 2021+</w:t>
      </w:r>
      <w:r w:rsidRPr="00BA3705">
        <w:rPr>
          <w:rFonts w:ascii="Arial" w:hAnsi="Arial" w:cs="Arial"/>
          <w:szCs w:val="24"/>
        </w:rPr>
        <w:t>, schválen</w:t>
      </w:r>
      <w:r>
        <w:rPr>
          <w:rFonts w:ascii="Arial" w:hAnsi="Arial" w:cs="Arial"/>
          <w:szCs w:val="24"/>
        </w:rPr>
        <w:t>é</w:t>
      </w:r>
      <w:r w:rsidRPr="00BA3705">
        <w:rPr>
          <w:rFonts w:ascii="Arial" w:hAnsi="Arial" w:cs="Arial"/>
          <w:szCs w:val="24"/>
        </w:rPr>
        <w:t xml:space="preserve"> usnesením vlády ze dne 20. července 2020 č. 759</w:t>
      </w:r>
      <w:r w:rsidR="00AB5C14">
        <w:rPr>
          <w:rFonts w:ascii="Arial" w:hAnsi="Arial" w:cs="Arial"/>
          <w:szCs w:val="24"/>
        </w:rPr>
        <w:t xml:space="preserve"> </w:t>
      </w:r>
      <w:r w:rsidR="00AB5C14" w:rsidRPr="00BA3705">
        <w:rPr>
          <w:rFonts w:ascii="Arial" w:hAnsi="Arial" w:cs="Arial"/>
          <w:szCs w:val="24"/>
        </w:rPr>
        <w:t>(</w:t>
      </w:r>
      <w:r w:rsidR="00AB5C14">
        <w:rPr>
          <w:rFonts w:ascii="Arial" w:hAnsi="Arial" w:cs="Arial"/>
          <w:szCs w:val="24"/>
        </w:rPr>
        <w:t>dále jen „</w:t>
      </w:r>
      <w:r w:rsidR="00AB5C14" w:rsidRPr="00BA3705">
        <w:rPr>
          <w:rFonts w:ascii="Arial" w:hAnsi="Arial" w:cs="Arial"/>
          <w:szCs w:val="24"/>
        </w:rPr>
        <w:t xml:space="preserve">NP </w:t>
      </w:r>
      <w:proofErr w:type="spellStart"/>
      <w:r w:rsidR="00AB5C14" w:rsidRPr="00BA3705">
        <w:rPr>
          <w:rFonts w:ascii="Arial" w:hAnsi="Arial" w:cs="Arial"/>
          <w:szCs w:val="24"/>
        </w:rPr>
        <w:t>VaVaI</w:t>
      </w:r>
      <w:proofErr w:type="spellEnd"/>
      <w:r w:rsidR="00AB5C14" w:rsidRPr="00BA3705">
        <w:rPr>
          <w:rFonts w:ascii="Arial" w:hAnsi="Arial" w:cs="Arial"/>
          <w:szCs w:val="24"/>
        </w:rPr>
        <w:t xml:space="preserve"> 2021+</w:t>
      </w:r>
      <w:r w:rsidR="00AB5C14">
        <w:rPr>
          <w:rFonts w:ascii="Arial" w:hAnsi="Arial" w:cs="Arial"/>
          <w:szCs w:val="24"/>
        </w:rPr>
        <w:t>“</w:t>
      </w:r>
      <w:r w:rsidR="00AB5C14" w:rsidRPr="00BA3705">
        <w:rPr>
          <w:rFonts w:ascii="Arial" w:hAnsi="Arial" w:cs="Arial"/>
          <w:szCs w:val="24"/>
        </w:rPr>
        <w:t>)</w:t>
      </w:r>
      <w:r w:rsidRPr="00BA3705">
        <w:rPr>
          <w:rFonts w:ascii="Arial" w:hAnsi="Arial" w:cs="Arial"/>
          <w:szCs w:val="24"/>
        </w:rPr>
        <w:t>,</w:t>
      </w:r>
    </w:p>
    <w:p w:rsidR="008C5426" w:rsidRPr="00DE22D0" w:rsidRDefault="008C5426" w:rsidP="0087304A">
      <w:pPr>
        <w:pStyle w:val="Odstavecseseznamem"/>
        <w:numPr>
          <w:ilvl w:val="0"/>
          <w:numId w:val="20"/>
        </w:numPr>
        <w:spacing w:after="120"/>
        <w:ind w:left="426" w:hanging="283"/>
        <w:contextualSpacing w:val="0"/>
        <w:jc w:val="both"/>
        <w:rPr>
          <w:rFonts w:ascii="Arial" w:hAnsi="Arial" w:cs="Arial"/>
        </w:rPr>
      </w:pPr>
      <w:r w:rsidRPr="00DE22D0">
        <w:rPr>
          <w:rFonts w:ascii="Arial" w:hAnsi="Arial" w:cs="Arial"/>
        </w:rPr>
        <w:t>Národní</w:t>
      </w:r>
      <w:r>
        <w:rPr>
          <w:rFonts w:ascii="Arial" w:hAnsi="Arial" w:cs="Arial"/>
        </w:rPr>
        <w:t>ch</w:t>
      </w:r>
      <w:r w:rsidRPr="00DE22D0">
        <w:rPr>
          <w:rFonts w:ascii="Arial" w:hAnsi="Arial" w:cs="Arial"/>
        </w:rPr>
        <w:t xml:space="preserve"> priorit orientovaného vý</w:t>
      </w:r>
      <w:r>
        <w:rPr>
          <w:rFonts w:ascii="Arial" w:hAnsi="Arial" w:cs="Arial"/>
        </w:rPr>
        <w:t>zkumu, experimentálního vývoje a </w:t>
      </w:r>
      <w:r w:rsidRPr="00DE22D0">
        <w:rPr>
          <w:rFonts w:ascii="Arial" w:hAnsi="Arial" w:cs="Arial"/>
        </w:rPr>
        <w:t>inovací schválený</w:t>
      </w:r>
      <w:r>
        <w:rPr>
          <w:rFonts w:ascii="Arial" w:hAnsi="Arial" w:cs="Arial"/>
        </w:rPr>
        <w:t>ch</w:t>
      </w:r>
      <w:r w:rsidRPr="00DE22D0">
        <w:rPr>
          <w:rFonts w:ascii="Arial" w:hAnsi="Arial" w:cs="Arial"/>
        </w:rPr>
        <w:t xml:space="preserve"> usnesením vlády ze dne 19. července 2012 č. 552</w:t>
      </w:r>
      <w:r w:rsidR="0087304A">
        <w:rPr>
          <w:rFonts w:ascii="Arial" w:hAnsi="Arial" w:cs="Arial"/>
        </w:rPr>
        <w:t>;</w:t>
      </w:r>
    </w:p>
    <w:p w:rsidR="00E36691" w:rsidRPr="00B46482" w:rsidRDefault="008C5426" w:rsidP="00045374">
      <w:pPr>
        <w:pStyle w:val="Odstavecseseznamem"/>
        <w:numPr>
          <w:ilvl w:val="0"/>
          <w:numId w:val="20"/>
        </w:numPr>
        <w:autoSpaceDE w:val="0"/>
        <w:autoSpaceDN w:val="0"/>
        <w:adjustRightInd w:val="0"/>
        <w:spacing w:after="120"/>
        <w:ind w:left="426" w:hanging="283"/>
        <w:contextualSpacing w:val="0"/>
        <w:jc w:val="both"/>
        <w:rPr>
          <w:rFonts w:ascii="Arial" w:eastAsiaTheme="minorHAnsi" w:hAnsi="Arial" w:cs="Arial"/>
          <w:color w:val="000000"/>
          <w:lang w:eastAsia="en-US"/>
        </w:rPr>
      </w:pPr>
      <w:r w:rsidRPr="00B46482">
        <w:rPr>
          <w:rFonts w:ascii="Arial" w:hAnsi="Arial" w:cs="Arial"/>
        </w:rPr>
        <w:t>Nařízení Komise (EU) č. 651/2014 ze dne 17. června 2014, kterým se v </w:t>
      </w:r>
      <w:r w:rsidR="0087304A" w:rsidRPr="00B46482">
        <w:rPr>
          <w:rFonts w:ascii="Arial" w:hAnsi="Arial" w:cs="Arial"/>
        </w:rPr>
        <w:t>souladu s </w:t>
      </w:r>
      <w:r w:rsidRPr="00B46482">
        <w:rPr>
          <w:rFonts w:ascii="Arial" w:hAnsi="Arial" w:cs="Arial"/>
        </w:rPr>
        <w:t>články 107 a 108 Smlouvy prohlašují určité kategorie podpory za slu</w:t>
      </w:r>
      <w:r w:rsidR="0087304A" w:rsidRPr="00B46482">
        <w:rPr>
          <w:rFonts w:ascii="Arial" w:hAnsi="Arial" w:cs="Arial"/>
        </w:rPr>
        <w:t>čitelné s </w:t>
      </w:r>
      <w:r w:rsidRPr="00B46482">
        <w:rPr>
          <w:rFonts w:ascii="Arial" w:hAnsi="Arial" w:cs="Arial"/>
        </w:rPr>
        <w:t>vnitřním trhem – L 187/1 (dále jen „Nařízení Komise (EU)“) a Sdělením Komise – Rámec pro státní podporu výzkumu, vývoje a inovací - 2</w:t>
      </w:r>
      <w:r w:rsidR="00E36691" w:rsidRPr="00B46482">
        <w:rPr>
          <w:rFonts w:ascii="Arial" w:hAnsi="Arial" w:cs="Arial"/>
        </w:rPr>
        <w:t>014/C 198/01 (dále jen „</w:t>
      </w:r>
      <w:r w:rsidR="00B46482" w:rsidRPr="00B46482">
        <w:rPr>
          <w:rFonts w:ascii="Arial" w:hAnsi="Arial" w:cs="Arial"/>
        </w:rPr>
        <w:t>Rámec</w:t>
      </w:r>
      <w:r w:rsidR="0087304A" w:rsidRPr="00B46482">
        <w:rPr>
          <w:rFonts w:ascii="Arial" w:hAnsi="Arial" w:cs="Arial"/>
        </w:rPr>
        <w:t>“)</w:t>
      </w:r>
      <w:r w:rsidR="00B46482" w:rsidRPr="00B46482">
        <w:rPr>
          <w:rFonts w:ascii="Arial" w:hAnsi="Arial" w:cs="Arial"/>
        </w:rPr>
        <w:t xml:space="preserve"> v</w:t>
      </w:r>
      <w:r w:rsidR="00B46482">
        <w:rPr>
          <w:rFonts w:ascii="Arial" w:hAnsi="Arial" w:cs="Arial"/>
        </w:rPr>
        <w:t> </w:t>
      </w:r>
      <w:r w:rsidR="00B46482" w:rsidRPr="00B46482">
        <w:rPr>
          <w:rFonts w:ascii="Arial" w:hAnsi="Arial" w:cs="Arial"/>
        </w:rPr>
        <w:t>revidované</w:t>
      </w:r>
      <w:r w:rsidR="00B46482">
        <w:rPr>
          <w:rFonts w:ascii="Arial" w:hAnsi="Arial" w:cs="Arial"/>
        </w:rPr>
        <w:t xml:space="preserve"> podobě</w:t>
      </w:r>
      <w:r w:rsidR="00B46482" w:rsidRPr="00B46482">
        <w:rPr>
          <w:rFonts w:ascii="Arial" w:hAnsi="Arial" w:cs="Arial"/>
        </w:rPr>
        <w:t xml:space="preserve"> </w:t>
      </w:r>
      <w:r w:rsidR="00E36691" w:rsidRPr="00B46482">
        <w:rPr>
          <w:rFonts w:ascii="Arial" w:eastAsiaTheme="minorHAnsi" w:hAnsi="Arial" w:cs="Arial"/>
          <w:color w:val="000000"/>
          <w:lang w:eastAsia="en-US"/>
        </w:rPr>
        <w:t>Sdělení komise C(2022) 7388 ze dne 19. října 2022.</w:t>
      </w:r>
    </w:p>
    <w:p w:rsidR="00F24C5F" w:rsidRPr="00F24C5F" w:rsidRDefault="00F24C5F" w:rsidP="00F24C5F">
      <w:pPr>
        <w:spacing w:after="120"/>
        <w:jc w:val="both"/>
        <w:rPr>
          <w:rFonts w:ascii="Arial" w:eastAsiaTheme="minorHAnsi" w:hAnsi="Arial" w:cs="Arial"/>
          <w:color w:val="000000"/>
          <w:lang w:eastAsia="en-US"/>
        </w:rPr>
      </w:pPr>
    </w:p>
    <w:p w:rsidR="0078058C" w:rsidRPr="0026232B" w:rsidRDefault="0099436E" w:rsidP="00F32836">
      <w:pPr>
        <w:pStyle w:val="Normalodsazen"/>
        <w:numPr>
          <w:ilvl w:val="0"/>
          <w:numId w:val="21"/>
        </w:numPr>
        <w:spacing w:after="120" w:line="240" w:lineRule="auto"/>
        <w:ind w:left="426"/>
        <w:rPr>
          <w:b/>
          <w:color w:val="0070C0"/>
          <w:sz w:val="24"/>
        </w:rPr>
      </w:pPr>
      <w:r w:rsidRPr="0026232B">
        <w:rPr>
          <w:b/>
          <w:color w:val="0070C0"/>
          <w:sz w:val="24"/>
        </w:rPr>
        <w:t>Soulad se zákonem o podpoře výzkumu, experimentálního vývoje a</w:t>
      </w:r>
      <w:r w:rsidR="00991C33" w:rsidRPr="0026232B">
        <w:rPr>
          <w:b/>
          <w:color w:val="0070C0"/>
          <w:sz w:val="24"/>
        </w:rPr>
        <w:t> </w:t>
      </w:r>
      <w:r w:rsidRPr="0026232B">
        <w:rPr>
          <w:b/>
          <w:color w:val="0070C0"/>
          <w:sz w:val="24"/>
        </w:rPr>
        <w:t>inovací</w:t>
      </w:r>
      <w:r w:rsidR="0078058C" w:rsidRPr="0026232B">
        <w:rPr>
          <w:b/>
          <w:color w:val="0070C0"/>
          <w:sz w:val="24"/>
        </w:rPr>
        <w:t xml:space="preserve"> </w:t>
      </w:r>
    </w:p>
    <w:p w:rsidR="00991C33" w:rsidRPr="00991C33" w:rsidRDefault="00991C33" w:rsidP="001E1D3D">
      <w:pPr>
        <w:spacing w:after="120"/>
        <w:jc w:val="both"/>
        <w:rPr>
          <w:rFonts w:ascii="Arial" w:hAnsi="Arial" w:cs="Arial"/>
        </w:rPr>
      </w:pPr>
      <w:r w:rsidRPr="00991C33">
        <w:rPr>
          <w:rFonts w:ascii="Arial" w:hAnsi="Arial" w:cs="Arial"/>
        </w:rPr>
        <w:t xml:space="preserve">Rada hodnotí splnění požadavků na obsah </w:t>
      </w:r>
      <w:r w:rsidR="0026232B">
        <w:rPr>
          <w:rFonts w:ascii="Arial" w:hAnsi="Arial" w:cs="Arial"/>
        </w:rPr>
        <w:t>nového</w:t>
      </w:r>
      <w:r w:rsidRPr="00991C33">
        <w:rPr>
          <w:rFonts w:ascii="Arial" w:hAnsi="Arial" w:cs="Arial"/>
        </w:rPr>
        <w:t xml:space="preserve"> programu, stanovených § 5 odst. 2 zákona </w:t>
      </w:r>
      <w:r w:rsidR="00D9058B">
        <w:rPr>
          <w:rFonts w:ascii="Arial" w:hAnsi="Arial" w:cs="Arial"/>
        </w:rPr>
        <w:t xml:space="preserve">č. 130/2002 Sb., o </w:t>
      </w:r>
      <w:r w:rsidR="00AB5C14">
        <w:rPr>
          <w:rFonts w:ascii="Arial" w:hAnsi="Arial" w:cs="Arial"/>
        </w:rPr>
        <w:t xml:space="preserve">podpoře </w:t>
      </w:r>
      <w:r w:rsidR="00D9058B">
        <w:rPr>
          <w:rFonts w:ascii="Arial" w:hAnsi="Arial" w:cs="Arial"/>
        </w:rPr>
        <w:t>výzkumu, experimentální</w:t>
      </w:r>
      <w:r w:rsidR="00AB5C14">
        <w:rPr>
          <w:rFonts w:ascii="Arial" w:hAnsi="Arial" w:cs="Arial"/>
        </w:rPr>
        <w:t>ho</w:t>
      </w:r>
      <w:r w:rsidR="00D9058B">
        <w:rPr>
          <w:rFonts w:ascii="Arial" w:hAnsi="Arial" w:cs="Arial"/>
        </w:rPr>
        <w:t xml:space="preserve"> vývoj</w:t>
      </w:r>
      <w:r w:rsidR="00AB5C14">
        <w:rPr>
          <w:rFonts w:ascii="Arial" w:hAnsi="Arial" w:cs="Arial"/>
        </w:rPr>
        <w:t>e</w:t>
      </w:r>
      <w:r w:rsidR="00D9058B">
        <w:rPr>
          <w:rFonts w:ascii="Arial" w:hAnsi="Arial" w:cs="Arial"/>
        </w:rPr>
        <w:t xml:space="preserve"> a inovací</w:t>
      </w:r>
      <w:r w:rsidR="005736AB">
        <w:rPr>
          <w:rFonts w:ascii="Arial" w:hAnsi="Arial" w:cs="Arial"/>
        </w:rPr>
        <w:t xml:space="preserve"> </w:t>
      </w:r>
      <w:r w:rsidRPr="00991C33">
        <w:rPr>
          <w:rFonts w:ascii="Arial" w:hAnsi="Arial" w:cs="Arial"/>
        </w:rPr>
        <w:t>takto:</w:t>
      </w:r>
    </w:p>
    <w:p w:rsidR="00991C33" w:rsidRPr="00991C33" w:rsidRDefault="00991C33" w:rsidP="001E1D3D">
      <w:pPr>
        <w:numPr>
          <w:ilvl w:val="0"/>
          <w:numId w:val="2"/>
        </w:numPr>
        <w:spacing w:after="120"/>
        <w:jc w:val="both"/>
        <w:rPr>
          <w:rFonts w:ascii="Arial" w:hAnsi="Arial" w:cs="Arial"/>
          <w:u w:val="single"/>
        </w:rPr>
      </w:pPr>
      <w:r w:rsidRPr="00991C33">
        <w:rPr>
          <w:rFonts w:ascii="Arial" w:hAnsi="Arial" w:cs="Arial"/>
          <w:u w:val="single"/>
        </w:rPr>
        <w:t>Identifikační údaje programu, členění na podprogramy, termín vyhlášení a doba trvání</w:t>
      </w:r>
    </w:p>
    <w:p w:rsidR="00991C33" w:rsidRPr="00991C33" w:rsidRDefault="00991C33" w:rsidP="00F45C23">
      <w:pPr>
        <w:spacing w:after="120"/>
        <w:jc w:val="both"/>
        <w:outlineLvl w:val="0"/>
        <w:rPr>
          <w:rFonts w:ascii="Arial" w:hAnsi="Arial" w:cs="Arial"/>
        </w:rPr>
      </w:pPr>
      <w:r w:rsidRPr="00991C33">
        <w:rPr>
          <w:rFonts w:ascii="Arial" w:hAnsi="Arial" w:cs="Arial"/>
          <w:u w:val="single"/>
        </w:rPr>
        <w:t>Název programu:</w:t>
      </w:r>
      <w:r w:rsidRPr="00991C33">
        <w:rPr>
          <w:rFonts w:ascii="Arial" w:hAnsi="Arial" w:cs="Arial"/>
        </w:rPr>
        <w:t xml:space="preserve"> </w:t>
      </w:r>
      <w:r w:rsidR="00F45C23" w:rsidRPr="00F45C23">
        <w:rPr>
          <w:rFonts w:ascii="Arial" w:hAnsi="Arial" w:cs="Arial"/>
        </w:rPr>
        <w:t>Program</w:t>
      </w:r>
      <w:r w:rsidR="00F45C23">
        <w:rPr>
          <w:rFonts w:ascii="Arial" w:hAnsi="Arial" w:cs="Arial"/>
        </w:rPr>
        <w:t xml:space="preserve"> </w:t>
      </w:r>
      <w:r w:rsidR="00F45C23" w:rsidRPr="00F45C23">
        <w:rPr>
          <w:rFonts w:ascii="Arial" w:hAnsi="Arial" w:cs="Arial"/>
          <w:bCs/>
        </w:rPr>
        <w:t>na podporu aplikovaného výzkumu a inovací THÉTA 2</w:t>
      </w:r>
      <w:r w:rsidRPr="00991C33">
        <w:rPr>
          <w:rFonts w:ascii="Arial" w:hAnsi="Arial" w:cs="Arial"/>
        </w:rPr>
        <w:t xml:space="preserve"> </w:t>
      </w:r>
    </w:p>
    <w:p w:rsidR="00991C33" w:rsidRDefault="00991C33" w:rsidP="001E1D3D">
      <w:pPr>
        <w:pStyle w:val="Zkladntext2"/>
        <w:spacing w:after="120"/>
        <w:jc w:val="both"/>
        <w:outlineLvl w:val="0"/>
        <w:rPr>
          <w:rFonts w:ascii="Arial" w:hAnsi="Arial" w:cs="Arial"/>
          <w:i/>
          <w:szCs w:val="24"/>
        </w:rPr>
      </w:pPr>
      <w:r w:rsidRPr="0099436E">
        <w:rPr>
          <w:rFonts w:ascii="Arial" w:hAnsi="Arial" w:cs="Arial"/>
          <w:szCs w:val="24"/>
          <w:u w:val="single"/>
        </w:rPr>
        <w:lastRenderedPageBreak/>
        <w:t xml:space="preserve">Identifikační kód </w:t>
      </w:r>
      <w:r>
        <w:rPr>
          <w:rFonts w:ascii="Arial" w:hAnsi="Arial" w:cs="Arial"/>
          <w:szCs w:val="24"/>
          <w:u w:val="single"/>
        </w:rPr>
        <w:t>p</w:t>
      </w:r>
      <w:r w:rsidRPr="0099436E">
        <w:rPr>
          <w:rFonts w:ascii="Arial" w:hAnsi="Arial" w:cs="Arial"/>
          <w:szCs w:val="24"/>
          <w:u w:val="single"/>
        </w:rPr>
        <w:t>rogramu</w:t>
      </w:r>
      <w:r w:rsidRPr="0099436E">
        <w:rPr>
          <w:rFonts w:ascii="Arial" w:hAnsi="Arial" w:cs="Arial"/>
          <w:szCs w:val="24"/>
        </w:rPr>
        <w:t>:</w:t>
      </w:r>
      <w:r w:rsidR="002B3079">
        <w:rPr>
          <w:rFonts w:ascii="Arial" w:hAnsi="Arial" w:cs="Arial"/>
          <w:szCs w:val="24"/>
        </w:rPr>
        <w:t xml:space="preserve"> TS</w:t>
      </w:r>
    </w:p>
    <w:p w:rsidR="00491F88" w:rsidRPr="00816844" w:rsidRDefault="00991C33" w:rsidP="001E1D3D">
      <w:pPr>
        <w:spacing w:after="120"/>
        <w:jc w:val="both"/>
        <w:rPr>
          <w:rFonts w:ascii="Arial" w:hAnsi="Arial" w:cs="Arial"/>
        </w:rPr>
      </w:pPr>
      <w:r w:rsidRPr="00816844">
        <w:rPr>
          <w:rFonts w:ascii="Arial" w:hAnsi="Arial" w:cs="Arial"/>
          <w:u w:val="single"/>
        </w:rPr>
        <w:t>Členění na podprogramy:</w:t>
      </w:r>
      <w:r w:rsidRPr="00816844">
        <w:rPr>
          <w:rFonts w:ascii="Arial" w:hAnsi="Arial" w:cs="Arial"/>
        </w:rPr>
        <w:t xml:space="preserve"> </w:t>
      </w:r>
      <w:r w:rsidR="00491F88" w:rsidRPr="00816844">
        <w:rPr>
          <w:rFonts w:ascii="Arial" w:hAnsi="Arial" w:cs="Arial"/>
        </w:rPr>
        <w:t xml:space="preserve">Program </w:t>
      </w:r>
      <w:r w:rsidR="00975206">
        <w:rPr>
          <w:rFonts w:ascii="Arial" w:hAnsi="Arial" w:cs="Arial"/>
        </w:rPr>
        <w:t>se</w:t>
      </w:r>
      <w:r w:rsidR="00491F88" w:rsidRPr="00816844">
        <w:rPr>
          <w:rFonts w:ascii="Arial" w:hAnsi="Arial" w:cs="Arial"/>
        </w:rPr>
        <w:t xml:space="preserve"> člen</w:t>
      </w:r>
      <w:r w:rsidR="00975206">
        <w:rPr>
          <w:rFonts w:ascii="Arial" w:hAnsi="Arial" w:cs="Arial"/>
        </w:rPr>
        <w:t>í</w:t>
      </w:r>
      <w:r w:rsidR="00491F88" w:rsidRPr="00816844">
        <w:rPr>
          <w:rFonts w:ascii="Arial" w:hAnsi="Arial" w:cs="Arial"/>
        </w:rPr>
        <w:t xml:space="preserve"> na </w:t>
      </w:r>
      <w:r w:rsidR="00634C90">
        <w:rPr>
          <w:rFonts w:ascii="Arial" w:hAnsi="Arial" w:cs="Arial"/>
        </w:rPr>
        <w:t>tři</w:t>
      </w:r>
      <w:r w:rsidR="00491F88" w:rsidRPr="00816844">
        <w:rPr>
          <w:rFonts w:ascii="Arial" w:hAnsi="Arial" w:cs="Arial"/>
        </w:rPr>
        <w:t xml:space="preserve"> podprogramy</w:t>
      </w:r>
      <w:r w:rsidR="00975206">
        <w:rPr>
          <w:rFonts w:ascii="Arial" w:hAnsi="Arial" w:cs="Arial"/>
        </w:rPr>
        <w:t>:</w:t>
      </w:r>
    </w:p>
    <w:p w:rsidR="00491F88" w:rsidRPr="009A0D19" w:rsidRDefault="00975206" w:rsidP="00634C90">
      <w:pPr>
        <w:spacing w:before="60" w:after="60"/>
        <w:jc w:val="both"/>
        <w:rPr>
          <w:rFonts w:ascii="Arial" w:hAnsi="Arial" w:cs="Arial"/>
        </w:rPr>
      </w:pPr>
      <w:r>
        <w:rPr>
          <w:rFonts w:ascii="Arial" w:hAnsi="Arial" w:cs="Arial"/>
        </w:rPr>
        <w:t>Podprogram</w:t>
      </w:r>
      <w:r w:rsidR="00491F88" w:rsidRPr="00816844">
        <w:rPr>
          <w:rFonts w:ascii="Arial" w:hAnsi="Arial" w:cs="Arial"/>
        </w:rPr>
        <w:t xml:space="preserve"> 1 </w:t>
      </w:r>
      <w:r>
        <w:rPr>
          <w:rFonts w:ascii="Arial" w:hAnsi="Arial" w:cs="Arial"/>
        </w:rPr>
        <w:t xml:space="preserve">Výzkum </w:t>
      </w:r>
      <w:r w:rsidR="00C1204D" w:rsidRPr="00C1204D">
        <w:rPr>
          <w:rFonts w:ascii="Arial" w:hAnsi="Arial" w:cs="Arial"/>
          <w:bCs/>
        </w:rPr>
        <w:t>ve veřejném zájmu</w:t>
      </w:r>
      <w:r>
        <w:rPr>
          <w:rFonts w:ascii="Arial" w:hAnsi="Arial" w:cs="Arial"/>
        </w:rPr>
        <w:t>,</w:t>
      </w:r>
    </w:p>
    <w:p w:rsidR="00975206" w:rsidRPr="009A0D19" w:rsidRDefault="00975206" w:rsidP="00975206">
      <w:pPr>
        <w:spacing w:before="60" w:after="60"/>
        <w:jc w:val="both"/>
        <w:rPr>
          <w:rFonts w:ascii="Arial" w:hAnsi="Arial" w:cs="Arial"/>
        </w:rPr>
      </w:pPr>
      <w:r>
        <w:rPr>
          <w:rFonts w:ascii="Arial" w:hAnsi="Arial" w:cs="Arial"/>
        </w:rPr>
        <w:t>Podprogram</w:t>
      </w:r>
      <w:r w:rsidR="00491F88" w:rsidRPr="009A0D19">
        <w:rPr>
          <w:rFonts w:ascii="Arial" w:hAnsi="Arial" w:cs="Arial"/>
        </w:rPr>
        <w:t xml:space="preserve"> 2 </w:t>
      </w:r>
      <w:r w:rsidR="00634C90" w:rsidRPr="00634C90">
        <w:rPr>
          <w:rFonts w:ascii="Arial" w:hAnsi="Arial" w:cs="Arial"/>
        </w:rPr>
        <w:t>Energetické technologie pro konkurenceschopnost</w:t>
      </w:r>
      <w:r>
        <w:rPr>
          <w:rFonts w:ascii="Arial" w:hAnsi="Arial" w:cs="Arial"/>
        </w:rPr>
        <w:t>,</w:t>
      </w:r>
      <w:r w:rsidRPr="009A0D19">
        <w:rPr>
          <w:rFonts w:ascii="Arial" w:hAnsi="Arial" w:cs="Arial"/>
        </w:rPr>
        <w:t xml:space="preserve"> </w:t>
      </w:r>
    </w:p>
    <w:p w:rsidR="00634C90" w:rsidRPr="009A0D19" w:rsidRDefault="00634C90" w:rsidP="00634C90">
      <w:pPr>
        <w:spacing w:before="60" w:after="60"/>
        <w:jc w:val="both"/>
        <w:rPr>
          <w:rFonts w:ascii="Arial" w:hAnsi="Arial" w:cs="Arial"/>
        </w:rPr>
      </w:pPr>
      <w:r w:rsidRPr="00634C90">
        <w:rPr>
          <w:rFonts w:ascii="Arial" w:hAnsi="Arial" w:cs="Arial"/>
        </w:rPr>
        <w:t xml:space="preserve">Podprogram </w:t>
      </w:r>
      <w:r w:rsidRPr="00634C90">
        <w:rPr>
          <w:rFonts w:ascii="Arial" w:hAnsi="Arial" w:cs="Arial"/>
          <w:bCs/>
        </w:rPr>
        <w:t>3</w:t>
      </w:r>
      <w:r w:rsidR="00975206">
        <w:rPr>
          <w:rFonts w:ascii="Arial" w:hAnsi="Arial" w:cs="Arial"/>
          <w:bCs/>
        </w:rPr>
        <w:t xml:space="preserve"> </w:t>
      </w:r>
      <w:r w:rsidRPr="00634C90">
        <w:rPr>
          <w:rFonts w:ascii="Arial" w:hAnsi="Arial" w:cs="Arial"/>
          <w:bCs/>
        </w:rPr>
        <w:t>Technologie k zajištění dlouhodobé udržitelnosti energetiky</w:t>
      </w:r>
      <w:r w:rsidR="00975206">
        <w:rPr>
          <w:rFonts w:ascii="Arial" w:hAnsi="Arial" w:cs="Arial"/>
          <w:bCs/>
        </w:rPr>
        <w:t>.</w:t>
      </w:r>
    </w:p>
    <w:p w:rsidR="009A0D19" w:rsidRDefault="009A0D19" w:rsidP="000D29F5">
      <w:pPr>
        <w:spacing w:before="60" w:after="60"/>
        <w:jc w:val="both"/>
        <w:rPr>
          <w:rFonts w:ascii="Arial" w:hAnsi="Arial" w:cs="Arial"/>
        </w:rPr>
      </w:pPr>
      <w:r w:rsidRPr="00637D93">
        <w:rPr>
          <w:rFonts w:ascii="Arial" w:hAnsi="Arial" w:cs="Arial"/>
          <w:u w:val="single"/>
        </w:rPr>
        <w:t>Termín vyhlášení a doba trvání programu:</w:t>
      </w:r>
      <w:r w:rsidR="00370A46">
        <w:rPr>
          <w:rFonts w:ascii="Arial" w:hAnsi="Arial" w:cs="Arial"/>
        </w:rPr>
        <w:t xml:space="preserve"> </w:t>
      </w:r>
      <w:r w:rsidRPr="00B34399">
        <w:rPr>
          <w:rFonts w:ascii="Arial" w:hAnsi="Arial" w:cs="Arial"/>
        </w:rPr>
        <w:t>Doba trvání Programu je stanovena v letech 2024 až 203</w:t>
      </w:r>
      <w:r w:rsidR="00FC2921">
        <w:rPr>
          <w:rFonts w:ascii="Arial" w:hAnsi="Arial" w:cs="Arial"/>
        </w:rPr>
        <w:t>1</w:t>
      </w:r>
      <w:r w:rsidRPr="00B34399">
        <w:rPr>
          <w:rFonts w:ascii="Arial" w:hAnsi="Arial" w:cs="Arial"/>
        </w:rPr>
        <w:t xml:space="preserve">, tj. </w:t>
      </w:r>
      <w:r w:rsidR="00FC2921">
        <w:rPr>
          <w:rFonts w:ascii="Arial" w:hAnsi="Arial" w:cs="Arial"/>
        </w:rPr>
        <w:t>8</w:t>
      </w:r>
      <w:r w:rsidRPr="00B34399">
        <w:rPr>
          <w:rFonts w:ascii="Arial" w:hAnsi="Arial" w:cs="Arial"/>
        </w:rPr>
        <w:t xml:space="preserve"> let. </w:t>
      </w:r>
      <w:r w:rsidR="00AD2FD3" w:rsidRPr="00AD2FD3">
        <w:rPr>
          <w:rFonts w:ascii="Arial" w:hAnsi="Arial" w:cs="Arial"/>
        </w:rPr>
        <w:t>První veřejnou soutěž na výběr projektů předpokládá poskytovatel vyhlásit v roce 2023 se zahájením poskytování podpory od roku 2024.</w:t>
      </w:r>
      <w:r w:rsidRPr="00B34399">
        <w:rPr>
          <w:rFonts w:ascii="Arial" w:hAnsi="Arial" w:cs="Arial"/>
        </w:rPr>
        <w:t xml:space="preserve"> </w:t>
      </w:r>
    </w:p>
    <w:p w:rsidR="0087304A" w:rsidRPr="00B34399" w:rsidRDefault="0087304A" w:rsidP="000D29F5">
      <w:pPr>
        <w:spacing w:before="60" w:after="60"/>
        <w:jc w:val="both"/>
        <w:rPr>
          <w:rFonts w:ascii="Arial" w:hAnsi="Arial" w:cs="Arial"/>
        </w:rPr>
      </w:pPr>
    </w:p>
    <w:p w:rsidR="00370A46" w:rsidRDefault="00370A46" w:rsidP="001E1D3D">
      <w:pPr>
        <w:pStyle w:val="Zkladntext"/>
        <w:numPr>
          <w:ilvl w:val="0"/>
          <w:numId w:val="2"/>
        </w:numPr>
        <w:jc w:val="both"/>
        <w:rPr>
          <w:rFonts w:ascii="Arial" w:hAnsi="Arial" w:cs="Arial"/>
          <w:szCs w:val="22"/>
          <w:u w:val="single"/>
        </w:rPr>
      </w:pPr>
      <w:r w:rsidRPr="001A65AF">
        <w:rPr>
          <w:rFonts w:ascii="Arial" w:hAnsi="Arial" w:cs="Arial"/>
          <w:szCs w:val="22"/>
          <w:u w:val="single"/>
        </w:rPr>
        <w:t>celkové výdaje na uskutečnění programu, popřípadě podprogramů, z toho výdaje z veřejných prostředků s uvedením výdajů státního rozpočtu, a jejic</w:t>
      </w:r>
      <w:r w:rsidR="002655F9">
        <w:rPr>
          <w:rFonts w:ascii="Arial" w:hAnsi="Arial" w:cs="Arial"/>
          <w:szCs w:val="22"/>
          <w:u w:val="single"/>
        </w:rPr>
        <w:t>h členění v jednotlivých letech</w:t>
      </w:r>
    </w:p>
    <w:p w:rsidR="00934DE6" w:rsidRDefault="00934DE6" w:rsidP="000D29F5">
      <w:pPr>
        <w:spacing w:before="60" w:after="60"/>
        <w:jc w:val="both"/>
      </w:pPr>
      <w:r w:rsidRPr="00934DE6">
        <w:rPr>
          <w:rFonts w:ascii="Arial" w:hAnsi="Arial" w:cs="Arial"/>
        </w:rPr>
        <w:t xml:space="preserve">Celkové výdaje </w:t>
      </w:r>
      <w:r w:rsidR="00AD2FD3">
        <w:rPr>
          <w:rFonts w:ascii="Arial" w:hAnsi="Arial" w:cs="Arial"/>
        </w:rPr>
        <w:t>na Program</w:t>
      </w:r>
      <w:r w:rsidRPr="00934DE6">
        <w:rPr>
          <w:rFonts w:ascii="Arial" w:hAnsi="Arial" w:cs="Arial"/>
        </w:rPr>
        <w:t xml:space="preserve"> se předpokládají ve</w:t>
      </w:r>
      <w:r>
        <w:rPr>
          <w:rFonts w:ascii="Arial" w:hAnsi="Arial" w:cs="Arial"/>
        </w:rPr>
        <w:t> </w:t>
      </w:r>
      <w:r w:rsidRPr="00934DE6">
        <w:rPr>
          <w:rFonts w:ascii="Arial" w:hAnsi="Arial" w:cs="Arial"/>
        </w:rPr>
        <w:t xml:space="preserve">výši </w:t>
      </w:r>
      <w:r w:rsidR="00AD2FD3" w:rsidRPr="00AD2FD3">
        <w:rPr>
          <w:rFonts w:ascii="Arial" w:hAnsi="Arial" w:cs="Arial"/>
        </w:rPr>
        <w:t>10 621,7</w:t>
      </w:r>
      <w:r w:rsidR="00AD2FD3">
        <w:rPr>
          <w:rFonts w:ascii="Arial" w:hAnsi="Arial" w:cs="Arial"/>
        </w:rPr>
        <w:t xml:space="preserve"> </w:t>
      </w:r>
      <w:r w:rsidRPr="00934DE6">
        <w:rPr>
          <w:rFonts w:ascii="Arial" w:hAnsi="Arial" w:cs="Arial"/>
        </w:rPr>
        <w:t xml:space="preserve">mil. Kč, z toho </w:t>
      </w:r>
      <w:r w:rsidR="00AD2FD3">
        <w:rPr>
          <w:rFonts w:ascii="Arial" w:hAnsi="Arial" w:cs="Arial"/>
        </w:rPr>
        <w:t>7 410</w:t>
      </w:r>
      <w:r w:rsidRPr="00934DE6">
        <w:rPr>
          <w:rFonts w:ascii="Arial" w:hAnsi="Arial" w:cs="Arial"/>
        </w:rPr>
        <w:t xml:space="preserve"> mil. Kč bude financováno ze státního rozpočtu na</w:t>
      </w:r>
      <w:r w:rsidR="00355E9D">
        <w:rPr>
          <w:rFonts w:ascii="Arial" w:hAnsi="Arial" w:cs="Arial"/>
        </w:rPr>
        <w:t> </w:t>
      </w:r>
      <w:r w:rsidRPr="00934DE6">
        <w:rPr>
          <w:rFonts w:ascii="Arial" w:hAnsi="Arial" w:cs="Arial"/>
        </w:rPr>
        <w:t>výzkum, vývoj a inovace</w:t>
      </w:r>
      <w:r w:rsidR="00AD2FD3">
        <w:rPr>
          <w:rFonts w:ascii="Arial" w:hAnsi="Arial" w:cs="Arial"/>
        </w:rPr>
        <w:t xml:space="preserve"> a </w:t>
      </w:r>
      <w:r w:rsidR="00AD2FD3" w:rsidRPr="00AD2FD3">
        <w:rPr>
          <w:rFonts w:ascii="Arial" w:hAnsi="Arial" w:cs="Arial"/>
        </w:rPr>
        <w:t>3 211,7 mil. Kč</w:t>
      </w:r>
      <w:r w:rsidR="00AD2FD3">
        <w:rPr>
          <w:rFonts w:ascii="Arial" w:hAnsi="Arial" w:cs="Arial"/>
        </w:rPr>
        <w:t xml:space="preserve"> </w:t>
      </w:r>
      <w:r w:rsidR="00AD2FD3" w:rsidRPr="00AD2FD3">
        <w:rPr>
          <w:rFonts w:ascii="Arial" w:hAnsi="Arial" w:cs="Arial"/>
        </w:rPr>
        <w:t>z ostatních zdrojů</w:t>
      </w:r>
      <w:r w:rsidRPr="00934DE6">
        <w:rPr>
          <w:rFonts w:ascii="Arial" w:hAnsi="Arial" w:cs="Arial"/>
        </w:rPr>
        <w:t>. Financování Programu bude realizováno podle možností státního rozpočtu.</w:t>
      </w:r>
      <w:r w:rsidRPr="00DA432B">
        <w:t xml:space="preserve"> </w:t>
      </w:r>
    </w:p>
    <w:p w:rsidR="00934DE6" w:rsidRPr="00FF6C2B" w:rsidRDefault="00934DE6" w:rsidP="002655F9">
      <w:pPr>
        <w:keepNext/>
        <w:spacing w:before="240" w:after="60"/>
        <w:jc w:val="both"/>
        <w:rPr>
          <w:rFonts w:ascii="Arial" w:hAnsi="Arial" w:cs="Arial"/>
          <w:b/>
        </w:rPr>
      </w:pPr>
      <w:r w:rsidRPr="00FF6C2B">
        <w:rPr>
          <w:rFonts w:ascii="Arial" w:hAnsi="Arial" w:cs="Arial"/>
          <w:b/>
        </w:rPr>
        <w:t>Celkové výdaje na Program a výdaje ze státního rozpočtu (v mil. Kč)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712"/>
        <w:gridCol w:w="567"/>
        <w:gridCol w:w="850"/>
        <w:gridCol w:w="851"/>
        <w:gridCol w:w="850"/>
        <w:gridCol w:w="851"/>
        <w:gridCol w:w="850"/>
        <w:gridCol w:w="851"/>
        <w:gridCol w:w="674"/>
        <w:gridCol w:w="945"/>
      </w:tblGrid>
      <w:tr w:rsidR="00BC7A45" w:rsidRPr="00FF6C2B" w:rsidTr="00A9380D">
        <w:trPr>
          <w:jc w:val="center"/>
        </w:trPr>
        <w:tc>
          <w:tcPr>
            <w:tcW w:w="1712" w:type="dxa"/>
            <w:shd w:val="clear" w:color="auto" w:fill="E6E6E6"/>
            <w:vAlign w:val="center"/>
          </w:tcPr>
          <w:p w:rsidR="00AD2FD3" w:rsidRPr="00FF6C2B" w:rsidRDefault="00AD2FD3" w:rsidP="000D29F5">
            <w:pPr>
              <w:spacing w:before="60"/>
              <w:jc w:val="center"/>
              <w:rPr>
                <w:rFonts w:ascii="Arial" w:hAnsi="Arial" w:cs="Arial"/>
                <w:b/>
              </w:rPr>
            </w:pPr>
            <w:r w:rsidRPr="00FF6C2B">
              <w:rPr>
                <w:rFonts w:ascii="Arial" w:hAnsi="Arial" w:cs="Arial"/>
                <w:b/>
              </w:rPr>
              <w:t>rok</w:t>
            </w:r>
          </w:p>
        </w:tc>
        <w:tc>
          <w:tcPr>
            <w:tcW w:w="567" w:type="dxa"/>
            <w:shd w:val="clear" w:color="auto" w:fill="E6E6E6"/>
            <w:vAlign w:val="center"/>
          </w:tcPr>
          <w:p w:rsidR="00AD2FD3" w:rsidRPr="00FF6C2B" w:rsidRDefault="00AD2FD3" w:rsidP="000D29F5">
            <w:pPr>
              <w:spacing w:before="60"/>
              <w:jc w:val="center"/>
              <w:rPr>
                <w:rFonts w:ascii="Arial" w:hAnsi="Arial" w:cs="Arial"/>
                <w:b/>
              </w:rPr>
            </w:pPr>
            <w:r w:rsidRPr="00FF6C2B">
              <w:rPr>
                <w:rFonts w:ascii="Arial" w:hAnsi="Arial" w:cs="Arial"/>
                <w:b/>
              </w:rPr>
              <w:t>2024</w:t>
            </w:r>
          </w:p>
        </w:tc>
        <w:tc>
          <w:tcPr>
            <w:tcW w:w="850" w:type="dxa"/>
            <w:shd w:val="clear" w:color="auto" w:fill="E6E6E6"/>
            <w:vAlign w:val="center"/>
          </w:tcPr>
          <w:p w:rsidR="00AD2FD3" w:rsidRPr="00FF6C2B" w:rsidRDefault="00AD2FD3" w:rsidP="000D29F5">
            <w:pPr>
              <w:spacing w:before="60"/>
              <w:jc w:val="center"/>
              <w:rPr>
                <w:rFonts w:ascii="Arial" w:hAnsi="Arial" w:cs="Arial"/>
              </w:rPr>
            </w:pPr>
            <w:r w:rsidRPr="00FF6C2B">
              <w:rPr>
                <w:rFonts w:ascii="Arial" w:hAnsi="Arial" w:cs="Arial"/>
                <w:b/>
              </w:rPr>
              <w:t>2025</w:t>
            </w:r>
          </w:p>
        </w:tc>
        <w:tc>
          <w:tcPr>
            <w:tcW w:w="851" w:type="dxa"/>
            <w:shd w:val="clear" w:color="auto" w:fill="E6E6E6"/>
            <w:vAlign w:val="center"/>
          </w:tcPr>
          <w:p w:rsidR="00AD2FD3" w:rsidRPr="00FF6C2B" w:rsidRDefault="00AD2FD3" w:rsidP="000D29F5">
            <w:pPr>
              <w:spacing w:before="60"/>
              <w:jc w:val="center"/>
              <w:rPr>
                <w:rFonts w:ascii="Arial" w:hAnsi="Arial" w:cs="Arial"/>
                <w:b/>
              </w:rPr>
            </w:pPr>
            <w:r w:rsidRPr="00FF6C2B">
              <w:rPr>
                <w:rFonts w:ascii="Arial" w:hAnsi="Arial" w:cs="Arial"/>
                <w:b/>
              </w:rPr>
              <w:t>2026</w:t>
            </w:r>
          </w:p>
        </w:tc>
        <w:tc>
          <w:tcPr>
            <w:tcW w:w="850" w:type="dxa"/>
            <w:shd w:val="clear" w:color="auto" w:fill="E6E6E6"/>
            <w:vAlign w:val="center"/>
          </w:tcPr>
          <w:p w:rsidR="00AD2FD3" w:rsidRPr="00FF6C2B" w:rsidRDefault="00AD2FD3" w:rsidP="000D29F5">
            <w:pPr>
              <w:spacing w:before="60"/>
              <w:jc w:val="center"/>
              <w:rPr>
                <w:rFonts w:ascii="Arial" w:hAnsi="Arial" w:cs="Arial"/>
                <w:b/>
              </w:rPr>
            </w:pPr>
            <w:r w:rsidRPr="00FF6C2B">
              <w:rPr>
                <w:rFonts w:ascii="Arial" w:hAnsi="Arial" w:cs="Arial"/>
                <w:b/>
              </w:rPr>
              <w:t>2027</w:t>
            </w:r>
          </w:p>
        </w:tc>
        <w:tc>
          <w:tcPr>
            <w:tcW w:w="851" w:type="dxa"/>
            <w:shd w:val="clear" w:color="auto" w:fill="E6E6E6"/>
            <w:vAlign w:val="center"/>
          </w:tcPr>
          <w:p w:rsidR="00AD2FD3" w:rsidRPr="00FF6C2B" w:rsidRDefault="00AD2FD3" w:rsidP="000D29F5">
            <w:pPr>
              <w:spacing w:before="60"/>
              <w:jc w:val="center"/>
              <w:rPr>
                <w:rFonts w:ascii="Arial" w:hAnsi="Arial" w:cs="Arial"/>
                <w:b/>
              </w:rPr>
            </w:pPr>
            <w:r w:rsidRPr="00FF6C2B">
              <w:rPr>
                <w:rFonts w:ascii="Arial" w:hAnsi="Arial" w:cs="Arial"/>
                <w:b/>
              </w:rPr>
              <w:t>2028</w:t>
            </w:r>
          </w:p>
        </w:tc>
        <w:tc>
          <w:tcPr>
            <w:tcW w:w="850" w:type="dxa"/>
            <w:shd w:val="clear" w:color="auto" w:fill="E6E6E6"/>
            <w:vAlign w:val="center"/>
          </w:tcPr>
          <w:p w:rsidR="00AD2FD3" w:rsidRPr="00FF6C2B" w:rsidRDefault="00AD2FD3" w:rsidP="000D29F5">
            <w:pPr>
              <w:spacing w:before="60"/>
              <w:jc w:val="center"/>
              <w:rPr>
                <w:rFonts w:ascii="Arial" w:hAnsi="Arial" w:cs="Arial"/>
                <w:b/>
              </w:rPr>
            </w:pPr>
            <w:r w:rsidRPr="00FF6C2B">
              <w:rPr>
                <w:rFonts w:ascii="Arial" w:hAnsi="Arial" w:cs="Arial"/>
                <w:b/>
              </w:rPr>
              <w:t>2029</w:t>
            </w:r>
          </w:p>
        </w:tc>
        <w:tc>
          <w:tcPr>
            <w:tcW w:w="851" w:type="dxa"/>
            <w:shd w:val="clear" w:color="auto" w:fill="E6E6E6"/>
            <w:vAlign w:val="center"/>
          </w:tcPr>
          <w:p w:rsidR="00AD2FD3" w:rsidRPr="00FF6C2B" w:rsidRDefault="00AD2FD3" w:rsidP="000D29F5">
            <w:pPr>
              <w:spacing w:before="60"/>
              <w:jc w:val="center"/>
              <w:rPr>
                <w:rFonts w:ascii="Arial" w:hAnsi="Arial" w:cs="Arial"/>
                <w:b/>
              </w:rPr>
            </w:pPr>
            <w:r w:rsidRPr="00FF6C2B">
              <w:rPr>
                <w:rFonts w:ascii="Arial" w:hAnsi="Arial" w:cs="Arial"/>
                <w:b/>
              </w:rPr>
              <w:t>2030</w:t>
            </w:r>
          </w:p>
        </w:tc>
        <w:tc>
          <w:tcPr>
            <w:tcW w:w="674" w:type="dxa"/>
            <w:shd w:val="clear" w:color="auto" w:fill="E6E6E6"/>
          </w:tcPr>
          <w:p w:rsidR="00AD2FD3" w:rsidRPr="00FF6C2B" w:rsidRDefault="00AD2FD3" w:rsidP="000D29F5">
            <w:pPr>
              <w:spacing w:before="60"/>
              <w:jc w:val="center"/>
              <w:rPr>
                <w:rFonts w:ascii="Arial" w:hAnsi="Arial" w:cs="Arial"/>
                <w:b/>
              </w:rPr>
            </w:pPr>
            <w:r w:rsidRPr="00FF6C2B">
              <w:rPr>
                <w:rFonts w:ascii="Arial" w:hAnsi="Arial" w:cs="Arial"/>
                <w:b/>
              </w:rPr>
              <w:t>2031</w:t>
            </w:r>
          </w:p>
        </w:tc>
        <w:tc>
          <w:tcPr>
            <w:tcW w:w="0" w:type="auto"/>
            <w:shd w:val="clear" w:color="auto" w:fill="E6E6E6"/>
            <w:vAlign w:val="center"/>
          </w:tcPr>
          <w:p w:rsidR="00AD2FD3" w:rsidRPr="00FF6C2B" w:rsidRDefault="00AD2FD3" w:rsidP="000D29F5">
            <w:pPr>
              <w:spacing w:before="60"/>
              <w:jc w:val="center"/>
              <w:rPr>
                <w:rFonts w:ascii="Arial" w:hAnsi="Arial" w:cs="Arial"/>
                <w:b/>
              </w:rPr>
            </w:pPr>
            <w:r w:rsidRPr="00FF6C2B">
              <w:rPr>
                <w:rFonts w:ascii="Arial" w:hAnsi="Arial" w:cs="Arial"/>
                <w:b/>
              </w:rPr>
              <w:t>celkem</w:t>
            </w:r>
          </w:p>
        </w:tc>
      </w:tr>
      <w:tr w:rsidR="00BC7A45" w:rsidRPr="00FF6C2B" w:rsidTr="00A9380D">
        <w:trPr>
          <w:jc w:val="center"/>
        </w:trPr>
        <w:tc>
          <w:tcPr>
            <w:tcW w:w="1712" w:type="dxa"/>
            <w:shd w:val="clear" w:color="auto" w:fill="auto"/>
            <w:vAlign w:val="center"/>
          </w:tcPr>
          <w:p w:rsidR="00BC7A45" w:rsidRPr="00FF6C2B" w:rsidRDefault="00BC7A45" w:rsidP="00BC7A45">
            <w:pPr>
              <w:spacing w:before="60"/>
              <w:rPr>
                <w:rFonts w:ascii="Arial" w:hAnsi="Arial" w:cs="Arial"/>
              </w:rPr>
            </w:pPr>
            <w:r w:rsidRPr="00FF6C2B">
              <w:rPr>
                <w:rFonts w:ascii="Arial" w:hAnsi="Arial" w:cs="Arial"/>
              </w:rPr>
              <w:t>Celkové výdaje</w:t>
            </w:r>
          </w:p>
        </w:tc>
        <w:tc>
          <w:tcPr>
            <w:tcW w:w="567" w:type="dxa"/>
            <w:shd w:val="clear" w:color="auto" w:fill="auto"/>
          </w:tcPr>
          <w:p w:rsidR="00BC7A45" w:rsidRPr="00FF6C2B" w:rsidRDefault="00BC7A45" w:rsidP="00BC7A45">
            <w:pPr>
              <w:spacing w:before="60"/>
              <w:jc w:val="center"/>
              <w:rPr>
                <w:rFonts w:ascii="Arial" w:hAnsi="Arial" w:cs="Arial"/>
              </w:rPr>
            </w:pPr>
            <w:r w:rsidRPr="00FF6C2B">
              <w:rPr>
                <w:rFonts w:ascii="Arial" w:hAnsi="Arial" w:cs="Arial"/>
              </w:rPr>
              <w:t>774</w:t>
            </w:r>
          </w:p>
        </w:tc>
        <w:tc>
          <w:tcPr>
            <w:tcW w:w="850" w:type="dxa"/>
            <w:shd w:val="clear" w:color="auto" w:fill="auto"/>
          </w:tcPr>
          <w:p w:rsidR="00BC7A45" w:rsidRPr="00FF6C2B" w:rsidRDefault="00BC7A45" w:rsidP="00BC7A45">
            <w:pPr>
              <w:spacing w:before="60"/>
              <w:jc w:val="center"/>
              <w:rPr>
                <w:rFonts w:ascii="Arial" w:hAnsi="Arial" w:cs="Arial"/>
              </w:rPr>
            </w:pPr>
            <w:r w:rsidRPr="00FF6C2B">
              <w:rPr>
                <w:rFonts w:ascii="Arial" w:hAnsi="Arial" w:cs="Arial"/>
              </w:rPr>
              <w:t>1 304,4</w:t>
            </w:r>
          </w:p>
        </w:tc>
        <w:tc>
          <w:tcPr>
            <w:tcW w:w="851" w:type="dxa"/>
            <w:shd w:val="clear" w:color="auto" w:fill="auto"/>
          </w:tcPr>
          <w:p w:rsidR="00BC7A45" w:rsidRPr="00FF6C2B" w:rsidRDefault="00BC7A45" w:rsidP="00BC7A45">
            <w:pPr>
              <w:spacing w:before="60"/>
              <w:jc w:val="center"/>
              <w:rPr>
                <w:rFonts w:ascii="Arial" w:hAnsi="Arial" w:cs="Arial"/>
              </w:rPr>
            </w:pPr>
            <w:r w:rsidRPr="00FF6C2B">
              <w:rPr>
                <w:rFonts w:ascii="Arial" w:hAnsi="Arial" w:cs="Arial"/>
              </w:rPr>
              <w:t>1 619,8</w:t>
            </w:r>
          </w:p>
        </w:tc>
        <w:tc>
          <w:tcPr>
            <w:tcW w:w="850" w:type="dxa"/>
            <w:shd w:val="clear" w:color="auto" w:fill="auto"/>
          </w:tcPr>
          <w:p w:rsidR="00BC7A45" w:rsidRPr="00FF6C2B" w:rsidRDefault="00BC7A45" w:rsidP="00BC7A45">
            <w:pPr>
              <w:spacing w:before="60"/>
              <w:jc w:val="center"/>
              <w:rPr>
                <w:rFonts w:ascii="Arial" w:hAnsi="Arial" w:cs="Arial"/>
              </w:rPr>
            </w:pPr>
            <w:r w:rsidRPr="00FF6C2B">
              <w:rPr>
                <w:rFonts w:ascii="Arial" w:hAnsi="Arial" w:cs="Arial"/>
              </w:rPr>
              <w:t>1 619,8</w:t>
            </w:r>
          </w:p>
        </w:tc>
        <w:tc>
          <w:tcPr>
            <w:tcW w:w="851" w:type="dxa"/>
            <w:shd w:val="clear" w:color="auto" w:fill="auto"/>
          </w:tcPr>
          <w:p w:rsidR="00BC7A45" w:rsidRPr="00FF6C2B" w:rsidRDefault="00BC7A45" w:rsidP="00BC7A45">
            <w:pPr>
              <w:spacing w:before="60"/>
              <w:jc w:val="center"/>
              <w:rPr>
                <w:rFonts w:ascii="Arial" w:hAnsi="Arial" w:cs="Arial"/>
              </w:rPr>
            </w:pPr>
            <w:r w:rsidRPr="00FF6C2B">
              <w:rPr>
                <w:rFonts w:ascii="Arial" w:hAnsi="Arial" w:cs="Arial"/>
              </w:rPr>
              <w:t>1 619,8</w:t>
            </w:r>
          </w:p>
        </w:tc>
        <w:tc>
          <w:tcPr>
            <w:tcW w:w="850" w:type="dxa"/>
            <w:shd w:val="clear" w:color="auto" w:fill="auto"/>
          </w:tcPr>
          <w:p w:rsidR="00BC7A45" w:rsidRPr="00FF6C2B" w:rsidRDefault="00BC7A45" w:rsidP="00BC7A45">
            <w:pPr>
              <w:spacing w:before="60"/>
              <w:jc w:val="center"/>
              <w:rPr>
                <w:rFonts w:ascii="Arial" w:hAnsi="Arial" w:cs="Arial"/>
              </w:rPr>
            </w:pPr>
            <w:r w:rsidRPr="00FF6C2B">
              <w:rPr>
                <w:rFonts w:ascii="Arial" w:hAnsi="Arial" w:cs="Arial"/>
              </w:rPr>
              <w:t>1 619,8</w:t>
            </w:r>
          </w:p>
        </w:tc>
        <w:tc>
          <w:tcPr>
            <w:tcW w:w="851" w:type="dxa"/>
            <w:shd w:val="clear" w:color="auto" w:fill="auto"/>
          </w:tcPr>
          <w:p w:rsidR="00BC7A45" w:rsidRPr="00FF6C2B" w:rsidRDefault="00BC7A45" w:rsidP="00BC7A45">
            <w:pPr>
              <w:spacing w:before="60"/>
              <w:jc w:val="center"/>
              <w:rPr>
                <w:rFonts w:ascii="Arial" w:hAnsi="Arial" w:cs="Arial"/>
              </w:rPr>
            </w:pPr>
            <w:r w:rsidRPr="00FF6C2B">
              <w:rPr>
                <w:rFonts w:ascii="Arial" w:hAnsi="Arial" w:cs="Arial"/>
              </w:rPr>
              <w:t>1 290,1</w:t>
            </w:r>
          </w:p>
        </w:tc>
        <w:tc>
          <w:tcPr>
            <w:tcW w:w="674" w:type="dxa"/>
          </w:tcPr>
          <w:p w:rsidR="00BC7A45" w:rsidRPr="00FF6C2B" w:rsidRDefault="00BC7A45" w:rsidP="00BC7A45">
            <w:pPr>
              <w:spacing w:before="60"/>
              <w:jc w:val="center"/>
              <w:rPr>
                <w:rFonts w:ascii="Arial" w:hAnsi="Arial" w:cs="Arial"/>
              </w:rPr>
            </w:pPr>
            <w:r w:rsidRPr="00FF6C2B">
              <w:rPr>
                <w:rFonts w:ascii="Arial" w:hAnsi="Arial" w:cs="Arial"/>
              </w:rPr>
              <w:t>774</w:t>
            </w:r>
          </w:p>
        </w:tc>
        <w:tc>
          <w:tcPr>
            <w:tcW w:w="0" w:type="auto"/>
            <w:shd w:val="clear" w:color="auto" w:fill="auto"/>
          </w:tcPr>
          <w:p w:rsidR="00BC7A45" w:rsidRPr="00FF6C2B" w:rsidRDefault="00BC7A45" w:rsidP="00BC7A45">
            <w:pPr>
              <w:spacing w:before="60"/>
              <w:jc w:val="center"/>
              <w:rPr>
                <w:rFonts w:ascii="Arial" w:hAnsi="Arial" w:cs="Arial"/>
              </w:rPr>
            </w:pPr>
            <w:r w:rsidRPr="00FF6C2B">
              <w:rPr>
                <w:rFonts w:ascii="Arial" w:hAnsi="Arial" w:cs="Arial"/>
              </w:rPr>
              <w:t xml:space="preserve">10 621,7 </w:t>
            </w:r>
          </w:p>
        </w:tc>
      </w:tr>
      <w:tr w:rsidR="00A9380D" w:rsidRPr="00FF6C2B" w:rsidTr="00A9380D">
        <w:trPr>
          <w:jc w:val="center"/>
        </w:trPr>
        <w:tc>
          <w:tcPr>
            <w:tcW w:w="1712" w:type="dxa"/>
            <w:shd w:val="clear" w:color="auto" w:fill="auto"/>
            <w:vAlign w:val="center"/>
          </w:tcPr>
          <w:p w:rsidR="00BC7A45" w:rsidRPr="00FF6C2B" w:rsidRDefault="00BC7A45" w:rsidP="00BC7A45">
            <w:pPr>
              <w:spacing w:before="60"/>
              <w:rPr>
                <w:rFonts w:ascii="Arial" w:hAnsi="Arial" w:cs="Arial"/>
              </w:rPr>
            </w:pPr>
            <w:r w:rsidRPr="00FF6C2B">
              <w:rPr>
                <w:rFonts w:ascii="Arial" w:hAnsi="Arial" w:cs="Arial"/>
              </w:rPr>
              <w:t>Výdaje státního rozpočtu</w:t>
            </w:r>
          </w:p>
        </w:tc>
        <w:tc>
          <w:tcPr>
            <w:tcW w:w="567" w:type="dxa"/>
          </w:tcPr>
          <w:p w:rsidR="00BC7A45" w:rsidRPr="00FF6C2B" w:rsidRDefault="00BC7A45" w:rsidP="00BC7A45">
            <w:pPr>
              <w:spacing w:before="60"/>
              <w:jc w:val="center"/>
              <w:rPr>
                <w:rFonts w:ascii="Arial" w:hAnsi="Arial" w:cs="Arial"/>
              </w:rPr>
            </w:pPr>
            <w:r w:rsidRPr="00FF6C2B">
              <w:rPr>
                <w:rFonts w:ascii="Arial" w:hAnsi="Arial" w:cs="Arial"/>
              </w:rPr>
              <w:t>540</w:t>
            </w:r>
          </w:p>
        </w:tc>
        <w:tc>
          <w:tcPr>
            <w:tcW w:w="850" w:type="dxa"/>
          </w:tcPr>
          <w:p w:rsidR="00BC7A45" w:rsidRPr="00FF6C2B" w:rsidRDefault="00BC7A45" w:rsidP="00BC7A45">
            <w:pPr>
              <w:spacing w:before="60"/>
              <w:jc w:val="center"/>
              <w:rPr>
                <w:rFonts w:ascii="Arial" w:hAnsi="Arial" w:cs="Arial"/>
              </w:rPr>
            </w:pPr>
            <w:r w:rsidRPr="00FF6C2B">
              <w:rPr>
                <w:rFonts w:ascii="Arial" w:hAnsi="Arial" w:cs="Arial"/>
              </w:rPr>
              <w:t>910</w:t>
            </w:r>
          </w:p>
        </w:tc>
        <w:tc>
          <w:tcPr>
            <w:tcW w:w="851" w:type="dxa"/>
          </w:tcPr>
          <w:p w:rsidR="00BC7A45" w:rsidRPr="00FF6C2B" w:rsidRDefault="00BC7A45" w:rsidP="00BC7A45">
            <w:pPr>
              <w:spacing w:before="60"/>
              <w:jc w:val="center"/>
              <w:rPr>
                <w:rFonts w:ascii="Arial" w:hAnsi="Arial" w:cs="Arial"/>
              </w:rPr>
            </w:pPr>
            <w:r w:rsidRPr="00FF6C2B">
              <w:rPr>
                <w:rFonts w:ascii="Arial" w:hAnsi="Arial" w:cs="Arial"/>
              </w:rPr>
              <w:t>1 130</w:t>
            </w:r>
          </w:p>
        </w:tc>
        <w:tc>
          <w:tcPr>
            <w:tcW w:w="850" w:type="dxa"/>
          </w:tcPr>
          <w:p w:rsidR="00BC7A45" w:rsidRPr="00FF6C2B" w:rsidRDefault="00BC7A45" w:rsidP="00BC7A45">
            <w:pPr>
              <w:spacing w:before="60"/>
              <w:jc w:val="center"/>
              <w:rPr>
                <w:rFonts w:ascii="Arial" w:hAnsi="Arial" w:cs="Arial"/>
              </w:rPr>
            </w:pPr>
            <w:r w:rsidRPr="00FF6C2B">
              <w:rPr>
                <w:rFonts w:ascii="Arial" w:hAnsi="Arial" w:cs="Arial"/>
              </w:rPr>
              <w:t>1 130</w:t>
            </w:r>
          </w:p>
        </w:tc>
        <w:tc>
          <w:tcPr>
            <w:tcW w:w="851" w:type="dxa"/>
          </w:tcPr>
          <w:p w:rsidR="00BC7A45" w:rsidRPr="00FF6C2B" w:rsidRDefault="00BC7A45" w:rsidP="00BC7A45">
            <w:pPr>
              <w:spacing w:before="60"/>
              <w:jc w:val="center"/>
              <w:rPr>
                <w:rFonts w:ascii="Arial" w:hAnsi="Arial" w:cs="Arial"/>
              </w:rPr>
            </w:pPr>
            <w:r w:rsidRPr="00FF6C2B">
              <w:rPr>
                <w:rFonts w:ascii="Arial" w:hAnsi="Arial" w:cs="Arial"/>
              </w:rPr>
              <w:t>1 130</w:t>
            </w:r>
          </w:p>
        </w:tc>
        <w:tc>
          <w:tcPr>
            <w:tcW w:w="850" w:type="dxa"/>
          </w:tcPr>
          <w:p w:rsidR="00BC7A45" w:rsidRPr="00FF6C2B" w:rsidRDefault="00BC7A45" w:rsidP="00BC7A45">
            <w:pPr>
              <w:spacing w:before="60"/>
              <w:jc w:val="center"/>
              <w:rPr>
                <w:rFonts w:ascii="Arial" w:hAnsi="Arial" w:cs="Arial"/>
              </w:rPr>
            </w:pPr>
            <w:r w:rsidRPr="00FF6C2B">
              <w:rPr>
                <w:rFonts w:ascii="Arial" w:hAnsi="Arial" w:cs="Arial"/>
              </w:rPr>
              <w:t>1 130</w:t>
            </w:r>
          </w:p>
        </w:tc>
        <w:tc>
          <w:tcPr>
            <w:tcW w:w="851" w:type="dxa"/>
          </w:tcPr>
          <w:p w:rsidR="00BC7A45" w:rsidRPr="00FF6C2B" w:rsidRDefault="00BC7A45" w:rsidP="00BC7A45">
            <w:pPr>
              <w:spacing w:before="60"/>
              <w:jc w:val="center"/>
              <w:rPr>
                <w:rFonts w:ascii="Arial" w:hAnsi="Arial" w:cs="Arial"/>
              </w:rPr>
            </w:pPr>
            <w:r w:rsidRPr="00FF6C2B">
              <w:rPr>
                <w:rFonts w:ascii="Arial" w:hAnsi="Arial" w:cs="Arial"/>
              </w:rPr>
              <w:t>900</w:t>
            </w:r>
          </w:p>
        </w:tc>
        <w:tc>
          <w:tcPr>
            <w:tcW w:w="674" w:type="dxa"/>
          </w:tcPr>
          <w:p w:rsidR="00BC7A45" w:rsidRPr="00FF6C2B" w:rsidRDefault="00BC7A45" w:rsidP="00BC7A45">
            <w:pPr>
              <w:spacing w:before="60"/>
              <w:jc w:val="center"/>
              <w:rPr>
                <w:rFonts w:ascii="Arial" w:hAnsi="Arial" w:cs="Arial"/>
              </w:rPr>
            </w:pPr>
            <w:r w:rsidRPr="00FF6C2B">
              <w:rPr>
                <w:rFonts w:ascii="Arial" w:hAnsi="Arial" w:cs="Arial"/>
              </w:rPr>
              <w:t>540</w:t>
            </w:r>
          </w:p>
        </w:tc>
        <w:tc>
          <w:tcPr>
            <w:tcW w:w="0" w:type="auto"/>
          </w:tcPr>
          <w:p w:rsidR="00BC7A45" w:rsidRPr="00FF6C2B" w:rsidRDefault="00BC7A45" w:rsidP="00BC7A45">
            <w:pPr>
              <w:spacing w:before="60"/>
              <w:jc w:val="center"/>
              <w:rPr>
                <w:rFonts w:ascii="Arial" w:hAnsi="Arial" w:cs="Arial"/>
              </w:rPr>
            </w:pPr>
            <w:r w:rsidRPr="00FF6C2B">
              <w:rPr>
                <w:rFonts w:ascii="Arial" w:hAnsi="Arial" w:cs="Arial"/>
              </w:rPr>
              <w:t xml:space="preserve">7 410,0 </w:t>
            </w:r>
          </w:p>
        </w:tc>
      </w:tr>
      <w:tr w:rsidR="00A9380D" w:rsidRPr="00FF6C2B" w:rsidDel="0047508A" w:rsidTr="00A9380D">
        <w:trPr>
          <w:jc w:val="center"/>
        </w:trPr>
        <w:tc>
          <w:tcPr>
            <w:tcW w:w="1712" w:type="dxa"/>
            <w:shd w:val="clear" w:color="auto" w:fill="auto"/>
            <w:vAlign w:val="center"/>
          </w:tcPr>
          <w:p w:rsidR="00BC7A45" w:rsidRPr="00FF6C2B" w:rsidRDefault="00BC7A45" w:rsidP="00BC7A45">
            <w:pPr>
              <w:spacing w:before="60"/>
              <w:rPr>
                <w:rFonts w:ascii="Arial" w:hAnsi="Arial" w:cs="Arial"/>
              </w:rPr>
            </w:pPr>
            <w:r w:rsidRPr="00FF6C2B">
              <w:rPr>
                <w:rFonts w:ascii="Arial" w:hAnsi="Arial" w:cs="Arial"/>
              </w:rPr>
              <w:t>Ostatní zdroje</w:t>
            </w:r>
          </w:p>
        </w:tc>
        <w:tc>
          <w:tcPr>
            <w:tcW w:w="567" w:type="dxa"/>
          </w:tcPr>
          <w:p w:rsidR="00BC7A45" w:rsidRPr="00FF6C2B" w:rsidDel="0047508A" w:rsidRDefault="00BC7A45" w:rsidP="00BC7A45">
            <w:pPr>
              <w:spacing w:before="60"/>
              <w:jc w:val="center"/>
              <w:rPr>
                <w:rFonts w:ascii="Arial" w:hAnsi="Arial" w:cs="Arial"/>
              </w:rPr>
            </w:pPr>
            <w:r w:rsidRPr="00FF6C2B">
              <w:rPr>
                <w:rFonts w:ascii="Arial" w:hAnsi="Arial" w:cs="Arial"/>
              </w:rPr>
              <w:t>234</w:t>
            </w:r>
          </w:p>
        </w:tc>
        <w:tc>
          <w:tcPr>
            <w:tcW w:w="850" w:type="dxa"/>
          </w:tcPr>
          <w:p w:rsidR="00BC7A45" w:rsidRPr="00FF6C2B" w:rsidDel="0047508A" w:rsidRDefault="00BC7A45" w:rsidP="00BC7A45">
            <w:pPr>
              <w:spacing w:before="60"/>
              <w:jc w:val="center"/>
              <w:rPr>
                <w:rFonts w:ascii="Arial" w:hAnsi="Arial" w:cs="Arial"/>
              </w:rPr>
            </w:pPr>
            <w:r w:rsidRPr="00FF6C2B">
              <w:rPr>
                <w:rFonts w:ascii="Arial" w:hAnsi="Arial" w:cs="Arial"/>
              </w:rPr>
              <w:t>394,4</w:t>
            </w:r>
          </w:p>
        </w:tc>
        <w:tc>
          <w:tcPr>
            <w:tcW w:w="851" w:type="dxa"/>
          </w:tcPr>
          <w:p w:rsidR="00BC7A45" w:rsidRPr="00FF6C2B" w:rsidDel="0047508A" w:rsidRDefault="00BC7A45" w:rsidP="00BC7A45">
            <w:pPr>
              <w:spacing w:before="60"/>
              <w:jc w:val="center"/>
              <w:rPr>
                <w:rFonts w:ascii="Arial" w:hAnsi="Arial" w:cs="Arial"/>
              </w:rPr>
            </w:pPr>
            <w:r w:rsidRPr="00FF6C2B">
              <w:rPr>
                <w:rFonts w:ascii="Arial" w:hAnsi="Arial" w:cs="Arial"/>
              </w:rPr>
              <w:t>489,8</w:t>
            </w:r>
          </w:p>
        </w:tc>
        <w:tc>
          <w:tcPr>
            <w:tcW w:w="850" w:type="dxa"/>
          </w:tcPr>
          <w:p w:rsidR="00BC7A45" w:rsidRPr="00FF6C2B" w:rsidRDefault="00BC7A45" w:rsidP="00BC7A45">
            <w:pPr>
              <w:spacing w:before="60"/>
              <w:jc w:val="center"/>
              <w:rPr>
                <w:rFonts w:ascii="Arial" w:hAnsi="Arial" w:cs="Arial"/>
              </w:rPr>
            </w:pPr>
            <w:r w:rsidRPr="00FF6C2B">
              <w:rPr>
                <w:rFonts w:ascii="Arial" w:hAnsi="Arial" w:cs="Arial"/>
              </w:rPr>
              <w:t>489,8</w:t>
            </w:r>
          </w:p>
        </w:tc>
        <w:tc>
          <w:tcPr>
            <w:tcW w:w="851" w:type="dxa"/>
          </w:tcPr>
          <w:p w:rsidR="00BC7A45" w:rsidRPr="00FF6C2B" w:rsidRDefault="00BC7A45" w:rsidP="00BC7A45">
            <w:pPr>
              <w:spacing w:before="60"/>
              <w:jc w:val="center"/>
              <w:rPr>
                <w:rFonts w:ascii="Arial" w:hAnsi="Arial" w:cs="Arial"/>
              </w:rPr>
            </w:pPr>
            <w:r w:rsidRPr="00FF6C2B">
              <w:rPr>
                <w:rFonts w:ascii="Arial" w:hAnsi="Arial" w:cs="Arial"/>
              </w:rPr>
              <w:t>489,8</w:t>
            </w:r>
          </w:p>
        </w:tc>
        <w:tc>
          <w:tcPr>
            <w:tcW w:w="850" w:type="dxa"/>
          </w:tcPr>
          <w:p w:rsidR="00BC7A45" w:rsidRPr="00FF6C2B" w:rsidRDefault="00BC7A45" w:rsidP="00BC7A45">
            <w:pPr>
              <w:spacing w:before="60"/>
              <w:jc w:val="center"/>
              <w:rPr>
                <w:rFonts w:ascii="Arial" w:hAnsi="Arial" w:cs="Arial"/>
              </w:rPr>
            </w:pPr>
            <w:r w:rsidRPr="00FF6C2B">
              <w:rPr>
                <w:rFonts w:ascii="Arial" w:hAnsi="Arial" w:cs="Arial"/>
              </w:rPr>
              <w:t>489,8</w:t>
            </w:r>
          </w:p>
        </w:tc>
        <w:tc>
          <w:tcPr>
            <w:tcW w:w="851" w:type="dxa"/>
          </w:tcPr>
          <w:p w:rsidR="00BC7A45" w:rsidRPr="00FF6C2B" w:rsidRDefault="00BC7A45" w:rsidP="00BC7A45">
            <w:pPr>
              <w:spacing w:before="60"/>
              <w:jc w:val="center"/>
              <w:rPr>
                <w:rFonts w:ascii="Arial" w:hAnsi="Arial" w:cs="Arial"/>
              </w:rPr>
            </w:pPr>
            <w:r w:rsidRPr="00FF6C2B">
              <w:rPr>
                <w:rFonts w:ascii="Arial" w:hAnsi="Arial" w:cs="Arial"/>
              </w:rPr>
              <w:t>390,1</w:t>
            </w:r>
          </w:p>
        </w:tc>
        <w:tc>
          <w:tcPr>
            <w:tcW w:w="674" w:type="dxa"/>
          </w:tcPr>
          <w:p w:rsidR="00BC7A45" w:rsidRPr="00FF6C2B" w:rsidRDefault="00BC7A45" w:rsidP="00BC7A45">
            <w:pPr>
              <w:spacing w:before="60"/>
              <w:jc w:val="center"/>
              <w:rPr>
                <w:rFonts w:ascii="Arial" w:hAnsi="Arial" w:cs="Arial"/>
              </w:rPr>
            </w:pPr>
            <w:r w:rsidRPr="00FF6C2B">
              <w:rPr>
                <w:rFonts w:ascii="Arial" w:hAnsi="Arial" w:cs="Arial"/>
              </w:rPr>
              <w:t>234</w:t>
            </w:r>
          </w:p>
        </w:tc>
        <w:tc>
          <w:tcPr>
            <w:tcW w:w="0" w:type="auto"/>
          </w:tcPr>
          <w:p w:rsidR="00BC7A45" w:rsidRPr="00FF6C2B" w:rsidDel="0047508A" w:rsidRDefault="00BC7A45" w:rsidP="00BC7A45">
            <w:pPr>
              <w:spacing w:before="60"/>
              <w:jc w:val="center"/>
              <w:rPr>
                <w:rFonts w:ascii="Arial" w:hAnsi="Arial" w:cs="Arial"/>
              </w:rPr>
            </w:pPr>
            <w:r w:rsidRPr="00FF6C2B">
              <w:rPr>
                <w:rFonts w:ascii="Arial" w:hAnsi="Arial" w:cs="Arial"/>
              </w:rPr>
              <w:t xml:space="preserve">3 211,7 </w:t>
            </w:r>
          </w:p>
        </w:tc>
      </w:tr>
    </w:tbl>
    <w:p w:rsidR="00491F88" w:rsidRPr="00FF6C2B" w:rsidRDefault="00491F88" w:rsidP="0087304A">
      <w:pPr>
        <w:keepNext/>
        <w:spacing w:before="240" w:after="60"/>
        <w:jc w:val="both"/>
        <w:rPr>
          <w:rFonts w:ascii="Arial" w:hAnsi="Arial" w:cs="Arial"/>
          <w:b/>
        </w:rPr>
      </w:pPr>
      <w:r w:rsidRPr="00FF6C2B">
        <w:rPr>
          <w:rFonts w:ascii="Arial" w:hAnsi="Arial" w:cs="Arial"/>
          <w:b/>
        </w:rPr>
        <w:t>Výdaje na Podprogram 1 (v mil. Kč)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859"/>
        <w:gridCol w:w="567"/>
        <w:gridCol w:w="850"/>
        <w:gridCol w:w="851"/>
        <w:gridCol w:w="850"/>
        <w:gridCol w:w="851"/>
        <w:gridCol w:w="850"/>
        <w:gridCol w:w="851"/>
        <w:gridCol w:w="674"/>
        <w:gridCol w:w="824"/>
      </w:tblGrid>
      <w:tr w:rsidR="000C0EFD" w:rsidRPr="00FF6C2B" w:rsidTr="00FF6C2B">
        <w:trPr>
          <w:jc w:val="center"/>
        </w:trPr>
        <w:tc>
          <w:tcPr>
            <w:tcW w:w="1859" w:type="dxa"/>
            <w:shd w:val="clear" w:color="auto" w:fill="E6E6E6"/>
            <w:vAlign w:val="center"/>
          </w:tcPr>
          <w:p w:rsidR="000C0EFD" w:rsidRPr="000C0EFD" w:rsidRDefault="000C0EFD" w:rsidP="000C0EFD">
            <w:pPr>
              <w:spacing w:before="60"/>
              <w:jc w:val="center"/>
              <w:rPr>
                <w:rFonts w:ascii="Arial" w:hAnsi="Arial" w:cs="Arial"/>
                <w:b/>
              </w:rPr>
            </w:pPr>
            <w:r w:rsidRPr="000C0EFD">
              <w:rPr>
                <w:rFonts w:ascii="Arial" w:hAnsi="Arial" w:cs="Arial"/>
                <w:b/>
              </w:rPr>
              <w:t>rok</w:t>
            </w:r>
          </w:p>
        </w:tc>
        <w:tc>
          <w:tcPr>
            <w:tcW w:w="567" w:type="dxa"/>
            <w:shd w:val="clear" w:color="auto" w:fill="E6E6E6"/>
            <w:vAlign w:val="center"/>
          </w:tcPr>
          <w:p w:rsidR="000C0EFD" w:rsidRPr="000C0EFD" w:rsidRDefault="000C0EFD" w:rsidP="000C0EFD">
            <w:pPr>
              <w:spacing w:before="60"/>
              <w:jc w:val="center"/>
              <w:rPr>
                <w:rFonts w:ascii="Arial" w:hAnsi="Arial" w:cs="Arial"/>
                <w:b/>
              </w:rPr>
            </w:pPr>
            <w:r w:rsidRPr="000C0EFD">
              <w:rPr>
                <w:rFonts w:ascii="Arial" w:hAnsi="Arial" w:cs="Arial"/>
                <w:b/>
              </w:rPr>
              <w:t>2024</w:t>
            </w:r>
          </w:p>
        </w:tc>
        <w:tc>
          <w:tcPr>
            <w:tcW w:w="850" w:type="dxa"/>
            <w:shd w:val="clear" w:color="auto" w:fill="E6E6E6"/>
            <w:vAlign w:val="center"/>
          </w:tcPr>
          <w:p w:rsidR="000C0EFD" w:rsidRPr="000C0EFD" w:rsidRDefault="000C0EFD" w:rsidP="000C0EFD">
            <w:pPr>
              <w:spacing w:before="60"/>
              <w:jc w:val="center"/>
              <w:rPr>
                <w:rFonts w:ascii="Arial" w:hAnsi="Arial" w:cs="Arial"/>
              </w:rPr>
            </w:pPr>
            <w:r w:rsidRPr="000C0EFD">
              <w:rPr>
                <w:rFonts w:ascii="Arial" w:hAnsi="Arial" w:cs="Arial"/>
                <w:b/>
              </w:rPr>
              <w:t>2025</w:t>
            </w:r>
          </w:p>
        </w:tc>
        <w:tc>
          <w:tcPr>
            <w:tcW w:w="851" w:type="dxa"/>
            <w:shd w:val="clear" w:color="auto" w:fill="E6E6E6"/>
            <w:vAlign w:val="center"/>
          </w:tcPr>
          <w:p w:rsidR="000C0EFD" w:rsidRPr="000C0EFD" w:rsidRDefault="000C0EFD" w:rsidP="000C0EFD">
            <w:pPr>
              <w:spacing w:before="60"/>
              <w:jc w:val="center"/>
              <w:rPr>
                <w:rFonts w:ascii="Arial" w:hAnsi="Arial" w:cs="Arial"/>
                <w:b/>
              </w:rPr>
            </w:pPr>
            <w:r w:rsidRPr="000C0EFD">
              <w:rPr>
                <w:rFonts w:ascii="Arial" w:hAnsi="Arial" w:cs="Arial"/>
                <w:b/>
              </w:rPr>
              <w:t>2026</w:t>
            </w:r>
          </w:p>
        </w:tc>
        <w:tc>
          <w:tcPr>
            <w:tcW w:w="850" w:type="dxa"/>
            <w:shd w:val="clear" w:color="auto" w:fill="E6E6E6"/>
            <w:vAlign w:val="center"/>
          </w:tcPr>
          <w:p w:rsidR="000C0EFD" w:rsidRPr="000C0EFD" w:rsidRDefault="000C0EFD" w:rsidP="000C0EFD">
            <w:pPr>
              <w:spacing w:before="60"/>
              <w:jc w:val="center"/>
              <w:rPr>
                <w:rFonts w:ascii="Arial" w:hAnsi="Arial" w:cs="Arial"/>
                <w:b/>
              </w:rPr>
            </w:pPr>
            <w:r w:rsidRPr="000C0EFD">
              <w:rPr>
                <w:rFonts w:ascii="Arial" w:hAnsi="Arial" w:cs="Arial"/>
                <w:b/>
              </w:rPr>
              <w:t>2027</w:t>
            </w:r>
          </w:p>
        </w:tc>
        <w:tc>
          <w:tcPr>
            <w:tcW w:w="851" w:type="dxa"/>
            <w:shd w:val="clear" w:color="auto" w:fill="E6E6E6"/>
            <w:vAlign w:val="center"/>
          </w:tcPr>
          <w:p w:rsidR="000C0EFD" w:rsidRPr="000C0EFD" w:rsidRDefault="000C0EFD" w:rsidP="000C0EFD">
            <w:pPr>
              <w:spacing w:before="60"/>
              <w:jc w:val="center"/>
              <w:rPr>
                <w:rFonts w:ascii="Arial" w:hAnsi="Arial" w:cs="Arial"/>
                <w:b/>
              </w:rPr>
            </w:pPr>
            <w:r w:rsidRPr="000C0EFD">
              <w:rPr>
                <w:rFonts w:ascii="Arial" w:hAnsi="Arial" w:cs="Arial"/>
                <w:b/>
              </w:rPr>
              <w:t>2028</w:t>
            </w:r>
          </w:p>
        </w:tc>
        <w:tc>
          <w:tcPr>
            <w:tcW w:w="850" w:type="dxa"/>
            <w:shd w:val="clear" w:color="auto" w:fill="E6E6E6"/>
            <w:vAlign w:val="center"/>
          </w:tcPr>
          <w:p w:rsidR="000C0EFD" w:rsidRPr="000C0EFD" w:rsidRDefault="000C0EFD" w:rsidP="000C0EFD">
            <w:pPr>
              <w:spacing w:before="60"/>
              <w:jc w:val="center"/>
              <w:rPr>
                <w:rFonts w:ascii="Arial" w:hAnsi="Arial" w:cs="Arial"/>
                <w:b/>
              </w:rPr>
            </w:pPr>
            <w:r w:rsidRPr="000C0EFD">
              <w:rPr>
                <w:rFonts w:ascii="Arial" w:hAnsi="Arial" w:cs="Arial"/>
                <w:b/>
              </w:rPr>
              <w:t>2029</w:t>
            </w:r>
          </w:p>
        </w:tc>
        <w:tc>
          <w:tcPr>
            <w:tcW w:w="851" w:type="dxa"/>
            <w:shd w:val="clear" w:color="auto" w:fill="E6E6E6"/>
            <w:vAlign w:val="center"/>
          </w:tcPr>
          <w:p w:rsidR="000C0EFD" w:rsidRPr="000C0EFD" w:rsidRDefault="000C0EFD" w:rsidP="000C0EFD">
            <w:pPr>
              <w:spacing w:before="60"/>
              <w:jc w:val="center"/>
              <w:rPr>
                <w:rFonts w:ascii="Arial" w:hAnsi="Arial" w:cs="Arial"/>
                <w:b/>
              </w:rPr>
            </w:pPr>
            <w:r w:rsidRPr="000C0EFD">
              <w:rPr>
                <w:rFonts w:ascii="Arial" w:hAnsi="Arial" w:cs="Arial"/>
                <w:b/>
              </w:rPr>
              <w:t>2030</w:t>
            </w:r>
          </w:p>
        </w:tc>
        <w:tc>
          <w:tcPr>
            <w:tcW w:w="674" w:type="dxa"/>
            <w:shd w:val="clear" w:color="auto" w:fill="E6E6E6"/>
          </w:tcPr>
          <w:p w:rsidR="000C0EFD" w:rsidRPr="000C0EFD" w:rsidRDefault="000C0EFD" w:rsidP="000C0EFD">
            <w:pPr>
              <w:spacing w:before="60"/>
              <w:jc w:val="center"/>
              <w:rPr>
                <w:rFonts w:ascii="Arial" w:hAnsi="Arial" w:cs="Arial"/>
                <w:b/>
              </w:rPr>
            </w:pPr>
            <w:r w:rsidRPr="000C0EFD">
              <w:rPr>
                <w:rFonts w:ascii="Arial" w:hAnsi="Arial" w:cs="Arial"/>
                <w:b/>
              </w:rPr>
              <w:t>2031</w:t>
            </w:r>
          </w:p>
        </w:tc>
        <w:tc>
          <w:tcPr>
            <w:tcW w:w="0" w:type="auto"/>
            <w:shd w:val="clear" w:color="auto" w:fill="E6E6E6"/>
            <w:vAlign w:val="center"/>
          </w:tcPr>
          <w:p w:rsidR="000C0EFD" w:rsidRPr="000C0EFD" w:rsidRDefault="000C0EFD" w:rsidP="000C0EFD">
            <w:pPr>
              <w:spacing w:before="60"/>
              <w:jc w:val="center"/>
              <w:rPr>
                <w:rFonts w:ascii="Arial" w:hAnsi="Arial" w:cs="Arial"/>
                <w:b/>
              </w:rPr>
            </w:pPr>
            <w:r w:rsidRPr="000C0EFD">
              <w:rPr>
                <w:rFonts w:ascii="Arial" w:hAnsi="Arial" w:cs="Arial"/>
                <w:b/>
              </w:rPr>
              <w:t>celkem</w:t>
            </w:r>
          </w:p>
        </w:tc>
      </w:tr>
      <w:tr w:rsidR="000C0EFD" w:rsidRPr="00FF6C2B" w:rsidTr="00FF6C2B">
        <w:trPr>
          <w:jc w:val="center"/>
        </w:trPr>
        <w:tc>
          <w:tcPr>
            <w:tcW w:w="1859" w:type="dxa"/>
            <w:shd w:val="clear" w:color="auto" w:fill="auto"/>
            <w:vAlign w:val="center"/>
          </w:tcPr>
          <w:p w:rsidR="000C0EFD" w:rsidRPr="000C0EFD" w:rsidRDefault="000C0EFD" w:rsidP="000C0EFD">
            <w:pPr>
              <w:spacing w:before="60"/>
              <w:rPr>
                <w:rFonts w:ascii="Arial" w:hAnsi="Arial" w:cs="Arial"/>
              </w:rPr>
            </w:pPr>
            <w:r w:rsidRPr="000C0EFD">
              <w:rPr>
                <w:rFonts w:ascii="Arial" w:hAnsi="Arial" w:cs="Arial"/>
              </w:rPr>
              <w:t>Celkové výdaje</w:t>
            </w:r>
          </w:p>
        </w:tc>
        <w:tc>
          <w:tcPr>
            <w:tcW w:w="567" w:type="dxa"/>
          </w:tcPr>
          <w:p w:rsidR="000C0EFD" w:rsidRPr="000C0EFD" w:rsidRDefault="000C0EFD" w:rsidP="000C0EFD">
            <w:pPr>
              <w:spacing w:before="60"/>
              <w:jc w:val="center"/>
              <w:rPr>
                <w:rFonts w:ascii="Arial" w:hAnsi="Arial" w:cs="Arial"/>
              </w:rPr>
            </w:pPr>
            <w:r w:rsidRPr="00FF6C2B">
              <w:rPr>
                <w:rFonts w:ascii="Arial" w:hAnsi="Arial" w:cs="Arial"/>
              </w:rPr>
              <w:t xml:space="preserve">79,0 </w:t>
            </w:r>
          </w:p>
        </w:tc>
        <w:tc>
          <w:tcPr>
            <w:tcW w:w="850" w:type="dxa"/>
          </w:tcPr>
          <w:p w:rsidR="000C0EFD" w:rsidRPr="000C0EFD" w:rsidRDefault="000C0EFD" w:rsidP="000C0EFD">
            <w:pPr>
              <w:spacing w:before="60"/>
              <w:jc w:val="center"/>
              <w:rPr>
                <w:rFonts w:ascii="Arial" w:hAnsi="Arial" w:cs="Arial"/>
              </w:rPr>
            </w:pPr>
            <w:r w:rsidRPr="00FF6C2B">
              <w:rPr>
                <w:rFonts w:ascii="Arial" w:hAnsi="Arial" w:cs="Arial"/>
              </w:rPr>
              <w:t xml:space="preserve">133,1 </w:t>
            </w:r>
          </w:p>
        </w:tc>
        <w:tc>
          <w:tcPr>
            <w:tcW w:w="851" w:type="dxa"/>
          </w:tcPr>
          <w:p w:rsidR="000C0EFD" w:rsidRPr="000C0EFD" w:rsidRDefault="000C0EFD" w:rsidP="000C0EFD">
            <w:pPr>
              <w:spacing w:before="60"/>
              <w:jc w:val="center"/>
              <w:rPr>
                <w:rFonts w:ascii="Arial" w:hAnsi="Arial" w:cs="Arial"/>
              </w:rPr>
            </w:pPr>
            <w:r w:rsidRPr="00FF6C2B">
              <w:rPr>
                <w:rFonts w:ascii="Arial" w:hAnsi="Arial" w:cs="Arial"/>
              </w:rPr>
              <w:t xml:space="preserve">165,2 </w:t>
            </w:r>
          </w:p>
        </w:tc>
        <w:tc>
          <w:tcPr>
            <w:tcW w:w="850" w:type="dxa"/>
          </w:tcPr>
          <w:p w:rsidR="000C0EFD" w:rsidRPr="000C0EFD" w:rsidRDefault="000C0EFD" w:rsidP="000C0EFD">
            <w:pPr>
              <w:spacing w:before="60"/>
              <w:jc w:val="center"/>
              <w:rPr>
                <w:rFonts w:ascii="Arial" w:hAnsi="Arial" w:cs="Arial"/>
              </w:rPr>
            </w:pPr>
            <w:r w:rsidRPr="00FF6C2B">
              <w:rPr>
                <w:rFonts w:ascii="Arial" w:hAnsi="Arial" w:cs="Arial"/>
              </w:rPr>
              <w:t xml:space="preserve">165,2 </w:t>
            </w:r>
          </w:p>
        </w:tc>
        <w:tc>
          <w:tcPr>
            <w:tcW w:w="851" w:type="dxa"/>
          </w:tcPr>
          <w:p w:rsidR="000C0EFD" w:rsidRPr="000C0EFD" w:rsidRDefault="000C0EFD" w:rsidP="000C0EFD">
            <w:pPr>
              <w:spacing w:before="60"/>
              <w:jc w:val="center"/>
              <w:rPr>
                <w:rFonts w:ascii="Arial" w:hAnsi="Arial" w:cs="Arial"/>
              </w:rPr>
            </w:pPr>
            <w:r w:rsidRPr="00FF6C2B">
              <w:rPr>
                <w:rFonts w:ascii="Arial" w:hAnsi="Arial" w:cs="Arial"/>
              </w:rPr>
              <w:t xml:space="preserve">165,2 </w:t>
            </w:r>
          </w:p>
        </w:tc>
        <w:tc>
          <w:tcPr>
            <w:tcW w:w="850" w:type="dxa"/>
          </w:tcPr>
          <w:p w:rsidR="000C0EFD" w:rsidRPr="000C0EFD" w:rsidRDefault="000C0EFD" w:rsidP="000C0EFD">
            <w:pPr>
              <w:spacing w:before="60"/>
              <w:jc w:val="center"/>
              <w:rPr>
                <w:rFonts w:ascii="Arial" w:hAnsi="Arial" w:cs="Arial"/>
              </w:rPr>
            </w:pPr>
            <w:r w:rsidRPr="00FF6C2B">
              <w:rPr>
                <w:rFonts w:ascii="Arial" w:hAnsi="Arial" w:cs="Arial"/>
              </w:rPr>
              <w:t xml:space="preserve">165,2 </w:t>
            </w:r>
          </w:p>
        </w:tc>
        <w:tc>
          <w:tcPr>
            <w:tcW w:w="851" w:type="dxa"/>
          </w:tcPr>
          <w:p w:rsidR="000C0EFD" w:rsidRPr="000C0EFD" w:rsidRDefault="000C0EFD" w:rsidP="000C0EFD">
            <w:pPr>
              <w:spacing w:before="60"/>
              <w:jc w:val="center"/>
              <w:rPr>
                <w:rFonts w:ascii="Arial" w:hAnsi="Arial" w:cs="Arial"/>
              </w:rPr>
            </w:pPr>
            <w:r w:rsidRPr="00FF6C2B">
              <w:rPr>
                <w:rFonts w:ascii="Arial" w:hAnsi="Arial" w:cs="Arial"/>
              </w:rPr>
              <w:t xml:space="preserve">131,7 </w:t>
            </w:r>
          </w:p>
        </w:tc>
        <w:tc>
          <w:tcPr>
            <w:tcW w:w="674" w:type="dxa"/>
          </w:tcPr>
          <w:p w:rsidR="000C0EFD" w:rsidRPr="000C0EFD" w:rsidRDefault="000C0EFD" w:rsidP="000C0EFD">
            <w:pPr>
              <w:spacing w:before="60"/>
              <w:jc w:val="center"/>
              <w:rPr>
                <w:rFonts w:ascii="Arial" w:hAnsi="Arial" w:cs="Arial"/>
              </w:rPr>
            </w:pPr>
            <w:r w:rsidRPr="00FF6C2B">
              <w:rPr>
                <w:rFonts w:ascii="Arial" w:hAnsi="Arial" w:cs="Arial"/>
              </w:rPr>
              <w:t xml:space="preserve">79,0 </w:t>
            </w:r>
          </w:p>
        </w:tc>
        <w:tc>
          <w:tcPr>
            <w:tcW w:w="0" w:type="auto"/>
          </w:tcPr>
          <w:p w:rsidR="000C0EFD" w:rsidRPr="000C0EFD" w:rsidRDefault="000C0EFD" w:rsidP="000C0EFD">
            <w:pPr>
              <w:spacing w:before="60"/>
              <w:jc w:val="center"/>
              <w:rPr>
                <w:rFonts w:ascii="Arial" w:hAnsi="Arial" w:cs="Arial"/>
              </w:rPr>
            </w:pPr>
            <w:r w:rsidRPr="00FF6C2B">
              <w:rPr>
                <w:rFonts w:ascii="Arial" w:hAnsi="Arial" w:cs="Arial"/>
              </w:rPr>
              <w:t xml:space="preserve">1 083,6 </w:t>
            </w:r>
          </w:p>
        </w:tc>
      </w:tr>
      <w:tr w:rsidR="000C0EFD" w:rsidRPr="000C0EFD" w:rsidTr="00FF6C2B">
        <w:trPr>
          <w:jc w:val="center"/>
        </w:trPr>
        <w:tc>
          <w:tcPr>
            <w:tcW w:w="1859" w:type="dxa"/>
            <w:shd w:val="clear" w:color="auto" w:fill="auto"/>
            <w:vAlign w:val="center"/>
          </w:tcPr>
          <w:p w:rsidR="000C0EFD" w:rsidRPr="000C0EFD" w:rsidRDefault="000C0EFD" w:rsidP="000C0EFD">
            <w:pPr>
              <w:spacing w:before="60"/>
              <w:rPr>
                <w:rFonts w:ascii="Arial" w:hAnsi="Arial" w:cs="Arial"/>
              </w:rPr>
            </w:pPr>
            <w:r w:rsidRPr="000C0EFD">
              <w:rPr>
                <w:rFonts w:ascii="Arial" w:hAnsi="Arial" w:cs="Arial"/>
              </w:rPr>
              <w:t>Výdaje státního rozpočtu</w:t>
            </w:r>
          </w:p>
        </w:tc>
        <w:tc>
          <w:tcPr>
            <w:tcW w:w="567" w:type="dxa"/>
          </w:tcPr>
          <w:p w:rsidR="000C0EFD" w:rsidRPr="000C0EFD" w:rsidRDefault="000C0EFD" w:rsidP="000C0EFD">
            <w:pPr>
              <w:spacing w:before="60"/>
              <w:jc w:val="center"/>
              <w:rPr>
                <w:rFonts w:ascii="Arial" w:hAnsi="Arial" w:cs="Arial"/>
              </w:rPr>
            </w:pPr>
            <w:r w:rsidRPr="00FF6C2B">
              <w:rPr>
                <w:rFonts w:ascii="Arial" w:hAnsi="Arial" w:cs="Arial"/>
              </w:rPr>
              <w:t xml:space="preserve">71,1 </w:t>
            </w:r>
          </w:p>
        </w:tc>
        <w:tc>
          <w:tcPr>
            <w:tcW w:w="850" w:type="dxa"/>
          </w:tcPr>
          <w:p w:rsidR="000C0EFD" w:rsidRPr="000C0EFD" w:rsidRDefault="000C0EFD" w:rsidP="000C0EFD">
            <w:pPr>
              <w:spacing w:before="60"/>
              <w:jc w:val="center"/>
              <w:rPr>
                <w:rFonts w:ascii="Arial" w:hAnsi="Arial" w:cs="Arial"/>
              </w:rPr>
            </w:pPr>
            <w:r w:rsidRPr="00FF6C2B">
              <w:rPr>
                <w:rFonts w:ascii="Arial" w:hAnsi="Arial" w:cs="Arial"/>
              </w:rPr>
              <w:t xml:space="preserve">119,8 </w:t>
            </w:r>
          </w:p>
        </w:tc>
        <w:tc>
          <w:tcPr>
            <w:tcW w:w="851" w:type="dxa"/>
          </w:tcPr>
          <w:p w:rsidR="000C0EFD" w:rsidRPr="000C0EFD" w:rsidRDefault="000C0EFD" w:rsidP="000C0EFD">
            <w:pPr>
              <w:spacing w:before="60"/>
              <w:jc w:val="center"/>
              <w:rPr>
                <w:rFonts w:ascii="Arial" w:hAnsi="Arial" w:cs="Arial"/>
              </w:rPr>
            </w:pPr>
            <w:r w:rsidRPr="00FF6C2B">
              <w:rPr>
                <w:rFonts w:ascii="Arial" w:hAnsi="Arial" w:cs="Arial"/>
              </w:rPr>
              <w:t xml:space="preserve">148,7 </w:t>
            </w:r>
          </w:p>
        </w:tc>
        <w:tc>
          <w:tcPr>
            <w:tcW w:w="850" w:type="dxa"/>
          </w:tcPr>
          <w:p w:rsidR="000C0EFD" w:rsidRPr="000C0EFD" w:rsidRDefault="000C0EFD" w:rsidP="000C0EFD">
            <w:pPr>
              <w:spacing w:before="60"/>
              <w:jc w:val="center"/>
              <w:rPr>
                <w:rFonts w:ascii="Arial" w:hAnsi="Arial" w:cs="Arial"/>
              </w:rPr>
            </w:pPr>
            <w:r w:rsidRPr="00FF6C2B">
              <w:rPr>
                <w:rFonts w:ascii="Arial" w:hAnsi="Arial" w:cs="Arial"/>
              </w:rPr>
              <w:t xml:space="preserve">148,7 </w:t>
            </w:r>
          </w:p>
        </w:tc>
        <w:tc>
          <w:tcPr>
            <w:tcW w:w="851" w:type="dxa"/>
          </w:tcPr>
          <w:p w:rsidR="000C0EFD" w:rsidRPr="000C0EFD" w:rsidRDefault="000C0EFD" w:rsidP="000C0EFD">
            <w:pPr>
              <w:spacing w:before="60"/>
              <w:jc w:val="center"/>
              <w:rPr>
                <w:rFonts w:ascii="Arial" w:hAnsi="Arial" w:cs="Arial"/>
              </w:rPr>
            </w:pPr>
            <w:r w:rsidRPr="00FF6C2B">
              <w:rPr>
                <w:rFonts w:ascii="Arial" w:hAnsi="Arial" w:cs="Arial"/>
              </w:rPr>
              <w:t xml:space="preserve">148,7 </w:t>
            </w:r>
          </w:p>
        </w:tc>
        <w:tc>
          <w:tcPr>
            <w:tcW w:w="850" w:type="dxa"/>
          </w:tcPr>
          <w:p w:rsidR="000C0EFD" w:rsidRPr="000C0EFD" w:rsidRDefault="000C0EFD" w:rsidP="000C0EFD">
            <w:pPr>
              <w:spacing w:before="60"/>
              <w:jc w:val="center"/>
              <w:rPr>
                <w:rFonts w:ascii="Arial" w:hAnsi="Arial" w:cs="Arial"/>
              </w:rPr>
            </w:pPr>
            <w:r w:rsidRPr="00FF6C2B">
              <w:rPr>
                <w:rFonts w:ascii="Arial" w:hAnsi="Arial" w:cs="Arial"/>
              </w:rPr>
              <w:t xml:space="preserve">148,7 </w:t>
            </w:r>
          </w:p>
        </w:tc>
        <w:tc>
          <w:tcPr>
            <w:tcW w:w="851" w:type="dxa"/>
          </w:tcPr>
          <w:p w:rsidR="000C0EFD" w:rsidRPr="000C0EFD" w:rsidRDefault="000C0EFD" w:rsidP="000C0EFD">
            <w:pPr>
              <w:spacing w:before="60"/>
              <w:jc w:val="center"/>
              <w:rPr>
                <w:rFonts w:ascii="Arial" w:hAnsi="Arial" w:cs="Arial"/>
              </w:rPr>
            </w:pPr>
            <w:r w:rsidRPr="00FF6C2B">
              <w:rPr>
                <w:rFonts w:ascii="Arial" w:hAnsi="Arial" w:cs="Arial"/>
              </w:rPr>
              <w:t xml:space="preserve">118,5 </w:t>
            </w:r>
          </w:p>
        </w:tc>
        <w:tc>
          <w:tcPr>
            <w:tcW w:w="674" w:type="dxa"/>
          </w:tcPr>
          <w:p w:rsidR="000C0EFD" w:rsidRPr="000C0EFD" w:rsidRDefault="000C0EFD" w:rsidP="000C0EFD">
            <w:pPr>
              <w:spacing w:before="60"/>
              <w:jc w:val="center"/>
              <w:rPr>
                <w:rFonts w:ascii="Arial" w:hAnsi="Arial" w:cs="Arial"/>
              </w:rPr>
            </w:pPr>
            <w:r w:rsidRPr="00FF6C2B">
              <w:rPr>
                <w:rFonts w:ascii="Arial" w:hAnsi="Arial" w:cs="Arial"/>
              </w:rPr>
              <w:t xml:space="preserve">71,1 </w:t>
            </w:r>
          </w:p>
        </w:tc>
        <w:tc>
          <w:tcPr>
            <w:tcW w:w="0" w:type="auto"/>
          </w:tcPr>
          <w:p w:rsidR="000C0EFD" w:rsidRPr="000C0EFD" w:rsidRDefault="000C0EFD" w:rsidP="000C0EFD">
            <w:pPr>
              <w:spacing w:before="60"/>
              <w:jc w:val="center"/>
              <w:rPr>
                <w:rFonts w:ascii="Arial" w:hAnsi="Arial" w:cs="Arial"/>
              </w:rPr>
            </w:pPr>
            <w:r w:rsidRPr="00FF6C2B">
              <w:rPr>
                <w:rFonts w:ascii="Arial" w:hAnsi="Arial" w:cs="Arial"/>
              </w:rPr>
              <w:t xml:space="preserve">975,3 </w:t>
            </w:r>
          </w:p>
        </w:tc>
      </w:tr>
      <w:tr w:rsidR="000C0EFD" w:rsidRPr="000C0EFD" w:rsidDel="0047508A" w:rsidTr="00FF6C2B">
        <w:trPr>
          <w:jc w:val="center"/>
        </w:trPr>
        <w:tc>
          <w:tcPr>
            <w:tcW w:w="1859" w:type="dxa"/>
            <w:shd w:val="clear" w:color="auto" w:fill="auto"/>
            <w:vAlign w:val="center"/>
          </w:tcPr>
          <w:p w:rsidR="000C0EFD" w:rsidRPr="000C0EFD" w:rsidRDefault="000C0EFD" w:rsidP="000C0EFD">
            <w:pPr>
              <w:spacing w:before="60"/>
              <w:rPr>
                <w:rFonts w:ascii="Arial" w:hAnsi="Arial" w:cs="Arial"/>
              </w:rPr>
            </w:pPr>
            <w:r w:rsidRPr="000C0EFD">
              <w:rPr>
                <w:rFonts w:ascii="Arial" w:hAnsi="Arial" w:cs="Arial"/>
              </w:rPr>
              <w:t>Ostatní zdroje</w:t>
            </w:r>
          </w:p>
        </w:tc>
        <w:tc>
          <w:tcPr>
            <w:tcW w:w="567" w:type="dxa"/>
          </w:tcPr>
          <w:p w:rsidR="000C0EFD" w:rsidRPr="000C0EFD" w:rsidDel="0047508A" w:rsidRDefault="000C0EFD" w:rsidP="000C0EFD">
            <w:pPr>
              <w:spacing w:before="60"/>
              <w:jc w:val="center"/>
              <w:rPr>
                <w:rFonts w:ascii="Arial" w:hAnsi="Arial" w:cs="Arial"/>
              </w:rPr>
            </w:pPr>
            <w:r w:rsidRPr="00FF6C2B">
              <w:rPr>
                <w:rFonts w:ascii="Arial" w:hAnsi="Arial" w:cs="Arial"/>
              </w:rPr>
              <w:t xml:space="preserve">7,9 </w:t>
            </w:r>
          </w:p>
        </w:tc>
        <w:tc>
          <w:tcPr>
            <w:tcW w:w="850" w:type="dxa"/>
          </w:tcPr>
          <w:p w:rsidR="000C0EFD" w:rsidRPr="000C0EFD" w:rsidDel="0047508A" w:rsidRDefault="000C0EFD" w:rsidP="000C0EFD">
            <w:pPr>
              <w:spacing w:before="60"/>
              <w:jc w:val="center"/>
              <w:rPr>
                <w:rFonts w:ascii="Arial" w:hAnsi="Arial" w:cs="Arial"/>
              </w:rPr>
            </w:pPr>
            <w:r w:rsidRPr="00FF6C2B">
              <w:rPr>
                <w:rFonts w:ascii="Arial" w:hAnsi="Arial" w:cs="Arial"/>
              </w:rPr>
              <w:t xml:space="preserve">13,3 </w:t>
            </w:r>
          </w:p>
        </w:tc>
        <w:tc>
          <w:tcPr>
            <w:tcW w:w="851" w:type="dxa"/>
          </w:tcPr>
          <w:p w:rsidR="000C0EFD" w:rsidRPr="000C0EFD" w:rsidDel="0047508A" w:rsidRDefault="000C0EFD" w:rsidP="000C0EFD">
            <w:pPr>
              <w:spacing w:before="60"/>
              <w:jc w:val="center"/>
              <w:rPr>
                <w:rFonts w:ascii="Arial" w:hAnsi="Arial" w:cs="Arial"/>
              </w:rPr>
            </w:pPr>
            <w:r w:rsidRPr="00FF6C2B">
              <w:rPr>
                <w:rFonts w:ascii="Arial" w:hAnsi="Arial" w:cs="Arial"/>
              </w:rPr>
              <w:t xml:space="preserve">16,5 </w:t>
            </w:r>
          </w:p>
        </w:tc>
        <w:tc>
          <w:tcPr>
            <w:tcW w:w="850" w:type="dxa"/>
          </w:tcPr>
          <w:p w:rsidR="000C0EFD" w:rsidRPr="000C0EFD" w:rsidRDefault="000C0EFD" w:rsidP="000C0EFD">
            <w:pPr>
              <w:spacing w:before="60"/>
              <w:jc w:val="center"/>
              <w:rPr>
                <w:rFonts w:ascii="Arial" w:hAnsi="Arial" w:cs="Arial"/>
              </w:rPr>
            </w:pPr>
            <w:r w:rsidRPr="00FF6C2B">
              <w:rPr>
                <w:rFonts w:ascii="Arial" w:hAnsi="Arial" w:cs="Arial"/>
              </w:rPr>
              <w:t xml:space="preserve">16,5 </w:t>
            </w:r>
          </w:p>
        </w:tc>
        <w:tc>
          <w:tcPr>
            <w:tcW w:w="851" w:type="dxa"/>
          </w:tcPr>
          <w:p w:rsidR="000C0EFD" w:rsidRPr="000C0EFD" w:rsidRDefault="000C0EFD" w:rsidP="000C0EFD">
            <w:pPr>
              <w:spacing w:before="60"/>
              <w:jc w:val="center"/>
              <w:rPr>
                <w:rFonts w:ascii="Arial" w:hAnsi="Arial" w:cs="Arial"/>
              </w:rPr>
            </w:pPr>
            <w:r w:rsidRPr="00FF6C2B">
              <w:rPr>
                <w:rFonts w:ascii="Arial" w:hAnsi="Arial" w:cs="Arial"/>
              </w:rPr>
              <w:t xml:space="preserve">16,5 </w:t>
            </w:r>
          </w:p>
        </w:tc>
        <w:tc>
          <w:tcPr>
            <w:tcW w:w="850" w:type="dxa"/>
          </w:tcPr>
          <w:p w:rsidR="000C0EFD" w:rsidRPr="000C0EFD" w:rsidRDefault="000C0EFD" w:rsidP="000C0EFD">
            <w:pPr>
              <w:spacing w:before="60"/>
              <w:jc w:val="center"/>
              <w:rPr>
                <w:rFonts w:ascii="Arial" w:hAnsi="Arial" w:cs="Arial"/>
              </w:rPr>
            </w:pPr>
            <w:r w:rsidRPr="00FF6C2B">
              <w:rPr>
                <w:rFonts w:ascii="Arial" w:hAnsi="Arial" w:cs="Arial"/>
              </w:rPr>
              <w:t xml:space="preserve">16,5 </w:t>
            </w:r>
          </w:p>
        </w:tc>
        <w:tc>
          <w:tcPr>
            <w:tcW w:w="851" w:type="dxa"/>
          </w:tcPr>
          <w:p w:rsidR="000C0EFD" w:rsidRPr="000C0EFD" w:rsidRDefault="000C0EFD" w:rsidP="000C0EFD">
            <w:pPr>
              <w:spacing w:before="60"/>
              <w:jc w:val="center"/>
              <w:rPr>
                <w:rFonts w:ascii="Arial" w:hAnsi="Arial" w:cs="Arial"/>
              </w:rPr>
            </w:pPr>
            <w:r w:rsidRPr="00FF6C2B">
              <w:rPr>
                <w:rFonts w:ascii="Arial" w:hAnsi="Arial" w:cs="Arial"/>
              </w:rPr>
              <w:t xml:space="preserve">13,2 </w:t>
            </w:r>
          </w:p>
        </w:tc>
        <w:tc>
          <w:tcPr>
            <w:tcW w:w="674" w:type="dxa"/>
          </w:tcPr>
          <w:p w:rsidR="000C0EFD" w:rsidRPr="000C0EFD" w:rsidRDefault="000C0EFD" w:rsidP="000C0EFD">
            <w:pPr>
              <w:spacing w:before="60"/>
              <w:jc w:val="center"/>
              <w:rPr>
                <w:rFonts w:ascii="Arial" w:hAnsi="Arial" w:cs="Arial"/>
              </w:rPr>
            </w:pPr>
            <w:r w:rsidRPr="00FF6C2B">
              <w:rPr>
                <w:rFonts w:ascii="Arial" w:hAnsi="Arial" w:cs="Arial"/>
              </w:rPr>
              <w:t xml:space="preserve">7,9 </w:t>
            </w:r>
          </w:p>
        </w:tc>
        <w:tc>
          <w:tcPr>
            <w:tcW w:w="0" w:type="auto"/>
          </w:tcPr>
          <w:p w:rsidR="000C0EFD" w:rsidRPr="000C0EFD" w:rsidDel="0047508A" w:rsidRDefault="000C0EFD" w:rsidP="000C0EFD">
            <w:pPr>
              <w:spacing w:before="60"/>
              <w:jc w:val="center"/>
              <w:rPr>
                <w:rFonts w:ascii="Arial" w:hAnsi="Arial" w:cs="Arial"/>
              </w:rPr>
            </w:pPr>
            <w:r w:rsidRPr="00FF6C2B">
              <w:rPr>
                <w:rFonts w:ascii="Arial" w:hAnsi="Arial" w:cs="Arial"/>
              </w:rPr>
              <w:t xml:space="preserve">108,3 </w:t>
            </w:r>
          </w:p>
        </w:tc>
      </w:tr>
    </w:tbl>
    <w:p w:rsidR="00491F88" w:rsidRPr="00FF6C2B" w:rsidRDefault="00491F88" w:rsidP="000D29F5">
      <w:pPr>
        <w:keepNext/>
        <w:spacing w:before="240" w:after="60"/>
        <w:jc w:val="both"/>
        <w:rPr>
          <w:rFonts w:ascii="Arial" w:hAnsi="Arial" w:cs="Arial"/>
          <w:b/>
        </w:rPr>
      </w:pPr>
      <w:r w:rsidRPr="00FF6C2B">
        <w:rPr>
          <w:rFonts w:ascii="Arial" w:hAnsi="Arial" w:cs="Arial"/>
          <w:b/>
        </w:rPr>
        <w:t>Výdaje na Podprogram 2 (v mil. Kč)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859"/>
        <w:gridCol w:w="611"/>
        <w:gridCol w:w="850"/>
        <w:gridCol w:w="851"/>
        <w:gridCol w:w="850"/>
        <w:gridCol w:w="851"/>
        <w:gridCol w:w="850"/>
        <w:gridCol w:w="851"/>
        <w:gridCol w:w="674"/>
        <w:gridCol w:w="824"/>
      </w:tblGrid>
      <w:tr w:rsidR="000C0EFD" w:rsidRPr="00FF6C2B" w:rsidTr="00FF6C2B">
        <w:trPr>
          <w:jc w:val="center"/>
        </w:trPr>
        <w:tc>
          <w:tcPr>
            <w:tcW w:w="1859" w:type="dxa"/>
            <w:shd w:val="clear" w:color="auto" w:fill="E6E6E6"/>
            <w:vAlign w:val="center"/>
          </w:tcPr>
          <w:p w:rsidR="000C0EFD" w:rsidRPr="000C0EFD" w:rsidRDefault="000C0EFD" w:rsidP="000C0EFD">
            <w:pPr>
              <w:spacing w:before="60"/>
              <w:jc w:val="center"/>
              <w:rPr>
                <w:rFonts w:ascii="Arial" w:hAnsi="Arial" w:cs="Arial"/>
                <w:b/>
              </w:rPr>
            </w:pPr>
            <w:r w:rsidRPr="000C0EFD">
              <w:rPr>
                <w:rFonts w:ascii="Arial" w:hAnsi="Arial" w:cs="Arial"/>
                <w:b/>
              </w:rPr>
              <w:t>rok</w:t>
            </w:r>
          </w:p>
        </w:tc>
        <w:tc>
          <w:tcPr>
            <w:tcW w:w="611" w:type="dxa"/>
            <w:shd w:val="clear" w:color="auto" w:fill="E6E6E6"/>
            <w:vAlign w:val="center"/>
          </w:tcPr>
          <w:p w:rsidR="000C0EFD" w:rsidRPr="000C0EFD" w:rsidRDefault="000C0EFD" w:rsidP="000C0EFD">
            <w:pPr>
              <w:spacing w:before="60"/>
              <w:jc w:val="center"/>
              <w:rPr>
                <w:rFonts w:ascii="Arial" w:hAnsi="Arial" w:cs="Arial"/>
                <w:b/>
              </w:rPr>
            </w:pPr>
            <w:r w:rsidRPr="000C0EFD">
              <w:rPr>
                <w:rFonts w:ascii="Arial" w:hAnsi="Arial" w:cs="Arial"/>
                <w:b/>
              </w:rPr>
              <w:t>2024</w:t>
            </w:r>
          </w:p>
        </w:tc>
        <w:tc>
          <w:tcPr>
            <w:tcW w:w="850" w:type="dxa"/>
            <w:shd w:val="clear" w:color="auto" w:fill="E6E6E6"/>
            <w:vAlign w:val="center"/>
          </w:tcPr>
          <w:p w:rsidR="000C0EFD" w:rsidRPr="000C0EFD" w:rsidRDefault="000C0EFD" w:rsidP="000C0EFD">
            <w:pPr>
              <w:spacing w:before="60"/>
              <w:jc w:val="center"/>
              <w:rPr>
                <w:rFonts w:ascii="Arial" w:hAnsi="Arial" w:cs="Arial"/>
              </w:rPr>
            </w:pPr>
            <w:r w:rsidRPr="000C0EFD">
              <w:rPr>
                <w:rFonts w:ascii="Arial" w:hAnsi="Arial" w:cs="Arial"/>
                <w:b/>
              </w:rPr>
              <w:t>2025</w:t>
            </w:r>
          </w:p>
        </w:tc>
        <w:tc>
          <w:tcPr>
            <w:tcW w:w="851" w:type="dxa"/>
            <w:shd w:val="clear" w:color="auto" w:fill="E6E6E6"/>
            <w:vAlign w:val="center"/>
          </w:tcPr>
          <w:p w:rsidR="000C0EFD" w:rsidRPr="000C0EFD" w:rsidRDefault="000C0EFD" w:rsidP="000C0EFD">
            <w:pPr>
              <w:spacing w:before="60"/>
              <w:jc w:val="center"/>
              <w:rPr>
                <w:rFonts w:ascii="Arial" w:hAnsi="Arial" w:cs="Arial"/>
                <w:b/>
              </w:rPr>
            </w:pPr>
            <w:r w:rsidRPr="000C0EFD">
              <w:rPr>
                <w:rFonts w:ascii="Arial" w:hAnsi="Arial" w:cs="Arial"/>
                <w:b/>
              </w:rPr>
              <w:t>2026</w:t>
            </w:r>
          </w:p>
        </w:tc>
        <w:tc>
          <w:tcPr>
            <w:tcW w:w="850" w:type="dxa"/>
            <w:shd w:val="clear" w:color="auto" w:fill="E6E6E6"/>
            <w:vAlign w:val="center"/>
          </w:tcPr>
          <w:p w:rsidR="000C0EFD" w:rsidRPr="000C0EFD" w:rsidRDefault="000C0EFD" w:rsidP="000C0EFD">
            <w:pPr>
              <w:spacing w:before="60"/>
              <w:jc w:val="center"/>
              <w:rPr>
                <w:rFonts w:ascii="Arial" w:hAnsi="Arial" w:cs="Arial"/>
                <w:b/>
              </w:rPr>
            </w:pPr>
            <w:r w:rsidRPr="000C0EFD">
              <w:rPr>
                <w:rFonts w:ascii="Arial" w:hAnsi="Arial" w:cs="Arial"/>
                <w:b/>
              </w:rPr>
              <w:t>2027</w:t>
            </w:r>
          </w:p>
        </w:tc>
        <w:tc>
          <w:tcPr>
            <w:tcW w:w="851" w:type="dxa"/>
            <w:shd w:val="clear" w:color="auto" w:fill="E6E6E6"/>
            <w:vAlign w:val="center"/>
          </w:tcPr>
          <w:p w:rsidR="000C0EFD" w:rsidRPr="000C0EFD" w:rsidRDefault="000C0EFD" w:rsidP="000C0EFD">
            <w:pPr>
              <w:spacing w:before="60"/>
              <w:jc w:val="center"/>
              <w:rPr>
                <w:rFonts w:ascii="Arial" w:hAnsi="Arial" w:cs="Arial"/>
                <w:b/>
              </w:rPr>
            </w:pPr>
            <w:r w:rsidRPr="000C0EFD">
              <w:rPr>
                <w:rFonts w:ascii="Arial" w:hAnsi="Arial" w:cs="Arial"/>
                <w:b/>
              </w:rPr>
              <w:t>2028</w:t>
            </w:r>
          </w:p>
        </w:tc>
        <w:tc>
          <w:tcPr>
            <w:tcW w:w="850" w:type="dxa"/>
            <w:shd w:val="clear" w:color="auto" w:fill="E6E6E6"/>
            <w:vAlign w:val="center"/>
          </w:tcPr>
          <w:p w:rsidR="000C0EFD" w:rsidRPr="000C0EFD" w:rsidRDefault="000C0EFD" w:rsidP="000C0EFD">
            <w:pPr>
              <w:spacing w:before="60"/>
              <w:jc w:val="center"/>
              <w:rPr>
                <w:rFonts w:ascii="Arial" w:hAnsi="Arial" w:cs="Arial"/>
                <w:b/>
              </w:rPr>
            </w:pPr>
            <w:r w:rsidRPr="000C0EFD">
              <w:rPr>
                <w:rFonts w:ascii="Arial" w:hAnsi="Arial" w:cs="Arial"/>
                <w:b/>
              </w:rPr>
              <w:t>2029</w:t>
            </w:r>
          </w:p>
        </w:tc>
        <w:tc>
          <w:tcPr>
            <w:tcW w:w="851" w:type="dxa"/>
            <w:shd w:val="clear" w:color="auto" w:fill="E6E6E6"/>
            <w:vAlign w:val="center"/>
          </w:tcPr>
          <w:p w:rsidR="000C0EFD" w:rsidRPr="000C0EFD" w:rsidRDefault="000C0EFD" w:rsidP="000C0EFD">
            <w:pPr>
              <w:spacing w:before="60"/>
              <w:jc w:val="center"/>
              <w:rPr>
                <w:rFonts w:ascii="Arial" w:hAnsi="Arial" w:cs="Arial"/>
                <w:b/>
              </w:rPr>
            </w:pPr>
            <w:r w:rsidRPr="000C0EFD">
              <w:rPr>
                <w:rFonts w:ascii="Arial" w:hAnsi="Arial" w:cs="Arial"/>
                <w:b/>
              </w:rPr>
              <w:t>2030</w:t>
            </w:r>
          </w:p>
        </w:tc>
        <w:tc>
          <w:tcPr>
            <w:tcW w:w="674" w:type="dxa"/>
            <w:shd w:val="clear" w:color="auto" w:fill="E6E6E6"/>
          </w:tcPr>
          <w:p w:rsidR="000C0EFD" w:rsidRPr="000C0EFD" w:rsidRDefault="000C0EFD" w:rsidP="000C0EFD">
            <w:pPr>
              <w:spacing w:before="60"/>
              <w:jc w:val="center"/>
              <w:rPr>
                <w:rFonts w:ascii="Arial" w:hAnsi="Arial" w:cs="Arial"/>
                <w:b/>
              </w:rPr>
            </w:pPr>
            <w:r w:rsidRPr="000C0EFD">
              <w:rPr>
                <w:rFonts w:ascii="Arial" w:hAnsi="Arial" w:cs="Arial"/>
                <w:b/>
              </w:rPr>
              <w:t>2031</w:t>
            </w:r>
          </w:p>
        </w:tc>
        <w:tc>
          <w:tcPr>
            <w:tcW w:w="0" w:type="auto"/>
            <w:shd w:val="clear" w:color="auto" w:fill="E6E6E6"/>
            <w:vAlign w:val="center"/>
          </w:tcPr>
          <w:p w:rsidR="000C0EFD" w:rsidRPr="000C0EFD" w:rsidRDefault="000C0EFD" w:rsidP="000C0EFD">
            <w:pPr>
              <w:spacing w:before="60"/>
              <w:jc w:val="center"/>
              <w:rPr>
                <w:rFonts w:ascii="Arial" w:hAnsi="Arial" w:cs="Arial"/>
                <w:b/>
              </w:rPr>
            </w:pPr>
            <w:r w:rsidRPr="000C0EFD">
              <w:rPr>
                <w:rFonts w:ascii="Arial" w:hAnsi="Arial" w:cs="Arial"/>
                <w:b/>
              </w:rPr>
              <w:t>celkem</w:t>
            </w:r>
          </w:p>
        </w:tc>
      </w:tr>
      <w:tr w:rsidR="000C0EFD" w:rsidRPr="00FF6C2B" w:rsidTr="00FF6C2B">
        <w:trPr>
          <w:jc w:val="center"/>
        </w:trPr>
        <w:tc>
          <w:tcPr>
            <w:tcW w:w="1859" w:type="dxa"/>
            <w:shd w:val="clear" w:color="auto" w:fill="auto"/>
            <w:vAlign w:val="center"/>
          </w:tcPr>
          <w:p w:rsidR="000C0EFD" w:rsidRPr="000C0EFD" w:rsidRDefault="000C0EFD" w:rsidP="000C0EFD">
            <w:pPr>
              <w:spacing w:before="60"/>
              <w:rPr>
                <w:rFonts w:ascii="Arial" w:hAnsi="Arial" w:cs="Arial"/>
              </w:rPr>
            </w:pPr>
            <w:r w:rsidRPr="000C0EFD">
              <w:rPr>
                <w:rFonts w:ascii="Arial" w:hAnsi="Arial" w:cs="Arial"/>
              </w:rPr>
              <w:t>Celkové výdaje</w:t>
            </w:r>
          </w:p>
        </w:tc>
        <w:tc>
          <w:tcPr>
            <w:tcW w:w="611" w:type="dxa"/>
          </w:tcPr>
          <w:p w:rsidR="000C0EFD" w:rsidRPr="000C0EFD" w:rsidRDefault="000C0EFD" w:rsidP="000C0EFD">
            <w:pPr>
              <w:spacing w:before="60"/>
              <w:jc w:val="center"/>
              <w:rPr>
                <w:rFonts w:ascii="Arial" w:hAnsi="Arial" w:cs="Arial"/>
              </w:rPr>
            </w:pPr>
            <w:r w:rsidRPr="00FF6C2B">
              <w:rPr>
                <w:rFonts w:ascii="Arial" w:hAnsi="Arial" w:cs="Arial"/>
              </w:rPr>
              <w:t xml:space="preserve">487,5 </w:t>
            </w:r>
          </w:p>
        </w:tc>
        <w:tc>
          <w:tcPr>
            <w:tcW w:w="850" w:type="dxa"/>
          </w:tcPr>
          <w:p w:rsidR="000C0EFD" w:rsidRPr="000C0EFD" w:rsidRDefault="000C0EFD" w:rsidP="000C0EFD">
            <w:pPr>
              <w:spacing w:before="60"/>
              <w:jc w:val="center"/>
              <w:rPr>
                <w:rFonts w:ascii="Arial" w:hAnsi="Arial" w:cs="Arial"/>
              </w:rPr>
            </w:pPr>
            <w:r w:rsidRPr="00FF6C2B">
              <w:rPr>
                <w:rFonts w:ascii="Arial" w:hAnsi="Arial" w:cs="Arial"/>
              </w:rPr>
              <w:t xml:space="preserve">821,7 </w:t>
            </w:r>
          </w:p>
        </w:tc>
        <w:tc>
          <w:tcPr>
            <w:tcW w:w="851" w:type="dxa"/>
          </w:tcPr>
          <w:p w:rsidR="000C0EFD" w:rsidRPr="000C0EFD" w:rsidRDefault="000C0EFD" w:rsidP="000C0EFD">
            <w:pPr>
              <w:spacing w:before="60"/>
              <w:jc w:val="center"/>
              <w:rPr>
                <w:rFonts w:ascii="Arial" w:hAnsi="Arial" w:cs="Arial"/>
              </w:rPr>
            </w:pPr>
            <w:r w:rsidRPr="00FF6C2B">
              <w:rPr>
                <w:rFonts w:ascii="Arial" w:hAnsi="Arial" w:cs="Arial"/>
              </w:rPr>
              <w:t xml:space="preserve">1 020,2 </w:t>
            </w:r>
          </w:p>
        </w:tc>
        <w:tc>
          <w:tcPr>
            <w:tcW w:w="850" w:type="dxa"/>
          </w:tcPr>
          <w:p w:rsidR="000C0EFD" w:rsidRPr="000C0EFD" w:rsidRDefault="000C0EFD" w:rsidP="000C0EFD">
            <w:pPr>
              <w:spacing w:before="60"/>
              <w:jc w:val="center"/>
              <w:rPr>
                <w:rFonts w:ascii="Arial" w:hAnsi="Arial" w:cs="Arial"/>
              </w:rPr>
            </w:pPr>
            <w:r w:rsidRPr="00FF6C2B">
              <w:rPr>
                <w:rFonts w:ascii="Arial" w:hAnsi="Arial" w:cs="Arial"/>
              </w:rPr>
              <w:t xml:space="preserve">1 020,2 </w:t>
            </w:r>
          </w:p>
        </w:tc>
        <w:tc>
          <w:tcPr>
            <w:tcW w:w="851" w:type="dxa"/>
          </w:tcPr>
          <w:p w:rsidR="000C0EFD" w:rsidRPr="000C0EFD" w:rsidRDefault="000C0EFD" w:rsidP="000C0EFD">
            <w:pPr>
              <w:spacing w:before="60"/>
              <w:jc w:val="center"/>
              <w:rPr>
                <w:rFonts w:ascii="Arial" w:hAnsi="Arial" w:cs="Arial"/>
              </w:rPr>
            </w:pPr>
            <w:r w:rsidRPr="00FF6C2B">
              <w:rPr>
                <w:rFonts w:ascii="Arial" w:hAnsi="Arial" w:cs="Arial"/>
              </w:rPr>
              <w:t xml:space="preserve">1 020,2 </w:t>
            </w:r>
          </w:p>
        </w:tc>
        <w:tc>
          <w:tcPr>
            <w:tcW w:w="850" w:type="dxa"/>
          </w:tcPr>
          <w:p w:rsidR="000C0EFD" w:rsidRPr="000C0EFD" w:rsidRDefault="000C0EFD" w:rsidP="000C0EFD">
            <w:pPr>
              <w:spacing w:before="60"/>
              <w:jc w:val="center"/>
              <w:rPr>
                <w:rFonts w:ascii="Arial" w:hAnsi="Arial" w:cs="Arial"/>
              </w:rPr>
            </w:pPr>
            <w:r w:rsidRPr="00FF6C2B">
              <w:rPr>
                <w:rFonts w:ascii="Arial" w:hAnsi="Arial" w:cs="Arial"/>
              </w:rPr>
              <w:t xml:space="preserve">1 020,2 </w:t>
            </w:r>
          </w:p>
        </w:tc>
        <w:tc>
          <w:tcPr>
            <w:tcW w:w="851" w:type="dxa"/>
          </w:tcPr>
          <w:p w:rsidR="000C0EFD" w:rsidRPr="000C0EFD" w:rsidRDefault="000C0EFD" w:rsidP="000C0EFD">
            <w:pPr>
              <w:spacing w:before="60"/>
              <w:jc w:val="center"/>
              <w:rPr>
                <w:rFonts w:ascii="Arial" w:hAnsi="Arial" w:cs="Arial"/>
              </w:rPr>
            </w:pPr>
            <w:r w:rsidRPr="00FF6C2B">
              <w:rPr>
                <w:rFonts w:ascii="Arial" w:hAnsi="Arial" w:cs="Arial"/>
              </w:rPr>
              <w:t xml:space="preserve">812,5 </w:t>
            </w:r>
          </w:p>
        </w:tc>
        <w:tc>
          <w:tcPr>
            <w:tcW w:w="674" w:type="dxa"/>
          </w:tcPr>
          <w:p w:rsidR="000C0EFD" w:rsidRPr="000C0EFD" w:rsidRDefault="000C0EFD" w:rsidP="000C0EFD">
            <w:pPr>
              <w:spacing w:before="60"/>
              <w:jc w:val="center"/>
              <w:rPr>
                <w:rFonts w:ascii="Arial" w:hAnsi="Arial" w:cs="Arial"/>
              </w:rPr>
            </w:pPr>
            <w:r w:rsidRPr="00FF6C2B">
              <w:rPr>
                <w:rFonts w:ascii="Arial" w:hAnsi="Arial" w:cs="Arial"/>
              </w:rPr>
              <w:t xml:space="preserve">487,5 </w:t>
            </w:r>
          </w:p>
        </w:tc>
        <w:tc>
          <w:tcPr>
            <w:tcW w:w="0" w:type="auto"/>
          </w:tcPr>
          <w:p w:rsidR="000C0EFD" w:rsidRPr="000C0EFD" w:rsidRDefault="000C0EFD" w:rsidP="000C0EFD">
            <w:pPr>
              <w:spacing w:before="60"/>
              <w:jc w:val="center"/>
              <w:rPr>
                <w:rFonts w:ascii="Arial" w:hAnsi="Arial" w:cs="Arial"/>
              </w:rPr>
            </w:pPr>
            <w:r w:rsidRPr="00FF6C2B">
              <w:rPr>
                <w:rFonts w:ascii="Arial" w:hAnsi="Arial" w:cs="Arial"/>
              </w:rPr>
              <w:t xml:space="preserve">6 690,0 </w:t>
            </w:r>
          </w:p>
        </w:tc>
      </w:tr>
      <w:tr w:rsidR="000C0EFD" w:rsidRPr="000C0EFD" w:rsidTr="00FF6C2B">
        <w:trPr>
          <w:jc w:val="center"/>
        </w:trPr>
        <w:tc>
          <w:tcPr>
            <w:tcW w:w="1859" w:type="dxa"/>
            <w:shd w:val="clear" w:color="auto" w:fill="auto"/>
            <w:vAlign w:val="center"/>
          </w:tcPr>
          <w:p w:rsidR="000C0EFD" w:rsidRPr="000C0EFD" w:rsidRDefault="000C0EFD" w:rsidP="000C0EFD">
            <w:pPr>
              <w:spacing w:before="60"/>
              <w:rPr>
                <w:rFonts w:ascii="Arial" w:hAnsi="Arial" w:cs="Arial"/>
              </w:rPr>
            </w:pPr>
            <w:r w:rsidRPr="000C0EFD">
              <w:rPr>
                <w:rFonts w:ascii="Arial" w:hAnsi="Arial" w:cs="Arial"/>
              </w:rPr>
              <w:t>Výdaje státního rozpočtu</w:t>
            </w:r>
          </w:p>
        </w:tc>
        <w:tc>
          <w:tcPr>
            <w:tcW w:w="611" w:type="dxa"/>
          </w:tcPr>
          <w:p w:rsidR="000C0EFD" w:rsidRPr="000C0EFD" w:rsidRDefault="000C0EFD" w:rsidP="000C0EFD">
            <w:pPr>
              <w:spacing w:before="60"/>
              <w:jc w:val="center"/>
              <w:rPr>
                <w:rFonts w:ascii="Arial" w:hAnsi="Arial" w:cs="Arial"/>
              </w:rPr>
            </w:pPr>
            <w:r w:rsidRPr="00FF6C2B">
              <w:rPr>
                <w:rFonts w:ascii="Arial" w:hAnsi="Arial" w:cs="Arial"/>
              </w:rPr>
              <w:t xml:space="preserve">292,5 </w:t>
            </w:r>
          </w:p>
        </w:tc>
        <w:tc>
          <w:tcPr>
            <w:tcW w:w="850" w:type="dxa"/>
          </w:tcPr>
          <w:p w:rsidR="000C0EFD" w:rsidRPr="000C0EFD" w:rsidRDefault="000C0EFD" w:rsidP="000C0EFD">
            <w:pPr>
              <w:spacing w:before="60"/>
              <w:jc w:val="center"/>
              <w:rPr>
                <w:rFonts w:ascii="Arial" w:hAnsi="Arial" w:cs="Arial"/>
              </w:rPr>
            </w:pPr>
            <w:r w:rsidRPr="00FF6C2B">
              <w:rPr>
                <w:rFonts w:ascii="Arial" w:hAnsi="Arial" w:cs="Arial"/>
              </w:rPr>
              <w:t xml:space="preserve">493,0 </w:t>
            </w:r>
          </w:p>
        </w:tc>
        <w:tc>
          <w:tcPr>
            <w:tcW w:w="851" w:type="dxa"/>
          </w:tcPr>
          <w:p w:rsidR="000C0EFD" w:rsidRPr="000C0EFD" w:rsidRDefault="000C0EFD" w:rsidP="000C0EFD">
            <w:pPr>
              <w:spacing w:before="60"/>
              <w:jc w:val="center"/>
              <w:rPr>
                <w:rFonts w:ascii="Arial" w:hAnsi="Arial" w:cs="Arial"/>
              </w:rPr>
            </w:pPr>
            <w:r w:rsidRPr="00FF6C2B">
              <w:rPr>
                <w:rFonts w:ascii="Arial" w:hAnsi="Arial" w:cs="Arial"/>
              </w:rPr>
              <w:t xml:space="preserve">612,1 </w:t>
            </w:r>
          </w:p>
        </w:tc>
        <w:tc>
          <w:tcPr>
            <w:tcW w:w="850" w:type="dxa"/>
          </w:tcPr>
          <w:p w:rsidR="000C0EFD" w:rsidRPr="000C0EFD" w:rsidRDefault="000C0EFD" w:rsidP="000C0EFD">
            <w:pPr>
              <w:spacing w:before="60"/>
              <w:jc w:val="center"/>
              <w:rPr>
                <w:rFonts w:ascii="Arial" w:hAnsi="Arial" w:cs="Arial"/>
              </w:rPr>
            </w:pPr>
            <w:r w:rsidRPr="00FF6C2B">
              <w:rPr>
                <w:rFonts w:ascii="Arial" w:hAnsi="Arial" w:cs="Arial"/>
              </w:rPr>
              <w:t xml:space="preserve">612,1 </w:t>
            </w:r>
          </w:p>
        </w:tc>
        <w:tc>
          <w:tcPr>
            <w:tcW w:w="851" w:type="dxa"/>
          </w:tcPr>
          <w:p w:rsidR="000C0EFD" w:rsidRPr="000C0EFD" w:rsidRDefault="000C0EFD" w:rsidP="000C0EFD">
            <w:pPr>
              <w:spacing w:before="60"/>
              <w:jc w:val="center"/>
              <w:rPr>
                <w:rFonts w:ascii="Arial" w:hAnsi="Arial" w:cs="Arial"/>
              </w:rPr>
            </w:pPr>
            <w:r w:rsidRPr="00FF6C2B">
              <w:rPr>
                <w:rFonts w:ascii="Arial" w:hAnsi="Arial" w:cs="Arial"/>
              </w:rPr>
              <w:t xml:space="preserve">612,1 </w:t>
            </w:r>
          </w:p>
        </w:tc>
        <w:tc>
          <w:tcPr>
            <w:tcW w:w="850" w:type="dxa"/>
          </w:tcPr>
          <w:p w:rsidR="000C0EFD" w:rsidRPr="000C0EFD" w:rsidRDefault="000C0EFD" w:rsidP="000C0EFD">
            <w:pPr>
              <w:spacing w:before="60"/>
              <w:jc w:val="center"/>
              <w:rPr>
                <w:rFonts w:ascii="Arial" w:hAnsi="Arial" w:cs="Arial"/>
              </w:rPr>
            </w:pPr>
            <w:r w:rsidRPr="00FF6C2B">
              <w:rPr>
                <w:rFonts w:ascii="Arial" w:hAnsi="Arial" w:cs="Arial"/>
              </w:rPr>
              <w:t xml:space="preserve">612,1 </w:t>
            </w:r>
          </w:p>
        </w:tc>
        <w:tc>
          <w:tcPr>
            <w:tcW w:w="851" w:type="dxa"/>
          </w:tcPr>
          <w:p w:rsidR="000C0EFD" w:rsidRPr="000C0EFD" w:rsidRDefault="000C0EFD" w:rsidP="000C0EFD">
            <w:pPr>
              <w:spacing w:before="60"/>
              <w:jc w:val="center"/>
              <w:rPr>
                <w:rFonts w:ascii="Arial" w:hAnsi="Arial" w:cs="Arial"/>
              </w:rPr>
            </w:pPr>
            <w:r w:rsidRPr="00FF6C2B">
              <w:rPr>
                <w:rFonts w:ascii="Arial" w:hAnsi="Arial" w:cs="Arial"/>
              </w:rPr>
              <w:t xml:space="preserve">487,5 </w:t>
            </w:r>
          </w:p>
        </w:tc>
        <w:tc>
          <w:tcPr>
            <w:tcW w:w="674" w:type="dxa"/>
          </w:tcPr>
          <w:p w:rsidR="000C0EFD" w:rsidRPr="000C0EFD" w:rsidRDefault="000C0EFD" w:rsidP="000C0EFD">
            <w:pPr>
              <w:spacing w:before="60"/>
              <w:jc w:val="center"/>
              <w:rPr>
                <w:rFonts w:ascii="Arial" w:hAnsi="Arial" w:cs="Arial"/>
              </w:rPr>
            </w:pPr>
            <w:r w:rsidRPr="00FF6C2B">
              <w:rPr>
                <w:rFonts w:ascii="Arial" w:hAnsi="Arial" w:cs="Arial"/>
              </w:rPr>
              <w:t xml:space="preserve">292,5 </w:t>
            </w:r>
          </w:p>
        </w:tc>
        <w:tc>
          <w:tcPr>
            <w:tcW w:w="0" w:type="auto"/>
          </w:tcPr>
          <w:p w:rsidR="000C0EFD" w:rsidRPr="000C0EFD" w:rsidRDefault="000C0EFD" w:rsidP="000C0EFD">
            <w:pPr>
              <w:spacing w:before="60"/>
              <w:jc w:val="center"/>
              <w:rPr>
                <w:rFonts w:ascii="Arial" w:hAnsi="Arial" w:cs="Arial"/>
              </w:rPr>
            </w:pPr>
            <w:r w:rsidRPr="00FF6C2B">
              <w:rPr>
                <w:rFonts w:ascii="Arial" w:hAnsi="Arial" w:cs="Arial"/>
              </w:rPr>
              <w:t xml:space="preserve">4 013,9 </w:t>
            </w:r>
          </w:p>
        </w:tc>
      </w:tr>
      <w:tr w:rsidR="000C0EFD" w:rsidRPr="000C0EFD" w:rsidDel="0047508A" w:rsidTr="00FF6C2B">
        <w:trPr>
          <w:jc w:val="center"/>
        </w:trPr>
        <w:tc>
          <w:tcPr>
            <w:tcW w:w="1859" w:type="dxa"/>
            <w:shd w:val="clear" w:color="auto" w:fill="auto"/>
            <w:vAlign w:val="center"/>
          </w:tcPr>
          <w:p w:rsidR="000C0EFD" w:rsidRPr="000C0EFD" w:rsidRDefault="000C0EFD" w:rsidP="000C0EFD">
            <w:pPr>
              <w:spacing w:before="60"/>
              <w:rPr>
                <w:rFonts w:ascii="Arial" w:hAnsi="Arial" w:cs="Arial"/>
              </w:rPr>
            </w:pPr>
            <w:r w:rsidRPr="000C0EFD">
              <w:rPr>
                <w:rFonts w:ascii="Arial" w:hAnsi="Arial" w:cs="Arial"/>
              </w:rPr>
              <w:t>Ostatní zdroje</w:t>
            </w:r>
          </w:p>
        </w:tc>
        <w:tc>
          <w:tcPr>
            <w:tcW w:w="611" w:type="dxa"/>
          </w:tcPr>
          <w:p w:rsidR="000C0EFD" w:rsidRPr="000C0EFD" w:rsidDel="0047508A" w:rsidRDefault="000C0EFD" w:rsidP="000C0EFD">
            <w:pPr>
              <w:spacing w:before="60"/>
              <w:jc w:val="center"/>
              <w:rPr>
                <w:rFonts w:ascii="Arial" w:hAnsi="Arial" w:cs="Arial"/>
              </w:rPr>
            </w:pPr>
            <w:r w:rsidRPr="00FF6C2B">
              <w:rPr>
                <w:rFonts w:ascii="Arial" w:hAnsi="Arial" w:cs="Arial"/>
              </w:rPr>
              <w:t xml:space="preserve">195,0 </w:t>
            </w:r>
          </w:p>
        </w:tc>
        <w:tc>
          <w:tcPr>
            <w:tcW w:w="850" w:type="dxa"/>
          </w:tcPr>
          <w:p w:rsidR="000C0EFD" w:rsidRPr="000C0EFD" w:rsidDel="0047508A" w:rsidRDefault="000C0EFD" w:rsidP="000C0EFD">
            <w:pPr>
              <w:spacing w:before="60"/>
              <w:jc w:val="center"/>
              <w:rPr>
                <w:rFonts w:ascii="Arial" w:hAnsi="Arial" w:cs="Arial"/>
              </w:rPr>
            </w:pPr>
            <w:r w:rsidRPr="00FF6C2B">
              <w:rPr>
                <w:rFonts w:ascii="Arial" w:hAnsi="Arial" w:cs="Arial"/>
              </w:rPr>
              <w:t xml:space="preserve">328,7 </w:t>
            </w:r>
          </w:p>
        </w:tc>
        <w:tc>
          <w:tcPr>
            <w:tcW w:w="851" w:type="dxa"/>
          </w:tcPr>
          <w:p w:rsidR="000C0EFD" w:rsidRPr="000C0EFD" w:rsidDel="0047508A" w:rsidRDefault="000C0EFD" w:rsidP="000C0EFD">
            <w:pPr>
              <w:spacing w:before="60"/>
              <w:jc w:val="center"/>
              <w:rPr>
                <w:rFonts w:ascii="Arial" w:hAnsi="Arial" w:cs="Arial"/>
              </w:rPr>
            </w:pPr>
            <w:r w:rsidRPr="00FF6C2B">
              <w:rPr>
                <w:rFonts w:ascii="Arial" w:hAnsi="Arial" w:cs="Arial"/>
              </w:rPr>
              <w:t xml:space="preserve">408,1 </w:t>
            </w:r>
          </w:p>
        </w:tc>
        <w:tc>
          <w:tcPr>
            <w:tcW w:w="850" w:type="dxa"/>
          </w:tcPr>
          <w:p w:rsidR="000C0EFD" w:rsidRPr="000C0EFD" w:rsidRDefault="000C0EFD" w:rsidP="000C0EFD">
            <w:pPr>
              <w:spacing w:before="60"/>
              <w:jc w:val="center"/>
              <w:rPr>
                <w:rFonts w:ascii="Arial" w:hAnsi="Arial" w:cs="Arial"/>
              </w:rPr>
            </w:pPr>
            <w:r w:rsidRPr="00FF6C2B">
              <w:rPr>
                <w:rFonts w:ascii="Arial" w:hAnsi="Arial" w:cs="Arial"/>
              </w:rPr>
              <w:t xml:space="preserve">408,1 </w:t>
            </w:r>
          </w:p>
        </w:tc>
        <w:tc>
          <w:tcPr>
            <w:tcW w:w="851" w:type="dxa"/>
          </w:tcPr>
          <w:p w:rsidR="000C0EFD" w:rsidRPr="000C0EFD" w:rsidRDefault="000C0EFD" w:rsidP="000C0EFD">
            <w:pPr>
              <w:spacing w:before="60"/>
              <w:jc w:val="center"/>
              <w:rPr>
                <w:rFonts w:ascii="Arial" w:hAnsi="Arial" w:cs="Arial"/>
              </w:rPr>
            </w:pPr>
            <w:r w:rsidRPr="00FF6C2B">
              <w:rPr>
                <w:rFonts w:ascii="Arial" w:hAnsi="Arial" w:cs="Arial"/>
              </w:rPr>
              <w:t xml:space="preserve">408,1 </w:t>
            </w:r>
          </w:p>
        </w:tc>
        <w:tc>
          <w:tcPr>
            <w:tcW w:w="850" w:type="dxa"/>
          </w:tcPr>
          <w:p w:rsidR="000C0EFD" w:rsidRPr="000C0EFD" w:rsidRDefault="000C0EFD" w:rsidP="000C0EFD">
            <w:pPr>
              <w:spacing w:before="60"/>
              <w:jc w:val="center"/>
              <w:rPr>
                <w:rFonts w:ascii="Arial" w:hAnsi="Arial" w:cs="Arial"/>
              </w:rPr>
            </w:pPr>
            <w:r w:rsidRPr="00FF6C2B">
              <w:rPr>
                <w:rFonts w:ascii="Arial" w:hAnsi="Arial" w:cs="Arial"/>
              </w:rPr>
              <w:t xml:space="preserve">408,1 </w:t>
            </w:r>
          </w:p>
        </w:tc>
        <w:tc>
          <w:tcPr>
            <w:tcW w:w="851" w:type="dxa"/>
          </w:tcPr>
          <w:p w:rsidR="000C0EFD" w:rsidRPr="000C0EFD" w:rsidRDefault="000C0EFD" w:rsidP="000C0EFD">
            <w:pPr>
              <w:spacing w:before="60"/>
              <w:jc w:val="center"/>
              <w:rPr>
                <w:rFonts w:ascii="Arial" w:hAnsi="Arial" w:cs="Arial"/>
              </w:rPr>
            </w:pPr>
            <w:r w:rsidRPr="00FF6C2B">
              <w:rPr>
                <w:rFonts w:ascii="Arial" w:hAnsi="Arial" w:cs="Arial"/>
              </w:rPr>
              <w:t xml:space="preserve">325,0 </w:t>
            </w:r>
          </w:p>
        </w:tc>
        <w:tc>
          <w:tcPr>
            <w:tcW w:w="674" w:type="dxa"/>
          </w:tcPr>
          <w:p w:rsidR="000C0EFD" w:rsidRPr="000C0EFD" w:rsidRDefault="000C0EFD" w:rsidP="000C0EFD">
            <w:pPr>
              <w:spacing w:before="60"/>
              <w:jc w:val="center"/>
              <w:rPr>
                <w:rFonts w:ascii="Arial" w:hAnsi="Arial" w:cs="Arial"/>
              </w:rPr>
            </w:pPr>
            <w:r w:rsidRPr="00FF6C2B">
              <w:rPr>
                <w:rFonts w:ascii="Arial" w:hAnsi="Arial" w:cs="Arial"/>
              </w:rPr>
              <w:t xml:space="preserve">195,0 </w:t>
            </w:r>
          </w:p>
        </w:tc>
        <w:tc>
          <w:tcPr>
            <w:tcW w:w="0" w:type="auto"/>
          </w:tcPr>
          <w:p w:rsidR="000C0EFD" w:rsidRPr="000C0EFD" w:rsidDel="0047508A" w:rsidRDefault="000C0EFD" w:rsidP="000C0EFD">
            <w:pPr>
              <w:spacing w:before="60"/>
              <w:jc w:val="center"/>
              <w:rPr>
                <w:rFonts w:ascii="Arial" w:hAnsi="Arial" w:cs="Arial"/>
              </w:rPr>
            </w:pPr>
            <w:r w:rsidRPr="00FF6C2B">
              <w:rPr>
                <w:rFonts w:ascii="Arial" w:hAnsi="Arial" w:cs="Arial"/>
              </w:rPr>
              <w:t xml:space="preserve">2 676,1 </w:t>
            </w:r>
          </w:p>
        </w:tc>
      </w:tr>
    </w:tbl>
    <w:p w:rsidR="000C0EFD" w:rsidRPr="00FF6C2B" w:rsidRDefault="000C0EFD" w:rsidP="000D29F5">
      <w:pPr>
        <w:keepNext/>
        <w:spacing w:before="240" w:after="60"/>
        <w:jc w:val="both"/>
        <w:rPr>
          <w:rFonts w:ascii="Arial" w:hAnsi="Arial" w:cs="Arial"/>
          <w:b/>
        </w:rPr>
      </w:pPr>
      <w:r w:rsidRPr="00FF6C2B">
        <w:rPr>
          <w:rFonts w:ascii="Arial" w:hAnsi="Arial" w:cs="Arial"/>
          <w:b/>
        </w:rPr>
        <w:t>Výdaje na Podprogram 3 (v mil. Kč)</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1E0" w:firstRow="1" w:lastRow="1" w:firstColumn="1" w:lastColumn="1" w:noHBand="0" w:noVBand="0"/>
      </w:tblPr>
      <w:tblGrid>
        <w:gridCol w:w="1859"/>
        <w:gridCol w:w="611"/>
        <w:gridCol w:w="850"/>
        <w:gridCol w:w="851"/>
        <w:gridCol w:w="850"/>
        <w:gridCol w:w="851"/>
        <w:gridCol w:w="850"/>
        <w:gridCol w:w="851"/>
        <w:gridCol w:w="674"/>
        <w:gridCol w:w="824"/>
      </w:tblGrid>
      <w:tr w:rsidR="000C0EFD" w:rsidRPr="00FF6C2B" w:rsidTr="00FF6C2B">
        <w:trPr>
          <w:jc w:val="center"/>
        </w:trPr>
        <w:tc>
          <w:tcPr>
            <w:tcW w:w="1859" w:type="dxa"/>
            <w:shd w:val="clear" w:color="auto" w:fill="E6E6E6"/>
            <w:vAlign w:val="center"/>
          </w:tcPr>
          <w:p w:rsidR="000C0EFD" w:rsidRPr="000C0EFD" w:rsidRDefault="000C0EFD" w:rsidP="000C0EFD">
            <w:pPr>
              <w:spacing w:before="60"/>
              <w:jc w:val="center"/>
              <w:rPr>
                <w:rFonts w:ascii="Arial" w:hAnsi="Arial" w:cs="Arial"/>
                <w:b/>
              </w:rPr>
            </w:pPr>
            <w:r w:rsidRPr="000C0EFD">
              <w:rPr>
                <w:rFonts w:ascii="Arial" w:hAnsi="Arial" w:cs="Arial"/>
                <w:b/>
              </w:rPr>
              <w:t>rok</w:t>
            </w:r>
          </w:p>
        </w:tc>
        <w:tc>
          <w:tcPr>
            <w:tcW w:w="611" w:type="dxa"/>
            <w:shd w:val="clear" w:color="auto" w:fill="E6E6E6"/>
            <w:vAlign w:val="center"/>
          </w:tcPr>
          <w:p w:rsidR="000C0EFD" w:rsidRPr="000C0EFD" w:rsidRDefault="000C0EFD" w:rsidP="000C0EFD">
            <w:pPr>
              <w:spacing w:before="60"/>
              <w:jc w:val="center"/>
              <w:rPr>
                <w:rFonts w:ascii="Arial" w:hAnsi="Arial" w:cs="Arial"/>
                <w:b/>
              </w:rPr>
            </w:pPr>
            <w:r w:rsidRPr="000C0EFD">
              <w:rPr>
                <w:rFonts w:ascii="Arial" w:hAnsi="Arial" w:cs="Arial"/>
                <w:b/>
              </w:rPr>
              <w:t>2024</w:t>
            </w:r>
          </w:p>
        </w:tc>
        <w:tc>
          <w:tcPr>
            <w:tcW w:w="850" w:type="dxa"/>
            <w:shd w:val="clear" w:color="auto" w:fill="E6E6E6"/>
            <w:vAlign w:val="center"/>
          </w:tcPr>
          <w:p w:rsidR="000C0EFD" w:rsidRPr="000C0EFD" w:rsidRDefault="000C0EFD" w:rsidP="000C0EFD">
            <w:pPr>
              <w:spacing w:before="60"/>
              <w:jc w:val="center"/>
              <w:rPr>
                <w:rFonts w:ascii="Arial" w:hAnsi="Arial" w:cs="Arial"/>
              </w:rPr>
            </w:pPr>
            <w:r w:rsidRPr="000C0EFD">
              <w:rPr>
                <w:rFonts w:ascii="Arial" w:hAnsi="Arial" w:cs="Arial"/>
                <w:b/>
              </w:rPr>
              <w:t>2025</w:t>
            </w:r>
          </w:p>
        </w:tc>
        <w:tc>
          <w:tcPr>
            <w:tcW w:w="851" w:type="dxa"/>
            <w:shd w:val="clear" w:color="auto" w:fill="E6E6E6"/>
            <w:vAlign w:val="center"/>
          </w:tcPr>
          <w:p w:rsidR="000C0EFD" w:rsidRPr="000C0EFD" w:rsidRDefault="000C0EFD" w:rsidP="000C0EFD">
            <w:pPr>
              <w:spacing w:before="60"/>
              <w:jc w:val="center"/>
              <w:rPr>
                <w:rFonts w:ascii="Arial" w:hAnsi="Arial" w:cs="Arial"/>
                <w:b/>
              </w:rPr>
            </w:pPr>
            <w:r w:rsidRPr="000C0EFD">
              <w:rPr>
                <w:rFonts w:ascii="Arial" w:hAnsi="Arial" w:cs="Arial"/>
                <w:b/>
              </w:rPr>
              <w:t>2026</w:t>
            </w:r>
          </w:p>
        </w:tc>
        <w:tc>
          <w:tcPr>
            <w:tcW w:w="850" w:type="dxa"/>
            <w:shd w:val="clear" w:color="auto" w:fill="E6E6E6"/>
            <w:vAlign w:val="center"/>
          </w:tcPr>
          <w:p w:rsidR="000C0EFD" w:rsidRPr="000C0EFD" w:rsidRDefault="000C0EFD" w:rsidP="000C0EFD">
            <w:pPr>
              <w:spacing w:before="60"/>
              <w:jc w:val="center"/>
              <w:rPr>
                <w:rFonts w:ascii="Arial" w:hAnsi="Arial" w:cs="Arial"/>
                <w:b/>
              </w:rPr>
            </w:pPr>
            <w:r w:rsidRPr="000C0EFD">
              <w:rPr>
                <w:rFonts w:ascii="Arial" w:hAnsi="Arial" w:cs="Arial"/>
                <w:b/>
              </w:rPr>
              <w:t>2027</w:t>
            </w:r>
          </w:p>
        </w:tc>
        <w:tc>
          <w:tcPr>
            <w:tcW w:w="851" w:type="dxa"/>
            <w:shd w:val="clear" w:color="auto" w:fill="E6E6E6"/>
            <w:vAlign w:val="center"/>
          </w:tcPr>
          <w:p w:rsidR="000C0EFD" w:rsidRPr="000C0EFD" w:rsidRDefault="000C0EFD" w:rsidP="000C0EFD">
            <w:pPr>
              <w:spacing w:before="60"/>
              <w:jc w:val="center"/>
              <w:rPr>
                <w:rFonts w:ascii="Arial" w:hAnsi="Arial" w:cs="Arial"/>
                <w:b/>
              </w:rPr>
            </w:pPr>
            <w:r w:rsidRPr="000C0EFD">
              <w:rPr>
                <w:rFonts w:ascii="Arial" w:hAnsi="Arial" w:cs="Arial"/>
                <w:b/>
              </w:rPr>
              <w:t>2028</w:t>
            </w:r>
          </w:p>
        </w:tc>
        <w:tc>
          <w:tcPr>
            <w:tcW w:w="850" w:type="dxa"/>
            <w:shd w:val="clear" w:color="auto" w:fill="E6E6E6"/>
            <w:vAlign w:val="center"/>
          </w:tcPr>
          <w:p w:rsidR="000C0EFD" w:rsidRPr="000C0EFD" w:rsidRDefault="000C0EFD" w:rsidP="000C0EFD">
            <w:pPr>
              <w:spacing w:before="60"/>
              <w:jc w:val="center"/>
              <w:rPr>
                <w:rFonts w:ascii="Arial" w:hAnsi="Arial" w:cs="Arial"/>
                <w:b/>
              </w:rPr>
            </w:pPr>
            <w:r w:rsidRPr="000C0EFD">
              <w:rPr>
                <w:rFonts w:ascii="Arial" w:hAnsi="Arial" w:cs="Arial"/>
                <w:b/>
              </w:rPr>
              <w:t>2029</w:t>
            </w:r>
          </w:p>
        </w:tc>
        <w:tc>
          <w:tcPr>
            <w:tcW w:w="851" w:type="dxa"/>
            <w:shd w:val="clear" w:color="auto" w:fill="E6E6E6"/>
            <w:vAlign w:val="center"/>
          </w:tcPr>
          <w:p w:rsidR="000C0EFD" w:rsidRPr="000C0EFD" w:rsidRDefault="000C0EFD" w:rsidP="000C0EFD">
            <w:pPr>
              <w:spacing w:before="60"/>
              <w:jc w:val="center"/>
              <w:rPr>
                <w:rFonts w:ascii="Arial" w:hAnsi="Arial" w:cs="Arial"/>
                <w:b/>
              </w:rPr>
            </w:pPr>
            <w:r w:rsidRPr="000C0EFD">
              <w:rPr>
                <w:rFonts w:ascii="Arial" w:hAnsi="Arial" w:cs="Arial"/>
                <w:b/>
              </w:rPr>
              <w:t>2030</w:t>
            </w:r>
          </w:p>
        </w:tc>
        <w:tc>
          <w:tcPr>
            <w:tcW w:w="674" w:type="dxa"/>
            <w:shd w:val="clear" w:color="auto" w:fill="E6E6E6"/>
          </w:tcPr>
          <w:p w:rsidR="000C0EFD" w:rsidRPr="000C0EFD" w:rsidRDefault="000C0EFD" w:rsidP="000C0EFD">
            <w:pPr>
              <w:spacing w:before="60"/>
              <w:jc w:val="center"/>
              <w:rPr>
                <w:rFonts w:ascii="Arial" w:hAnsi="Arial" w:cs="Arial"/>
                <w:b/>
              </w:rPr>
            </w:pPr>
            <w:r w:rsidRPr="000C0EFD">
              <w:rPr>
                <w:rFonts w:ascii="Arial" w:hAnsi="Arial" w:cs="Arial"/>
                <w:b/>
              </w:rPr>
              <w:t>2031</w:t>
            </w:r>
          </w:p>
        </w:tc>
        <w:tc>
          <w:tcPr>
            <w:tcW w:w="0" w:type="auto"/>
            <w:shd w:val="clear" w:color="auto" w:fill="E6E6E6"/>
            <w:vAlign w:val="center"/>
          </w:tcPr>
          <w:p w:rsidR="000C0EFD" w:rsidRPr="000C0EFD" w:rsidRDefault="000C0EFD" w:rsidP="000C0EFD">
            <w:pPr>
              <w:spacing w:before="60"/>
              <w:jc w:val="center"/>
              <w:rPr>
                <w:rFonts w:ascii="Arial" w:hAnsi="Arial" w:cs="Arial"/>
                <w:b/>
              </w:rPr>
            </w:pPr>
            <w:r w:rsidRPr="000C0EFD">
              <w:rPr>
                <w:rFonts w:ascii="Arial" w:hAnsi="Arial" w:cs="Arial"/>
                <w:b/>
              </w:rPr>
              <w:t>celkem</w:t>
            </w:r>
          </w:p>
        </w:tc>
      </w:tr>
      <w:tr w:rsidR="000C0EFD" w:rsidRPr="00FF6C2B" w:rsidTr="00FF6C2B">
        <w:trPr>
          <w:jc w:val="center"/>
        </w:trPr>
        <w:tc>
          <w:tcPr>
            <w:tcW w:w="1859" w:type="dxa"/>
            <w:shd w:val="clear" w:color="auto" w:fill="auto"/>
            <w:vAlign w:val="center"/>
          </w:tcPr>
          <w:p w:rsidR="000C0EFD" w:rsidRPr="000C0EFD" w:rsidRDefault="000C0EFD" w:rsidP="000C0EFD">
            <w:pPr>
              <w:spacing w:before="60"/>
              <w:rPr>
                <w:rFonts w:ascii="Arial" w:hAnsi="Arial" w:cs="Arial"/>
              </w:rPr>
            </w:pPr>
            <w:r w:rsidRPr="000C0EFD">
              <w:rPr>
                <w:rFonts w:ascii="Arial" w:hAnsi="Arial" w:cs="Arial"/>
              </w:rPr>
              <w:t>Celkové výdaje</w:t>
            </w:r>
          </w:p>
        </w:tc>
        <w:tc>
          <w:tcPr>
            <w:tcW w:w="611" w:type="dxa"/>
          </w:tcPr>
          <w:p w:rsidR="000C0EFD" w:rsidRPr="000C0EFD" w:rsidRDefault="000C0EFD" w:rsidP="000C0EFD">
            <w:pPr>
              <w:spacing w:before="60"/>
              <w:jc w:val="center"/>
              <w:rPr>
                <w:rFonts w:ascii="Arial" w:hAnsi="Arial" w:cs="Arial"/>
              </w:rPr>
            </w:pPr>
            <w:r w:rsidRPr="00FF6C2B">
              <w:rPr>
                <w:rFonts w:ascii="Arial" w:hAnsi="Arial" w:cs="Arial"/>
              </w:rPr>
              <w:t xml:space="preserve">207,5 </w:t>
            </w:r>
          </w:p>
        </w:tc>
        <w:tc>
          <w:tcPr>
            <w:tcW w:w="850" w:type="dxa"/>
          </w:tcPr>
          <w:p w:rsidR="000C0EFD" w:rsidRPr="000C0EFD" w:rsidRDefault="000C0EFD" w:rsidP="000C0EFD">
            <w:pPr>
              <w:spacing w:before="60"/>
              <w:jc w:val="center"/>
              <w:rPr>
                <w:rFonts w:ascii="Arial" w:hAnsi="Arial" w:cs="Arial"/>
              </w:rPr>
            </w:pPr>
            <w:r w:rsidRPr="00FF6C2B">
              <w:rPr>
                <w:rFonts w:ascii="Arial" w:hAnsi="Arial" w:cs="Arial"/>
              </w:rPr>
              <w:t xml:space="preserve">349,6 </w:t>
            </w:r>
          </w:p>
        </w:tc>
        <w:tc>
          <w:tcPr>
            <w:tcW w:w="851" w:type="dxa"/>
          </w:tcPr>
          <w:p w:rsidR="000C0EFD" w:rsidRPr="000C0EFD" w:rsidRDefault="000C0EFD" w:rsidP="000C0EFD">
            <w:pPr>
              <w:spacing w:before="60"/>
              <w:jc w:val="center"/>
              <w:rPr>
                <w:rFonts w:ascii="Arial" w:hAnsi="Arial" w:cs="Arial"/>
              </w:rPr>
            </w:pPr>
            <w:r w:rsidRPr="00FF6C2B">
              <w:rPr>
                <w:rFonts w:ascii="Arial" w:hAnsi="Arial" w:cs="Arial"/>
              </w:rPr>
              <w:t xml:space="preserve">434,4 </w:t>
            </w:r>
          </w:p>
        </w:tc>
        <w:tc>
          <w:tcPr>
            <w:tcW w:w="850" w:type="dxa"/>
          </w:tcPr>
          <w:p w:rsidR="000C0EFD" w:rsidRPr="000C0EFD" w:rsidRDefault="000C0EFD" w:rsidP="000C0EFD">
            <w:pPr>
              <w:spacing w:before="60"/>
              <w:jc w:val="center"/>
              <w:rPr>
                <w:rFonts w:ascii="Arial" w:hAnsi="Arial" w:cs="Arial"/>
              </w:rPr>
            </w:pPr>
            <w:r w:rsidRPr="00FF6C2B">
              <w:rPr>
                <w:rFonts w:ascii="Arial" w:hAnsi="Arial" w:cs="Arial"/>
              </w:rPr>
              <w:t xml:space="preserve">434,4 </w:t>
            </w:r>
          </w:p>
        </w:tc>
        <w:tc>
          <w:tcPr>
            <w:tcW w:w="851" w:type="dxa"/>
          </w:tcPr>
          <w:p w:rsidR="000C0EFD" w:rsidRPr="000C0EFD" w:rsidRDefault="000C0EFD" w:rsidP="000C0EFD">
            <w:pPr>
              <w:spacing w:before="60"/>
              <w:jc w:val="center"/>
              <w:rPr>
                <w:rFonts w:ascii="Arial" w:hAnsi="Arial" w:cs="Arial"/>
              </w:rPr>
            </w:pPr>
            <w:r w:rsidRPr="00FF6C2B">
              <w:rPr>
                <w:rFonts w:ascii="Arial" w:hAnsi="Arial" w:cs="Arial"/>
              </w:rPr>
              <w:t xml:space="preserve">434,4 </w:t>
            </w:r>
          </w:p>
        </w:tc>
        <w:tc>
          <w:tcPr>
            <w:tcW w:w="850" w:type="dxa"/>
          </w:tcPr>
          <w:p w:rsidR="000C0EFD" w:rsidRPr="000C0EFD" w:rsidRDefault="000C0EFD" w:rsidP="000C0EFD">
            <w:pPr>
              <w:spacing w:before="60"/>
              <w:jc w:val="center"/>
              <w:rPr>
                <w:rFonts w:ascii="Arial" w:hAnsi="Arial" w:cs="Arial"/>
              </w:rPr>
            </w:pPr>
            <w:r w:rsidRPr="00FF6C2B">
              <w:rPr>
                <w:rFonts w:ascii="Arial" w:hAnsi="Arial" w:cs="Arial"/>
              </w:rPr>
              <w:t xml:space="preserve">434,4 </w:t>
            </w:r>
          </w:p>
        </w:tc>
        <w:tc>
          <w:tcPr>
            <w:tcW w:w="851" w:type="dxa"/>
          </w:tcPr>
          <w:p w:rsidR="000C0EFD" w:rsidRPr="000C0EFD" w:rsidRDefault="000C0EFD" w:rsidP="000C0EFD">
            <w:pPr>
              <w:spacing w:before="60"/>
              <w:jc w:val="center"/>
              <w:rPr>
                <w:rFonts w:ascii="Arial" w:hAnsi="Arial" w:cs="Arial"/>
              </w:rPr>
            </w:pPr>
            <w:r w:rsidRPr="00FF6C2B">
              <w:rPr>
                <w:rFonts w:ascii="Arial" w:hAnsi="Arial" w:cs="Arial"/>
              </w:rPr>
              <w:t xml:space="preserve">345,9 </w:t>
            </w:r>
          </w:p>
        </w:tc>
        <w:tc>
          <w:tcPr>
            <w:tcW w:w="674" w:type="dxa"/>
          </w:tcPr>
          <w:p w:rsidR="000C0EFD" w:rsidRPr="000C0EFD" w:rsidRDefault="000C0EFD" w:rsidP="000C0EFD">
            <w:pPr>
              <w:spacing w:before="60"/>
              <w:jc w:val="center"/>
              <w:rPr>
                <w:rFonts w:ascii="Arial" w:hAnsi="Arial" w:cs="Arial"/>
              </w:rPr>
            </w:pPr>
            <w:r w:rsidRPr="00FF6C2B">
              <w:rPr>
                <w:rFonts w:ascii="Arial" w:hAnsi="Arial" w:cs="Arial"/>
              </w:rPr>
              <w:t xml:space="preserve">207,5 </w:t>
            </w:r>
          </w:p>
        </w:tc>
        <w:tc>
          <w:tcPr>
            <w:tcW w:w="0" w:type="auto"/>
          </w:tcPr>
          <w:p w:rsidR="000C0EFD" w:rsidRPr="000C0EFD" w:rsidRDefault="000C0EFD" w:rsidP="000C0EFD">
            <w:pPr>
              <w:spacing w:before="60"/>
              <w:jc w:val="center"/>
              <w:rPr>
                <w:rFonts w:ascii="Arial" w:hAnsi="Arial" w:cs="Arial"/>
              </w:rPr>
            </w:pPr>
            <w:r w:rsidRPr="00FF6C2B">
              <w:rPr>
                <w:rFonts w:ascii="Arial" w:hAnsi="Arial" w:cs="Arial"/>
              </w:rPr>
              <w:t xml:space="preserve">2 848,1 </w:t>
            </w:r>
          </w:p>
        </w:tc>
      </w:tr>
      <w:tr w:rsidR="00FF6C2B" w:rsidRPr="000C0EFD" w:rsidTr="00FF6C2B">
        <w:trPr>
          <w:jc w:val="center"/>
        </w:trPr>
        <w:tc>
          <w:tcPr>
            <w:tcW w:w="1859" w:type="dxa"/>
            <w:shd w:val="clear" w:color="auto" w:fill="auto"/>
            <w:vAlign w:val="center"/>
          </w:tcPr>
          <w:p w:rsidR="00FF6C2B" w:rsidRPr="000C0EFD" w:rsidRDefault="00FF6C2B" w:rsidP="00FF6C2B">
            <w:pPr>
              <w:spacing w:before="60"/>
              <w:rPr>
                <w:rFonts w:ascii="Arial" w:hAnsi="Arial" w:cs="Arial"/>
              </w:rPr>
            </w:pPr>
            <w:r w:rsidRPr="000C0EFD">
              <w:rPr>
                <w:rFonts w:ascii="Arial" w:hAnsi="Arial" w:cs="Arial"/>
              </w:rPr>
              <w:t>Výdaje státního rozpočtu</w:t>
            </w:r>
          </w:p>
        </w:tc>
        <w:tc>
          <w:tcPr>
            <w:tcW w:w="611" w:type="dxa"/>
          </w:tcPr>
          <w:p w:rsidR="00FF6C2B" w:rsidRPr="000C0EFD" w:rsidRDefault="00FF6C2B" w:rsidP="00FF6C2B">
            <w:pPr>
              <w:spacing w:before="60"/>
              <w:jc w:val="center"/>
              <w:rPr>
                <w:rFonts w:ascii="Arial" w:hAnsi="Arial" w:cs="Arial"/>
              </w:rPr>
            </w:pPr>
            <w:r w:rsidRPr="00FF6C2B">
              <w:rPr>
                <w:rFonts w:ascii="Arial" w:hAnsi="Arial" w:cs="Arial"/>
              </w:rPr>
              <w:t xml:space="preserve">176,4 </w:t>
            </w:r>
          </w:p>
        </w:tc>
        <w:tc>
          <w:tcPr>
            <w:tcW w:w="850" w:type="dxa"/>
          </w:tcPr>
          <w:p w:rsidR="00FF6C2B" w:rsidRPr="000C0EFD" w:rsidRDefault="00FF6C2B" w:rsidP="00FF6C2B">
            <w:pPr>
              <w:spacing w:before="60"/>
              <w:jc w:val="center"/>
              <w:rPr>
                <w:rFonts w:ascii="Arial" w:hAnsi="Arial" w:cs="Arial"/>
              </w:rPr>
            </w:pPr>
            <w:r w:rsidRPr="00FF6C2B">
              <w:rPr>
                <w:rFonts w:ascii="Arial" w:hAnsi="Arial" w:cs="Arial"/>
              </w:rPr>
              <w:t xml:space="preserve">297,2 </w:t>
            </w:r>
          </w:p>
        </w:tc>
        <w:tc>
          <w:tcPr>
            <w:tcW w:w="851" w:type="dxa"/>
          </w:tcPr>
          <w:p w:rsidR="00FF6C2B" w:rsidRPr="000C0EFD" w:rsidRDefault="00FF6C2B" w:rsidP="00FF6C2B">
            <w:pPr>
              <w:spacing w:before="60"/>
              <w:jc w:val="center"/>
              <w:rPr>
                <w:rFonts w:ascii="Arial" w:hAnsi="Arial" w:cs="Arial"/>
              </w:rPr>
            </w:pPr>
            <w:r w:rsidRPr="00FF6C2B">
              <w:rPr>
                <w:rFonts w:ascii="Arial" w:hAnsi="Arial" w:cs="Arial"/>
              </w:rPr>
              <w:t xml:space="preserve">369,2 </w:t>
            </w:r>
          </w:p>
        </w:tc>
        <w:tc>
          <w:tcPr>
            <w:tcW w:w="850" w:type="dxa"/>
          </w:tcPr>
          <w:p w:rsidR="00FF6C2B" w:rsidRPr="000C0EFD" w:rsidRDefault="00FF6C2B" w:rsidP="00FF6C2B">
            <w:pPr>
              <w:spacing w:before="60"/>
              <w:jc w:val="center"/>
              <w:rPr>
                <w:rFonts w:ascii="Arial" w:hAnsi="Arial" w:cs="Arial"/>
              </w:rPr>
            </w:pPr>
            <w:r w:rsidRPr="00FF6C2B">
              <w:rPr>
                <w:rFonts w:ascii="Arial" w:hAnsi="Arial" w:cs="Arial"/>
              </w:rPr>
              <w:t xml:space="preserve">369,2 </w:t>
            </w:r>
          </w:p>
        </w:tc>
        <w:tc>
          <w:tcPr>
            <w:tcW w:w="851" w:type="dxa"/>
          </w:tcPr>
          <w:p w:rsidR="00FF6C2B" w:rsidRPr="000C0EFD" w:rsidRDefault="00FF6C2B" w:rsidP="00FF6C2B">
            <w:pPr>
              <w:spacing w:before="60"/>
              <w:jc w:val="center"/>
              <w:rPr>
                <w:rFonts w:ascii="Arial" w:hAnsi="Arial" w:cs="Arial"/>
              </w:rPr>
            </w:pPr>
            <w:r w:rsidRPr="00FF6C2B">
              <w:rPr>
                <w:rFonts w:ascii="Arial" w:hAnsi="Arial" w:cs="Arial"/>
              </w:rPr>
              <w:t xml:space="preserve">369,2 </w:t>
            </w:r>
          </w:p>
        </w:tc>
        <w:tc>
          <w:tcPr>
            <w:tcW w:w="850" w:type="dxa"/>
          </w:tcPr>
          <w:p w:rsidR="00FF6C2B" w:rsidRPr="000C0EFD" w:rsidRDefault="00FF6C2B" w:rsidP="00FF6C2B">
            <w:pPr>
              <w:spacing w:before="60"/>
              <w:jc w:val="center"/>
              <w:rPr>
                <w:rFonts w:ascii="Arial" w:hAnsi="Arial" w:cs="Arial"/>
              </w:rPr>
            </w:pPr>
            <w:r w:rsidRPr="00FF6C2B">
              <w:rPr>
                <w:rFonts w:ascii="Arial" w:hAnsi="Arial" w:cs="Arial"/>
              </w:rPr>
              <w:t xml:space="preserve">369,2 </w:t>
            </w:r>
          </w:p>
        </w:tc>
        <w:tc>
          <w:tcPr>
            <w:tcW w:w="851" w:type="dxa"/>
          </w:tcPr>
          <w:p w:rsidR="00FF6C2B" w:rsidRPr="000C0EFD" w:rsidRDefault="00FF6C2B" w:rsidP="00FF6C2B">
            <w:pPr>
              <w:spacing w:before="60"/>
              <w:jc w:val="center"/>
              <w:rPr>
                <w:rFonts w:ascii="Arial" w:hAnsi="Arial" w:cs="Arial"/>
              </w:rPr>
            </w:pPr>
            <w:r w:rsidRPr="00FF6C2B">
              <w:rPr>
                <w:rFonts w:ascii="Arial" w:hAnsi="Arial" w:cs="Arial"/>
              </w:rPr>
              <w:t xml:space="preserve">294,0 </w:t>
            </w:r>
          </w:p>
        </w:tc>
        <w:tc>
          <w:tcPr>
            <w:tcW w:w="674" w:type="dxa"/>
          </w:tcPr>
          <w:p w:rsidR="00FF6C2B" w:rsidRPr="000C0EFD" w:rsidRDefault="00FF6C2B" w:rsidP="00FF6C2B">
            <w:pPr>
              <w:spacing w:before="60"/>
              <w:jc w:val="center"/>
              <w:rPr>
                <w:rFonts w:ascii="Arial" w:hAnsi="Arial" w:cs="Arial"/>
              </w:rPr>
            </w:pPr>
            <w:r w:rsidRPr="00FF6C2B">
              <w:rPr>
                <w:rFonts w:ascii="Arial" w:hAnsi="Arial" w:cs="Arial"/>
              </w:rPr>
              <w:t xml:space="preserve">176,4 </w:t>
            </w:r>
          </w:p>
        </w:tc>
        <w:tc>
          <w:tcPr>
            <w:tcW w:w="0" w:type="auto"/>
          </w:tcPr>
          <w:p w:rsidR="00FF6C2B" w:rsidRPr="000C0EFD" w:rsidRDefault="00FF6C2B" w:rsidP="00FF6C2B">
            <w:pPr>
              <w:spacing w:before="60"/>
              <w:jc w:val="center"/>
              <w:rPr>
                <w:rFonts w:ascii="Arial" w:hAnsi="Arial" w:cs="Arial"/>
              </w:rPr>
            </w:pPr>
            <w:r w:rsidRPr="00FF6C2B">
              <w:rPr>
                <w:rFonts w:ascii="Arial" w:hAnsi="Arial" w:cs="Arial"/>
              </w:rPr>
              <w:t xml:space="preserve">2 420,8 </w:t>
            </w:r>
          </w:p>
        </w:tc>
      </w:tr>
      <w:tr w:rsidR="00FF6C2B" w:rsidRPr="000C0EFD" w:rsidDel="0047508A" w:rsidTr="00FF6C2B">
        <w:trPr>
          <w:jc w:val="center"/>
        </w:trPr>
        <w:tc>
          <w:tcPr>
            <w:tcW w:w="1859" w:type="dxa"/>
            <w:shd w:val="clear" w:color="auto" w:fill="auto"/>
            <w:vAlign w:val="center"/>
          </w:tcPr>
          <w:p w:rsidR="00FF6C2B" w:rsidRPr="000C0EFD" w:rsidRDefault="00FF6C2B" w:rsidP="00FF6C2B">
            <w:pPr>
              <w:spacing w:before="60"/>
              <w:rPr>
                <w:rFonts w:ascii="Arial" w:hAnsi="Arial" w:cs="Arial"/>
              </w:rPr>
            </w:pPr>
            <w:r w:rsidRPr="000C0EFD">
              <w:rPr>
                <w:rFonts w:ascii="Arial" w:hAnsi="Arial" w:cs="Arial"/>
              </w:rPr>
              <w:lastRenderedPageBreak/>
              <w:t>Ostatní zdroje</w:t>
            </w:r>
          </w:p>
        </w:tc>
        <w:tc>
          <w:tcPr>
            <w:tcW w:w="611" w:type="dxa"/>
          </w:tcPr>
          <w:p w:rsidR="00FF6C2B" w:rsidRPr="000C0EFD" w:rsidDel="0047508A" w:rsidRDefault="00FF6C2B" w:rsidP="00FF6C2B">
            <w:pPr>
              <w:spacing w:before="60"/>
              <w:jc w:val="center"/>
              <w:rPr>
                <w:rFonts w:ascii="Arial" w:hAnsi="Arial" w:cs="Arial"/>
              </w:rPr>
            </w:pPr>
            <w:r w:rsidRPr="00FF6C2B">
              <w:rPr>
                <w:rFonts w:ascii="Arial" w:hAnsi="Arial" w:cs="Arial"/>
              </w:rPr>
              <w:t xml:space="preserve">31,1 </w:t>
            </w:r>
          </w:p>
        </w:tc>
        <w:tc>
          <w:tcPr>
            <w:tcW w:w="850" w:type="dxa"/>
          </w:tcPr>
          <w:p w:rsidR="00FF6C2B" w:rsidRPr="000C0EFD" w:rsidDel="0047508A" w:rsidRDefault="00FF6C2B" w:rsidP="00FF6C2B">
            <w:pPr>
              <w:spacing w:before="60"/>
              <w:jc w:val="center"/>
              <w:rPr>
                <w:rFonts w:ascii="Arial" w:hAnsi="Arial" w:cs="Arial"/>
              </w:rPr>
            </w:pPr>
            <w:r w:rsidRPr="00FF6C2B">
              <w:rPr>
                <w:rFonts w:ascii="Arial" w:hAnsi="Arial" w:cs="Arial"/>
              </w:rPr>
              <w:t xml:space="preserve">52,4 </w:t>
            </w:r>
          </w:p>
        </w:tc>
        <w:tc>
          <w:tcPr>
            <w:tcW w:w="851" w:type="dxa"/>
          </w:tcPr>
          <w:p w:rsidR="00FF6C2B" w:rsidRPr="000C0EFD" w:rsidDel="0047508A" w:rsidRDefault="00FF6C2B" w:rsidP="00FF6C2B">
            <w:pPr>
              <w:spacing w:before="60"/>
              <w:jc w:val="center"/>
              <w:rPr>
                <w:rFonts w:ascii="Arial" w:hAnsi="Arial" w:cs="Arial"/>
              </w:rPr>
            </w:pPr>
            <w:r w:rsidRPr="00FF6C2B">
              <w:rPr>
                <w:rFonts w:ascii="Arial" w:hAnsi="Arial" w:cs="Arial"/>
              </w:rPr>
              <w:t xml:space="preserve">65,2 </w:t>
            </w:r>
          </w:p>
        </w:tc>
        <w:tc>
          <w:tcPr>
            <w:tcW w:w="850" w:type="dxa"/>
          </w:tcPr>
          <w:p w:rsidR="00FF6C2B" w:rsidRPr="000C0EFD" w:rsidRDefault="00FF6C2B" w:rsidP="00FF6C2B">
            <w:pPr>
              <w:spacing w:before="60"/>
              <w:jc w:val="center"/>
              <w:rPr>
                <w:rFonts w:ascii="Arial" w:hAnsi="Arial" w:cs="Arial"/>
              </w:rPr>
            </w:pPr>
            <w:r w:rsidRPr="00FF6C2B">
              <w:rPr>
                <w:rFonts w:ascii="Arial" w:hAnsi="Arial" w:cs="Arial"/>
              </w:rPr>
              <w:t xml:space="preserve">65,2 </w:t>
            </w:r>
          </w:p>
        </w:tc>
        <w:tc>
          <w:tcPr>
            <w:tcW w:w="851" w:type="dxa"/>
          </w:tcPr>
          <w:p w:rsidR="00FF6C2B" w:rsidRPr="000C0EFD" w:rsidRDefault="00FF6C2B" w:rsidP="00FF6C2B">
            <w:pPr>
              <w:spacing w:before="60"/>
              <w:jc w:val="center"/>
              <w:rPr>
                <w:rFonts w:ascii="Arial" w:hAnsi="Arial" w:cs="Arial"/>
              </w:rPr>
            </w:pPr>
            <w:r w:rsidRPr="00FF6C2B">
              <w:rPr>
                <w:rFonts w:ascii="Arial" w:hAnsi="Arial" w:cs="Arial"/>
              </w:rPr>
              <w:t xml:space="preserve">65,2 </w:t>
            </w:r>
          </w:p>
        </w:tc>
        <w:tc>
          <w:tcPr>
            <w:tcW w:w="850" w:type="dxa"/>
          </w:tcPr>
          <w:p w:rsidR="00FF6C2B" w:rsidRPr="000C0EFD" w:rsidRDefault="00FF6C2B" w:rsidP="00FF6C2B">
            <w:pPr>
              <w:spacing w:before="60"/>
              <w:jc w:val="center"/>
              <w:rPr>
                <w:rFonts w:ascii="Arial" w:hAnsi="Arial" w:cs="Arial"/>
              </w:rPr>
            </w:pPr>
            <w:r w:rsidRPr="00FF6C2B">
              <w:rPr>
                <w:rFonts w:ascii="Arial" w:hAnsi="Arial" w:cs="Arial"/>
              </w:rPr>
              <w:t xml:space="preserve">65,2 </w:t>
            </w:r>
          </w:p>
        </w:tc>
        <w:tc>
          <w:tcPr>
            <w:tcW w:w="851" w:type="dxa"/>
          </w:tcPr>
          <w:p w:rsidR="00FF6C2B" w:rsidRPr="000C0EFD" w:rsidRDefault="00FF6C2B" w:rsidP="00FF6C2B">
            <w:pPr>
              <w:spacing w:before="60"/>
              <w:jc w:val="center"/>
              <w:rPr>
                <w:rFonts w:ascii="Arial" w:hAnsi="Arial" w:cs="Arial"/>
              </w:rPr>
            </w:pPr>
            <w:r w:rsidRPr="00FF6C2B">
              <w:rPr>
                <w:rFonts w:ascii="Arial" w:hAnsi="Arial" w:cs="Arial"/>
              </w:rPr>
              <w:t xml:space="preserve">51,9 </w:t>
            </w:r>
          </w:p>
        </w:tc>
        <w:tc>
          <w:tcPr>
            <w:tcW w:w="674" w:type="dxa"/>
          </w:tcPr>
          <w:p w:rsidR="00FF6C2B" w:rsidRPr="000C0EFD" w:rsidRDefault="00FF6C2B" w:rsidP="00FF6C2B">
            <w:pPr>
              <w:spacing w:before="60"/>
              <w:jc w:val="center"/>
              <w:rPr>
                <w:rFonts w:ascii="Arial" w:hAnsi="Arial" w:cs="Arial"/>
              </w:rPr>
            </w:pPr>
            <w:r w:rsidRPr="00FF6C2B">
              <w:rPr>
                <w:rFonts w:ascii="Arial" w:hAnsi="Arial" w:cs="Arial"/>
              </w:rPr>
              <w:t xml:space="preserve">31,1 </w:t>
            </w:r>
          </w:p>
        </w:tc>
        <w:tc>
          <w:tcPr>
            <w:tcW w:w="0" w:type="auto"/>
          </w:tcPr>
          <w:p w:rsidR="00FF6C2B" w:rsidRPr="000C0EFD" w:rsidDel="0047508A" w:rsidRDefault="00FF6C2B" w:rsidP="00FF6C2B">
            <w:pPr>
              <w:spacing w:before="60"/>
              <w:jc w:val="center"/>
              <w:rPr>
                <w:rFonts w:ascii="Arial" w:hAnsi="Arial" w:cs="Arial"/>
              </w:rPr>
            </w:pPr>
            <w:r w:rsidRPr="00FF6C2B">
              <w:rPr>
                <w:rFonts w:ascii="Arial" w:hAnsi="Arial" w:cs="Arial"/>
              </w:rPr>
              <w:t xml:space="preserve">427,3 </w:t>
            </w:r>
          </w:p>
        </w:tc>
      </w:tr>
    </w:tbl>
    <w:p w:rsidR="002655F9" w:rsidRDefault="002655F9" w:rsidP="002655F9">
      <w:pPr>
        <w:pStyle w:val="Zkladntext"/>
        <w:spacing w:before="120"/>
        <w:jc w:val="both"/>
        <w:rPr>
          <w:rFonts w:ascii="Arial" w:hAnsi="Arial" w:cs="Arial"/>
          <w:szCs w:val="22"/>
          <w:u w:val="single"/>
        </w:rPr>
      </w:pPr>
    </w:p>
    <w:p w:rsidR="00330661" w:rsidRDefault="00330661" w:rsidP="001E1D3D">
      <w:pPr>
        <w:pStyle w:val="Zkladntext"/>
        <w:numPr>
          <w:ilvl w:val="0"/>
          <w:numId w:val="2"/>
        </w:numPr>
        <w:spacing w:before="120"/>
        <w:jc w:val="both"/>
        <w:rPr>
          <w:rFonts w:ascii="Arial" w:hAnsi="Arial" w:cs="Arial"/>
          <w:szCs w:val="22"/>
          <w:u w:val="single"/>
        </w:rPr>
      </w:pPr>
      <w:r w:rsidRPr="001A65AF">
        <w:rPr>
          <w:rFonts w:ascii="Arial" w:hAnsi="Arial" w:cs="Arial"/>
          <w:szCs w:val="22"/>
          <w:u w:val="single"/>
        </w:rPr>
        <w:t xml:space="preserve">vymezení způsobilých nákladů, nejvyšší </w:t>
      </w:r>
      <w:r w:rsidR="00F25AFC">
        <w:rPr>
          <w:rFonts w:ascii="Arial" w:hAnsi="Arial" w:cs="Arial"/>
          <w:szCs w:val="22"/>
          <w:u w:val="single"/>
        </w:rPr>
        <w:t>povolená intenzita</w:t>
      </w:r>
      <w:r w:rsidRPr="001A65AF">
        <w:rPr>
          <w:rFonts w:ascii="Arial" w:hAnsi="Arial" w:cs="Arial"/>
          <w:szCs w:val="22"/>
          <w:u w:val="single"/>
        </w:rPr>
        <w:t xml:space="preserve"> podpory a její odůvodnění a další povinnosti stanovené přímo</w:t>
      </w:r>
      <w:r w:rsidR="002655F9">
        <w:rPr>
          <w:rFonts w:ascii="Arial" w:hAnsi="Arial" w:cs="Arial"/>
          <w:szCs w:val="22"/>
          <w:u w:val="single"/>
        </w:rPr>
        <w:t xml:space="preserve"> použitelnými předpisy Evropské unie</w:t>
      </w:r>
    </w:p>
    <w:p w:rsidR="00330661" w:rsidRDefault="00330661" w:rsidP="000D29F5">
      <w:pPr>
        <w:spacing w:before="60" w:after="60"/>
        <w:jc w:val="both"/>
        <w:rPr>
          <w:rFonts w:ascii="Arial" w:hAnsi="Arial" w:cs="Arial"/>
        </w:rPr>
      </w:pPr>
      <w:r w:rsidRPr="00330661">
        <w:rPr>
          <w:rFonts w:ascii="Arial" w:hAnsi="Arial" w:cs="Arial"/>
        </w:rPr>
        <w:t>Způsobilé náklady jsou definovány v části 14 návrhu Programu. Způsobilými náklady jsou takové náklady</w:t>
      </w:r>
      <w:r w:rsidR="00A9380D" w:rsidRPr="00A9380D">
        <w:rPr>
          <w:rFonts w:ascii="Arial" w:hAnsi="Arial" w:cs="Arial"/>
        </w:rPr>
        <w:t>, které jsou odůvodněné, které jsou v rozsahu nezbytném pro účely projektu, a které poskytovatel schválí. Uchazeč může jako způsobilé náklady navrhnout pouze náklady vymezené v souladu se zákonem o podpoře výzkumu, experimentálního vývoje a inovací, a dále v případě režimu veřejné podpory podle kategorie podpory, tj. v souladu s čl. 25, čl. 28 a čl. 29 Nařízení.</w:t>
      </w:r>
    </w:p>
    <w:p w:rsidR="00873E61" w:rsidRPr="00F16E2B" w:rsidRDefault="00A9380D" w:rsidP="000D29F5">
      <w:pPr>
        <w:spacing w:before="60" w:after="60"/>
        <w:jc w:val="both"/>
        <w:rPr>
          <w:rFonts w:ascii="Arial" w:hAnsi="Arial" w:cs="Arial"/>
          <w:i/>
        </w:rPr>
      </w:pPr>
      <w:r w:rsidRPr="00A9380D">
        <w:rPr>
          <w:rFonts w:ascii="Arial" w:hAnsi="Arial" w:cs="Arial"/>
        </w:rPr>
        <w:t>Předpokládaná průměrn</w:t>
      </w:r>
      <w:r w:rsidR="00F25AFC">
        <w:rPr>
          <w:rFonts w:ascii="Arial" w:hAnsi="Arial" w:cs="Arial"/>
        </w:rPr>
        <w:t>á intenzita podpory celkově za P</w:t>
      </w:r>
      <w:r w:rsidRPr="00A9380D">
        <w:rPr>
          <w:rFonts w:ascii="Arial" w:hAnsi="Arial" w:cs="Arial"/>
        </w:rPr>
        <w:t xml:space="preserve">rogram je 70 %. Pokud bude podpora poskytována podnikům dle Nařízení, musí být respektována v něm uvedená maximální intenzita podpory. </w:t>
      </w:r>
      <w:r w:rsidR="00873E61" w:rsidRPr="00F16E2B">
        <w:rPr>
          <w:rFonts w:ascii="Arial" w:hAnsi="Arial" w:cs="Arial"/>
          <w:i/>
        </w:rPr>
        <w:t xml:space="preserve"> </w:t>
      </w:r>
    </w:p>
    <w:p w:rsidR="002655F9" w:rsidRDefault="002655F9" w:rsidP="002655F9">
      <w:pPr>
        <w:pStyle w:val="Zkladntext"/>
        <w:jc w:val="both"/>
        <w:rPr>
          <w:rFonts w:ascii="Arial" w:hAnsi="Arial" w:cs="Arial"/>
          <w:szCs w:val="22"/>
          <w:u w:val="single"/>
        </w:rPr>
      </w:pPr>
    </w:p>
    <w:p w:rsidR="00F97C83" w:rsidRDefault="00F97C83" w:rsidP="001E1D3D">
      <w:pPr>
        <w:pStyle w:val="Zkladntext"/>
        <w:numPr>
          <w:ilvl w:val="0"/>
          <w:numId w:val="2"/>
        </w:numPr>
        <w:jc w:val="both"/>
        <w:rPr>
          <w:rFonts w:ascii="Arial" w:hAnsi="Arial" w:cs="Arial"/>
          <w:szCs w:val="22"/>
          <w:u w:val="single"/>
        </w:rPr>
      </w:pPr>
      <w:r w:rsidRPr="001A65AF">
        <w:rPr>
          <w:rFonts w:ascii="Arial" w:hAnsi="Arial" w:cs="Arial"/>
          <w:szCs w:val="22"/>
          <w:u w:val="single"/>
        </w:rPr>
        <w:t>specifikace cílů programu spolu s jejich odůvodněním a způsobem jejich dosažení, kritéria splnění cílů programu, srovnání se současným stavem v České republice a v zahraničí a očekáv</w:t>
      </w:r>
      <w:r w:rsidR="002655F9">
        <w:rPr>
          <w:rFonts w:ascii="Arial" w:hAnsi="Arial" w:cs="Arial"/>
          <w:szCs w:val="22"/>
          <w:u w:val="single"/>
        </w:rPr>
        <w:t>ané výsledky a přínosy programu</w:t>
      </w:r>
    </w:p>
    <w:p w:rsidR="00975206" w:rsidRDefault="00336B06" w:rsidP="00336B06">
      <w:pPr>
        <w:spacing w:before="60" w:after="60"/>
        <w:jc w:val="both"/>
        <w:rPr>
          <w:rFonts w:ascii="Arial" w:hAnsi="Arial" w:cs="Arial"/>
        </w:rPr>
      </w:pPr>
      <w:r>
        <w:rPr>
          <w:rFonts w:ascii="Arial" w:hAnsi="Arial" w:cs="Arial"/>
        </w:rPr>
        <w:t>Hlavním c</w:t>
      </w:r>
      <w:r w:rsidRPr="00336B06">
        <w:rPr>
          <w:rFonts w:ascii="Arial" w:hAnsi="Arial" w:cs="Arial"/>
        </w:rPr>
        <w:t xml:space="preserve">ílem </w:t>
      </w:r>
      <w:r>
        <w:rPr>
          <w:rFonts w:ascii="Arial" w:hAnsi="Arial" w:cs="Arial"/>
        </w:rPr>
        <w:t>P</w:t>
      </w:r>
      <w:r w:rsidRPr="00336B06">
        <w:rPr>
          <w:rFonts w:ascii="Arial" w:hAnsi="Arial" w:cs="Arial"/>
        </w:rPr>
        <w:t>rogramu je prostřednictv</w:t>
      </w:r>
      <w:r w:rsidR="00F25AFC">
        <w:rPr>
          <w:rFonts w:ascii="Arial" w:hAnsi="Arial" w:cs="Arial"/>
        </w:rPr>
        <w:t>ím výstupů, výsledků a dopadů z </w:t>
      </w:r>
      <w:r w:rsidRPr="00336B06">
        <w:rPr>
          <w:rFonts w:ascii="Arial" w:hAnsi="Arial" w:cs="Arial"/>
        </w:rPr>
        <w:t xml:space="preserve">podpořených projektů přispět k </w:t>
      </w:r>
      <w:r w:rsidRPr="00336B06">
        <w:rPr>
          <w:rFonts w:ascii="Arial" w:hAnsi="Arial" w:cs="Arial"/>
          <w:bCs/>
        </w:rPr>
        <w:t>transformaci a modernizaci energetického sektoru</w:t>
      </w:r>
      <w:r w:rsidR="00F25AFC">
        <w:rPr>
          <w:rFonts w:ascii="Arial" w:hAnsi="Arial" w:cs="Arial"/>
        </w:rPr>
        <w:t>, a </w:t>
      </w:r>
      <w:r w:rsidRPr="00336B06">
        <w:rPr>
          <w:rFonts w:ascii="Arial" w:hAnsi="Arial" w:cs="Arial"/>
        </w:rPr>
        <w:t>to jak přípravou inovativních technologií, technických řešení a přístupů uplatnitelných v energetice v krátkodobém, střednědobém a dlouhodobém horizontu, tak i tvorbou analýz pro rozhodování v energetice a zkvalitnění regulatorního rámce. Plnění tohoto cíle podpoří dosažení klimaticko-energetický</w:t>
      </w:r>
      <w:r w:rsidR="00A01513">
        <w:rPr>
          <w:rFonts w:ascii="Arial" w:hAnsi="Arial" w:cs="Arial"/>
        </w:rPr>
        <w:t>ch cílů, k nimž se ČR zavázala.</w:t>
      </w:r>
      <w:r w:rsidR="00975206">
        <w:rPr>
          <w:rFonts w:ascii="Arial" w:hAnsi="Arial" w:cs="Arial"/>
        </w:rPr>
        <w:t xml:space="preserve"> </w:t>
      </w:r>
    </w:p>
    <w:p w:rsidR="00975206" w:rsidRDefault="00A01513" w:rsidP="00336B06">
      <w:pPr>
        <w:spacing w:before="60" w:after="60"/>
        <w:jc w:val="both"/>
        <w:rPr>
          <w:rFonts w:ascii="Arial" w:hAnsi="Arial" w:cs="Arial"/>
        </w:rPr>
      </w:pPr>
      <w:r>
        <w:rPr>
          <w:rFonts w:ascii="Arial" w:hAnsi="Arial" w:cs="Arial"/>
        </w:rPr>
        <w:t>Program</w:t>
      </w:r>
      <w:r w:rsidR="00390DAA" w:rsidRPr="00390DAA">
        <w:rPr>
          <w:rFonts w:ascii="Arial" w:hAnsi="Arial" w:cs="Arial"/>
        </w:rPr>
        <w:t xml:space="preserve"> </w:t>
      </w:r>
      <w:r>
        <w:rPr>
          <w:rFonts w:ascii="Arial" w:hAnsi="Arial" w:cs="Arial"/>
        </w:rPr>
        <w:t xml:space="preserve">je </w:t>
      </w:r>
      <w:r w:rsidRPr="00A01513">
        <w:rPr>
          <w:rFonts w:ascii="Arial" w:hAnsi="Arial" w:cs="Arial"/>
        </w:rPr>
        <w:t>členěn na tři podprogramy, které se podle zaměření a rozsahu vzájemně podporují a doplňují.</w:t>
      </w:r>
      <w:r w:rsidR="00390DAA" w:rsidRPr="00390DAA">
        <w:rPr>
          <w:rFonts w:ascii="Arial" w:hAnsi="Arial" w:cs="Arial"/>
        </w:rPr>
        <w:t xml:space="preserve"> </w:t>
      </w:r>
    </w:p>
    <w:p w:rsidR="00F60A14" w:rsidRDefault="00A01513" w:rsidP="00336B06">
      <w:pPr>
        <w:spacing w:before="60" w:after="60"/>
        <w:jc w:val="both"/>
        <w:rPr>
          <w:rFonts w:ascii="Arial" w:hAnsi="Arial" w:cs="Arial"/>
        </w:rPr>
      </w:pPr>
      <w:r w:rsidRPr="00A01513">
        <w:rPr>
          <w:rFonts w:ascii="Arial" w:hAnsi="Arial" w:cs="Arial"/>
        </w:rPr>
        <w:t xml:space="preserve">Cílem </w:t>
      </w:r>
      <w:r w:rsidRPr="008A46A9">
        <w:rPr>
          <w:rFonts w:ascii="Arial" w:hAnsi="Arial" w:cs="Arial"/>
          <w:i/>
        </w:rPr>
        <w:t xml:space="preserve">Podprogramu </w:t>
      </w:r>
      <w:r w:rsidRPr="008A46A9">
        <w:rPr>
          <w:rFonts w:ascii="Arial" w:hAnsi="Arial" w:cs="Arial"/>
          <w:bCs/>
          <w:i/>
        </w:rPr>
        <w:t>1 – Výzkum ve veřejném zájmu</w:t>
      </w:r>
      <w:r w:rsidRPr="00A01513">
        <w:rPr>
          <w:rFonts w:ascii="Arial" w:hAnsi="Arial" w:cs="Arial"/>
          <w:b/>
          <w:bCs/>
        </w:rPr>
        <w:t xml:space="preserve"> </w:t>
      </w:r>
      <w:r w:rsidRPr="00A01513">
        <w:rPr>
          <w:rFonts w:ascii="Arial" w:hAnsi="Arial" w:cs="Arial"/>
        </w:rPr>
        <w:t>je přispět k tvorbě kvalitních podkladů (analýzy, modely, hodnocení variantních scénářů atd.) pro objektivní rozhodování veřejné správy při řízení energetického sektoru (strategie, politiky, legislativa, regulatorika a cenotvorba, normotvorba či stanovení podpor). A to prostřednictvím identifikace řešení, která jsou v</w:t>
      </w:r>
      <w:r w:rsidR="00F25AFC">
        <w:rPr>
          <w:rFonts w:ascii="Arial" w:hAnsi="Arial" w:cs="Arial"/>
        </w:rPr>
        <w:t xml:space="preserve"> podmínkách ČR realizovatelná a </w:t>
      </w:r>
      <w:r w:rsidRPr="00A01513">
        <w:rPr>
          <w:rFonts w:ascii="Arial" w:hAnsi="Arial" w:cs="Arial"/>
        </w:rPr>
        <w:t>nákladově efektivní pro plnění strategie dosažení klimatické neutrality a současně zajišťují dodávky energií v potřebném objemu, čase a k</w:t>
      </w:r>
      <w:r w:rsidR="00F25AFC">
        <w:rPr>
          <w:rFonts w:ascii="Arial" w:hAnsi="Arial" w:cs="Arial"/>
        </w:rPr>
        <w:t>valitě za přijatelných vlivů na </w:t>
      </w:r>
      <w:r w:rsidRPr="00A01513">
        <w:rPr>
          <w:rFonts w:ascii="Arial" w:hAnsi="Arial" w:cs="Arial"/>
        </w:rPr>
        <w:t>životní prostředí a za ceny podp</w:t>
      </w:r>
      <w:r>
        <w:rPr>
          <w:rFonts w:ascii="Arial" w:hAnsi="Arial" w:cs="Arial"/>
        </w:rPr>
        <w:t>orující konkurenceschopnost ČR.</w:t>
      </w:r>
    </w:p>
    <w:p w:rsidR="00A01513" w:rsidRDefault="00A01513" w:rsidP="00336B06">
      <w:pPr>
        <w:spacing w:before="60" w:after="60"/>
        <w:jc w:val="both"/>
        <w:rPr>
          <w:rFonts w:ascii="Arial" w:hAnsi="Arial" w:cs="Arial"/>
        </w:rPr>
      </w:pPr>
      <w:r>
        <w:rPr>
          <w:rFonts w:ascii="Arial" w:hAnsi="Arial" w:cs="Arial"/>
        </w:rPr>
        <w:t xml:space="preserve">Cílem </w:t>
      </w:r>
      <w:r w:rsidRPr="008A46A9">
        <w:rPr>
          <w:rFonts w:ascii="Arial" w:hAnsi="Arial" w:cs="Arial"/>
          <w:i/>
        </w:rPr>
        <w:t>Podprogramu 2</w:t>
      </w:r>
      <w:r w:rsidRPr="008A46A9">
        <w:rPr>
          <w:rFonts w:eastAsiaTheme="minorHAnsi"/>
          <w:i/>
          <w:color w:val="000000"/>
          <w:lang w:eastAsia="en-US"/>
        </w:rPr>
        <w:t xml:space="preserve"> </w:t>
      </w:r>
      <w:r w:rsidRPr="008A46A9">
        <w:rPr>
          <w:rFonts w:ascii="Arial" w:hAnsi="Arial" w:cs="Arial"/>
          <w:i/>
        </w:rPr>
        <w:t>– Energetické technologie pro konkurenceschopnost</w:t>
      </w:r>
      <w:r w:rsidRPr="00A01513">
        <w:rPr>
          <w:rFonts w:ascii="Arial" w:hAnsi="Arial" w:cs="Arial"/>
        </w:rPr>
        <w:t xml:space="preserve"> </w:t>
      </w:r>
      <w:r>
        <w:rPr>
          <w:rFonts w:ascii="Arial" w:hAnsi="Arial" w:cs="Arial"/>
        </w:rPr>
        <w:t>je přispět</w:t>
      </w:r>
      <w:r w:rsidRPr="00A01513">
        <w:rPr>
          <w:rFonts w:ascii="Arial" w:hAnsi="Arial" w:cs="Arial"/>
        </w:rPr>
        <w:t xml:space="preserve"> k přípravě technologií a řešení s rychlým uplatněním v </w:t>
      </w:r>
      <w:r>
        <w:rPr>
          <w:rFonts w:ascii="Arial" w:hAnsi="Arial" w:cs="Arial"/>
        </w:rPr>
        <w:t>praxi a podpořit</w:t>
      </w:r>
      <w:r w:rsidRPr="00A01513">
        <w:rPr>
          <w:rFonts w:ascii="Arial" w:hAnsi="Arial" w:cs="Arial"/>
        </w:rPr>
        <w:t xml:space="preserve"> tak konkurenceschopnost inovační sféry, výrobních a do</w:t>
      </w:r>
      <w:r w:rsidR="00F25AFC">
        <w:rPr>
          <w:rFonts w:ascii="Arial" w:hAnsi="Arial" w:cs="Arial"/>
        </w:rPr>
        <w:t>davatelských firem působících v </w:t>
      </w:r>
      <w:r w:rsidRPr="00A01513">
        <w:rPr>
          <w:rFonts w:ascii="Arial" w:hAnsi="Arial" w:cs="Arial"/>
        </w:rPr>
        <w:t>ČR, včetně zvýšení jejich exportního potenciálu sk</w:t>
      </w:r>
      <w:r w:rsidR="00F25AFC">
        <w:rPr>
          <w:rFonts w:ascii="Arial" w:hAnsi="Arial" w:cs="Arial"/>
        </w:rPr>
        <w:t>rze výrobky a výrobní postupy s </w:t>
      </w:r>
      <w:r w:rsidRPr="00A01513">
        <w:rPr>
          <w:rFonts w:ascii="Arial" w:hAnsi="Arial" w:cs="Arial"/>
        </w:rPr>
        <w:t>vysokou přidanou hodnotou a jejich zapojení do mezinárodních hodnotových řetězců.</w:t>
      </w:r>
    </w:p>
    <w:p w:rsidR="00A01513" w:rsidRDefault="00A01513" w:rsidP="00336B06">
      <w:pPr>
        <w:spacing w:before="60" w:after="60"/>
        <w:jc w:val="both"/>
        <w:rPr>
          <w:rFonts w:ascii="Arial" w:hAnsi="Arial" w:cs="Arial"/>
        </w:rPr>
      </w:pPr>
      <w:r>
        <w:rPr>
          <w:rFonts w:ascii="Arial" w:hAnsi="Arial" w:cs="Arial"/>
        </w:rPr>
        <w:t>Cílem</w:t>
      </w:r>
      <w:r w:rsidRPr="00A01513">
        <w:rPr>
          <w:rFonts w:ascii="Arial-BoldMT" w:eastAsiaTheme="minorHAnsi" w:hAnsi="Arial-BoldMT" w:cs="Arial-BoldMT"/>
          <w:b/>
          <w:bCs/>
          <w:color w:val="000000"/>
          <w:sz w:val="28"/>
          <w:szCs w:val="28"/>
          <w:lang w:eastAsia="en-US"/>
        </w:rPr>
        <w:t xml:space="preserve"> </w:t>
      </w:r>
      <w:r w:rsidRPr="008A46A9">
        <w:rPr>
          <w:rFonts w:ascii="Arial" w:hAnsi="Arial" w:cs="Arial"/>
          <w:bCs/>
          <w:i/>
        </w:rPr>
        <w:t>Podprogramu 3 – Technologie k zajištění dlouhodobé udržitelnosti energetiky</w:t>
      </w:r>
      <w:r w:rsidRPr="000C0EFD">
        <w:rPr>
          <w:rFonts w:ascii="Arial" w:hAnsi="Arial" w:cs="Arial"/>
          <w:bCs/>
        </w:rPr>
        <w:t xml:space="preserve"> je </w:t>
      </w:r>
      <w:r w:rsidRPr="000C0EFD">
        <w:rPr>
          <w:rFonts w:ascii="Arial" w:hAnsi="Arial" w:cs="Arial"/>
        </w:rPr>
        <w:t>podpoř</w:t>
      </w:r>
      <w:r w:rsidR="000C0EFD">
        <w:rPr>
          <w:rFonts w:ascii="Arial" w:hAnsi="Arial" w:cs="Arial"/>
        </w:rPr>
        <w:t>it</w:t>
      </w:r>
      <w:r w:rsidRPr="000C0EFD">
        <w:rPr>
          <w:rFonts w:ascii="Arial" w:hAnsi="Arial" w:cs="Arial"/>
        </w:rPr>
        <w:t xml:space="preserve"> projekty připravující technologie a řešení, které se v době n</w:t>
      </w:r>
      <w:r w:rsidRPr="00A01513">
        <w:rPr>
          <w:rFonts w:ascii="Arial" w:hAnsi="Arial" w:cs="Arial"/>
        </w:rPr>
        <w:t xml:space="preserve">ávrhu projektu nacházejí v nižším stupni technologické připravenosti a kde se tak primárně neočekává rychlá uplatnitelnost výsledků v praxi. Zpravidla se jedná o projekty s vyšší mírou rizika z hlediska dosažení plánovaných cílů a parametrů v porovnání s </w:t>
      </w:r>
      <w:r w:rsidRPr="00A01513">
        <w:rPr>
          <w:rFonts w:ascii="Arial" w:hAnsi="Arial" w:cs="Arial"/>
        </w:rPr>
        <w:lastRenderedPageBreak/>
        <w:t>projekty v podprogramu 2. Projekty mají směřovat k přípravě nový</w:t>
      </w:r>
      <w:r w:rsidR="00937305">
        <w:rPr>
          <w:rFonts w:ascii="Arial" w:hAnsi="Arial" w:cs="Arial"/>
        </w:rPr>
        <w:t>ch a netradičních řešení, a </w:t>
      </w:r>
      <w:r w:rsidRPr="00A01513">
        <w:rPr>
          <w:rFonts w:ascii="Arial" w:hAnsi="Arial" w:cs="Arial"/>
        </w:rPr>
        <w:t>tedy podpoře zásadních a průlomových inovací</w:t>
      </w:r>
      <w:r w:rsidR="000C0EFD">
        <w:rPr>
          <w:rFonts w:ascii="Arial" w:hAnsi="Arial" w:cs="Arial"/>
        </w:rPr>
        <w:t>.</w:t>
      </w:r>
    </w:p>
    <w:p w:rsidR="00FF6C2B" w:rsidRDefault="00FF6C2B" w:rsidP="00336B06">
      <w:pPr>
        <w:spacing w:before="60" w:after="60"/>
        <w:jc w:val="both"/>
        <w:rPr>
          <w:rFonts w:ascii="Arial" w:hAnsi="Arial" w:cs="Arial"/>
        </w:rPr>
      </w:pPr>
      <w:r w:rsidRPr="00FF6C2B">
        <w:rPr>
          <w:rFonts w:ascii="Arial" w:hAnsi="Arial" w:cs="Arial"/>
        </w:rPr>
        <w:t>Zaměření</w:t>
      </w:r>
      <w:r>
        <w:rPr>
          <w:rFonts w:ascii="Arial" w:hAnsi="Arial" w:cs="Arial"/>
        </w:rPr>
        <w:t xml:space="preserve"> P</w:t>
      </w:r>
      <w:r w:rsidRPr="00FF6C2B">
        <w:rPr>
          <w:rFonts w:ascii="Arial" w:hAnsi="Arial" w:cs="Arial"/>
        </w:rPr>
        <w:t xml:space="preserve">rogramu </w:t>
      </w:r>
      <w:r>
        <w:rPr>
          <w:rFonts w:ascii="Arial" w:hAnsi="Arial" w:cs="Arial"/>
        </w:rPr>
        <w:t>je motivováno</w:t>
      </w:r>
      <w:r w:rsidRPr="00FF6C2B">
        <w:rPr>
          <w:rFonts w:ascii="Arial" w:hAnsi="Arial" w:cs="Arial"/>
        </w:rPr>
        <w:t xml:space="preserve"> potřebou transformace energetiky, která proběhne v příštích letech. Zásadní je přitom střednědobý hor</w:t>
      </w:r>
      <w:r w:rsidR="00937305">
        <w:rPr>
          <w:rFonts w:ascii="Arial" w:hAnsi="Arial" w:cs="Arial"/>
        </w:rPr>
        <w:t>izont (cca období 2030–2035), v </w:t>
      </w:r>
      <w:r w:rsidRPr="00FF6C2B">
        <w:rPr>
          <w:rFonts w:ascii="Arial" w:hAnsi="Arial" w:cs="Arial"/>
        </w:rPr>
        <w:t>němž by mělo dojít k relativně významnému sníž</w:t>
      </w:r>
      <w:r w:rsidR="00937305">
        <w:rPr>
          <w:rFonts w:ascii="Arial" w:hAnsi="Arial" w:cs="Arial"/>
        </w:rPr>
        <w:t>ení emisí skleníkových plynů, a </w:t>
      </w:r>
      <w:r w:rsidRPr="00FF6C2B">
        <w:rPr>
          <w:rFonts w:ascii="Arial" w:hAnsi="Arial" w:cs="Arial"/>
        </w:rPr>
        <w:t>dlouhodobý horizont do roku 2050, v jehož rámci by mělo být na úrovni EU dosaženo klimatické neutrality.</w:t>
      </w:r>
    </w:p>
    <w:p w:rsidR="003B3464" w:rsidRDefault="003B3464" w:rsidP="00336B06">
      <w:pPr>
        <w:spacing w:before="60" w:after="60"/>
        <w:jc w:val="both"/>
        <w:rPr>
          <w:rFonts w:ascii="Arial" w:hAnsi="Arial" w:cs="Arial"/>
        </w:rPr>
      </w:pPr>
      <w:r w:rsidRPr="003B3464">
        <w:rPr>
          <w:rFonts w:ascii="Arial" w:hAnsi="Arial" w:cs="Arial"/>
        </w:rPr>
        <w:t xml:space="preserve">Program navazuje </w:t>
      </w:r>
      <w:r>
        <w:rPr>
          <w:rFonts w:ascii="Arial" w:hAnsi="Arial" w:cs="Arial"/>
        </w:rPr>
        <w:t>především</w:t>
      </w:r>
      <w:r w:rsidRPr="003B3464">
        <w:rPr>
          <w:rFonts w:ascii="Arial" w:hAnsi="Arial" w:cs="Arial"/>
        </w:rPr>
        <w:t xml:space="preserve"> na </w:t>
      </w:r>
      <w:r w:rsidRPr="003B3464">
        <w:rPr>
          <w:rFonts w:ascii="Arial" w:hAnsi="Arial" w:cs="Arial"/>
          <w:bCs/>
        </w:rPr>
        <w:t>Státní energetickou koncepci ČR</w:t>
      </w:r>
      <w:r w:rsidRPr="003B3464">
        <w:rPr>
          <w:rFonts w:ascii="Arial" w:hAnsi="Arial" w:cs="Arial"/>
        </w:rPr>
        <w:t>, která stanovuje priority a strategické záměry státu v sektoru energetiky a opatření, jak těchto cílů dosáhnout.</w:t>
      </w:r>
    </w:p>
    <w:p w:rsidR="003B3464" w:rsidRDefault="0002675F" w:rsidP="000D29F5">
      <w:pPr>
        <w:spacing w:before="60" w:after="60"/>
        <w:jc w:val="both"/>
        <w:rPr>
          <w:rFonts w:ascii="Arial" w:hAnsi="Arial" w:cs="Arial"/>
        </w:rPr>
      </w:pPr>
      <w:r w:rsidRPr="00355E9D">
        <w:rPr>
          <w:rFonts w:ascii="Arial" w:hAnsi="Arial" w:cs="Arial"/>
          <w:szCs w:val="22"/>
          <w:u w:val="single"/>
        </w:rPr>
        <w:t>K</w:t>
      </w:r>
      <w:r w:rsidR="009464C4" w:rsidRPr="00355E9D">
        <w:rPr>
          <w:rFonts w:ascii="Arial" w:hAnsi="Arial" w:cs="Arial"/>
          <w:szCs w:val="22"/>
          <w:u w:val="single"/>
        </w:rPr>
        <w:t>ritéria splnění cílů</w:t>
      </w:r>
      <w:r w:rsidR="009464C4" w:rsidRPr="00FD0AAB">
        <w:rPr>
          <w:rFonts w:ascii="Arial" w:hAnsi="Arial" w:cs="Arial"/>
          <w:szCs w:val="22"/>
          <w:u w:val="single"/>
        </w:rPr>
        <w:t xml:space="preserve"> </w:t>
      </w:r>
      <w:r w:rsidRPr="00FD0AAB">
        <w:rPr>
          <w:rFonts w:ascii="Arial" w:hAnsi="Arial" w:cs="Arial"/>
          <w:szCs w:val="22"/>
          <w:u w:val="single"/>
        </w:rPr>
        <w:t>P</w:t>
      </w:r>
      <w:r w:rsidR="009464C4" w:rsidRPr="00FD0AAB">
        <w:rPr>
          <w:rFonts w:ascii="Arial" w:hAnsi="Arial" w:cs="Arial"/>
          <w:szCs w:val="22"/>
          <w:u w:val="single"/>
        </w:rPr>
        <w:t>rogramu</w:t>
      </w:r>
      <w:r w:rsidR="009464C4" w:rsidRPr="00FD0AAB">
        <w:rPr>
          <w:rFonts w:ascii="Arial" w:hAnsi="Arial" w:cs="Arial"/>
          <w:szCs w:val="22"/>
        </w:rPr>
        <w:t xml:space="preserve"> </w:t>
      </w:r>
      <w:r w:rsidRPr="00FD0AAB">
        <w:rPr>
          <w:rFonts w:ascii="Arial" w:hAnsi="Arial" w:cs="Arial"/>
          <w:szCs w:val="22"/>
        </w:rPr>
        <w:t>–</w:t>
      </w:r>
      <w:r w:rsidR="009464C4" w:rsidRPr="00FD0AAB">
        <w:rPr>
          <w:rFonts w:ascii="Arial" w:hAnsi="Arial" w:cs="Arial"/>
          <w:szCs w:val="22"/>
        </w:rPr>
        <w:t xml:space="preserve"> </w:t>
      </w:r>
      <w:r w:rsidR="003B3464">
        <w:rPr>
          <w:rFonts w:ascii="Arial" w:hAnsi="Arial" w:cs="Arial"/>
          <w:szCs w:val="22"/>
        </w:rPr>
        <w:t xml:space="preserve">dosažení </w:t>
      </w:r>
      <w:r w:rsidR="00FD0AAB" w:rsidRPr="00FD0AAB">
        <w:rPr>
          <w:rFonts w:ascii="Arial" w:hAnsi="Arial" w:cs="Arial"/>
          <w:szCs w:val="22"/>
        </w:rPr>
        <w:t>c</w:t>
      </w:r>
      <w:r w:rsidR="003B3464">
        <w:rPr>
          <w:rFonts w:ascii="Arial" w:hAnsi="Arial" w:cs="Arial"/>
          <w:szCs w:val="22"/>
        </w:rPr>
        <w:t>ílů</w:t>
      </w:r>
      <w:r w:rsidRPr="00FD0AAB">
        <w:rPr>
          <w:rFonts w:ascii="Arial" w:hAnsi="Arial" w:cs="Arial"/>
          <w:szCs w:val="22"/>
        </w:rPr>
        <w:t xml:space="preserve"> Programu bud</w:t>
      </w:r>
      <w:r w:rsidR="003B3464">
        <w:rPr>
          <w:rFonts w:ascii="Arial" w:hAnsi="Arial" w:cs="Arial"/>
          <w:szCs w:val="22"/>
        </w:rPr>
        <w:t>e</w:t>
      </w:r>
      <w:r w:rsidR="009464C4" w:rsidRPr="00355E9D">
        <w:rPr>
          <w:rFonts w:ascii="Arial" w:hAnsi="Arial" w:cs="Arial"/>
        </w:rPr>
        <w:t xml:space="preserve"> vyhodnocován</w:t>
      </w:r>
      <w:r w:rsidR="003B3464">
        <w:rPr>
          <w:rFonts w:ascii="Arial" w:hAnsi="Arial" w:cs="Arial"/>
        </w:rPr>
        <w:t>o</w:t>
      </w:r>
      <w:r w:rsidR="00937305">
        <w:rPr>
          <w:rFonts w:ascii="Arial" w:hAnsi="Arial" w:cs="Arial"/>
        </w:rPr>
        <w:t xml:space="preserve"> v </w:t>
      </w:r>
      <w:r w:rsidR="009464C4" w:rsidRPr="00355E9D">
        <w:rPr>
          <w:rFonts w:ascii="Arial" w:hAnsi="Arial" w:cs="Arial"/>
        </w:rPr>
        <w:t>souladu s Metodikou hodnocení výzkumných organizací a hodnocení programů účelové podpory výzkumu, vývoje</w:t>
      </w:r>
      <w:r w:rsidR="00AB5C14">
        <w:rPr>
          <w:rFonts w:ascii="Arial" w:hAnsi="Arial" w:cs="Arial"/>
        </w:rPr>
        <w:t xml:space="preserve"> a</w:t>
      </w:r>
      <w:r w:rsidR="009464C4" w:rsidRPr="00355E9D">
        <w:rPr>
          <w:rFonts w:ascii="Arial" w:hAnsi="Arial" w:cs="Arial"/>
        </w:rPr>
        <w:t xml:space="preserve"> inovací platnou v době hodnocení Programu, případně další</w:t>
      </w:r>
      <w:r w:rsidR="003B3464">
        <w:rPr>
          <w:rFonts w:ascii="Arial" w:hAnsi="Arial" w:cs="Arial"/>
        </w:rPr>
        <w:t>mi</w:t>
      </w:r>
      <w:r w:rsidR="009464C4" w:rsidRPr="00355E9D">
        <w:rPr>
          <w:rFonts w:ascii="Arial" w:hAnsi="Arial" w:cs="Arial"/>
        </w:rPr>
        <w:t xml:space="preserve"> podmínk</w:t>
      </w:r>
      <w:r w:rsidR="003B3464">
        <w:rPr>
          <w:rFonts w:ascii="Arial" w:hAnsi="Arial" w:cs="Arial"/>
        </w:rPr>
        <w:t>ami</w:t>
      </w:r>
      <w:r w:rsidR="009464C4" w:rsidRPr="00355E9D">
        <w:rPr>
          <w:rFonts w:ascii="Arial" w:hAnsi="Arial" w:cs="Arial"/>
        </w:rPr>
        <w:t xml:space="preserve"> stanovený</w:t>
      </w:r>
      <w:r w:rsidR="003B3464">
        <w:rPr>
          <w:rFonts w:ascii="Arial" w:hAnsi="Arial" w:cs="Arial"/>
        </w:rPr>
        <w:t>mi</w:t>
      </w:r>
      <w:r w:rsidR="009464C4" w:rsidRPr="00355E9D">
        <w:rPr>
          <w:rFonts w:ascii="Arial" w:hAnsi="Arial" w:cs="Arial"/>
        </w:rPr>
        <w:t xml:space="preserve"> poskytovatelem. </w:t>
      </w:r>
    </w:p>
    <w:p w:rsidR="009464C4" w:rsidRDefault="003B3464" w:rsidP="000D29F5">
      <w:pPr>
        <w:spacing w:before="60" w:after="60"/>
        <w:jc w:val="both"/>
        <w:rPr>
          <w:rFonts w:ascii="Arial" w:hAnsi="Arial" w:cs="Arial"/>
        </w:rPr>
      </w:pPr>
      <w:r w:rsidRPr="003B3464">
        <w:rPr>
          <w:rFonts w:ascii="Arial" w:hAnsi="Arial" w:cs="Arial"/>
        </w:rPr>
        <w:t xml:space="preserve">Vyhodnocení dosažení cílů programu proběhne na základě souboru indikátorů určených pro monitorování průběhu plnění </w:t>
      </w:r>
      <w:r w:rsidR="00937305">
        <w:rPr>
          <w:rFonts w:ascii="Arial" w:hAnsi="Arial" w:cs="Arial"/>
        </w:rPr>
        <w:t>programu (průběžné hodnocení) a </w:t>
      </w:r>
      <w:r w:rsidRPr="003B3464">
        <w:rPr>
          <w:rFonts w:ascii="Arial" w:hAnsi="Arial" w:cs="Arial"/>
        </w:rPr>
        <w:t>hodnocení jeho celkové výkonnosti a úspěšnosti (hodnocení dopadů).</w:t>
      </w:r>
    </w:p>
    <w:p w:rsidR="003B3464" w:rsidRPr="003B3464" w:rsidRDefault="003B3464" w:rsidP="000D29F5">
      <w:pPr>
        <w:spacing w:before="60" w:after="60"/>
        <w:jc w:val="both"/>
        <w:rPr>
          <w:rFonts w:ascii="Arial" w:hAnsi="Arial" w:cs="Arial"/>
        </w:rPr>
      </w:pPr>
      <w:r w:rsidRPr="003B3464">
        <w:rPr>
          <w:rFonts w:ascii="Arial" w:hAnsi="Arial" w:cs="Arial"/>
          <w:b/>
          <w:bCs/>
        </w:rPr>
        <w:t>Indikátory programu</w:t>
      </w:r>
    </w:p>
    <w:tbl>
      <w:tblPr>
        <w:tblStyle w:val="Mkatabulky"/>
        <w:tblW w:w="0" w:type="auto"/>
        <w:tblLook w:val="04A0" w:firstRow="1" w:lastRow="0" w:firstColumn="1" w:lastColumn="0" w:noHBand="0" w:noVBand="1"/>
      </w:tblPr>
      <w:tblGrid>
        <w:gridCol w:w="6516"/>
        <w:gridCol w:w="2546"/>
      </w:tblGrid>
      <w:tr w:rsidR="003B3464" w:rsidRPr="003B3464" w:rsidTr="003B3464">
        <w:tc>
          <w:tcPr>
            <w:tcW w:w="6516" w:type="dxa"/>
          </w:tcPr>
          <w:p w:rsidR="003B3464" w:rsidRPr="003B3464" w:rsidRDefault="003B3464" w:rsidP="003B3464">
            <w:pPr>
              <w:spacing w:before="60" w:after="60"/>
              <w:jc w:val="both"/>
              <w:rPr>
                <w:rFonts w:ascii="Arial" w:hAnsi="Arial" w:cs="Arial"/>
                <w:u w:val="single"/>
              </w:rPr>
            </w:pPr>
            <w:r w:rsidRPr="003B3464">
              <w:rPr>
                <w:rFonts w:ascii="Arial" w:hAnsi="Arial" w:cs="Arial"/>
                <w:b/>
                <w:bCs/>
              </w:rPr>
              <w:t xml:space="preserve">Indikátor </w:t>
            </w:r>
          </w:p>
        </w:tc>
        <w:tc>
          <w:tcPr>
            <w:tcW w:w="2546" w:type="dxa"/>
          </w:tcPr>
          <w:p w:rsidR="003B3464" w:rsidRPr="003B3464" w:rsidRDefault="003B3464" w:rsidP="003B3464">
            <w:pPr>
              <w:spacing w:before="60" w:after="60"/>
              <w:jc w:val="both"/>
              <w:rPr>
                <w:rFonts w:ascii="Arial" w:hAnsi="Arial" w:cs="Arial"/>
                <w:u w:val="single"/>
              </w:rPr>
            </w:pPr>
            <w:r w:rsidRPr="003B3464">
              <w:rPr>
                <w:rFonts w:ascii="Arial" w:hAnsi="Arial" w:cs="Arial"/>
                <w:b/>
                <w:bCs/>
              </w:rPr>
              <w:t xml:space="preserve">Hodnota </w:t>
            </w:r>
          </w:p>
        </w:tc>
      </w:tr>
      <w:tr w:rsidR="003B3464" w:rsidRPr="003B3464" w:rsidTr="008D1D23">
        <w:tc>
          <w:tcPr>
            <w:tcW w:w="6516" w:type="dxa"/>
          </w:tcPr>
          <w:p w:rsidR="003B3464" w:rsidRPr="003B3464" w:rsidRDefault="003B3464" w:rsidP="003B3464">
            <w:pPr>
              <w:spacing w:before="60" w:after="60"/>
              <w:jc w:val="both"/>
              <w:rPr>
                <w:rFonts w:ascii="Arial" w:hAnsi="Arial" w:cs="Arial"/>
                <w:u w:val="single"/>
              </w:rPr>
            </w:pPr>
            <w:r w:rsidRPr="003B3464">
              <w:rPr>
                <w:rFonts w:ascii="Arial" w:hAnsi="Arial" w:cs="Arial"/>
              </w:rPr>
              <w:t xml:space="preserve">Průměrná intenzita podpory (%) </w:t>
            </w:r>
          </w:p>
        </w:tc>
        <w:tc>
          <w:tcPr>
            <w:tcW w:w="0" w:type="auto"/>
            <w:vAlign w:val="center"/>
          </w:tcPr>
          <w:p w:rsidR="003B3464" w:rsidRPr="003B3464" w:rsidRDefault="003B3464" w:rsidP="003B3464">
            <w:pPr>
              <w:spacing w:before="60" w:after="60"/>
              <w:jc w:val="both"/>
              <w:rPr>
                <w:rFonts w:ascii="Arial" w:hAnsi="Arial" w:cs="Arial"/>
                <w:u w:val="single"/>
              </w:rPr>
            </w:pPr>
            <w:r w:rsidRPr="003B3464">
              <w:rPr>
                <w:rFonts w:ascii="Arial" w:hAnsi="Arial" w:cs="Arial"/>
              </w:rPr>
              <w:t xml:space="preserve">70 </w:t>
            </w:r>
          </w:p>
        </w:tc>
      </w:tr>
      <w:tr w:rsidR="003B3464" w:rsidRPr="003B3464" w:rsidTr="008D1D23">
        <w:tc>
          <w:tcPr>
            <w:tcW w:w="6516" w:type="dxa"/>
          </w:tcPr>
          <w:p w:rsidR="003B3464" w:rsidRPr="003B3464" w:rsidRDefault="003B3464" w:rsidP="003B3464">
            <w:pPr>
              <w:spacing w:before="60" w:after="60"/>
              <w:jc w:val="both"/>
              <w:rPr>
                <w:rFonts w:ascii="Arial" w:hAnsi="Arial" w:cs="Arial"/>
                <w:u w:val="single"/>
              </w:rPr>
            </w:pPr>
            <w:r w:rsidRPr="003B3464">
              <w:rPr>
                <w:rFonts w:ascii="Arial" w:hAnsi="Arial" w:cs="Arial"/>
              </w:rPr>
              <w:t xml:space="preserve">Minimální počet podpořených projektů </w:t>
            </w:r>
          </w:p>
        </w:tc>
        <w:tc>
          <w:tcPr>
            <w:tcW w:w="0" w:type="auto"/>
            <w:vAlign w:val="center"/>
          </w:tcPr>
          <w:p w:rsidR="003B3464" w:rsidRPr="003B3464" w:rsidRDefault="003B3464" w:rsidP="003B3464">
            <w:pPr>
              <w:spacing w:before="60" w:after="60"/>
              <w:jc w:val="both"/>
              <w:rPr>
                <w:rFonts w:ascii="Arial" w:hAnsi="Arial" w:cs="Arial"/>
                <w:u w:val="single"/>
              </w:rPr>
            </w:pPr>
            <w:r w:rsidRPr="003B3464">
              <w:rPr>
                <w:rFonts w:ascii="Arial" w:hAnsi="Arial" w:cs="Arial"/>
              </w:rPr>
              <w:t xml:space="preserve">550 </w:t>
            </w:r>
          </w:p>
        </w:tc>
      </w:tr>
      <w:tr w:rsidR="003B3464" w:rsidRPr="003B3464" w:rsidTr="008D1D23">
        <w:tc>
          <w:tcPr>
            <w:tcW w:w="6516" w:type="dxa"/>
          </w:tcPr>
          <w:p w:rsidR="003B3464" w:rsidRPr="003B3464" w:rsidRDefault="003B3464" w:rsidP="003B3464">
            <w:pPr>
              <w:spacing w:before="60" w:after="60"/>
              <w:jc w:val="both"/>
              <w:rPr>
                <w:rFonts w:ascii="Arial" w:hAnsi="Arial" w:cs="Arial"/>
                <w:u w:val="single"/>
              </w:rPr>
            </w:pPr>
            <w:r w:rsidRPr="003B3464">
              <w:rPr>
                <w:rFonts w:ascii="Arial" w:hAnsi="Arial" w:cs="Arial"/>
              </w:rPr>
              <w:t xml:space="preserve">Minimální míra úspěšně dokončených projektů (%) </w:t>
            </w:r>
          </w:p>
        </w:tc>
        <w:tc>
          <w:tcPr>
            <w:tcW w:w="0" w:type="auto"/>
            <w:vAlign w:val="center"/>
          </w:tcPr>
          <w:p w:rsidR="003B3464" w:rsidRPr="003B3464" w:rsidRDefault="003B3464" w:rsidP="003B3464">
            <w:pPr>
              <w:spacing w:before="60" w:after="60"/>
              <w:jc w:val="both"/>
              <w:rPr>
                <w:rFonts w:ascii="Arial" w:hAnsi="Arial" w:cs="Arial"/>
                <w:u w:val="single"/>
              </w:rPr>
            </w:pPr>
            <w:r w:rsidRPr="003B3464">
              <w:rPr>
                <w:rFonts w:ascii="Arial" w:hAnsi="Arial" w:cs="Arial"/>
              </w:rPr>
              <w:t xml:space="preserve">80 </w:t>
            </w:r>
          </w:p>
        </w:tc>
      </w:tr>
      <w:tr w:rsidR="003B3464" w:rsidRPr="003B3464" w:rsidTr="008D1D23">
        <w:tc>
          <w:tcPr>
            <w:tcW w:w="6516" w:type="dxa"/>
          </w:tcPr>
          <w:p w:rsidR="003B3464" w:rsidRPr="003B3464" w:rsidRDefault="003B3464" w:rsidP="003B3464">
            <w:pPr>
              <w:spacing w:before="60" w:after="60"/>
              <w:jc w:val="both"/>
              <w:rPr>
                <w:rFonts w:ascii="Arial" w:hAnsi="Arial" w:cs="Arial"/>
                <w:u w:val="single"/>
              </w:rPr>
            </w:pPr>
            <w:r w:rsidRPr="003B3464">
              <w:rPr>
                <w:rFonts w:ascii="Arial" w:hAnsi="Arial" w:cs="Arial"/>
              </w:rPr>
              <w:t xml:space="preserve">Minimální počet dosažených výstupů </w:t>
            </w:r>
          </w:p>
        </w:tc>
        <w:tc>
          <w:tcPr>
            <w:tcW w:w="0" w:type="auto"/>
            <w:vAlign w:val="center"/>
          </w:tcPr>
          <w:p w:rsidR="003B3464" w:rsidRPr="003B3464" w:rsidRDefault="003B3464" w:rsidP="003B3464">
            <w:pPr>
              <w:spacing w:before="60" w:after="60"/>
              <w:jc w:val="both"/>
              <w:rPr>
                <w:rFonts w:ascii="Arial" w:hAnsi="Arial" w:cs="Arial"/>
                <w:u w:val="single"/>
              </w:rPr>
            </w:pPr>
            <w:r w:rsidRPr="003B3464">
              <w:rPr>
                <w:rFonts w:ascii="Arial" w:hAnsi="Arial" w:cs="Arial"/>
              </w:rPr>
              <w:t xml:space="preserve">1 000 </w:t>
            </w:r>
          </w:p>
        </w:tc>
      </w:tr>
      <w:tr w:rsidR="003B3464" w:rsidRPr="003B3464" w:rsidTr="008D1D23">
        <w:tc>
          <w:tcPr>
            <w:tcW w:w="6516" w:type="dxa"/>
          </w:tcPr>
          <w:p w:rsidR="003B3464" w:rsidRPr="003B3464" w:rsidRDefault="003B3464" w:rsidP="003B3464">
            <w:pPr>
              <w:spacing w:before="60" w:after="60"/>
              <w:jc w:val="both"/>
              <w:rPr>
                <w:rFonts w:ascii="Arial" w:hAnsi="Arial" w:cs="Arial"/>
                <w:u w:val="single"/>
              </w:rPr>
            </w:pPr>
            <w:r w:rsidRPr="003B3464">
              <w:rPr>
                <w:rFonts w:ascii="Arial" w:hAnsi="Arial" w:cs="Arial"/>
              </w:rPr>
              <w:t xml:space="preserve">Minimální počet aplikovaných výstupů </w:t>
            </w:r>
          </w:p>
        </w:tc>
        <w:tc>
          <w:tcPr>
            <w:tcW w:w="0" w:type="auto"/>
            <w:vAlign w:val="center"/>
          </w:tcPr>
          <w:p w:rsidR="003B3464" w:rsidRPr="003B3464" w:rsidRDefault="003B3464" w:rsidP="003B3464">
            <w:pPr>
              <w:spacing w:before="60" w:after="60"/>
              <w:jc w:val="both"/>
              <w:rPr>
                <w:rFonts w:ascii="Arial" w:hAnsi="Arial" w:cs="Arial"/>
                <w:u w:val="single"/>
              </w:rPr>
            </w:pPr>
            <w:r w:rsidRPr="003B3464">
              <w:rPr>
                <w:rFonts w:ascii="Arial" w:hAnsi="Arial" w:cs="Arial"/>
              </w:rPr>
              <w:t xml:space="preserve">800 </w:t>
            </w:r>
          </w:p>
        </w:tc>
      </w:tr>
    </w:tbl>
    <w:p w:rsidR="008D1D23" w:rsidRDefault="008D1D23" w:rsidP="000D29F5">
      <w:pPr>
        <w:spacing w:before="60" w:after="60"/>
        <w:jc w:val="both"/>
        <w:rPr>
          <w:rFonts w:ascii="Arial" w:hAnsi="Arial" w:cs="Arial"/>
          <w:u w:val="single"/>
        </w:rPr>
      </w:pPr>
    </w:p>
    <w:p w:rsidR="00FD0AAB" w:rsidRPr="003B3464" w:rsidRDefault="00FD0AAB" w:rsidP="000D29F5">
      <w:pPr>
        <w:spacing w:before="60" w:after="60"/>
        <w:jc w:val="both"/>
        <w:rPr>
          <w:rFonts w:ascii="Arial" w:hAnsi="Arial" w:cs="Arial"/>
          <w:u w:val="single"/>
        </w:rPr>
      </w:pPr>
      <w:r w:rsidRPr="003B3464">
        <w:rPr>
          <w:rFonts w:ascii="Arial" w:hAnsi="Arial" w:cs="Arial"/>
          <w:u w:val="single"/>
        </w:rPr>
        <w:t>Srovnání se současným stavem v České republice a v zahraničí – uvedeno v části 1</w:t>
      </w:r>
      <w:r w:rsidR="00861779">
        <w:rPr>
          <w:rFonts w:ascii="Arial" w:hAnsi="Arial" w:cs="Arial"/>
          <w:u w:val="single"/>
        </w:rPr>
        <w:t>8</w:t>
      </w:r>
      <w:r w:rsidR="00937305">
        <w:rPr>
          <w:rFonts w:ascii="Arial" w:hAnsi="Arial" w:cs="Arial"/>
          <w:u w:val="single"/>
        </w:rPr>
        <w:t>. </w:t>
      </w:r>
      <w:r w:rsidRPr="003B3464">
        <w:rPr>
          <w:rFonts w:ascii="Arial" w:hAnsi="Arial" w:cs="Arial"/>
          <w:u w:val="single"/>
        </w:rPr>
        <w:t>návrhu Programu.</w:t>
      </w:r>
    </w:p>
    <w:p w:rsidR="00FD0AAB" w:rsidRDefault="00861779" w:rsidP="000D29F5">
      <w:pPr>
        <w:spacing w:before="60" w:after="60"/>
        <w:jc w:val="both"/>
        <w:rPr>
          <w:rFonts w:ascii="Arial" w:hAnsi="Arial" w:cs="Arial"/>
        </w:rPr>
      </w:pPr>
      <w:r>
        <w:rPr>
          <w:rFonts w:ascii="Arial" w:hAnsi="Arial" w:cs="Arial"/>
        </w:rPr>
        <w:t>Materiál uvádí</w:t>
      </w:r>
      <w:r w:rsidRPr="00861779">
        <w:rPr>
          <w:rFonts w:ascii="Arial" w:hAnsi="Arial" w:cs="Arial"/>
        </w:rPr>
        <w:t xml:space="preserve"> několik programů veřejného financování zaměřených na podporu transformace energetického sektoru</w:t>
      </w:r>
      <w:r>
        <w:rPr>
          <w:rFonts w:ascii="Arial" w:hAnsi="Arial" w:cs="Arial"/>
        </w:rPr>
        <w:t xml:space="preserve"> a</w:t>
      </w:r>
      <w:r w:rsidRPr="00861779">
        <w:rPr>
          <w:rFonts w:ascii="Arial" w:hAnsi="Arial" w:cs="Arial"/>
        </w:rPr>
        <w:t xml:space="preserve"> jejich </w:t>
      </w:r>
      <w:proofErr w:type="spellStart"/>
      <w:r w:rsidRPr="00861779">
        <w:rPr>
          <w:rFonts w:ascii="Arial" w:hAnsi="Arial" w:cs="Arial"/>
        </w:rPr>
        <w:t>provazby</w:t>
      </w:r>
      <w:proofErr w:type="spellEnd"/>
      <w:r w:rsidR="00937305">
        <w:rPr>
          <w:rFonts w:ascii="Arial" w:hAnsi="Arial" w:cs="Arial"/>
        </w:rPr>
        <w:t xml:space="preserve"> a také zhodnocení praxe v </w:t>
      </w:r>
      <w:r w:rsidRPr="00861779">
        <w:rPr>
          <w:rFonts w:ascii="Arial" w:hAnsi="Arial" w:cs="Arial"/>
        </w:rPr>
        <w:t>zahraničí. Jedná se však pouze o kontextuální informaci</w:t>
      </w:r>
      <w:r w:rsidR="00FD0AAB" w:rsidRPr="00321512">
        <w:rPr>
          <w:rFonts w:ascii="Arial" w:hAnsi="Arial" w:cs="Arial"/>
        </w:rPr>
        <w:t>.</w:t>
      </w:r>
    </w:p>
    <w:p w:rsidR="00861779" w:rsidRDefault="00FD0AAB" w:rsidP="000D29F5">
      <w:pPr>
        <w:spacing w:before="60" w:after="60"/>
        <w:jc w:val="both"/>
        <w:rPr>
          <w:rFonts w:ascii="Arial" w:hAnsi="Arial" w:cs="Arial"/>
        </w:rPr>
      </w:pPr>
      <w:r w:rsidRPr="001B2F84">
        <w:rPr>
          <w:rFonts w:ascii="Arial" w:hAnsi="Arial" w:cs="Arial"/>
          <w:szCs w:val="22"/>
          <w:u w:val="single"/>
        </w:rPr>
        <w:t>Očekávané výsledky a přínosy programu</w:t>
      </w:r>
      <w:bookmarkStart w:id="0" w:name="OLE_LINK4"/>
      <w:bookmarkStart w:id="1" w:name="OLE_LINK5"/>
      <w:r w:rsidRPr="001B2F84">
        <w:rPr>
          <w:rFonts w:ascii="Arial" w:hAnsi="Arial" w:cs="Arial"/>
          <w:szCs w:val="22"/>
          <w:u w:val="single"/>
        </w:rPr>
        <w:t xml:space="preserve"> –</w:t>
      </w:r>
      <w:r w:rsidR="00861779">
        <w:rPr>
          <w:rFonts w:ascii="Arial" w:hAnsi="Arial" w:cs="Arial"/>
          <w:szCs w:val="22"/>
          <w:u w:val="single"/>
        </w:rPr>
        <w:t xml:space="preserve"> uvedeno v části 10. návrhu Programu.</w:t>
      </w:r>
      <w:r w:rsidRPr="001B2F84">
        <w:rPr>
          <w:rFonts w:ascii="Arial" w:hAnsi="Arial" w:cs="Arial"/>
          <w:szCs w:val="22"/>
          <w:u w:val="single"/>
        </w:rPr>
        <w:t xml:space="preserve"> </w:t>
      </w:r>
      <w:r w:rsidR="00861779" w:rsidRPr="00861779">
        <w:rPr>
          <w:rFonts w:ascii="Arial" w:hAnsi="Arial" w:cs="Arial"/>
          <w:szCs w:val="22"/>
        </w:rPr>
        <w:t>Budou p</w:t>
      </w:r>
      <w:r w:rsidR="00861779" w:rsidRPr="00861779">
        <w:rPr>
          <w:rFonts w:ascii="Arial" w:hAnsi="Arial" w:cs="Arial"/>
        </w:rPr>
        <w:t>odporovány zejména projekty, u kterých se odůvodněně předpokládá dosažení využitelných výstupů, včetně publikačních, jejichž aplikace přispěje k plnění stanovených cílů programu a k pozitivním společenským dopadům.</w:t>
      </w:r>
    </w:p>
    <w:p w:rsidR="00861779" w:rsidRPr="00861779" w:rsidRDefault="00861779" w:rsidP="00861779">
      <w:pPr>
        <w:spacing w:before="60" w:after="60"/>
        <w:jc w:val="both"/>
        <w:rPr>
          <w:rFonts w:ascii="Arial" w:hAnsi="Arial" w:cs="Arial"/>
        </w:rPr>
      </w:pPr>
      <w:r w:rsidRPr="00861779">
        <w:rPr>
          <w:rFonts w:ascii="Arial" w:hAnsi="Arial" w:cs="Arial"/>
        </w:rPr>
        <w:t xml:space="preserve">Mezi očekávané přínosy </w:t>
      </w:r>
      <w:r w:rsidR="00093D79">
        <w:rPr>
          <w:rFonts w:ascii="Arial" w:hAnsi="Arial" w:cs="Arial"/>
        </w:rPr>
        <w:t>P</w:t>
      </w:r>
      <w:r w:rsidRPr="00861779">
        <w:rPr>
          <w:rFonts w:ascii="Arial" w:hAnsi="Arial" w:cs="Arial"/>
        </w:rPr>
        <w:t xml:space="preserve">rogramu patří přispění k řešení výzev a potřeb společnosti a hospodářství v oblasti energetiky. Přínosy </w:t>
      </w:r>
      <w:r w:rsidR="00093D79">
        <w:rPr>
          <w:rFonts w:ascii="Arial" w:hAnsi="Arial" w:cs="Arial"/>
        </w:rPr>
        <w:t xml:space="preserve">jsou </w:t>
      </w:r>
      <w:r w:rsidRPr="00861779">
        <w:rPr>
          <w:rFonts w:ascii="Arial" w:hAnsi="Arial" w:cs="Arial"/>
        </w:rPr>
        <w:t>rozděl</w:t>
      </w:r>
      <w:r w:rsidR="00093D79">
        <w:rPr>
          <w:rFonts w:ascii="Arial" w:hAnsi="Arial" w:cs="Arial"/>
        </w:rPr>
        <w:t>eny</w:t>
      </w:r>
      <w:r w:rsidRPr="00861779">
        <w:rPr>
          <w:rFonts w:ascii="Arial" w:hAnsi="Arial" w:cs="Arial"/>
        </w:rPr>
        <w:t xml:space="preserve"> do dvou oblastí, kt</w:t>
      </w:r>
      <w:r w:rsidR="00093D79">
        <w:rPr>
          <w:rFonts w:ascii="Arial" w:hAnsi="Arial" w:cs="Arial"/>
        </w:rPr>
        <w:t>eré realizace programu ovlivní:</w:t>
      </w:r>
    </w:p>
    <w:p w:rsidR="00861779" w:rsidRPr="00861779" w:rsidRDefault="00861779" w:rsidP="00861779">
      <w:pPr>
        <w:spacing w:before="60" w:after="60"/>
        <w:jc w:val="both"/>
        <w:rPr>
          <w:rFonts w:ascii="Arial" w:hAnsi="Arial" w:cs="Arial"/>
        </w:rPr>
      </w:pPr>
      <w:r w:rsidRPr="00861779">
        <w:rPr>
          <w:rFonts w:ascii="Arial" w:hAnsi="Arial" w:cs="Arial"/>
          <w:b/>
          <w:bCs/>
        </w:rPr>
        <w:t xml:space="preserve">Za ekonomické dopady </w:t>
      </w:r>
      <w:r w:rsidRPr="00861779">
        <w:rPr>
          <w:rFonts w:ascii="Arial" w:hAnsi="Arial" w:cs="Arial"/>
        </w:rPr>
        <w:t xml:space="preserve">se považuje rozvoj technologií a postupů a s tím spojené dopady jako zvýšení tržeb a ziskovosti, produktivity práce a vývozu firem. Tyto dopady mohou přinést zvýšení efektivnosti a využitelnosti získané energie. Kromě toho lze očekávat i zefektivnění technologických postupů nebo například růst počtu českých účastníků </w:t>
      </w:r>
      <w:r w:rsidR="00093D79">
        <w:rPr>
          <w:rFonts w:ascii="Arial" w:hAnsi="Arial" w:cs="Arial"/>
        </w:rPr>
        <w:t>v nástrojích unijních programů.</w:t>
      </w:r>
    </w:p>
    <w:p w:rsidR="00861779" w:rsidRPr="00861779" w:rsidRDefault="00861779" w:rsidP="00861779">
      <w:pPr>
        <w:spacing w:before="60" w:after="60"/>
        <w:jc w:val="both"/>
        <w:rPr>
          <w:rFonts w:ascii="Arial" w:hAnsi="Arial" w:cs="Arial"/>
        </w:rPr>
      </w:pPr>
      <w:r w:rsidRPr="00861779">
        <w:rPr>
          <w:rFonts w:ascii="Arial" w:hAnsi="Arial" w:cs="Arial"/>
          <w:b/>
          <w:bCs/>
        </w:rPr>
        <w:t xml:space="preserve">Za společenské dopady </w:t>
      </w:r>
      <w:r w:rsidRPr="00861779">
        <w:rPr>
          <w:rFonts w:ascii="Arial" w:hAnsi="Arial" w:cs="Arial"/>
        </w:rPr>
        <w:t>se považuje zvýšení kval</w:t>
      </w:r>
      <w:r w:rsidR="00937305">
        <w:rPr>
          <w:rFonts w:ascii="Arial" w:hAnsi="Arial" w:cs="Arial"/>
        </w:rPr>
        <w:t>ity života ve společnosti např. </w:t>
      </w:r>
      <w:r w:rsidRPr="00861779">
        <w:rPr>
          <w:rFonts w:ascii="Arial" w:hAnsi="Arial" w:cs="Arial"/>
        </w:rPr>
        <w:t>formou zkvalitnění a zefektivnění služeb v oblasti en</w:t>
      </w:r>
      <w:r w:rsidR="00937305">
        <w:rPr>
          <w:rFonts w:ascii="Arial" w:hAnsi="Arial" w:cs="Arial"/>
        </w:rPr>
        <w:t xml:space="preserve">ergetiky či snadnější </w:t>
      </w:r>
      <w:r w:rsidR="00937305">
        <w:rPr>
          <w:rFonts w:ascii="Arial" w:hAnsi="Arial" w:cs="Arial"/>
        </w:rPr>
        <w:lastRenderedPageBreak/>
        <w:t>přístup k </w:t>
      </w:r>
      <w:r w:rsidRPr="00861779">
        <w:rPr>
          <w:rFonts w:ascii="Arial" w:hAnsi="Arial" w:cs="Arial"/>
        </w:rPr>
        <w:t xml:space="preserve">novým technologiím formou otevřeného přístupu k </w:t>
      </w:r>
      <w:proofErr w:type="spellStart"/>
      <w:r w:rsidRPr="00861779">
        <w:rPr>
          <w:rFonts w:ascii="Arial" w:hAnsi="Arial" w:cs="Arial"/>
        </w:rPr>
        <w:t>VaVaI</w:t>
      </w:r>
      <w:proofErr w:type="spellEnd"/>
      <w:r w:rsidRPr="00861779">
        <w:rPr>
          <w:rFonts w:ascii="Arial" w:hAnsi="Arial" w:cs="Arial"/>
        </w:rPr>
        <w:t xml:space="preserve">. Dále se předpokládá široké využití technologií díky jejich transferu a zpřístupnění odborníkům i veřejnosti. </w:t>
      </w:r>
    </w:p>
    <w:p w:rsidR="00861779" w:rsidRDefault="00861779" w:rsidP="00861779">
      <w:pPr>
        <w:spacing w:before="60" w:after="60"/>
        <w:jc w:val="both"/>
        <w:rPr>
          <w:rFonts w:ascii="Arial" w:hAnsi="Arial" w:cs="Arial"/>
        </w:rPr>
      </w:pPr>
      <w:r w:rsidRPr="00861779">
        <w:rPr>
          <w:rFonts w:ascii="Arial" w:hAnsi="Arial" w:cs="Arial"/>
        </w:rPr>
        <w:t>U spolupracujících výzkumných organizací se přínosy programu projeví například ve zvýšení počtu jejich výsledků aplikovaných v praxi, v počtu komercializovaných patentů a nárůstu jejich komercializačního potenciálu (v tuzemsku i zahraničí).</w:t>
      </w:r>
    </w:p>
    <w:p w:rsidR="00144453" w:rsidRDefault="00144453" w:rsidP="00861779">
      <w:pPr>
        <w:spacing w:before="60" w:after="60"/>
        <w:jc w:val="both"/>
        <w:rPr>
          <w:rFonts w:ascii="Arial" w:hAnsi="Arial" w:cs="Arial"/>
        </w:rPr>
      </w:pPr>
    </w:p>
    <w:bookmarkEnd w:id="0"/>
    <w:bookmarkEnd w:id="1"/>
    <w:p w:rsidR="001B2F84" w:rsidRDefault="001B2F84" w:rsidP="00F32836">
      <w:pPr>
        <w:pStyle w:val="Normalodsazen"/>
        <w:numPr>
          <w:ilvl w:val="0"/>
          <w:numId w:val="21"/>
        </w:numPr>
        <w:spacing w:after="120" w:line="240" w:lineRule="auto"/>
        <w:ind w:left="426"/>
        <w:rPr>
          <w:b/>
          <w:color w:val="0070C0"/>
          <w:sz w:val="24"/>
        </w:rPr>
      </w:pPr>
      <w:r w:rsidRPr="0026232B">
        <w:rPr>
          <w:b/>
          <w:color w:val="0070C0"/>
          <w:sz w:val="24"/>
        </w:rPr>
        <w:t>Soulad s</w:t>
      </w:r>
      <w:r>
        <w:rPr>
          <w:b/>
          <w:color w:val="0070C0"/>
          <w:sz w:val="24"/>
        </w:rPr>
        <w:t> Národní politikou výzkumu, vývoje a inovací</w:t>
      </w:r>
      <w:r w:rsidRPr="0026232B">
        <w:rPr>
          <w:b/>
          <w:color w:val="0070C0"/>
          <w:sz w:val="24"/>
        </w:rPr>
        <w:t xml:space="preserve"> </w:t>
      </w:r>
    </w:p>
    <w:p w:rsidR="001B2F84" w:rsidRDefault="00842BF5" w:rsidP="001E1D3D">
      <w:pPr>
        <w:pStyle w:val="Normalodsazen"/>
        <w:spacing w:after="120" w:line="240" w:lineRule="auto"/>
        <w:ind w:firstLine="0"/>
        <w:rPr>
          <w:sz w:val="24"/>
        </w:rPr>
      </w:pPr>
      <w:r w:rsidRPr="000A532A">
        <w:rPr>
          <w:sz w:val="24"/>
        </w:rPr>
        <w:t xml:space="preserve">Program </w:t>
      </w:r>
      <w:r w:rsidR="00093D79" w:rsidRPr="000A532A">
        <w:rPr>
          <w:sz w:val="24"/>
        </w:rPr>
        <w:t xml:space="preserve">deklaruje naplňování cílů </w:t>
      </w:r>
      <w:r w:rsidRPr="000A532A">
        <w:rPr>
          <w:sz w:val="24"/>
        </w:rPr>
        <w:t>Národní politik</w:t>
      </w:r>
      <w:r w:rsidR="00093D79" w:rsidRPr="000A532A">
        <w:rPr>
          <w:sz w:val="24"/>
        </w:rPr>
        <w:t>y</w:t>
      </w:r>
      <w:r w:rsidRPr="000A532A">
        <w:rPr>
          <w:sz w:val="24"/>
        </w:rPr>
        <w:t xml:space="preserve"> výzkumu, vývoje a</w:t>
      </w:r>
      <w:r w:rsidR="00AB5C14" w:rsidRPr="000A532A">
        <w:rPr>
          <w:sz w:val="24"/>
        </w:rPr>
        <w:t xml:space="preserve"> inovací České republiky 2021+</w:t>
      </w:r>
      <w:r w:rsidRPr="000A532A">
        <w:rPr>
          <w:sz w:val="24"/>
        </w:rPr>
        <w:t>,</w:t>
      </w:r>
      <w:r w:rsidR="00093D79" w:rsidRPr="000A532A">
        <w:rPr>
          <w:sz w:val="24"/>
        </w:rPr>
        <w:t xml:space="preserve"> </w:t>
      </w:r>
      <w:r w:rsidR="00AC5906" w:rsidRPr="000A532A">
        <w:rPr>
          <w:sz w:val="24"/>
        </w:rPr>
        <w:t xml:space="preserve">přičemž však </w:t>
      </w:r>
      <w:r w:rsidR="00AA25F0" w:rsidRPr="000A532A">
        <w:rPr>
          <w:sz w:val="24"/>
        </w:rPr>
        <w:t xml:space="preserve">v textu Programu </w:t>
      </w:r>
      <w:r w:rsidR="00AC5906" w:rsidRPr="000A532A">
        <w:rPr>
          <w:sz w:val="24"/>
        </w:rPr>
        <w:t>není blíže specifikováno</w:t>
      </w:r>
      <w:r w:rsidRPr="000A532A">
        <w:rPr>
          <w:sz w:val="24"/>
        </w:rPr>
        <w:t>.</w:t>
      </w:r>
    </w:p>
    <w:p w:rsidR="00144453" w:rsidRPr="005C1991" w:rsidRDefault="00144453" w:rsidP="001E1D3D">
      <w:pPr>
        <w:pStyle w:val="Normalodsazen"/>
        <w:spacing w:after="120" w:line="240" w:lineRule="auto"/>
        <w:ind w:firstLine="0"/>
        <w:rPr>
          <w:sz w:val="24"/>
        </w:rPr>
      </w:pPr>
    </w:p>
    <w:p w:rsidR="00842BF5" w:rsidRDefault="00842BF5" w:rsidP="00F32836">
      <w:pPr>
        <w:pStyle w:val="Normalodsazen"/>
        <w:numPr>
          <w:ilvl w:val="0"/>
          <w:numId w:val="21"/>
        </w:numPr>
        <w:spacing w:after="120" w:line="240" w:lineRule="auto"/>
        <w:ind w:left="426"/>
        <w:rPr>
          <w:b/>
          <w:color w:val="0070C0"/>
          <w:sz w:val="24"/>
        </w:rPr>
      </w:pPr>
      <w:r w:rsidRPr="0026232B">
        <w:rPr>
          <w:b/>
          <w:color w:val="0070C0"/>
          <w:sz w:val="24"/>
        </w:rPr>
        <w:t>Soulad s</w:t>
      </w:r>
      <w:r>
        <w:rPr>
          <w:b/>
          <w:color w:val="0070C0"/>
          <w:sz w:val="24"/>
        </w:rPr>
        <w:t xml:space="preserve"> Národními prioritami orientovaného výzkumu, experimentálního vývoje a inovací</w:t>
      </w:r>
      <w:r w:rsidRPr="0026232B">
        <w:rPr>
          <w:b/>
          <w:color w:val="0070C0"/>
          <w:sz w:val="24"/>
        </w:rPr>
        <w:t xml:space="preserve"> </w:t>
      </w:r>
    </w:p>
    <w:p w:rsidR="00842BF5" w:rsidRDefault="00842BF5" w:rsidP="000D29F5">
      <w:pPr>
        <w:spacing w:after="120"/>
        <w:jc w:val="both"/>
        <w:rPr>
          <w:rFonts w:ascii="Arial" w:hAnsi="Arial" w:cs="Arial"/>
        </w:rPr>
      </w:pPr>
      <w:r w:rsidRPr="000A532A">
        <w:rPr>
          <w:rFonts w:ascii="Arial" w:hAnsi="Arial" w:cs="Arial"/>
        </w:rPr>
        <w:t xml:space="preserve">Svým odborným zaměřením bude Program pokračovat v naplňování Národních priorit orientovaného výzkumu, experimentálního vývoje a inovací, </w:t>
      </w:r>
      <w:r w:rsidR="004B7689" w:rsidRPr="000A532A">
        <w:rPr>
          <w:rFonts w:ascii="Arial" w:hAnsi="Arial" w:cs="Arial"/>
        </w:rPr>
        <w:t xml:space="preserve">zejména v prioritní oblasti </w:t>
      </w:r>
      <w:proofErr w:type="gramStart"/>
      <w:r w:rsidR="004B7689" w:rsidRPr="000A532A">
        <w:rPr>
          <w:rFonts w:ascii="Arial" w:hAnsi="Arial" w:cs="Arial"/>
        </w:rPr>
        <w:t>č. 2 Udržitelnost</w:t>
      </w:r>
      <w:proofErr w:type="gramEnd"/>
      <w:r w:rsidR="004B7689" w:rsidRPr="000A532A">
        <w:rPr>
          <w:rFonts w:ascii="Arial" w:hAnsi="Arial" w:cs="Arial"/>
        </w:rPr>
        <w:t xml:space="preserve"> energetiky a materiálových zdrojů.</w:t>
      </w:r>
      <w:r w:rsidRPr="00842BF5">
        <w:rPr>
          <w:rFonts w:ascii="Arial" w:hAnsi="Arial" w:cs="Arial"/>
        </w:rPr>
        <w:t xml:space="preserve"> </w:t>
      </w:r>
    </w:p>
    <w:p w:rsidR="00144453" w:rsidRDefault="00144453" w:rsidP="000D29F5">
      <w:pPr>
        <w:spacing w:after="120"/>
        <w:jc w:val="both"/>
        <w:rPr>
          <w:rFonts w:ascii="Arial" w:hAnsi="Arial" w:cs="Arial"/>
        </w:rPr>
      </w:pPr>
    </w:p>
    <w:p w:rsidR="00842BF5" w:rsidRDefault="00842BF5" w:rsidP="00F32836">
      <w:pPr>
        <w:pStyle w:val="Normalodsazen"/>
        <w:numPr>
          <w:ilvl w:val="0"/>
          <w:numId w:val="21"/>
        </w:numPr>
        <w:spacing w:after="120" w:line="240" w:lineRule="auto"/>
        <w:ind w:left="426"/>
        <w:rPr>
          <w:b/>
          <w:color w:val="0070C0"/>
          <w:sz w:val="24"/>
        </w:rPr>
      </w:pPr>
      <w:r w:rsidRPr="0026232B">
        <w:rPr>
          <w:b/>
          <w:color w:val="0070C0"/>
          <w:sz w:val="24"/>
        </w:rPr>
        <w:t>Soulad s</w:t>
      </w:r>
      <w:r>
        <w:rPr>
          <w:b/>
          <w:color w:val="0070C0"/>
          <w:sz w:val="24"/>
        </w:rPr>
        <w:t> pravidly pro veřejnou podporu</w:t>
      </w:r>
    </w:p>
    <w:p w:rsidR="005A4E69" w:rsidRPr="00603A32" w:rsidRDefault="005A4E69" w:rsidP="00210B42">
      <w:pPr>
        <w:pStyle w:val="Normalodsazen"/>
        <w:keepNext/>
        <w:spacing w:after="120" w:line="240" w:lineRule="auto"/>
        <w:ind w:firstLine="0"/>
        <w:rPr>
          <w:sz w:val="24"/>
        </w:rPr>
      </w:pPr>
      <w:r w:rsidRPr="00603A32">
        <w:rPr>
          <w:sz w:val="24"/>
        </w:rPr>
        <w:t>Poskytovatel uvádí, že Program bude realizován podle nařízení Komise a Rámce.</w:t>
      </w:r>
    </w:p>
    <w:p w:rsidR="005A4E69" w:rsidRDefault="0057505C" w:rsidP="00210B42">
      <w:pPr>
        <w:pStyle w:val="Normalodsazen"/>
        <w:keepNext/>
        <w:spacing w:after="120" w:line="240" w:lineRule="auto"/>
        <w:ind w:firstLine="0"/>
        <w:rPr>
          <w:sz w:val="24"/>
        </w:rPr>
      </w:pPr>
      <w:r>
        <w:rPr>
          <w:sz w:val="24"/>
        </w:rPr>
        <w:t>Uvádí se, že p</w:t>
      </w:r>
      <w:r w:rsidRPr="0057505C">
        <w:rPr>
          <w:sz w:val="24"/>
        </w:rPr>
        <w:t>okud podnik obdrží v programu veřejnou podporu vyšší než 500 tis. EUR, budou zveřejněny informace o příjemci a jemu poskytnuté podpoře (v rozsahu dle přílohy III Nařízení) na centrální webové stránce ve smyslu čl. 9 Nařízení.</w:t>
      </w:r>
    </w:p>
    <w:p w:rsidR="00144453" w:rsidRPr="00603A32" w:rsidRDefault="00144453" w:rsidP="00210B42">
      <w:pPr>
        <w:pStyle w:val="Normalodsazen"/>
        <w:keepNext/>
        <w:spacing w:after="120" w:line="240" w:lineRule="auto"/>
        <w:ind w:firstLine="0"/>
        <w:rPr>
          <w:sz w:val="24"/>
        </w:rPr>
      </w:pPr>
    </w:p>
    <w:p w:rsidR="00842BF5" w:rsidRDefault="00603A32" w:rsidP="00F32836">
      <w:pPr>
        <w:pStyle w:val="Normalodsazen"/>
        <w:numPr>
          <w:ilvl w:val="0"/>
          <w:numId w:val="21"/>
        </w:numPr>
        <w:spacing w:after="120" w:line="240" w:lineRule="auto"/>
        <w:ind w:left="426"/>
        <w:rPr>
          <w:b/>
          <w:color w:val="0070C0"/>
          <w:sz w:val="24"/>
        </w:rPr>
      </w:pPr>
      <w:r w:rsidRPr="00603A32">
        <w:rPr>
          <w:b/>
          <w:color w:val="0070C0"/>
          <w:sz w:val="24"/>
        </w:rPr>
        <w:t>Souhrnné a věcné zhodnocení materiálu Radou</w:t>
      </w:r>
    </w:p>
    <w:p w:rsidR="00603DDE" w:rsidRDefault="00603A32" w:rsidP="002655F9">
      <w:pPr>
        <w:autoSpaceDE w:val="0"/>
        <w:autoSpaceDN w:val="0"/>
        <w:adjustRightInd w:val="0"/>
        <w:spacing w:after="240"/>
        <w:jc w:val="both"/>
        <w:rPr>
          <w:rFonts w:ascii="Arial" w:eastAsiaTheme="minorHAnsi" w:hAnsi="Arial" w:cs="Arial"/>
          <w:lang w:eastAsia="en-US"/>
        </w:rPr>
      </w:pPr>
      <w:r w:rsidRPr="002944D7">
        <w:rPr>
          <w:rFonts w:ascii="Arial" w:hAnsi="Arial" w:cs="Arial"/>
        </w:rPr>
        <w:t xml:space="preserve">Program </w:t>
      </w:r>
      <w:r w:rsidR="0057505C">
        <w:rPr>
          <w:rFonts w:ascii="Arial" w:hAnsi="Arial" w:cs="Arial"/>
        </w:rPr>
        <w:t xml:space="preserve">je </w:t>
      </w:r>
      <w:r w:rsidR="0057505C" w:rsidRPr="0057505C">
        <w:rPr>
          <w:rFonts w:ascii="Arial" w:hAnsi="Arial" w:cs="Arial"/>
        </w:rPr>
        <w:t>orientovaný na podporu aplikovaného výzkumu a inovací v energetice, který bezprostředně navazuje na program THÉTA. Zaměření programu je, stejně jako u předcházejícího programu, poměrně široké a postihuje všechny oblasti nakládání se všemi relevantními druhy energie v příslušných sektorech</w:t>
      </w:r>
      <w:r w:rsidR="0057505C">
        <w:rPr>
          <w:rFonts w:ascii="Arial" w:hAnsi="Arial" w:cs="Arial"/>
        </w:rPr>
        <w:t xml:space="preserve">. </w:t>
      </w:r>
      <w:r w:rsidR="0057505C" w:rsidRPr="0057505C">
        <w:rPr>
          <w:rFonts w:ascii="Arial" w:hAnsi="Arial" w:cs="Arial"/>
        </w:rPr>
        <w:t xml:space="preserve">Zaměření programu </w:t>
      </w:r>
      <w:r w:rsidR="0057505C">
        <w:rPr>
          <w:rFonts w:ascii="Arial" w:hAnsi="Arial" w:cs="Arial"/>
        </w:rPr>
        <w:t>j</w:t>
      </w:r>
      <w:r w:rsidR="00E400DF">
        <w:rPr>
          <w:rFonts w:ascii="Arial" w:hAnsi="Arial" w:cs="Arial"/>
        </w:rPr>
        <w:t>e</w:t>
      </w:r>
      <w:r w:rsidR="0057505C">
        <w:rPr>
          <w:rFonts w:ascii="Arial" w:hAnsi="Arial" w:cs="Arial"/>
        </w:rPr>
        <w:t xml:space="preserve"> motivováno</w:t>
      </w:r>
      <w:r w:rsidR="0057505C" w:rsidRPr="0057505C">
        <w:rPr>
          <w:rFonts w:ascii="Arial" w:hAnsi="Arial" w:cs="Arial"/>
        </w:rPr>
        <w:t xml:space="preserve"> potřebou </w:t>
      </w:r>
      <w:r w:rsidR="0057505C">
        <w:rPr>
          <w:rFonts w:ascii="Arial" w:hAnsi="Arial" w:cs="Arial"/>
        </w:rPr>
        <w:t>zásadní</w:t>
      </w:r>
      <w:r w:rsidR="0057505C" w:rsidRPr="0057505C">
        <w:rPr>
          <w:rFonts w:ascii="Arial" w:hAnsi="Arial" w:cs="Arial"/>
        </w:rPr>
        <w:t xml:space="preserve"> transformace energetiky, která proběhne v příštích letech</w:t>
      </w:r>
      <w:r w:rsidR="0057505C">
        <w:rPr>
          <w:rFonts w:ascii="Arial" w:hAnsi="Arial" w:cs="Arial"/>
        </w:rPr>
        <w:t xml:space="preserve">, kdy by </w:t>
      </w:r>
      <w:r w:rsidR="0057505C" w:rsidRPr="0057505C">
        <w:rPr>
          <w:rFonts w:ascii="Arial" w:hAnsi="Arial" w:cs="Arial"/>
        </w:rPr>
        <w:t>mělo dojít k relativně významnému sníž</w:t>
      </w:r>
      <w:r w:rsidR="00937305">
        <w:rPr>
          <w:rFonts w:ascii="Arial" w:hAnsi="Arial" w:cs="Arial"/>
        </w:rPr>
        <w:t>ení emisí skleníkových plynů, a </w:t>
      </w:r>
      <w:r w:rsidR="0057505C">
        <w:rPr>
          <w:rFonts w:ascii="Arial" w:hAnsi="Arial" w:cs="Arial"/>
        </w:rPr>
        <w:t xml:space="preserve">v delším </w:t>
      </w:r>
      <w:r w:rsidR="0057505C" w:rsidRPr="0057505C">
        <w:rPr>
          <w:rFonts w:ascii="Arial" w:hAnsi="Arial" w:cs="Arial"/>
        </w:rPr>
        <w:t>horizont</w:t>
      </w:r>
      <w:r w:rsidR="00C46A7C">
        <w:rPr>
          <w:rFonts w:ascii="Arial" w:hAnsi="Arial" w:cs="Arial"/>
        </w:rPr>
        <w:t>u</w:t>
      </w:r>
      <w:r w:rsidR="0057505C" w:rsidRPr="0057505C">
        <w:rPr>
          <w:rFonts w:ascii="Arial" w:hAnsi="Arial" w:cs="Arial"/>
        </w:rPr>
        <w:t xml:space="preserve"> by mělo být na úrovni EU dosaženo klimatické neutrality. </w:t>
      </w:r>
      <w:r w:rsidR="002944D7" w:rsidRPr="009A0BD1">
        <w:rPr>
          <w:rFonts w:ascii="Arial" w:hAnsi="Arial" w:cs="Arial"/>
        </w:rPr>
        <w:t>P</w:t>
      </w:r>
      <w:r w:rsidR="000C6F80" w:rsidRPr="009A0BD1">
        <w:rPr>
          <w:rFonts w:ascii="Arial" w:hAnsi="Arial" w:cs="Arial"/>
        </w:rPr>
        <w:t xml:space="preserve">ředchází mu dosud neukončený </w:t>
      </w:r>
      <w:r w:rsidR="009A0BD1" w:rsidRPr="009A0BD1">
        <w:rPr>
          <w:rFonts w:ascii="Arial" w:hAnsi="Arial" w:cs="Arial"/>
        </w:rPr>
        <w:t>Program na podporu aplikovaného výzkumu, experimentálního vývoje a inovací THÉTA</w:t>
      </w:r>
      <w:r w:rsidR="000C6F80" w:rsidRPr="009A0BD1">
        <w:rPr>
          <w:rFonts w:ascii="Arial" w:eastAsiaTheme="minorHAnsi" w:hAnsi="Arial" w:cs="Arial"/>
          <w:lang w:eastAsia="en-US"/>
        </w:rPr>
        <w:t>, který byl sc</w:t>
      </w:r>
      <w:r w:rsidR="009A0BD1">
        <w:rPr>
          <w:rFonts w:ascii="Arial" w:eastAsiaTheme="minorHAnsi" w:hAnsi="Arial" w:cs="Arial"/>
          <w:lang w:eastAsia="en-US"/>
        </w:rPr>
        <w:t>hválen usnesením vlády č. 1173</w:t>
      </w:r>
      <w:r w:rsidR="002944D7" w:rsidRPr="009A0BD1">
        <w:rPr>
          <w:rFonts w:ascii="Arial" w:eastAsiaTheme="minorHAnsi" w:hAnsi="Arial" w:cs="Arial"/>
          <w:lang w:eastAsia="en-US"/>
        </w:rPr>
        <w:t xml:space="preserve"> ze dne </w:t>
      </w:r>
      <w:r w:rsidR="009A0BD1">
        <w:rPr>
          <w:rFonts w:ascii="Arial" w:eastAsiaTheme="minorHAnsi" w:hAnsi="Arial" w:cs="Arial"/>
          <w:lang w:eastAsia="en-US"/>
        </w:rPr>
        <w:t>19</w:t>
      </w:r>
      <w:r w:rsidR="00937305">
        <w:rPr>
          <w:rFonts w:ascii="Arial" w:eastAsiaTheme="minorHAnsi" w:hAnsi="Arial" w:cs="Arial"/>
          <w:lang w:eastAsia="en-US"/>
        </w:rPr>
        <w:t>. </w:t>
      </w:r>
      <w:r w:rsidR="009A0BD1">
        <w:rPr>
          <w:rFonts w:ascii="Arial" w:eastAsiaTheme="minorHAnsi" w:hAnsi="Arial" w:cs="Arial"/>
          <w:lang w:eastAsia="en-US"/>
        </w:rPr>
        <w:t>prosince</w:t>
      </w:r>
      <w:r w:rsidR="002944D7" w:rsidRPr="009A0BD1">
        <w:rPr>
          <w:rFonts w:ascii="Arial" w:eastAsiaTheme="minorHAnsi" w:hAnsi="Arial" w:cs="Arial"/>
          <w:lang w:eastAsia="en-US"/>
        </w:rPr>
        <w:t xml:space="preserve"> 20</w:t>
      </w:r>
      <w:r w:rsidR="009A0BD1">
        <w:rPr>
          <w:rFonts w:ascii="Arial" w:eastAsiaTheme="minorHAnsi" w:hAnsi="Arial" w:cs="Arial"/>
          <w:lang w:eastAsia="en-US"/>
        </w:rPr>
        <w:t>16</w:t>
      </w:r>
      <w:r w:rsidR="002944D7" w:rsidRPr="009A0BD1">
        <w:rPr>
          <w:rFonts w:ascii="Arial" w:eastAsiaTheme="minorHAnsi" w:hAnsi="Arial" w:cs="Arial"/>
          <w:lang w:eastAsia="en-US"/>
        </w:rPr>
        <w:t>.</w:t>
      </w:r>
    </w:p>
    <w:p w:rsidR="002D1D4B" w:rsidRPr="00C1204D" w:rsidRDefault="002944D7" w:rsidP="002655F9">
      <w:pPr>
        <w:autoSpaceDE w:val="0"/>
        <w:autoSpaceDN w:val="0"/>
        <w:adjustRightInd w:val="0"/>
        <w:spacing w:after="240"/>
        <w:jc w:val="both"/>
        <w:rPr>
          <w:rFonts w:ascii="Arial" w:eastAsiaTheme="minorHAnsi" w:hAnsi="Arial" w:cs="Arial"/>
          <w:lang w:eastAsia="en-US"/>
        </w:rPr>
      </w:pPr>
      <w:r w:rsidRPr="00C1204D">
        <w:rPr>
          <w:rFonts w:ascii="Arial" w:eastAsiaTheme="minorHAnsi" w:hAnsi="Arial" w:cs="Arial"/>
          <w:lang w:eastAsia="en-US"/>
        </w:rPr>
        <w:t xml:space="preserve">Program </w:t>
      </w:r>
      <w:r w:rsidR="00975206" w:rsidRPr="00C1204D">
        <w:rPr>
          <w:rFonts w:ascii="Arial" w:eastAsiaTheme="minorHAnsi" w:hAnsi="Arial" w:cs="Arial"/>
          <w:lang w:eastAsia="en-US"/>
        </w:rPr>
        <w:t xml:space="preserve">primárně navazuje na </w:t>
      </w:r>
      <w:r w:rsidR="00975206" w:rsidRPr="00C1204D">
        <w:rPr>
          <w:rFonts w:ascii="Arial" w:eastAsiaTheme="minorHAnsi" w:hAnsi="Arial" w:cs="Arial"/>
          <w:bCs/>
          <w:lang w:eastAsia="en-US"/>
        </w:rPr>
        <w:t>Státní energetickou koncepci ČR</w:t>
      </w:r>
      <w:r w:rsidR="00975206" w:rsidRPr="00C1204D">
        <w:rPr>
          <w:rFonts w:ascii="Arial" w:eastAsiaTheme="minorHAnsi" w:hAnsi="Arial" w:cs="Arial"/>
          <w:lang w:eastAsia="en-US"/>
        </w:rPr>
        <w:t xml:space="preserve">, která stanovuje priority a strategické záměry státu v sektoru energetiky a opatření, jak těchto cílů dosáhnout. Jednou ze strategických priorit této koncepce je výzkum, vývoj a inovace. Na tuto primární koncepci potom navazuje řada akčních plánů stanovujících podmínky rozvoje konkrétních oblastí. Jedná se např. o </w:t>
      </w:r>
      <w:r w:rsidR="00975206" w:rsidRPr="00C1204D">
        <w:rPr>
          <w:rFonts w:ascii="Arial" w:eastAsiaTheme="minorHAnsi" w:hAnsi="Arial" w:cs="Arial"/>
          <w:bCs/>
          <w:lang w:eastAsia="en-US"/>
        </w:rPr>
        <w:t>Národní akční plán pro chytré sítě, Národní akční plán pro čistou mobilitu, Národní akčn</w:t>
      </w:r>
      <w:r w:rsidR="00F25AFC">
        <w:rPr>
          <w:rFonts w:ascii="Arial" w:eastAsiaTheme="minorHAnsi" w:hAnsi="Arial" w:cs="Arial"/>
          <w:bCs/>
          <w:lang w:eastAsia="en-US"/>
        </w:rPr>
        <w:t>í plán energetické účinnosti či </w:t>
      </w:r>
      <w:r w:rsidR="00975206" w:rsidRPr="00C1204D">
        <w:rPr>
          <w:rFonts w:ascii="Arial" w:eastAsiaTheme="minorHAnsi" w:hAnsi="Arial" w:cs="Arial"/>
          <w:bCs/>
          <w:lang w:eastAsia="en-US"/>
        </w:rPr>
        <w:t>Národní akční plán rozvoje jaderné energetiky v ČR</w:t>
      </w:r>
      <w:r w:rsidRPr="00C1204D">
        <w:rPr>
          <w:rFonts w:ascii="Arial" w:eastAsiaTheme="minorHAnsi" w:hAnsi="Arial" w:cs="Arial"/>
          <w:lang w:eastAsia="en-US"/>
        </w:rPr>
        <w:t>.</w:t>
      </w:r>
    </w:p>
    <w:p w:rsidR="00371036" w:rsidRPr="00371036" w:rsidRDefault="00536DA1" w:rsidP="001E1D3D">
      <w:pPr>
        <w:spacing w:after="120"/>
        <w:jc w:val="both"/>
        <w:rPr>
          <w:rFonts w:ascii="Arial" w:hAnsi="Arial" w:cs="Arial"/>
          <w:bCs/>
          <w:highlight w:val="yellow"/>
        </w:rPr>
      </w:pPr>
      <w:r w:rsidRPr="00371036">
        <w:rPr>
          <w:rFonts w:ascii="Arial" w:eastAsiaTheme="minorHAnsi" w:hAnsi="Arial" w:cs="Arial"/>
          <w:lang w:eastAsia="en-US"/>
        </w:rPr>
        <w:lastRenderedPageBreak/>
        <w:t xml:space="preserve">Návrh předpokládá realizaci nejméně </w:t>
      </w:r>
      <w:r w:rsidR="00C1204D">
        <w:rPr>
          <w:rFonts w:ascii="Arial" w:eastAsiaTheme="minorHAnsi" w:hAnsi="Arial" w:cs="Arial"/>
          <w:lang w:eastAsia="en-US"/>
        </w:rPr>
        <w:t>550</w:t>
      </w:r>
      <w:r w:rsidRPr="00371036">
        <w:rPr>
          <w:rFonts w:ascii="Arial" w:eastAsiaTheme="minorHAnsi" w:hAnsi="Arial" w:cs="Arial"/>
          <w:lang w:eastAsia="en-US"/>
        </w:rPr>
        <w:t xml:space="preserve"> projektů, ze kterých bude nejméně </w:t>
      </w:r>
      <w:r w:rsidR="00C1204D">
        <w:rPr>
          <w:rFonts w:ascii="Arial" w:eastAsiaTheme="minorHAnsi" w:hAnsi="Arial" w:cs="Arial"/>
          <w:lang w:eastAsia="en-US"/>
        </w:rPr>
        <w:t>80%</w:t>
      </w:r>
      <w:r w:rsidRPr="00371036">
        <w:rPr>
          <w:rFonts w:ascii="Arial" w:eastAsiaTheme="minorHAnsi" w:hAnsi="Arial" w:cs="Arial"/>
          <w:lang w:eastAsia="en-US"/>
        </w:rPr>
        <w:t xml:space="preserve"> úspěšně dokončeno. </w:t>
      </w:r>
      <w:r w:rsidR="00C1204D">
        <w:rPr>
          <w:rFonts w:ascii="Arial" w:eastAsiaTheme="minorHAnsi" w:hAnsi="Arial" w:cs="Arial"/>
          <w:lang w:eastAsia="en-US"/>
        </w:rPr>
        <w:t>M</w:t>
      </w:r>
      <w:r w:rsidRPr="00371036">
        <w:rPr>
          <w:rFonts w:ascii="Arial" w:eastAsiaTheme="minorHAnsi" w:hAnsi="Arial" w:cs="Arial"/>
          <w:lang w:eastAsia="en-US"/>
        </w:rPr>
        <w:t xml:space="preserve">ělo </w:t>
      </w:r>
      <w:r w:rsidR="00C1204D">
        <w:rPr>
          <w:rFonts w:ascii="Arial" w:eastAsiaTheme="minorHAnsi" w:hAnsi="Arial" w:cs="Arial"/>
          <w:lang w:eastAsia="en-US"/>
        </w:rPr>
        <w:t xml:space="preserve">by </w:t>
      </w:r>
      <w:r w:rsidRPr="00371036">
        <w:rPr>
          <w:rFonts w:ascii="Arial" w:eastAsiaTheme="minorHAnsi" w:hAnsi="Arial" w:cs="Arial"/>
          <w:lang w:eastAsia="en-US"/>
        </w:rPr>
        <w:t xml:space="preserve">být </w:t>
      </w:r>
      <w:r w:rsidR="00C1204D">
        <w:rPr>
          <w:rFonts w:ascii="Arial" w:eastAsiaTheme="minorHAnsi" w:hAnsi="Arial" w:cs="Arial"/>
          <w:lang w:eastAsia="en-US"/>
        </w:rPr>
        <w:t>dosaženo nejméně 1 000</w:t>
      </w:r>
      <w:r w:rsidRPr="00371036">
        <w:rPr>
          <w:rFonts w:ascii="Arial" w:eastAsiaTheme="minorHAnsi" w:hAnsi="Arial" w:cs="Arial"/>
          <w:lang w:eastAsia="en-US"/>
        </w:rPr>
        <w:t xml:space="preserve"> </w:t>
      </w:r>
      <w:r w:rsidR="00C1204D">
        <w:rPr>
          <w:rFonts w:ascii="Arial" w:eastAsiaTheme="minorHAnsi" w:hAnsi="Arial" w:cs="Arial"/>
          <w:lang w:eastAsia="en-US"/>
        </w:rPr>
        <w:t>výstupů a 800 aplikovaných výstupů</w:t>
      </w:r>
      <w:r w:rsidRPr="00371036">
        <w:rPr>
          <w:rFonts w:ascii="Arial" w:eastAsiaTheme="minorHAnsi" w:hAnsi="Arial" w:cs="Arial"/>
          <w:lang w:eastAsia="en-US"/>
        </w:rPr>
        <w:t>.</w:t>
      </w:r>
    </w:p>
    <w:p w:rsidR="00371036" w:rsidRDefault="00371036" w:rsidP="001E1D3D">
      <w:pPr>
        <w:spacing w:after="120"/>
        <w:jc w:val="both"/>
        <w:rPr>
          <w:rFonts w:ascii="Arial" w:hAnsi="Arial" w:cs="Arial"/>
          <w:bCs/>
        </w:rPr>
      </w:pPr>
      <w:r w:rsidRPr="00371036">
        <w:rPr>
          <w:rFonts w:ascii="Arial" w:hAnsi="Arial" w:cs="Arial"/>
        </w:rPr>
        <w:t>Návrh Programu byl zpracován v souladu s </w:t>
      </w:r>
      <w:r w:rsidRPr="00371036">
        <w:rPr>
          <w:rFonts w:ascii="Arial" w:hAnsi="Arial" w:cs="Arial"/>
          <w:bCs/>
        </w:rPr>
        <w:t xml:space="preserve">Postupem Rady při hodnocení návrhů programů účelové podpory a skupin grantových projektů, který byl </w:t>
      </w:r>
      <w:r w:rsidR="00937305">
        <w:rPr>
          <w:rFonts w:ascii="Arial" w:hAnsi="Arial" w:cs="Arial"/>
        </w:rPr>
        <w:t>schválen na 351. </w:t>
      </w:r>
      <w:r w:rsidRPr="00371036">
        <w:rPr>
          <w:rFonts w:ascii="Arial" w:hAnsi="Arial" w:cs="Arial"/>
        </w:rPr>
        <w:t>zasedání dne 29. listopadu 2019 a byly do něj zapracovány Základní principy přípravy a hodnocení programů a skupin granto</w:t>
      </w:r>
      <w:r w:rsidR="00937305">
        <w:rPr>
          <w:rFonts w:ascii="Arial" w:hAnsi="Arial" w:cs="Arial"/>
        </w:rPr>
        <w:t>vých projektů výzkumu, vývoje a </w:t>
      </w:r>
      <w:r w:rsidRPr="00371036">
        <w:rPr>
          <w:rFonts w:ascii="Arial" w:hAnsi="Arial" w:cs="Arial"/>
        </w:rPr>
        <w:t xml:space="preserve">inovací, </w:t>
      </w:r>
      <w:r w:rsidRPr="00371036">
        <w:rPr>
          <w:rFonts w:ascii="Arial" w:hAnsi="Arial" w:cs="Arial"/>
          <w:bCs/>
        </w:rPr>
        <w:t xml:space="preserve">schválené usnesením vlády ze dne 13. května 2015 č. 351. </w:t>
      </w:r>
    </w:p>
    <w:p w:rsidR="00F24C5F" w:rsidRPr="00371036" w:rsidRDefault="00F24C5F" w:rsidP="001E1D3D">
      <w:pPr>
        <w:spacing w:after="120"/>
        <w:jc w:val="both"/>
        <w:rPr>
          <w:rFonts w:ascii="Arial" w:hAnsi="Arial" w:cs="Arial"/>
          <w:bCs/>
        </w:rPr>
      </w:pPr>
    </w:p>
    <w:p w:rsidR="00637D93" w:rsidRPr="007E0D92" w:rsidRDefault="00C15553" w:rsidP="00F32836">
      <w:pPr>
        <w:pStyle w:val="Normalodsazen"/>
        <w:numPr>
          <w:ilvl w:val="0"/>
          <w:numId w:val="21"/>
        </w:numPr>
        <w:spacing w:after="120" w:line="240" w:lineRule="auto"/>
        <w:ind w:left="426"/>
        <w:rPr>
          <w:b/>
          <w:color w:val="0070C0"/>
          <w:sz w:val="24"/>
        </w:rPr>
      </w:pPr>
      <w:r w:rsidRPr="007E0D92">
        <w:rPr>
          <w:b/>
          <w:color w:val="0070C0"/>
          <w:sz w:val="24"/>
        </w:rPr>
        <w:t xml:space="preserve">K materiálu </w:t>
      </w:r>
      <w:r w:rsidR="00EC3B82" w:rsidRPr="007E0D92">
        <w:rPr>
          <w:b/>
          <w:color w:val="0070C0"/>
          <w:sz w:val="24"/>
        </w:rPr>
        <w:t>předkládanému</w:t>
      </w:r>
      <w:r w:rsidR="00637D93" w:rsidRPr="007E0D92">
        <w:rPr>
          <w:b/>
          <w:color w:val="0070C0"/>
          <w:sz w:val="24"/>
        </w:rPr>
        <w:t xml:space="preserve"> na jednání vlády</w:t>
      </w:r>
    </w:p>
    <w:p w:rsidR="00C15553" w:rsidRDefault="00C15553" w:rsidP="001E1D3D">
      <w:pPr>
        <w:pStyle w:val="Normalodsazen"/>
        <w:spacing w:after="120" w:line="240" w:lineRule="auto"/>
        <w:ind w:firstLine="0"/>
        <w:rPr>
          <w:sz w:val="24"/>
        </w:rPr>
      </w:pPr>
      <w:r w:rsidRPr="007E0D92">
        <w:rPr>
          <w:sz w:val="24"/>
        </w:rPr>
        <w:t>Předložený návrh programu obsahuje všechny náležitosti, které musí být podle Jednacího řádu součástí materiálu předkládaného na jednání vlády.</w:t>
      </w:r>
    </w:p>
    <w:p w:rsidR="00144453" w:rsidRPr="00637D93" w:rsidRDefault="00144453" w:rsidP="001E1D3D">
      <w:pPr>
        <w:pStyle w:val="Normalodsazen"/>
        <w:spacing w:after="120" w:line="240" w:lineRule="auto"/>
        <w:ind w:firstLine="0"/>
        <w:rPr>
          <w:sz w:val="24"/>
        </w:rPr>
      </w:pPr>
    </w:p>
    <w:p w:rsidR="009B6CEE" w:rsidRDefault="007E0D92" w:rsidP="00F32836">
      <w:pPr>
        <w:pStyle w:val="Normalodsazen"/>
        <w:numPr>
          <w:ilvl w:val="0"/>
          <w:numId w:val="21"/>
        </w:numPr>
        <w:spacing w:after="120" w:line="240" w:lineRule="auto"/>
        <w:ind w:left="426"/>
        <w:rPr>
          <w:b/>
          <w:color w:val="0070C0"/>
          <w:sz w:val="24"/>
        </w:rPr>
      </w:pPr>
      <w:r>
        <w:rPr>
          <w:b/>
          <w:color w:val="0070C0"/>
          <w:sz w:val="24"/>
        </w:rPr>
        <w:t>Vyjádření Komise pro hodnocení výsledků a ukončených programů</w:t>
      </w:r>
    </w:p>
    <w:p w:rsidR="009B6CEE" w:rsidRPr="009B6CEE" w:rsidRDefault="007E6570" w:rsidP="000D29F5">
      <w:pPr>
        <w:pStyle w:val="Normalodsazen"/>
        <w:keepNext/>
        <w:spacing w:after="120" w:line="240" w:lineRule="auto"/>
        <w:ind w:firstLine="0"/>
        <w:rPr>
          <w:rFonts w:eastAsia="Times New Roman"/>
          <w:sz w:val="24"/>
          <w:lang w:eastAsia="cs-CZ"/>
        </w:rPr>
      </w:pPr>
      <w:r w:rsidRPr="007E6570">
        <w:rPr>
          <w:rFonts w:eastAsia="Times New Roman"/>
          <w:sz w:val="24"/>
          <w:lang w:eastAsia="cs-CZ"/>
        </w:rPr>
        <w:lastRenderedPageBreak/>
        <w:t xml:space="preserve">Komise pro hodnocení výsledků a ukončených programů </w:t>
      </w:r>
      <w:r>
        <w:rPr>
          <w:rFonts w:eastAsia="Times New Roman"/>
          <w:sz w:val="24"/>
          <w:lang w:eastAsia="cs-CZ"/>
        </w:rPr>
        <w:t>(dále jen „</w:t>
      </w:r>
      <w:r w:rsidR="009B6CEE" w:rsidRPr="009B6CEE">
        <w:rPr>
          <w:rFonts w:eastAsia="Times New Roman"/>
          <w:sz w:val="24"/>
          <w:lang w:eastAsia="cs-CZ"/>
        </w:rPr>
        <w:t>KHV</w:t>
      </w:r>
      <w:r>
        <w:rPr>
          <w:rFonts w:eastAsia="Times New Roman"/>
          <w:sz w:val="24"/>
          <w:lang w:eastAsia="cs-CZ"/>
        </w:rPr>
        <w:t>“)</w:t>
      </w:r>
      <w:r w:rsidR="009B6CEE" w:rsidRPr="009B6CEE">
        <w:rPr>
          <w:rFonts w:eastAsia="Times New Roman"/>
          <w:sz w:val="24"/>
          <w:lang w:eastAsia="cs-CZ"/>
        </w:rPr>
        <w:t xml:space="preserve"> doporučuje Program schválit ve smyslu připomínek níže:</w:t>
      </w:r>
    </w:p>
    <w:p w:rsidR="000D3143" w:rsidRPr="000D3143" w:rsidRDefault="000D3143" w:rsidP="000D3143">
      <w:pPr>
        <w:pStyle w:val="Normalodsazen"/>
        <w:keepNext/>
        <w:spacing w:after="120" w:line="240" w:lineRule="auto"/>
        <w:ind w:left="426" w:firstLine="0"/>
        <w:rPr>
          <w:rFonts w:eastAsia="Times New Roman"/>
          <w:sz w:val="24"/>
          <w:lang w:eastAsia="cs-CZ"/>
        </w:rPr>
      </w:pPr>
      <w:r w:rsidRPr="000D3143">
        <w:rPr>
          <w:rFonts w:eastAsia="Times New Roman"/>
          <w:sz w:val="24"/>
          <w:lang w:eastAsia="cs-CZ"/>
        </w:rPr>
        <w:t>1.</w:t>
      </w:r>
      <w:r>
        <w:rPr>
          <w:rFonts w:eastAsia="Times New Roman"/>
          <w:sz w:val="24"/>
          <w:lang w:eastAsia="cs-CZ"/>
        </w:rPr>
        <w:t xml:space="preserve"> </w:t>
      </w:r>
      <w:r w:rsidRPr="000D3143">
        <w:rPr>
          <w:rFonts w:eastAsia="Times New Roman"/>
          <w:sz w:val="24"/>
          <w:lang w:eastAsia="cs-CZ"/>
        </w:rPr>
        <w:t>V článku 2 se uvádí, že podpora bude poskytována výzkumným organizacím, podnikům a subjektům, které nesplňují defini</w:t>
      </w:r>
      <w:r>
        <w:rPr>
          <w:rFonts w:eastAsia="Times New Roman"/>
          <w:sz w:val="24"/>
          <w:lang w:eastAsia="cs-CZ"/>
        </w:rPr>
        <w:t>ci ani výzkumné organizace, ani </w:t>
      </w:r>
      <w:r w:rsidRPr="000D3143">
        <w:rPr>
          <w:rFonts w:eastAsia="Times New Roman"/>
          <w:sz w:val="24"/>
          <w:lang w:eastAsia="cs-CZ"/>
        </w:rPr>
        <w:t>podniku. Naproti tomu v článku 11 jsou vymezeny pouze dva typy uchazečů – výzkumné organizace nebo podniky. Tento nesoulad je třeba vyřešit.</w:t>
      </w:r>
    </w:p>
    <w:p w:rsidR="000D3143" w:rsidRPr="000D3143" w:rsidRDefault="000D3143" w:rsidP="000D3143">
      <w:pPr>
        <w:pStyle w:val="Normalodsazen"/>
        <w:keepNext/>
        <w:spacing w:after="120" w:line="240" w:lineRule="auto"/>
        <w:ind w:left="426" w:firstLine="0"/>
        <w:rPr>
          <w:rFonts w:eastAsia="Times New Roman"/>
          <w:sz w:val="24"/>
          <w:lang w:eastAsia="cs-CZ"/>
        </w:rPr>
      </w:pPr>
      <w:r>
        <w:rPr>
          <w:rFonts w:eastAsia="Times New Roman"/>
          <w:sz w:val="24"/>
          <w:lang w:eastAsia="cs-CZ"/>
        </w:rPr>
        <w:t xml:space="preserve">2. </w:t>
      </w:r>
      <w:r w:rsidRPr="000D3143">
        <w:rPr>
          <w:rFonts w:eastAsia="Times New Roman"/>
          <w:sz w:val="24"/>
          <w:lang w:eastAsia="cs-CZ"/>
        </w:rPr>
        <w:t>V textu programu zcela chybí jakákoliv zm</w:t>
      </w:r>
      <w:r>
        <w:rPr>
          <w:rFonts w:eastAsia="Times New Roman"/>
          <w:sz w:val="24"/>
          <w:lang w:eastAsia="cs-CZ"/>
        </w:rPr>
        <w:t>ínka o zaměření na excelenci ve </w:t>
      </w:r>
      <w:r w:rsidRPr="000D3143">
        <w:rPr>
          <w:rFonts w:eastAsia="Times New Roman"/>
          <w:sz w:val="24"/>
          <w:lang w:eastAsia="cs-CZ"/>
        </w:rPr>
        <w:t>výzkumu a podporu mladých vědeckých pracovníků. Tyto oblasti jsou důležité a měly by být uvedeny jak v textu programu, tak i zahrnuty do pri</w:t>
      </w:r>
      <w:r>
        <w:rPr>
          <w:rFonts w:eastAsia="Times New Roman"/>
          <w:sz w:val="24"/>
          <w:lang w:eastAsia="cs-CZ"/>
        </w:rPr>
        <w:t>ncipů hodnocení programu (např. </w:t>
      </w:r>
      <w:r w:rsidRPr="000D3143">
        <w:rPr>
          <w:rFonts w:eastAsia="Times New Roman"/>
          <w:sz w:val="24"/>
          <w:lang w:eastAsia="cs-CZ"/>
        </w:rPr>
        <w:t>počty mladých vědců zapojených do řešení projektů).</w:t>
      </w:r>
    </w:p>
    <w:p w:rsidR="000D3143" w:rsidRPr="000D3143" w:rsidRDefault="000D3143" w:rsidP="000D3143">
      <w:pPr>
        <w:pStyle w:val="Normalodsazen"/>
        <w:keepNext/>
        <w:spacing w:after="120" w:line="240" w:lineRule="auto"/>
        <w:ind w:left="426" w:firstLine="0"/>
        <w:rPr>
          <w:rFonts w:eastAsia="Times New Roman"/>
          <w:sz w:val="24"/>
          <w:lang w:eastAsia="cs-CZ"/>
        </w:rPr>
      </w:pPr>
      <w:r w:rsidRPr="000D3143">
        <w:rPr>
          <w:rFonts w:eastAsia="Times New Roman"/>
          <w:sz w:val="24"/>
          <w:lang w:eastAsia="cs-CZ"/>
        </w:rPr>
        <w:t>3.</w:t>
      </w:r>
      <w:r>
        <w:rPr>
          <w:rFonts w:eastAsia="Times New Roman"/>
          <w:sz w:val="24"/>
          <w:lang w:eastAsia="cs-CZ"/>
        </w:rPr>
        <w:t xml:space="preserve"> </w:t>
      </w:r>
      <w:r w:rsidRPr="000D3143">
        <w:rPr>
          <w:rFonts w:eastAsia="Times New Roman"/>
          <w:sz w:val="24"/>
          <w:lang w:eastAsia="cs-CZ"/>
        </w:rPr>
        <w:t>Program je velmi obecně vymezen, i když detailnější pohled lze dohle</w:t>
      </w:r>
      <w:r>
        <w:rPr>
          <w:rFonts w:eastAsia="Times New Roman"/>
          <w:sz w:val="24"/>
          <w:lang w:eastAsia="cs-CZ"/>
        </w:rPr>
        <w:t>dat v </w:t>
      </w:r>
      <w:r w:rsidRPr="000D3143">
        <w:rPr>
          <w:rFonts w:eastAsia="Times New Roman"/>
          <w:sz w:val="24"/>
          <w:lang w:eastAsia="cs-CZ"/>
        </w:rPr>
        <w:t xml:space="preserve">Příloze 1. Bylo by vhodné alespoň částečně specifikovat, zda budou některé oblasti energetického výzkumu podporovány prioritně (např. obnovitelné zdroje, jaderná energetika, termojaderná fúze, tepelná energetika, technologie akumulace </w:t>
      </w:r>
      <w:proofErr w:type="gramStart"/>
      <w:r w:rsidRPr="000D3143">
        <w:rPr>
          <w:rFonts w:eastAsia="Times New Roman"/>
          <w:sz w:val="24"/>
          <w:lang w:eastAsia="cs-CZ"/>
        </w:rPr>
        <w:t>energie...)</w:t>
      </w:r>
      <w:r>
        <w:rPr>
          <w:rFonts w:eastAsia="Times New Roman"/>
          <w:sz w:val="24"/>
          <w:lang w:eastAsia="cs-CZ"/>
        </w:rPr>
        <w:t>.</w:t>
      </w:r>
      <w:proofErr w:type="gramEnd"/>
    </w:p>
    <w:p w:rsidR="000D3143" w:rsidRPr="000D3143" w:rsidRDefault="000D3143" w:rsidP="000D3143">
      <w:pPr>
        <w:pStyle w:val="Normalodsazen"/>
        <w:keepNext/>
        <w:spacing w:after="120" w:line="240" w:lineRule="auto"/>
        <w:ind w:left="426" w:firstLine="0"/>
        <w:rPr>
          <w:rFonts w:eastAsia="Times New Roman"/>
          <w:sz w:val="24"/>
          <w:lang w:eastAsia="cs-CZ"/>
        </w:rPr>
      </w:pPr>
      <w:r w:rsidRPr="000D3143">
        <w:rPr>
          <w:rFonts w:eastAsia="Times New Roman"/>
          <w:sz w:val="24"/>
          <w:lang w:eastAsia="cs-CZ"/>
        </w:rPr>
        <w:t>4.</w:t>
      </w:r>
      <w:r>
        <w:rPr>
          <w:rFonts w:eastAsia="Times New Roman"/>
          <w:sz w:val="24"/>
          <w:lang w:eastAsia="cs-CZ"/>
        </w:rPr>
        <w:t xml:space="preserve"> </w:t>
      </w:r>
      <w:r w:rsidRPr="000D3143">
        <w:rPr>
          <w:rFonts w:eastAsia="Times New Roman"/>
          <w:sz w:val="24"/>
          <w:lang w:eastAsia="cs-CZ"/>
        </w:rPr>
        <w:t>Program nijak nespecifikuje délku řešení projektů. Bylo by vhodné uvést alespoň rámcové údaje o plánované době řešení projektů v jednotlivých podprogramech, a to ve vazbě na cíle jednotlivých podprogramů.</w:t>
      </w:r>
    </w:p>
    <w:p w:rsidR="000D3143" w:rsidRPr="000D3143" w:rsidRDefault="000D3143" w:rsidP="000D3143">
      <w:pPr>
        <w:pStyle w:val="Normalodsazen"/>
        <w:keepNext/>
        <w:spacing w:after="120" w:line="240" w:lineRule="auto"/>
        <w:ind w:left="426" w:firstLine="0"/>
        <w:rPr>
          <w:rFonts w:eastAsia="Times New Roman"/>
          <w:sz w:val="24"/>
          <w:lang w:eastAsia="cs-CZ"/>
        </w:rPr>
      </w:pPr>
      <w:r w:rsidRPr="000D3143">
        <w:rPr>
          <w:rFonts w:eastAsia="Times New Roman"/>
          <w:sz w:val="24"/>
          <w:lang w:eastAsia="cs-CZ"/>
        </w:rPr>
        <w:t>5.</w:t>
      </w:r>
      <w:r>
        <w:rPr>
          <w:rFonts w:eastAsia="Times New Roman"/>
          <w:sz w:val="24"/>
          <w:lang w:eastAsia="cs-CZ"/>
        </w:rPr>
        <w:t xml:space="preserve"> </w:t>
      </w:r>
      <w:r w:rsidRPr="000D3143">
        <w:rPr>
          <w:rFonts w:eastAsia="Times New Roman"/>
          <w:sz w:val="24"/>
          <w:lang w:eastAsia="cs-CZ"/>
        </w:rPr>
        <w:t>Jelikož program je zaměřen na strategické oblasti výzkumu, program by měl kromě pouhého výčtu typů relevantních výsledků řešit i možnost výsledky veřejně nepublikovat z důvodu utajení</w:t>
      </w:r>
      <w:r>
        <w:rPr>
          <w:rFonts w:eastAsia="Times New Roman"/>
          <w:sz w:val="24"/>
          <w:lang w:eastAsia="cs-CZ"/>
        </w:rPr>
        <w:t>.</w:t>
      </w:r>
    </w:p>
    <w:p w:rsidR="000D3143" w:rsidRPr="000D3143" w:rsidRDefault="000D3143" w:rsidP="000D3143">
      <w:pPr>
        <w:pStyle w:val="Normalodsazen"/>
        <w:keepNext/>
        <w:spacing w:after="120" w:line="240" w:lineRule="auto"/>
        <w:ind w:left="426" w:firstLine="0"/>
        <w:rPr>
          <w:rFonts w:eastAsia="Times New Roman"/>
          <w:sz w:val="24"/>
          <w:lang w:eastAsia="cs-CZ"/>
        </w:rPr>
      </w:pPr>
      <w:r w:rsidRPr="000D3143">
        <w:rPr>
          <w:rFonts w:eastAsia="Times New Roman"/>
          <w:sz w:val="24"/>
          <w:lang w:eastAsia="cs-CZ"/>
        </w:rPr>
        <w:t>6.</w:t>
      </w:r>
      <w:r>
        <w:rPr>
          <w:rFonts w:eastAsia="Times New Roman"/>
          <w:sz w:val="24"/>
          <w:lang w:eastAsia="cs-CZ"/>
        </w:rPr>
        <w:t xml:space="preserve"> </w:t>
      </w:r>
      <w:r w:rsidRPr="000D3143">
        <w:rPr>
          <w:rFonts w:eastAsia="Times New Roman"/>
          <w:sz w:val="24"/>
          <w:lang w:eastAsia="cs-CZ"/>
        </w:rPr>
        <w:t>Indikátory programu (Tab. 9.1) představují pouze statistické údaje o projektech a dosažených výsledcích, ale nemají žád</w:t>
      </w:r>
      <w:r>
        <w:rPr>
          <w:rFonts w:eastAsia="Times New Roman"/>
          <w:sz w:val="24"/>
          <w:lang w:eastAsia="cs-CZ"/>
        </w:rPr>
        <w:t>nou vypovídací hodnotu směrem k </w:t>
      </w:r>
      <w:r w:rsidRPr="000D3143">
        <w:rPr>
          <w:rFonts w:eastAsia="Times New Roman"/>
          <w:sz w:val="24"/>
          <w:lang w:eastAsia="cs-CZ"/>
        </w:rPr>
        <w:t>definovaným cílům programu a jednotlivých podprogramů. I když je detailnější pohled na hodnocení dopadů programu popsán v Příloze 1, v návrhu programu je třeba způsob a metody hodnocení cílů a dopadů programu, resp. jednotlivých podprogramů lépe specifikovat. Vzhledem k důležitosti obsahu Přílohy 1 je žádoucí, aby se buď celá tato příloha stala součástí návrhu programu, nebo aby byly alespoň klíčové informace z Přílohy 1 (zejména část popisující hodnocení programu) přesunuty do textu návrhu programu.</w:t>
      </w:r>
    </w:p>
    <w:p w:rsidR="00F24C5F" w:rsidRPr="00325FDE" w:rsidRDefault="000D3143" w:rsidP="000D3143">
      <w:pPr>
        <w:pStyle w:val="Normalodsazen"/>
        <w:keepNext/>
        <w:spacing w:after="120" w:line="240" w:lineRule="auto"/>
        <w:ind w:left="426" w:firstLine="0"/>
        <w:rPr>
          <w:rFonts w:eastAsia="Times New Roman"/>
          <w:sz w:val="24"/>
          <w:lang w:eastAsia="cs-CZ"/>
        </w:rPr>
      </w:pPr>
      <w:r w:rsidRPr="000D3143">
        <w:rPr>
          <w:rFonts w:eastAsia="Times New Roman"/>
          <w:sz w:val="24"/>
          <w:lang w:eastAsia="cs-CZ"/>
        </w:rPr>
        <w:t>7.</w:t>
      </w:r>
      <w:r>
        <w:rPr>
          <w:rFonts w:eastAsia="Times New Roman"/>
          <w:sz w:val="24"/>
          <w:lang w:eastAsia="cs-CZ"/>
        </w:rPr>
        <w:t xml:space="preserve"> </w:t>
      </w:r>
      <w:r w:rsidRPr="000D3143">
        <w:rPr>
          <w:rFonts w:eastAsia="Times New Roman"/>
          <w:sz w:val="24"/>
          <w:lang w:eastAsia="cs-CZ"/>
        </w:rPr>
        <w:t>Indikátory stanovují pouze počty výsledků programu bez ohledu na jejich kvalitu. Hodnocení programu nemůže být založeno</w:t>
      </w:r>
      <w:r>
        <w:rPr>
          <w:rFonts w:eastAsia="Times New Roman"/>
          <w:sz w:val="24"/>
          <w:lang w:eastAsia="cs-CZ"/>
        </w:rPr>
        <w:t xml:space="preserve"> pouze na počtech výsledků, ale </w:t>
      </w:r>
      <w:r w:rsidRPr="000D3143">
        <w:rPr>
          <w:rFonts w:eastAsia="Times New Roman"/>
          <w:sz w:val="24"/>
          <w:lang w:eastAsia="cs-CZ"/>
        </w:rPr>
        <w:t>výhradně na kvalitě výsledků. Sledování kvality výstupů by rovněž mělo být v</w:t>
      </w:r>
      <w:r>
        <w:rPr>
          <w:rFonts w:eastAsia="Times New Roman"/>
          <w:sz w:val="24"/>
          <w:lang w:eastAsia="cs-CZ"/>
        </w:rPr>
        <w:t> </w:t>
      </w:r>
      <w:r w:rsidRPr="000D3143">
        <w:rPr>
          <w:rFonts w:eastAsia="Times New Roman"/>
          <w:sz w:val="24"/>
          <w:lang w:eastAsia="cs-CZ"/>
        </w:rPr>
        <w:t>textu programu jasně specifikováno. Výsledky typu „O“ bez další specifikace by neměly být považovány za uznatelné výsledky programu.</w:t>
      </w:r>
    </w:p>
    <w:p w:rsidR="007E0D92" w:rsidRDefault="007E0D92" w:rsidP="00F32836">
      <w:pPr>
        <w:pStyle w:val="Normalodsazen"/>
        <w:numPr>
          <w:ilvl w:val="0"/>
          <w:numId w:val="21"/>
        </w:numPr>
        <w:spacing w:after="120" w:line="240" w:lineRule="auto"/>
        <w:ind w:left="426"/>
        <w:rPr>
          <w:b/>
          <w:color w:val="0070C0"/>
          <w:sz w:val="24"/>
        </w:rPr>
      </w:pPr>
      <w:r>
        <w:rPr>
          <w:b/>
          <w:color w:val="0070C0"/>
          <w:sz w:val="24"/>
        </w:rPr>
        <w:t xml:space="preserve"> Připomínky Rady</w:t>
      </w:r>
    </w:p>
    <w:p w:rsidR="004F4DDB" w:rsidRPr="007C5F64" w:rsidRDefault="004F4DDB" w:rsidP="001E1D3D">
      <w:pPr>
        <w:pStyle w:val="Odstavecseseznamem"/>
        <w:numPr>
          <w:ilvl w:val="0"/>
          <w:numId w:val="32"/>
        </w:numPr>
        <w:spacing w:after="120"/>
        <w:jc w:val="both"/>
        <w:rPr>
          <w:rFonts w:ascii="Arial" w:hAnsi="Arial"/>
          <w:b/>
        </w:rPr>
      </w:pPr>
      <w:r w:rsidRPr="007C5F64">
        <w:rPr>
          <w:rFonts w:ascii="Arial" w:hAnsi="Arial"/>
          <w:b/>
        </w:rPr>
        <w:t>Zásadní připomínka</w:t>
      </w:r>
    </w:p>
    <w:p w:rsidR="000A532A" w:rsidRPr="007C5F64" w:rsidRDefault="000A532A" w:rsidP="000A532A">
      <w:pPr>
        <w:spacing w:after="120"/>
        <w:jc w:val="both"/>
        <w:rPr>
          <w:rFonts w:ascii="Arial" w:hAnsi="Arial"/>
          <w:u w:val="single"/>
        </w:rPr>
      </w:pPr>
      <w:r w:rsidRPr="007C5F64">
        <w:rPr>
          <w:rFonts w:ascii="Arial" w:hAnsi="Arial"/>
          <w:u w:val="single"/>
        </w:rPr>
        <w:t>K textu návrhu Programu:</w:t>
      </w:r>
    </w:p>
    <w:p w:rsidR="004F4DDB" w:rsidRDefault="002A30DD" w:rsidP="00F249A3">
      <w:pPr>
        <w:spacing w:after="120"/>
        <w:jc w:val="both"/>
        <w:rPr>
          <w:rFonts w:ascii="Arial" w:hAnsi="Arial"/>
        </w:rPr>
      </w:pPr>
      <w:r>
        <w:rPr>
          <w:rFonts w:ascii="Arial" w:hAnsi="Arial"/>
        </w:rPr>
        <w:t>Rada žádá o doplnění</w:t>
      </w:r>
      <w:r w:rsidR="00F249A3" w:rsidRPr="00F249A3">
        <w:rPr>
          <w:rFonts w:ascii="Arial" w:hAnsi="Arial"/>
        </w:rPr>
        <w:t xml:space="preserve"> programov</w:t>
      </w:r>
      <w:r>
        <w:rPr>
          <w:rFonts w:ascii="Arial" w:hAnsi="Arial"/>
        </w:rPr>
        <w:t>ých</w:t>
      </w:r>
      <w:r w:rsidR="00F249A3" w:rsidRPr="00F249A3">
        <w:rPr>
          <w:rFonts w:ascii="Arial" w:hAnsi="Arial"/>
        </w:rPr>
        <w:t xml:space="preserve"> indikátor</w:t>
      </w:r>
      <w:r>
        <w:rPr>
          <w:rFonts w:ascii="Arial" w:hAnsi="Arial"/>
        </w:rPr>
        <w:t>ů</w:t>
      </w:r>
      <w:r w:rsidR="00F249A3" w:rsidRPr="00F249A3">
        <w:rPr>
          <w:rFonts w:ascii="Arial" w:hAnsi="Arial"/>
        </w:rPr>
        <w:t>, které pokryjí očekávané výsledky a</w:t>
      </w:r>
      <w:r>
        <w:rPr>
          <w:rFonts w:ascii="Arial" w:hAnsi="Arial"/>
        </w:rPr>
        <w:t> </w:t>
      </w:r>
      <w:r w:rsidR="00F249A3" w:rsidRPr="00F249A3">
        <w:rPr>
          <w:rFonts w:ascii="Arial" w:hAnsi="Arial"/>
        </w:rPr>
        <w:t>dopady (přínosy) programu</w:t>
      </w:r>
      <w:r>
        <w:rPr>
          <w:rFonts w:ascii="Arial" w:hAnsi="Arial"/>
        </w:rPr>
        <w:t xml:space="preserve"> tak</w:t>
      </w:r>
      <w:r w:rsidR="00F249A3" w:rsidRPr="00F249A3">
        <w:rPr>
          <w:rFonts w:ascii="Arial" w:hAnsi="Arial"/>
        </w:rPr>
        <w:t>, aby indikátorová soustava umožnila adekvátně vyhodnotit naplnění cílů programu</w:t>
      </w:r>
      <w:r>
        <w:rPr>
          <w:rFonts w:ascii="Arial" w:hAnsi="Arial"/>
        </w:rPr>
        <w:t>, např.</w:t>
      </w:r>
      <w:r w:rsidR="00F249A3">
        <w:rPr>
          <w:rFonts w:ascii="Arial" w:hAnsi="Arial"/>
        </w:rPr>
        <w:t xml:space="preserve"> </w:t>
      </w:r>
      <w:r>
        <w:rPr>
          <w:rFonts w:ascii="Arial" w:hAnsi="Arial"/>
        </w:rPr>
        <w:t>s</w:t>
      </w:r>
      <w:r w:rsidR="00F249A3">
        <w:rPr>
          <w:rFonts w:ascii="Arial" w:hAnsi="Arial"/>
        </w:rPr>
        <w:t> využitím doporučení z </w:t>
      </w:r>
      <w:r w:rsidR="004A7313" w:rsidRPr="004A7313">
        <w:rPr>
          <w:rFonts w:ascii="Arial" w:hAnsi="Arial"/>
        </w:rPr>
        <w:t>Ex-ante evaluace programu THÉTA 2</w:t>
      </w:r>
      <w:r w:rsidR="004A7313">
        <w:rPr>
          <w:rFonts w:ascii="Arial" w:hAnsi="Arial"/>
        </w:rPr>
        <w:t xml:space="preserve"> (závěrečná zpráva) </w:t>
      </w:r>
      <w:r>
        <w:rPr>
          <w:rFonts w:ascii="Arial" w:hAnsi="Arial"/>
        </w:rPr>
        <w:t>na stranách</w:t>
      </w:r>
      <w:r w:rsidR="00F249A3">
        <w:rPr>
          <w:rFonts w:ascii="Arial" w:hAnsi="Arial"/>
        </w:rPr>
        <w:t xml:space="preserve"> 15, 22 a 24</w:t>
      </w:r>
      <w:r w:rsidR="004F4DDB">
        <w:rPr>
          <w:rFonts w:ascii="Arial" w:hAnsi="Arial"/>
        </w:rPr>
        <w:t>.</w:t>
      </w:r>
    </w:p>
    <w:p w:rsidR="00F24C5F" w:rsidRDefault="00F24C5F" w:rsidP="00F249A3">
      <w:pPr>
        <w:spacing w:after="120"/>
        <w:jc w:val="both"/>
        <w:rPr>
          <w:rFonts w:ascii="Arial" w:hAnsi="Arial"/>
        </w:rPr>
      </w:pPr>
    </w:p>
    <w:p w:rsidR="004A7313" w:rsidRPr="007C5F64" w:rsidRDefault="004A7313" w:rsidP="004A7313">
      <w:pPr>
        <w:pStyle w:val="Odstavecseseznamem"/>
        <w:numPr>
          <w:ilvl w:val="0"/>
          <w:numId w:val="32"/>
        </w:numPr>
        <w:spacing w:after="120"/>
        <w:jc w:val="both"/>
        <w:rPr>
          <w:rFonts w:ascii="Arial" w:hAnsi="Arial"/>
          <w:b/>
        </w:rPr>
      </w:pPr>
      <w:r w:rsidRPr="007C5F64">
        <w:rPr>
          <w:rFonts w:ascii="Arial" w:hAnsi="Arial"/>
          <w:b/>
        </w:rPr>
        <w:t>Zásadní připomínka</w:t>
      </w:r>
    </w:p>
    <w:p w:rsidR="004A7313" w:rsidRPr="007C5F64" w:rsidRDefault="004A7313" w:rsidP="004A7313">
      <w:pPr>
        <w:spacing w:after="120"/>
        <w:jc w:val="both"/>
        <w:rPr>
          <w:rFonts w:ascii="Arial" w:hAnsi="Arial"/>
          <w:u w:val="single"/>
        </w:rPr>
      </w:pPr>
      <w:r w:rsidRPr="007C5F64">
        <w:rPr>
          <w:rFonts w:ascii="Arial" w:hAnsi="Arial"/>
          <w:u w:val="single"/>
        </w:rPr>
        <w:lastRenderedPageBreak/>
        <w:t xml:space="preserve">K </w:t>
      </w:r>
      <w:r w:rsidR="002A30DD" w:rsidRPr="007C5F64">
        <w:rPr>
          <w:rFonts w:ascii="Arial" w:hAnsi="Arial"/>
          <w:u w:val="single"/>
        </w:rPr>
        <w:t>příloze</w:t>
      </w:r>
      <w:r w:rsidRPr="007C5F64">
        <w:rPr>
          <w:rFonts w:ascii="Arial" w:hAnsi="Arial"/>
          <w:u w:val="single"/>
        </w:rPr>
        <w:t xml:space="preserve"> V materiálu - Analýza řešené problematiky</w:t>
      </w:r>
      <w:r w:rsidR="00937305" w:rsidRPr="007C5F64">
        <w:rPr>
          <w:rFonts w:ascii="Arial" w:hAnsi="Arial"/>
          <w:u w:val="single"/>
        </w:rPr>
        <w:t xml:space="preserve"> programu THÉTA 2, kapitole 1.2 </w:t>
      </w:r>
      <w:r w:rsidRPr="007C5F64">
        <w:rPr>
          <w:rFonts w:ascii="Arial" w:hAnsi="Arial"/>
          <w:u w:val="single"/>
        </w:rPr>
        <w:t>Národní dokumenty</w:t>
      </w:r>
      <w:r w:rsidR="000A532A" w:rsidRPr="007C5F64">
        <w:rPr>
          <w:rFonts w:ascii="Arial" w:hAnsi="Arial"/>
          <w:u w:val="single"/>
        </w:rPr>
        <w:t>:</w:t>
      </w:r>
    </w:p>
    <w:p w:rsidR="004A7313" w:rsidRPr="004A7313" w:rsidRDefault="002A30DD" w:rsidP="004A7313">
      <w:pPr>
        <w:spacing w:after="120"/>
        <w:jc w:val="both"/>
        <w:rPr>
          <w:rFonts w:ascii="Arial" w:hAnsi="Arial"/>
        </w:rPr>
      </w:pPr>
      <w:r>
        <w:rPr>
          <w:rFonts w:ascii="Arial" w:hAnsi="Arial"/>
        </w:rPr>
        <w:t>Rada žádá v</w:t>
      </w:r>
      <w:r w:rsidR="004A7313" w:rsidRPr="004A7313">
        <w:rPr>
          <w:rFonts w:ascii="Arial" w:hAnsi="Arial"/>
        </w:rPr>
        <w:t xml:space="preserve"> prvním odstavci na str. 7, kde je uveden odkaz na strategické cíle</w:t>
      </w:r>
      <w:r w:rsidR="00937305">
        <w:rPr>
          <w:rFonts w:ascii="Arial" w:hAnsi="Arial"/>
        </w:rPr>
        <w:t xml:space="preserve"> z </w:t>
      </w:r>
      <w:r>
        <w:rPr>
          <w:rFonts w:ascii="Arial" w:hAnsi="Arial"/>
        </w:rPr>
        <w:t xml:space="preserve">Národní politiky </w:t>
      </w:r>
      <w:proofErr w:type="spellStart"/>
      <w:r>
        <w:rPr>
          <w:rFonts w:ascii="Arial" w:hAnsi="Arial"/>
        </w:rPr>
        <w:t>VaVaI</w:t>
      </w:r>
      <w:proofErr w:type="spellEnd"/>
      <w:r>
        <w:rPr>
          <w:rFonts w:ascii="Arial" w:hAnsi="Arial"/>
        </w:rPr>
        <w:t xml:space="preserve"> 2021+, </w:t>
      </w:r>
      <w:r w:rsidR="004A7313" w:rsidRPr="004A7313">
        <w:rPr>
          <w:rFonts w:ascii="Arial" w:hAnsi="Arial"/>
        </w:rPr>
        <w:t xml:space="preserve">o doplnění nové odrážky na první místo ve znění: </w:t>
      </w:r>
    </w:p>
    <w:p w:rsidR="004A7313" w:rsidRPr="002A30DD" w:rsidRDefault="004A7313" w:rsidP="004A7313">
      <w:pPr>
        <w:spacing w:after="120"/>
        <w:jc w:val="both"/>
        <w:rPr>
          <w:rFonts w:ascii="Arial" w:hAnsi="Arial"/>
          <w:i/>
        </w:rPr>
      </w:pPr>
      <w:r w:rsidRPr="002A30DD">
        <w:rPr>
          <w:rFonts w:ascii="Arial" w:hAnsi="Arial"/>
          <w:i/>
        </w:rPr>
        <w:t>Cíl 1: Nastavit strategicky řízený a efektivně finan</w:t>
      </w:r>
      <w:r w:rsidR="00937305">
        <w:rPr>
          <w:rFonts w:ascii="Arial" w:hAnsi="Arial"/>
          <w:i/>
        </w:rPr>
        <w:t>covaný systém výzkumu, vývoje a </w:t>
      </w:r>
      <w:r w:rsidRPr="002A30DD">
        <w:rPr>
          <w:rFonts w:ascii="Arial" w:hAnsi="Arial"/>
          <w:i/>
        </w:rPr>
        <w:t>inovací ČR</w:t>
      </w:r>
    </w:p>
    <w:p w:rsidR="004A7313" w:rsidRDefault="004A7313" w:rsidP="004A7313">
      <w:pPr>
        <w:spacing w:after="120"/>
        <w:jc w:val="both"/>
        <w:rPr>
          <w:rFonts w:ascii="Arial" w:hAnsi="Arial"/>
        </w:rPr>
      </w:pPr>
      <w:r w:rsidRPr="004A7313">
        <w:rPr>
          <w:rFonts w:ascii="Arial" w:hAnsi="Arial"/>
        </w:rPr>
        <w:t xml:space="preserve">Odůvodnění: Strategický cíl 1 obsahuje téma 1.11 Motivovat poskytovatele institucionální a účelové podpory </w:t>
      </w:r>
      <w:proofErr w:type="spellStart"/>
      <w:r w:rsidRPr="004A7313">
        <w:rPr>
          <w:rFonts w:ascii="Arial" w:hAnsi="Arial"/>
        </w:rPr>
        <w:t>VaVaI</w:t>
      </w:r>
      <w:proofErr w:type="spellEnd"/>
      <w:r w:rsidRPr="004A7313">
        <w:rPr>
          <w:rFonts w:ascii="Arial" w:hAnsi="Arial"/>
        </w:rPr>
        <w:t xml:space="preserve"> k orient</w:t>
      </w:r>
      <w:r w:rsidR="007954A5">
        <w:rPr>
          <w:rFonts w:ascii="Arial" w:hAnsi="Arial"/>
        </w:rPr>
        <w:t>aci části výzkumných kapacit na </w:t>
      </w:r>
      <w:r w:rsidRPr="004A7313">
        <w:rPr>
          <w:rFonts w:ascii="Arial" w:hAnsi="Arial"/>
        </w:rPr>
        <w:t>specifickou podporu monitorování, analýz a n</w:t>
      </w:r>
      <w:r w:rsidR="007954A5">
        <w:rPr>
          <w:rFonts w:ascii="Arial" w:hAnsi="Arial"/>
        </w:rPr>
        <w:t>ávrhů řešení aktuálních výzev a </w:t>
      </w:r>
      <w:r w:rsidRPr="004A7313">
        <w:rPr>
          <w:rFonts w:ascii="Arial" w:hAnsi="Arial"/>
        </w:rPr>
        <w:t>hrozeb s celospolečenským dopadem (</w:t>
      </w:r>
      <w:proofErr w:type="spellStart"/>
      <w:r w:rsidRPr="004A7313">
        <w:rPr>
          <w:rFonts w:ascii="Arial" w:hAnsi="Arial"/>
        </w:rPr>
        <w:t>focus</w:t>
      </w:r>
      <w:proofErr w:type="spellEnd"/>
      <w:r w:rsidRPr="004A7313">
        <w:rPr>
          <w:rFonts w:ascii="Arial" w:hAnsi="Arial"/>
        </w:rPr>
        <w:t xml:space="preserve"> area).</w:t>
      </w:r>
      <w:r w:rsidR="007954A5">
        <w:rPr>
          <w:rFonts w:ascii="Arial" w:hAnsi="Arial"/>
        </w:rPr>
        <w:t xml:space="preserve"> K realizaci tohoto tématu je v</w:t>
      </w:r>
      <w:r w:rsidR="0058298B">
        <w:rPr>
          <w:rFonts w:ascii="Arial" w:hAnsi="Arial"/>
        </w:rPr>
        <w:t> </w:t>
      </w:r>
      <w:r w:rsidR="0058298B">
        <w:rPr>
          <w:rFonts w:ascii="Arial" w:hAnsi="Arial" w:cs="Arial"/>
        </w:rPr>
        <w:t>NP </w:t>
      </w:r>
      <w:proofErr w:type="spellStart"/>
      <w:r w:rsidR="0058298B" w:rsidRPr="00BA3705">
        <w:rPr>
          <w:rFonts w:ascii="Arial" w:hAnsi="Arial" w:cs="Arial"/>
        </w:rPr>
        <w:t>VaVaI</w:t>
      </w:r>
      <w:proofErr w:type="spellEnd"/>
      <w:r w:rsidR="0058298B" w:rsidRPr="00BA3705">
        <w:rPr>
          <w:rFonts w:ascii="Arial" w:hAnsi="Arial" w:cs="Arial"/>
        </w:rPr>
        <w:t xml:space="preserve"> 2021+</w:t>
      </w:r>
      <w:r w:rsidRPr="004A7313">
        <w:rPr>
          <w:rFonts w:ascii="Arial" w:hAnsi="Arial"/>
        </w:rPr>
        <w:t xml:space="preserve"> definováno opatření 27, kde se </w:t>
      </w:r>
      <w:r w:rsidR="007954A5">
        <w:rPr>
          <w:rFonts w:ascii="Arial" w:hAnsi="Arial"/>
        </w:rPr>
        <w:t>právě předpokládá i </w:t>
      </w:r>
      <w:r w:rsidR="00937305">
        <w:rPr>
          <w:rFonts w:ascii="Arial" w:hAnsi="Arial"/>
        </w:rPr>
        <w:t>zapojení TA </w:t>
      </w:r>
      <w:r w:rsidRPr="004A7313">
        <w:rPr>
          <w:rFonts w:ascii="Arial" w:hAnsi="Arial"/>
        </w:rPr>
        <w:t xml:space="preserve">ČR. Je to tedy relevantní i pro program THÉTA 2. Navíc, v samotném textu návrhu programu THÉTA 2 je na </w:t>
      </w:r>
      <w:r w:rsidR="0058298B" w:rsidRPr="00BA3705">
        <w:rPr>
          <w:rFonts w:ascii="Arial" w:hAnsi="Arial" w:cs="Arial"/>
        </w:rPr>
        <w:t xml:space="preserve">NP </w:t>
      </w:r>
      <w:proofErr w:type="spellStart"/>
      <w:r w:rsidR="0058298B" w:rsidRPr="00BA3705">
        <w:rPr>
          <w:rFonts w:ascii="Arial" w:hAnsi="Arial" w:cs="Arial"/>
        </w:rPr>
        <w:t>VaVaI</w:t>
      </w:r>
      <w:proofErr w:type="spellEnd"/>
      <w:r w:rsidR="0058298B" w:rsidRPr="00BA3705">
        <w:rPr>
          <w:rFonts w:ascii="Arial" w:hAnsi="Arial" w:cs="Arial"/>
        </w:rPr>
        <w:t xml:space="preserve"> 2021+</w:t>
      </w:r>
      <w:r w:rsidR="007954A5">
        <w:rPr>
          <w:rFonts w:ascii="Arial" w:hAnsi="Arial"/>
        </w:rPr>
        <w:t xml:space="preserve"> odkazováno v </w:t>
      </w:r>
      <w:r w:rsidR="00937305">
        <w:rPr>
          <w:rFonts w:ascii="Arial" w:hAnsi="Arial"/>
        </w:rPr>
        <w:t>kapitole 8. </w:t>
      </w:r>
      <w:r w:rsidRPr="004A7313">
        <w:rPr>
          <w:rFonts w:ascii="Arial" w:hAnsi="Arial"/>
        </w:rPr>
        <w:t>Odůvodnění cíle programu, v posledním odstavci na str. 6.</w:t>
      </w:r>
    </w:p>
    <w:p w:rsidR="00F24C5F" w:rsidRPr="004A7313" w:rsidRDefault="00F24C5F" w:rsidP="004A7313">
      <w:pPr>
        <w:spacing w:after="120"/>
        <w:jc w:val="both"/>
        <w:rPr>
          <w:rFonts w:ascii="Arial" w:hAnsi="Arial"/>
        </w:rPr>
      </w:pPr>
    </w:p>
    <w:p w:rsidR="004A7313" w:rsidRPr="007C5F64" w:rsidRDefault="004A7313" w:rsidP="004A7313">
      <w:pPr>
        <w:pStyle w:val="Odstavecseseznamem"/>
        <w:numPr>
          <w:ilvl w:val="0"/>
          <w:numId w:val="32"/>
        </w:numPr>
        <w:spacing w:after="120"/>
        <w:jc w:val="both"/>
        <w:rPr>
          <w:rFonts w:ascii="Arial" w:hAnsi="Arial"/>
          <w:b/>
        </w:rPr>
      </w:pPr>
      <w:r w:rsidRPr="007C5F64">
        <w:rPr>
          <w:rFonts w:ascii="Arial" w:hAnsi="Arial"/>
          <w:b/>
        </w:rPr>
        <w:t>Zásadní připomínka</w:t>
      </w:r>
    </w:p>
    <w:p w:rsidR="002A30DD" w:rsidRPr="007C5F64" w:rsidRDefault="002A30DD" w:rsidP="002A30DD">
      <w:pPr>
        <w:spacing w:after="120"/>
        <w:jc w:val="both"/>
        <w:rPr>
          <w:rFonts w:ascii="Arial" w:hAnsi="Arial"/>
          <w:u w:val="single"/>
        </w:rPr>
      </w:pPr>
      <w:r w:rsidRPr="007C5F64">
        <w:rPr>
          <w:rFonts w:ascii="Arial" w:hAnsi="Arial"/>
          <w:u w:val="single"/>
        </w:rPr>
        <w:t xml:space="preserve">K </w:t>
      </w:r>
      <w:r w:rsidR="00F24C5F" w:rsidRPr="007C5F64">
        <w:rPr>
          <w:rFonts w:ascii="Arial" w:hAnsi="Arial"/>
          <w:u w:val="single"/>
        </w:rPr>
        <w:t>příloze</w:t>
      </w:r>
      <w:r w:rsidRPr="007C5F64">
        <w:rPr>
          <w:rFonts w:ascii="Arial" w:hAnsi="Arial"/>
          <w:u w:val="single"/>
        </w:rPr>
        <w:t xml:space="preserve"> V materiálu - Analýza řešené problematik</w:t>
      </w:r>
      <w:r w:rsidR="00937305" w:rsidRPr="007C5F64">
        <w:rPr>
          <w:rFonts w:ascii="Arial" w:hAnsi="Arial"/>
          <w:u w:val="single"/>
        </w:rPr>
        <w:t>y programu THÉTA 2, kapitole 3. </w:t>
      </w:r>
      <w:r w:rsidRPr="007C5F64">
        <w:rPr>
          <w:rFonts w:ascii="Arial" w:hAnsi="Arial"/>
          <w:u w:val="single"/>
        </w:rPr>
        <w:t>Zdůvodnění potřebnosti navazujícího programu</w:t>
      </w:r>
      <w:r w:rsidR="000A532A" w:rsidRPr="007C5F64">
        <w:rPr>
          <w:rFonts w:ascii="Arial" w:hAnsi="Arial"/>
          <w:u w:val="single"/>
        </w:rPr>
        <w:t>:</w:t>
      </w:r>
    </w:p>
    <w:p w:rsidR="002A30DD" w:rsidRPr="002A30DD" w:rsidRDefault="00144453" w:rsidP="00144453">
      <w:pPr>
        <w:spacing w:after="240"/>
        <w:jc w:val="both"/>
        <w:rPr>
          <w:rFonts w:ascii="Arial" w:hAnsi="Arial"/>
        </w:rPr>
      </w:pPr>
      <w:r>
        <w:rPr>
          <w:rFonts w:ascii="Arial" w:hAnsi="Arial"/>
        </w:rPr>
        <w:t xml:space="preserve">Rada žádá </w:t>
      </w:r>
      <w:r w:rsidRPr="002A30DD">
        <w:rPr>
          <w:rFonts w:ascii="Arial" w:hAnsi="Arial"/>
        </w:rPr>
        <w:t>na str. 1</w:t>
      </w:r>
      <w:r w:rsidR="0058298B">
        <w:rPr>
          <w:rFonts w:ascii="Arial" w:hAnsi="Arial"/>
        </w:rPr>
        <w:t>3</w:t>
      </w:r>
      <w:r>
        <w:rPr>
          <w:rFonts w:ascii="Arial" w:hAnsi="Arial"/>
        </w:rPr>
        <w:t xml:space="preserve"> v</w:t>
      </w:r>
      <w:r w:rsidR="002A30DD" w:rsidRPr="002A30DD">
        <w:rPr>
          <w:rFonts w:ascii="Arial" w:hAnsi="Arial"/>
        </w:rPr>
        <w:t xml:space="preserve"> odstavci začínajícím slovy </w:t>
      </w:r>
      <w:r w:rsidR="002A30DD" w:rsidRPr="00144453">
        <w:rPr>
          <w:rFonts w:ascii="Arial" w:hAnsi="Arial"/>
          <w:i/>
        </w:rPr>
        <w:t xml:space="preserve">"Ve strategickém kontextu by měl program </w:t>
      </w:r>
      <w:proofErr w:type="gramStart"/>
      <w:r w:rsidR="002A30DD" w:rsidRPr="00144453">
        <w:rPr>
          <w:rFonts w:ascii="Arial" w:hAnsi="Arial"/>
          <w:i/>
        </w:rPr>
        <w:t>THÉTA 2..."</w:t>
      </w:r>
      <w:r w:rsidR="002A30DD" w:rsidRPr="002A30DD">
        <w:rPr>
          <w:rFonts w:ascii="Arial" w:hAnsi="Arial"/>
        </w:rPr>
        <w:t xml:space="preserve"> o doplnění</w:t>
      </w:r>
      <w:proofErr w:type="gramEnd"/>
      <w:r w:rsidR="002A30DD" w:rsidRPr="002A30DD">
        <w:rPr>
          <w:rFonts w:ascii="Arial" w:hAnsi="Arial"/>
        </w:rPr>
        <w:t xml:space="preserve"> na vhodné místo do textu následující: </w:t>
      </w:r>
      <w:r w:rsidR="002A30DD" w:rsidRPr="00144453">
        <w:rPr>
          <w:rFonts w:ascii="Arial" w:hAnsi="Arial"/>
          <w:i/>
        </w:rPr>
        <w:t>"V programu THÉTA 2 bude rovněž věnována p</w:t>
      </w:r>
      <w:r w:rsidRPr="00144453">
        <w:rPr>
          <w:rFonts w:ascii="Arial" w:hAnsi="Arial"/>
          <w:i/>
        </w:rPr>
        <w:t>ozornost výzkumu ekonomických a </w:t>
      </w:r>
      <w:r w:rsidR="002A30DD" w:rsidRPr="00144453">
        <w:rPr>
          <w:rFonts w:ascii="Arial" w:hAnsi="Arial"/>
          <w:i/>
        </w:rPr>
        <w:t>celospolečenských dopadů změn v energetice, energetických koncepcí i výzkumu informatické a bezpečnostní podpory energetické soustavy."</w:t>
      </w:r>
      <w:r w:rsidR="002A30DD" w:rsidRPr="002A30DD">
        <w:rPr>
          <w:rFonts w:ascii="Arial" w:hAnsi="Arial"/>
        </w:rPr>
        <w:t xml:space="preserve">  </w:t>
      </w:r>
    </w:p>
    <w:p w:rsidR="002A30DD" w:rsidRDefault="002A30DD" w:rsidP="002A30DD">
      <w:pPr>
        <w:spacing w:after="120"/>
        <w:jc w:val="both"/>
        <w:rPr>
          <w:rFonts w:ascii="Arial" w:hAnsi="Arial"/>
        </w:rPr>
      </w:pPr>
      <w:r w:rsidRPr="002A30DD">
        <w:rPr>
          <w:rFonts w:ascii="Arial" w:hAnsi="Arial"/>
        </w:rPr>
        <w:t>Odůvodnění: Jedná se o téma, které bylo mnohokrát diskutováno na jednáních Rady pro výzkum, vývoj a inovace v oblasti energetiky. Navíc, uvedené téma je obs</w:t>
      </w:r>
      <w:r w:rsidR="00144453">
        <w:rPr>
          <w:rFonts w:ascii="Arial" w:hAnsi="Arial"/>
        </w:rPr>
        <w:t>aženo v </w:t>
      </w:r>
      <w:r w:rsidRPr="002A30DD">
        <w:rPr>
          <w:rFonts w:ascii="Arial" w:hAnsi="Arial"/>
        </w:rPr>
        <w:t>samotném návrhu textu programu THÉTA 2, kde koresponduje se zněním poslední odrážky na str. 3 v kapitole 6. Zaměření programu.</w:t>
      </w:r>
    </w:p>
    <w:p w:rsidR="00144453" w:rsidRPr="002A30DD" w:rsidRDefault="00144453" w:rsidP="002A30DD">
      <w:pPr>
        <w:spacing w:after="120"/>
        <w:jc w:val="both"/>
        <w:rPr>
          <w:rFonts w:ascii="Arial" w:hAnsi="Arial"/>
        </w:rPr>
      </w:pPr>
    </w:p>
    <w:p w:rsidR="004A7313" w:rsidRPr="007C5F64" w:rsidRDefault="004A7313" w:rsidP="004A7313">
      <w:pPr>
        <w:pStyle w:val="Odstavecseseznamem"/>
        <w:numPr>
          <w:ilvl w:val="0"/>
          <w:numId w:val="32"/>
        </w:numPr>
        <w:spacing w:after="120"/>
        <w:jc w:val="both"/>
        <w:rPr>
          <w:rFonts w:ascii="Arial" w:hAnsi="Arial"/>
          <w:b/>
        </w:rPr>
      </w:pPr>
      <w:r w:rsidRPr="007C5F64">
        <w:rPr>
          <w:rFonts w:ascii="Arial" w:hAnsi="Arial"/>
          <w:b/>
        </w:rPr>
        <w:t xml:space="preserve">Zásadní připomínka </w:t>
      </w:r>
    </w:p>
    <w:p w:rsidR="00B80804" w:rsidRPr="007C5F64" w:rsidRDefault="00B80804" w:rsidP="00F249A3">
      <w:pPr>
        <w:spacing w:after="120"/>
        <w:jc w:val="both"/>
        <w:rPr>
          <w:rFonts w:ascii="Arial" w:hAnsi="Arial"/>
          <w:u w:val="single"/>
        </w:rPr>
      </w:pPr>
      <w:r w:rsidRPr="007C5F64">
        <w:rPr>
          <w:rFonts w:ascii="Arial" w:hAnsi="Arial"/>
          <w:u w:val="single"/>
        </w:rPr>
        <w:t xml:space="preserve">K textu </w:t>
      </w:r>
      <w:r w:rsidR="00AA25F0" w:rsidRPr="007C5F64">
        <w:rPr>
          <w:rFonts w:ascii="Arial" w:hAnsi="Arial"/>
          <w:u w:val="single"/>
        </w:rPr>
        <w:t>návrhu P</w:t>
      </w:r>
      <w:r w:rsidRPr="007C5F64">
        <w:rPr>
          <w:rFonts w:ascii="Arial" w:hAnsi="Arial"/>
          <w:u w:val="single"/>
        </w:rPr>
        <w:t>rogramu</w:t>
      </w:r>
      <w:r w:rsidR="000A532A" w:rsidRPr="007C5F64">
        <w:rPr>
          <w:rFonts w:ascii="Arial" w:hAnsi="Arial"/>
          <w:u w:val="single"/>
        </w:rPr>
        <w:t>:</w:t>
      </w:r>
    </w:p>
    <w:p w:rsidR="00AA25F0" w:rsidRDefault="00AC5906" w:rsidP="00F249A3">
      <w:pPr>
        <w:spacing w:after="120"/>
        <w:jc w:val="both"/>
        <w:rPr>
          <w:rFonts w:ascii="Arial" w:hAnsi="Arial"/>
        </w:rPr>
      </w:pPr>
      <w:r>
        <w:rPr>
          <w:rFonts w:ascii="Arial" w:hAnsi="Arial"/>
        </w:rPr>
        <w:t xml:space="preserve">Rada žádá o </w:t>
      </w:r>
      <w:r w:rsidR="00AA25F0">
        <w:rPr>
          <w:rFonts w:ascii="Arial" w:hAnsi="Arial"/>
        </w:rPr>
        <w:t xml:space="preserve">doplnění </w:t>
      </w:r>
      <w:r w:rsidR="003B08BA">
        <w:rPr>
          <w:rFonts w:ascii="Arial" w:hAnsi="Arial"/>
        </w:rPr>
        <w:t xml:space="preserve">textu Programu o </w:t>
      </w:r>
      <w:r>
        <w:rPr>
          <w:rFonts w:ascii="Arial" w:hAnsi="Arial"/>
        </w:rPr>
        <w:t>konkrétní specifikaci</w:t>
      </w:r>
      <w:r w:rsidR="00AA25F0">
        <w:rPr>
          <w:rFonts w:ascii="Arial" w:hAnsi="Arial"/>
        </w:rPr>
        <w:t xml:space="preserve"> </w:t>
      </w:r>
      <w:r w:rsidRPr="00AC5906">
        <w:rPr>
          <w:rFonts w:ascii="Arial" w:hAnsi="Arial"/>
        </w:rPr>
        <w:t>cíl</w:t>
      </w:r>
      <w:r w:rsidR="00AA25F0">
        <w:rPr>
          <w:rFonts w:ascii="Arial" w:hAnsi="Arial"/>
        </w:rPr>
        <w:t>ů</w:t>
      </w:r>
      <w:r w:rsidRPr="00AC5906">
        <w:rPr>
          <w:rFonts w:ascii="Arial" w:hAnsi="Arial"/>
        </w:rPr>
        <w:t xml:space="preserve"> </w:t>
      </w:r>
      <w:r w:rsidR="0058298B" w:rsidRPr="00BA3705">
        <w:rPr>
          <w:rFonts w:ascii="Arial" w:hAnsi="Arial" w:cs="Arial"/>
        </w:rPr>
        <w:t xml:space="preserve">NP </w:t>
      </w:r>
      <w:proofErr w:type="spellStart"/>
      <w:r w:rsidR="0058298B" w:rsidRPr="00BA3705">
        <w:rPr>
          <w:rFonts w:ascii="Arial" w:hAnsi="Arial" w:cs="Arial"/>
        </w:rPr>
        <w:t>VaVaI</w:t>
      </w:r>
      <w:proofErr w:type="spellEnd"/>
      <w:r w:rsidR="0058298B" w:rsidRPr="00BA3705">
        <w:rPr>
          <w:rFonts w:ascii="Arial" w:hAnsi="Arial" w:cs="Arial"/>
        </w:rPr>
        <w:t xml:space="preserve"> 2021+</w:t>
      </w:r>
      <w:r w:rsidR="00AA25F0">
        <w:rPr>
          <w:rFonts w:ascii="Arial" w:hAnsi="Arial"/>
        </w:rPr>
        <w:t>, které</w:t>
      </w:r>
      <w:r>
        <w:rPr>
          <w:rFonts w:ascii="Arial" w:hAnsi="Arial"/>
        </w:rPr>
        <w:t xml:space="preserve"> bude Program naplňovat.</w:t>
      </w:r>
      <w:r w:rsidR="003B08BA">
        <w:rPr>
          <w:rFonts w:ascii="Arial" w:hAnsi="Arial"/>
        </w:rPr>
        <w:t xml:space="preserve"> Doplnění </w:t>
      </w:r>
      <w:r w:rsidR="0058298B">
        <w:rPr>
          <w:rFonts w:ascii="Arial" w:hAnsi="Arial"/>
        </w:rPr>
        <w:t xml:space="preserve">je zapotřebí </w:t>
      </w:r>
      <w:r w:rsidR="003B08BA">
        <w:rPr>
          <w:rFonts w:ascii="Arial" w:hAnsi="Arial"/>
        </w:rPr>
        <w:t>provést v souladu s přílohou</w:t>
      </w:r>
      <w:r w:rsidR="003B08BA" w:rsidRPr="004A7313">
        <w:rPr>
          <w:rFonts w:ascii="Arial" w:hAnsi="Arial"/>
        </w:rPr>
        <w:t xml:space="preserve"> V materiálu - Analýza řešené problematiky</w:t>
      </w:r>
      <w:r w:rsidR="003B08BA">
        <w:rPr>
          <w:rFonts w:ascii="Arial" w:hAnsi="Arial"/>
        </w:rPr>
        <w:t xml:space="preserve"> programu THÉTA 2, kapitolou 1.2 </w:t>
      </w:r>
      <w:r w:rsidR="003B08BA" w:rsidRPr="004A7313">
        <w:rPr>
          <w:rFonts w:ascii="Arial" w:hAnsi="Arial"/>
        </w:rPr>
        <w:t>Národní dokumenty</w:t>
      </w:r>
      <w:r w:rsidR="00876B4F">
        <w:rPr>
          <w:rFonts w:ascii="Arial" w:hAnsi="Arial"/>
        </w:rPr>
        <w:t xml:space="preserve"> a v souladu s vypořádáním zá</w:t>
      </w:r>
      <w:r w:rsidR="00CA7253">
        <w:rPr>
          <w:rFonts w:ascii="Arial" w:hAnsi="Arial"/>
        </w:rPr>
        <w:t>sadní připomínky č. 2 z tohoto S</w:t>
      </w:r>
      <w:r w:rsidR="00876B4F">
        <w:rPr>
          <w:rFonts w:ascii="Arial" w:hAnsi="Arial"/>
        </w:rPr>
        <w:t>tanoviska</w:t>
      </w:r>
      <w:r w:rsidR="00CA7253">
        <w:rPr>
          <w:rFonts w:ascii="Arial" w:hAnsi="Arial"/>
        </w:rPr>
        <w:t xml:space="preserve"> Rady</w:t>
      </w:r>
      <w:r w:rsidR="00876B4F">
        <w:rPr>
          <w:rFonts w:ascii="Arial" w:hAnsi="Arial"/>
        </w:rPr>
        <w:t>.</w:t>
      </w:r>
    </w:p>
    <w:p w:rsidR="00876B4F" w:rsidRDefault="00876B4F" w:rsidP="00F249A3">
      <w:pPr>
        <w:spacing w:after="120"/>
        <w:jc w:val="both"/>
        <w:rPr>
          <w:rFonts w:ascii="Arial" w:hAnsi="Arial"/>
        </w:rPr>
      </w:pPr>
      <w:r>
        <w:rPr>
          <w:rFonts w:ascii="Arial" w:hAnsi="Arial"/>
        </w:rPr>
        <w:t>Odůvodnění: K posouzení souladu návrhu Programu s </w:t>
      </w:r>
      <w:r w:rsidR="0058298B" w:rsidRPr="00BA3705">
        <w:rPr>
          <w:rFonts w:ascii="Arial" w:hAnsi="Arial" w:cs="Arial"/>
        </w:rPr>
        <w:t xml:space="preserve">NP </w:t>
      </w:r>
      <w:proofErr w:type="spellStart"/>
      <w:r w:rsidR="0058298B" w:rsidRPr="00BA3705">
        <w:rPr>
          <w:rFonts w:ascii="Arial" w:hAnsi="Arial" w:cs="Arial"/>
        </w:rPr>
        <w:t>VaVaI</w:t>
      </w:r>
      <w:proofErr w:type="spellEnd"/>
      <w:r w:rsidR="0058298B" w:rsidRPr="00BA3705">
        <w:rPr>
          <w:rFonts w:ascii="Arial" w:hAnsi="Arial" w:cs="Arial"/>
        </w:rPr>
        <w:t xml:space="preserve"> 2021+</w:t>
      </w:r>
      <w:r w:rsidR="0058298B">
        <w:rPr>
          <w:rFonts w:ascii="Arial" w:hAnsi="Arial"/>
        </w:rPr>
        <w:t xml:space="preserve"> je třeba, aby </w:t>
      </w:r>
      <w:r>
        <w:rPr>
          <w:rFonts w:ascii="Arial" w:hAnsi="Arial"/>
        </w:rPr>
        <w:t>text Programu obsahoval vazbu na konkrétní cíle politiky.</w:t>
      </w:r>
    </w:p>
    <w:p w:rsidR="00037378" w:rsidRDefault="00037378" w:rsidP="00F249A3">
      <w:pPr>
        <w:spacing w:after="120"/>
        <w:jc w:val="both"/>
        <w:rPr>
          <w:rFonts w:ascii="Arial" w:hAnsi="Arial"/>
        </w:rPr>
      </w:pPr>
    </w:p>
    <w:p w:rsidR="00037378" w:rsidRPr="003B4292" w:rsidRDefault="00037378" w:rsidP="006553A0">
      <w:pPr>
        <w:pStyle w:val="Odstavecseseznamem"/>
        <w:numPr>
          <w:ilvl w:val="0"/>
          <w:numId w:val="32"/>
        </w:numPr>
        <w:spacing w:after="120"/>
        <w:jc w:val="both"/>
        <w:rPr>
          <w:rFonts w:ascii="Arial" w:hAnsi="Arial"/>
          <w:b/>
        </w:rPr>
      </w:pPr>
      <w:r w:rsidRPr="003B4292">
        <w:rPr>
          <w:rFonts w:ascii="Arial" w:hAnsi="Arial"/>
          <w:b/>
        </w:rPr>
        <w:t xml:space="preserve">Zásadní připomínka </w:t>
      </w:r>
    </w:p>
    <w:p w:rsidR="00037378" w:rsidRPr="003B4292" w:rsidRDefault="003B4292" w:rsidP="003B4292">
      <w:pPr>
        <w:spacing w:after="120"/>
        <w:jc w:val="both"/>
        <w:rPr>
          <w:rFonts w:ascii="Arial" w:hAnsi="Arial"/>
          <w:u w:val="single"/>
        </w:rPr>
      </w:pPr>
      <w:r w:rsidRPr="003B4292">
        <w:rPr>
          <w:rFonts w:ascii="Arial" w:hAnsi="Arial"/>
          <w:u w:val="single"/>
        </w:rPr>
        <w:t>K navrhovanému rozpočtu Programu</w:t>
      </w:r>
      <w:r>
        <w:rPr>
          <w:rFonts w:ascii="Arial" w:hAnsi="Arial"/>
          <w:u w:val="single"/>
        </w:rPr>
        <w:t>:</w:t>
      </w:r>
    </w:p>
    <w:p w:rsidR="00A42345" w:rsidRDefault="00037378" w:rsidP="003B4292">
      <w:pPr>
        <w:spacing w:after="120"/>
        <w:jc w:val="both"/>
        <w:rPr>
          <w:rFonts w:ascii="Arial" w:hAnsi="Arial"/>
        </w:rPr>
      </w:pPr>
      <w:r w:rsidRPr="005A6DF7">
        <w:rPr>
          <w:rFonts w:ascii="Arial" w:hAnsi="Arial"/>
        </w:rPr>
        <w:t>Rada upozorňuje</w:t>
      </w:r>
      <w:r w:rsidR="003B4292" w:rsidRPr="005A6DF7">
        <w:rPr>
          <w:rFonts w:ascii="Arial" w:hAnsi="Arial"/>
        </w:rPr>
        <w:t>,</w:t>
      </w:r>
      <w:r w:rsidRPr="005A6DF7">
        <w:rPr>
          <w:rFonts w:ascii="Arial" w:hAnsi="Arial"/>
        </w:rPr>
        <w:t xml:space="preserve"> </w:t>
      </w:r>
      <w:r w:rsidR="003B4292" w:rsidRPr="005A6DF7">
        <w:rPr>
          <w:rFonts w:ascii="Arial" w:hAnsi="Arial"/>
        </w:rPr>
        <w:t>ž</w:t>
      </w:r>
      <w:r w:rsidRPr="005A6DF7">
        <w:rPr>
          <w:rFonts w:ascii="Arial" w:hAnsi="Arial"/>
        </w:rPr>
        <w:t xml:space="preserve">e </w:t>
      </w:r>
      <w:r w:rsidR="005A6DF7">
        <w:rPr>
          <w:rFonts w:ascii="Arial" w:hAnsi="Arial"/>
        </w:rPr>
        <w:t>naplnění cílů P</w:t>
      </w:r>
      <w:r w:rsidRPr="005A6DF7">
        <w:rPr>
          <w:rFonts w:ascii="Arial" w:hAnsi="Arial"/>
        </w:rPr>
        <w:t>rogramu a dodržení nastavených indikátorů může být negativně ovlivněno možnostmi státního rozpočtu</w:t>
      </w:r>
      <w:r w:rsidR="00A42345">
        <w:rPr>
          <w:rFonts w:ascii="Arial" w:hAnsi="Arial"/>
        </w:rPr>
        <w:t>,</w:t>
      </w:r>
      <w:r w:rsidRPr="005A6DF7">
        <w:rPr>
          <w:rFonts w:ascii="Arial" w:hAnsi="Arial"/>
        </w:rPr>
        <w:t xml:space="preserve"> </w:t>
      </w:r>
      <w:r w:rsidR="00A42345">
        <w:rPr>
          <w:rFonts w:ascii="Arial" w:hAnsi="Arial"/>
        </w:rPr>
        <w:t>protože s</w:t>
      </w:r>
      <w:r w:rsidR="00A42345">
        <w:rPr>
          <w:rFonts w:ascii="Arial" w:eastAsiaTheme="minorHAnsi" w:hAnsi="Arial" w:cs="Arial"/>
          <w:bCs/>
          <w:lang w:eastAsia="en-US"/>
        </w:rPr>
        <w:t xml:space="preserve">chválení </w:t>
      </w:r>
      <w:r w:rsidR="00A42345">
        <w:rPr>
          <w:rFonts w:ascii="Arial" w:eastAsiaTheme="minorHAnsi" w:hAnsi="Arial" w:cs="Arial"/>
          <w:bCs/>
          <w:lang w:eastAsia="en-US"/>
        </w:rPr>
        <w:lastRenderedPageBreak/>
        <w:t>Programu vládou nezakládá automaticky nárok na jeho financování ze státního rozpočtu v objemech navržených v Programu.</w:t>
      </w:r>
      <w:r w:rsidR="00A42345" w:rsidRPr="005A6DF7">
        <w:rPr>
          <w:rFonts w:ascii="Arial" w:hAnsi="Arial"/>
        </w:rPr>
        <w:t xml:space="preserve"> </w:t>
      </w:r>
    </w:p>
    <w:p w:rsidR="00294362" w:rsidRPr="005A6DF7" w:rsidRDefault="00037378" w:rsidP="003B4292">
      <w:pPr>
        <w:spacing w:after="120"/>
        <w:jc w:val="both"/>
        <w:rPr>
          <w:rFonts w:ascii="Arial" w:hAnsi="Arial"/>
        </w:rPr>
      </w:pPr>
      <w:r w:rsidRPr="005A6DF7">
        <w:rPr>
          <w:rFonts w:ascii="Arial" w:hAnsi="Arial"/>
        </w:rPr>
        <w:t>Rad</w:t>
      </w:r>
      <w:r w:rsidR="003B4292" w:rsidRPr="005A6DF7">
        <w:rPr>
          <w:rFonts w:ascii="Arial" w:hAnsi="Arial"/>
        </w:rPr>
        <w:t>a</w:t>
      </w:r>
      <w:r w:rsidRPr="005A6DF7">
        <w:rPr>
          <w:rFonts w:ascii="Arial" w:hAnsi="Arial"/>
        </w:rPr>
        <w:t xml:space="preserve"> v</w:t>
      </w:r>
      <w:r w:rsidR="003B4292" w:rsidRPr="005A6DF7">
        <w:rPr>
          <w:rFonts w:ascii="Arial" w:hAnsi="Arial"/>
        </w:rPr>
        <w:t>e</w:t>
      </w:r>
      <w:r w:rsidRPr="005A6DF7">
        <w:rPr>
          <w:rFonts w:ascii="Arial" w:hAnsi="Arial"/>
        </w:rPr>
        <w:t xml:space="preserve"> svém návrhu rozpočtu </w:t>
      </w:r>
      <w:proofErr w:type="spellStart"/>
      <w:r w:rsidRPr="005A6DF7">
        <w:rPr>
          <w:rFonts w:ascii="Arial" w:hAnsi="Arial"/>
        </w:rPr>
        <w:t>VaVaI</w:t>
      </w:r>
      <w:proofErr w:type="spellEnd"/>
      <w:r w:rsidRPr="005A6DF7">
        <w:rPr>
          <w:rFonts w:ascii="Arial" w:hAnsi="Arial"/>
        </w:rPr>
        <w:t xml:space="preserve"> navrhla pro </w:t>
      </w:r>
      <w:r w:rsidR="00294362" w:rsidRPr="005A6DF7">
        <w:rPr>
          <w:rFonts w:ascii="Arial" w:hAnsi="Arial"/>
        </w:rPr>
        <w:t>tento program financování až od roku 2025</w:t>
      </w:r>
      <w:r w:rsidR="005A6DF7">
        <w:rPr>
          <w:rFonts w:ascii="Arial" w:hAnsi="Arial"/>
        </w:rPr>
        <w:t>,</w:t>
      </w:r>
      <w:r w:rsidR="00294362" w:rsidRPr="005A6DF7">
        <w:rPr>
          <w:rFonts w:ascii="Arial" w:hAnsi="Arial"/>
        </w:rPr>
        <w:t xml:space="preserve"> a to ve výši 700 mil. Kč. Návrh Rady </w:t>
      </w:r>
      <w:r w:rsidR="003B4292" w:rsidRPr="005A6DF7">
        <w:rPr>
          <w:rFonts w:ascii="Arial" w:hAnsi="Arial"/>
        </w:rPr>
        <w:t xml:space="preserve">byl </w:t>
      </w:r>
      <w:r w:rsidR="00294362" w:rsidRPr="005A6DF7">
        <w:rPr>
          <w:rFonts w:ascii="Arial" w:hAnsi="Arial"/>
        </w:rPr>
        <w:t>však vládou vzat pouze na vědomí</w:t>
      </w:r>
      <w:r w:rsidR="003B4292" w:rsidRPr="005A6DF7">
        <w:rPr>
          <w:rFonts w:ascii="Arial" w:hAnsi="Arial"/>
        </w:rPr>
        <w:t xml:space="preserve">, a </w:t>
      </w:r>
      <w:r w:rsidR="00294362" w:rsidRPr="005A6DF7">
        <w:rPr>
          <w:rFonts w:ascii="Arial" w:hAnsi="Arial"/>
        </w:rPr>
        <w:t xml:space="preserve">to </w:t>
      </w:r>
      <w:r w:rsidRPr="005A6DF7">
        <w:rPr>
          <w:rFonts w:ascii="Arial" w:hAnsi="Arial"/>
        </w:rPr>
        <w:t xml:space="preserve">Usnesením vlády </w:t>
      </w:r>
      <w:proofErr w:type="gramStart"/>
      <w:r w:rsidRPr="005A6DF7">
        <w:rPr>
          <w:rFonts w:ascii="Arial" w:hAnsi="Arial"/>
        </w:rPr>
        <w:t xml:space="preserve">ze </w:t>
      </w:r>
      <w:r w:rsidR="003B4292" w:rsidRPr="005A6DF7">
        <w:rPr>
          <w:rFonts w:ascii="Arial" w:hAnsi="Arial"/>
        </w:rPr>
        <w:t xml:space="preserve"> dne</w:t>
      </w:r>
      <w:proofErr w:type="gramEnd"/>
      <w:r w:rsidR="003B4292" w:rsidRPr="005A6DF7">
        <w:rPr>
          <w:rFonts w:ascii="Arial" w:hAnsi="Arial"/>
        </w:rPr>
        <w:t xml:space="preserve"> 1. </w:t>
      </w:r>
      <w:r w:rsidRPr="005A6DF7">
        <w:rPr>
          <w:rFonts w:ascii="Arial" w:hAnsi="Arial"/>
        </w:rPr>
        <w:t>června 2022 č. 452</w:t>
      </w:r>
      <w:r w:rsidR="00294362" w:rsidRPr="005A6DF7">
        <w:rPr>
          <w:rFonts w:ascii="Arial" w:hAnsi="Arial"/>
        </w:rPr>
        <w:t xml:space="preserve">. Vládou aktuálně schválené střednědobé rozpočtové výhledy </w:t>
      </w:r>
      <w:r w:rsidR="003B4292" w:rsidRPr="005A6DF7">
        <w:rPr>
          <w:rFonts w:ascii="Arial" w:hAnsi="Arial"/>
        </w:rPr>
        <w:t>TA ČR</w:t>
      </w:r>
      <w:r w:rsidR="00294362" w:rsidRPr="005A6DF7">
        <w:rPr>
          <w:rFonts w:ascii="Arial" w:hAnsi="Arial"/>
        </w:rPr>
        <w:t xml:space="preserve"> pro roky 2024 a 2025 jsou v ukazateli účelové podpo</w:t>
      </w:r>
      <w:r w:rsidR="003B4292" w:rsidRPr="005A6DF7">
        <w:rPr>
          <w:rFonts w:ascii="Arial" w:hAnsi="Arial"/>
        </w:rPr>
        <w:t>ry</w:t>
      </w:r>
      <w:r w:rsidR="00294362" w:rsidRPr="005A6DF7">
        <w:rPr>
          <w:rFonts w:ascii="Arial" w:hAnsi="Arial"/>
        </w:rPr>
        <w:t xml:space="preserve"> výrazně nižší, než byl původní návrh Rady. Z uvedených důvodů bude třeba přednostně financovat závazky z vládou schválených běžících programů. </w:t>
      </w:r>
    </w:p>
    <w:p w:rsidR="007F4462" w:rsidRPr="005A6DF7" w:rsidRDefault="00294362" w:rsidP="003B4292">
      <w:pPr>
        <w:spacing w:after="120"/>
        <w:jc w:val="both"/>
        <w:rPr>
          <w:rFonts w:ascii="Arial" w:hAnsi="Arial"/>
        </w:rPr>
      </w:pPr>
      <w:r w:rsidRPr="005A6DF7">
        <w:rPr>
          <w:rFonts w:ascii="Arial" w:hAnsi="Arial"/>
        </w:rPr>
        <w:t>V rámci přípravy návrhu rozpočtu je třeba vzít v potaz reálnost navýšení celkových výdajů kapitoly TA</w:t>
      </w:r>
      <w:r w:rsidR="003B4292" w:rsidRPr="005A6DF7">
        <w:rPr>
          <w:rFonts w:ascii="Arial" w:hAnsi="Arial"/>
        </w:rPr>
        <w:t xml:space="preserve"> </w:t>
      </w:r>
      <w:r w:rsidRPr="005A6DF7">
        <w:rPr>
          <w:rFonts w:ascii="Arial" w:hAnsi="Arial"/>
        </w:rPr>
        <w:t>ČR na roky 2024 a následující, zejm. s ohledem na závazky ostatních poskytovatelů účelové podpory</w:t>
      </w:r>
      <w:r w:rsidR="007F4462" w:rsidRPr="005A6DF7">
        <w:rPr>
          <w:rFonts w:ascii="Arial" w:hAnsi="Arial"/>
        </w:rPr>
        <w:t>. Dále je při p</w:t>
      </w:r>
      <w:r w:rsidR="005A6DF7">
        <w:rPr>
          <w:rFonts w:ascii="Arial" w:hAnsi="Arial"/>
        </w:rPr>
        <w:t>řípravě rozpočtu na roky 2024 a </w:t>
      </w:r>
      <w:r w:rsidR="007F4462" w:rsidRPr="005A6DF7">
        <w:rPr>
          <w:rFonts w:ascii="Arial" w:hAnsi="Arial"/>
        </w:rPr>
        <w:t xml:space="preserve">následující nutno zajistit financování závazků z usnesení vlády </w:t>
      </w:r>
      <w:r w:rsidR="005A6DF7">
        <w:rPr>
          <w:rFonts w:ascii="Arial" w:hAnsi="Arial"/>
        </w:rPr>
        <w:t>ze dne 14. </w:t>
      </w:r>
      <w:r w:rsidR="007F4462" w:rsidRPr="005A6DF7">
        <w:rPr>
          <w:rFonts w:ascii="Arial" w:hAnsi="Arial"/>
        </w:rPr>
        <w:t>prosince 2022 č. 1043. TA</w:t>
      </w:r>
      <w:r w:rsidR="005A6DF7">
        <w:rPr>
          <w:rFonts w:ascii="Arial" w:hAnsi="Arial"/>
        </w:rPr>
        <w:t xml:space="preserve"> </w:t>
      </w:r>
      <w:r w:rsidR="007F4462" w:rsidRPr="005A6DF7">
        <w:rPr>
          <w:rFonts w:ascii="Arial" w:hAnsi="Arial"/>
        </w:rPr>
        <w:t>ČR uvádí, že pro fina</w:t>
      </w:r>
      <w:r w:rsidR="005A6DF7">
        <w:rPr>
          <w:rFonts w:ascii="Arial" w:hAnsi="Arial"/>
        </w:rPr>
        <w:t>ncování projektů v roce 2024 (z </w:t>
      </w:r>
      <w:r w:rsidR="007F4462" w:rsidRPr="005A6DF7">
        <w:rPr>
          <w:rFonts w:ascii="Arial" w:hAnsi="Arial"/>
        </w:rPr>
        <w:t>veřejné soutěže roku 2023) budou využity prostředky Technologické agentury ČR, nicméně je třeba v rámci rozpočtových jednání mezi Radou a TA</w:t>
      </w:r>
      <w:r w:rsidR="005A6DF7">
        <w:rPr>
          <w:rFonts w:ascii="Arial" w:hAnsi="Arial"/>
        </w:rPr>
        <w:t xml:space="preserve"> </w:t>
      </w:r>
      <w:r w:rsidR="007F4462" w:rsidRPr="005A6DF7">
        <w:rPr>
          <w:rFonts w:ascii="Arial" w:hAnsi="Arial"/>
        </w:rPr>
        <w:t>ČR při přípravě návrhu rozpočtu 2024+ vyjasnit</w:t>
      </w:r>
      <w:r w:rsidR="005A6DF7">
        <w:rPr>
          <w:rFonts w:ascii="Arial" w:hAnsi="Arial"/>
        </w:rPr>
        <w:t>,</w:t>
      </w:r>
      <w:r w:rsidR="007F4462" w:rsidRPr="005A6DF7">
        <w:rPr>
          <w:rFonts w:ascii="Arial" w:hAnsi="Arial"/>
        </w:rPr>
        <w:t xml:space="preserve"> zda tímto postupem nedojde k ohrožení financování jiných programů, s ohledem na disproporce mezi aktuálními schválenými </w:t>
      </w:r>
      <w:r w:rsidR="005A6DF7">
        <w:rPr>
          <w:rFonts w:ascii="Arial" w:hAnsi="Arial"/>
        </w:rPr>
        <w:t>střednědobými výhledy a </w:t>
      </w:r>
      <w:r w:rsidR="007F4462" w:rsidRPr="005A6DF7">
        <w:rPr>
          <w:rFonts w:ascii="Arial" w:hAnsi="Arial"/>
        </w:rPr>
        <w:t>návrhem Rady v letech 2024 a následujících.</w:t>
      </w:r>
    </w:p>
    <w:p w:rsidR="00037378" w:rsidRPr="006553A0" w:rsidRDefault="007F4462" w:rsidP="003B4292">
      <w:pPr>
        <w:spacing w:after="120"/>
        <w:jc w:val="both"/>
        <w:rPr>
          <w:rFonts w:ascii="Arial" w:hAnsi="Arial"/>
        </w:rPr>
      </w:pPr>
      <w:r w:rsidRPr="005A6DF7">
        <w:rPr>
          <w:rFonts w:ascii="Arial" w:hAnsi="Arial"/>
        </w:rPr>
        <w:t>Rada žádá TA</w:t>
      </w:r>
      <w:r w:rsidR="005A6DF7">
        <w:rPr>
          <w:rFonts w:ascii="Arial" w:hAnsi="Arial"/>
        </w:rPr>
        <w:t xml:space="preserve"> </w:t>
      </w:r>
      <w:r w:rsidRPr="005A6DF7">
        <w:rPr>
          <w:rFonts w:ascii="Arial" w:hAnsi="Arial"/>
        </w:rPr>
        <w:t>ČR, aby garantovala, že finančním kr</w:t>
      </w:r>
      <w:r w:rsidR="005A6DF7">
        <w:rPr>
          <w:rFonts w:ascii="Arial" w:hAnsi="Arial"/>
        </w:rPr>
        <w:t>ytím P</w:t>
      </w:r>
      <w:r w:rsidRPr="005A6DF7">
        <w:rPr>
          <w:rFonts w:ascii="Arial" w:hAnsi="Arial"/>
        </w:rPr>
        <w:t>rogramu v roce 202</w:t>
      </w:r>
      <w:r w:rsidR="0017542C" w:rsidRPr="005A6DF7">
        <w:rPr>
          <w:rFonts w:ascii="Arial" w:hAnsi="Arial"/>
        </w:rPr>
        <w:t>4 nedojde k ohrožení ostatních vládou schválených programů účelové podpory. Současně žádá TA</w:t>
      </w:r>
      <w:r w:rsidR="005A6DF7">
        <w:rPr>
          <w:rFonts w:ascii="Arial" w:hAnsi="Arial"/>
        </w:rPr>
        <w:t xml:space="preserve"> ČR, aby do schválení P</w:t>
      </w:r>
      <w:r w:rsidR="0017542C" w:rsidRPr="005A6DF7">
        <w:rPr>
          <w:rFonts w:ascii="Arial" w:hAnsi="Arial"/>
        </w:rPr>
        <w:t>rogramu vládou bylo vyjasněno s</w:t>
      </w:r>
      <w:r w:rsidR="005A6DF7">
        <w:rPr>
          <w:rFonts w:ascii="Arial" w:hAnsi="Arial"/>
        </w:rPr>
        <w:t> </w:t>
      </w:r>
      <w:r w:rsidR="0017542C" w:rsidRPr="005A6DF7">
        <w:rPr>
          <w:rFonts w:ascii="Arial" w:hAnsi="Arial"/>
        </w:rPr>
        <w:t>Radou</w:t>
      </w:r>
      <w:r w:rsidR="005A6DF7">
        <w:rPr>
          <w:rFonts w:ascii="Arial" w:hAnsi="Arial"/>
        </w:rPr>
        <w:t>, jak bude postupováno ve financování P</w:t>
      </w:r>
      <w:r w:rsidR="0017542C" w:rsidRPr="005A6DF7">
        <w:rPr>
          <w:rFonts w:ascii="Arial" w:hAnsi="Arial"/>
        </w:rPr>
        <w:t xml:space="preserve">rogramu v případě, </w:t>
      </w:r>
      <w:r w:rsidR="005A6DF7">
        <w:rPr>
          <w:rFonts w:ascii="Arial" w:hAnsi="Arial"/>
        </w:rPr>
        <w:t>pokud</w:t>
      </w:r>
      <w:r w:rsidR="0017542C" w:rsidRPr="005A6DF7">
        <w:rPr>
          <w:rFonts w:ascii="Arial" w:hAnsi="Arial"/>
        </w:rPr>
        <w:t xml:space="preserve"> nedojde k navýšení střednědobých výhledů TA</w:t>
      </w:r>
      <w:r w:rsidR="005A6DF7">
        <w:rPr>
          <w:rFonts w:ascii="Arial" w:hAnsi="Arial"/>
        </w:rPr>
        <w:t xml:space="preserve"> </w:t>
      </w:r>
      <w:r w:rsidR="0017542C" w:rsidRPr="005A6DF7">
        <w:rPr>
          <w:rFonts w:ascii="Arial" w:hAnsi="Arial"/>
        </w:rPr>
        <w:t>ČR v letech 2025 a 2026.</w:t>
      </w:r>
      <w:r w:rsidR="0017542C">
        <w:rPr>
          <w:rFonts w:ascii="Arial" w:hAnsi="Arial"/>
        </w:rPr>
        <w:t xml:space="preserve"> </w:t>
      </w:r>
    </w:p>
    <w:p w:rsidR="00CF1A5D" w:rsidRDefault="00CF1A5D" w:rsidP="000D29F5">
      <w:pPr>
        <w:pStyle w:val="Normalodsazen"/>
        <w:spacing w:after="120" w:line="240" w:lineRule="auto"/>
        <w:ind w:left="720" w:firstLine="0"/>
        <w:rPr>
          <w:b/>
          <w:color w:val="0070C0"/>
          <w:sz w:val="24"/>
        </w:rPr>
      </w:pPr>
    </w:p>
    <w:p w:rsidR="00A251E5" w:rsidRPr="00FC7E67" w:rsidRDefault="00A251E5" w:rsidP="00F32836">
      <w:pPr>
        <w:pStyle w:val="Normalodsazen"/>
        <w:spacing w:after="120" w:line="240" w:lineRule="auto"/>
        <w:ind w:left="426" w:firstLine="0"/>
        <w:rPr>
          <w:b/>
          <w:color w:val="0070C0"/>
          <w:sz w:val="24"/>
        </w:rPr>
      </w:pPr>
      <w:r w:rsidRPr="00FC7E67">
        <w:rPr>
          <w:b/>
          <w:color w:val="0070C0"/>
          <w:sz w:val="24"/>
        </w:rPr>
        <w:t>Závěr</w:t>
      </w:r>
    </w:p>
    <w:p w:rsidR="00FF704B" w:rsidRPr="002031B5" w:rsidRDefault="00FF704B" w:rsidP="000D29F5">
      <w:pPr>
        <w:pStyle w:val="Zkladntext2"/>
        <w:keepNext/>
        <w:spacing w:after="120"/>
        <w:jc w:val="both"/>
        <w:rPr>
          <w:rFonts w:ascii="Arial" w:hAnsi="Arial"/>
          <w:szCs w:val="24"/>
        </w:rPr>
      </w:pPr>
      <w:r w:rsidRPr="00FC7E67">
        <w:rPr>
          <w:rFonts w:ascii="Arial" w:hAnsi="Arial" w:cs="Arial"/>
          <w:szCs w:val="24"/>
        </w:rPr>
        <w:t xml:space="preserve">Rada </w:t>
      </w:r>
    </w:p>
    <w:p w:rsidR="009C59EE" w:rsidRPr="008733B5" w:rsidRDefault="002031B5" w:rsidP="00816758">
      <w:pPr>
        <w:pStyle w:val="Odstavecseseznamem"/>
        <w:numPr>
          <w:ilvl w:val="0"/>
          <w:numId w:val="12"/>
        </w:numPr>
        <w:jc w:val="both"/>
        <w:rPr>
          <w:rFonts w:ascii="Arial" w:hAnsi="Arial"/>
        </w:rPr>
      </w:pPr>
      <w:r w:rsidRPr="008733B5">
        <w:rPr>
          <w:rFonts w:ascii="Arial" w:hAnsi="Arial"/>
        </w:rPr>
        <w:t>ž</w:t>
      </w:r>
      <w:r w:rsidR="009C59EE" w:rsidRPr="008733B5">
        <w:rPr>
          <w:rFonts w:ascii="Arial" w:hAnsi="Arial"/>
        </w:rPr>
        <w:t>ádá TA</w:t>
      </w:r>
      <w:r w:rsidRPr="008733B5">
        <w:rPr>
          <w:rFonts w:ascii="Arial" w:hAnsi="Arial"/>
        </w:rPr>
        <w:t xml:space="preserve"> </w:t>
      </w:r>
      <w:r w:rsidR="009C59EE" w:rsidRPr="008733B5">
        <w:rPr>
          <w:rFonts w:ascii="Arial" w:hAnsi="Arial"/>
        </w:rPr>
        <w:t xml:space="preserve">ČR </w:t>
      </w:r>
      <w:r w:rsidRPr="008733B5">
        <w:rPr>
          <w:rFonts w:ascii="Arial" w:hAnsi="Arial"/>
        </w:rPr>
        <w:t xml:space="preserve">o </w:t>
      </w:r>
      <w:r w:rsidR="009C59EE" w:rsidRPr="008733B5">
        <w:rPr>
          <w:rFonts w:ascii="Arial" w:hAnsi="Arial"/>
        </w:rPr>
        <w:t xml:space="preserve">zpracování připomínek </w:t>
      </w:r>
      <w:r w:rsidRPr="008733B5">
        <w:rPr>
          <w:rFonts w:ascii="Arial" w:hAnsi="Arial"/>
        </w:rPr>
        <w:t xml:space="preserve">uvedených v části 9) a v části 10) tohoto Stanoviska </w:t>
      </w:r>
      <w:r w:rsidR="009C59EE" w:rsidRPr="008733B5">
        <w:rPr>
          <w:rFonts w:ascii="Arial" w:hAnsi="Arial"/>
        </w:rPr>
        <w:t xml:space="preserve">k programu </w:t>
      </w:r>
      <w:r w:rsidRPr="008733B5">
        <w:rPr>
          <w:rFonts w:ascii="Arial" w:hAnsi="Arial"/>
        </w:rPr>
        <w:t xml:space="preserve">THÉTA 2 </w:t>
      </w:r>
      <w:r w:rsidR="009C59EE" w:rsidRPr="008733B5">
        <w:rPr>
          <w:rFonts w:ascii="Arial" w:hAnsi="Arial"/>
        </w:rPr>
        <w:t xml:space="preserve">a zaslání upraveného návrhu programu předsednictvu Rady k projednání v termínu </w:t>
      </w:r>
      <w:r w:rsidR="00816758" w:rsidRPr="008733B5">
        <w:rPr>
          <w:rFonts w:ascii="Arial" w:hAnsi="Arial"/>
        </w:rPr>
        <w:t>do 6. února</w:t>
      </w:r>
      <w:r w:rsidR="009C59EE" w:rsidRPr="008733B5">
        <w:rPr>
          <w:rFonts w:ascii="Arial" w:hAnsi="Arial"/>
        </w:rPr>
        <w:t xml:space="preserve"> 2023</w:t>
      </w:r>
      <w:r w:rsidRPr="008733B5">
        <w:rPr>
          <w:rFonts w:ascii="Arial" w:hAnsi="Arial"/>
        </w:rPr>
        <w:t>.</w:t>
      </w:r>
    </w:p>
    <w:p w:rsidR="00FC7E67" w:rsidRDefault="00FC7E67" w:rsidP="00603DDE">
      <w:pPr>
        <w:pStyle w:val="Zkladntext2"/>
        <w:spacing w:after="120"/>
        <w:jc w:val="both"/>
        <w:rPr>
          <w:rFonts w:ascii="Arial" w:hAnsi="Arial" w:cs="Arial"/>
        </w:rPr>
      </w:pPr>
    </w:p>
    <w:p w:rsidR="00FF704B" w:rsidRPr="00FC7E67" w:rsidRDefault="00FF704B" w:rsidP="000D29F5">
      <w:pPr>
        <w:pStyle w:val="Zkladntext2"/>
        <w:spacing w:after="120"/>
        <w:jc w:val="both"/>
        <w:rPr>
          <w:rFonts w:ascii="Arial" w:hAnsi="Arial" w:cs="Arial"/>
          <w:szCs w:val="24"/>
        </w:rPr>
      </w:pPr>
      <w:r w:rsidRPr="00FC7E67">
        <w:rPr>
          <w:rFonts w:ascii="Arial" w:hAnsi="Arial" w:cs="Arial"/>
        </w:rPr>
        <w:t xml:space="preserve">Praha </w:t>
      </w:r>
      <w:r w:rsidR="00FC7E67">
        <w:rPr>
          <w:rFonts w:ascii="Arial" w:hAnsi="Arial" w:cs="Arial"/>
        </w:rPr>
        <w:t xml:space="preserve">dne </w:t>
      </w:r>
      <w:r w:rsidR="002031B5">
        <w:rPr>
          <w:rFonts w:ascii="Arial" w:hAnsi="Arial" w:cs="Arial"/>
        </w:rPr>
        <w:t>13</w:t>
      </w:r>
      <w:r w:rsidR="00FC7E67">
        <w:rPr>
          <w:rFonts w:ascii="Arial" w:hAnsi="Arial" w:cs="Arial"/>
        </w:rPr>
        <w:t>.</w:t>
      </w:r>
      <w:r w:rsidRPr="00FC7E67">
        <w:rPr>
          <w:rFonts w:ascii="Arial" w:hAnsi="Arial" w:cs="Arial"/>
        </w:rPr>
        <w:t xml:space="preserve"> </w:t>
      </w:r>
      <w:r w:rsidR="00907065" w:rsidRPr="00FC7E67">
        <w:rPr>
          <w:rFonts w:ascii="Arial" w:hAnsi="Arial" w:cs="Arial"/>
        </w:rPr>
        <w:t>l</w:t>
      </w:r>
      <w:r w:rsidR="00E400DF">
        <w:rPr>
          <w:rFonts w:ascii="Arial" w:hAnsi="Arial" w:cs="Arial"/>
        </w:rPr>
        <w:t>edna</w:t>
      </w:r>
      <w:r w:rsidR="00907065" w:rsidRPr="00FC7E67">
        <w:rPr>
          <w:rFonts w:ascii="Arial" w:hAnsi="Arial" w:cs="Arial"/>
        </w:rPr>
        <w:t xml:space="preserve"> </w:t>
      </w:r>
      <w:r w:rsidRPr="00FC7E67">
        <w:rPr>
          <w:rFonts w:ascii="Arial" w:hAnsi="Arial" w:cs="Arial"/>
        </w:rPr>
        <w:t>20</w:t>
      </w:r>
      <w:r w:rsidR="00331372" w:rsidRPr="00FC7E67">
        <w:rPr>
          <w:rFonts w:ascii="Arial" w:hAnsi="Arial" w:cs="Arial"/>
        </w:rPr>
        <w:t>2</w:t>
      </w:r>
      <w:r w:rsidR="00E400DF">
        <w:rPr>
          <w:rFonts w:ascii="Arial" w:hAnsi="Arial" w:cs="Arial"/>
        </w:rPr>
        <w:t>3</w:t>
      </w:r>
    </w:p>
    <w:sectPr w:rsidR="00FF704B" w:rsidRPr="00FC7E67" w:rsidSect="00331372">
      <w:headerReference w:type="even" r:id="rId9"/>
      <w:headerReference w:type="default" r:id="rId10"/>
      <w:footerReference w:type="even" r:id="rId11"/>
      <w:footerReference w:type="default" r:id="rId12"/>
      <w:headerReference w:type="first" r:id="rId13"/>
      <w:footerReference w:type="first" r:id="rId14"/>
      <w:pgSz w:w="11906" w:h="16838"/>
      <w:pgMar w:top="1268"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06DC" w:rsidRDefault="00FA06DC" w:rsidP="008F77F6">
      <w:r>
        <w:separator/>
      </w:r>
    </w:p>
  </w:endnote>
  <w:endnote w:type="continuationSeparator" w:id="0">
    <w:p w:rsidR="00FA06DC" w:rsidRDefault="00FA06DC" w:rsidP="008F77F6">
      <w:r>
        <w:continuationSeparator/>
      </w:r>
    </w:p>
  </w:endnote>
  <w:endnote w:type="continuationNotice" w:id="1">
    <w:p w:rsidR="00FA06DC" w:rsidRDefault="00FA06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EE"/>
    <w:family w:val="modern"/>
    <w:pitch w:val="fixed"/>
    <w:sig w:usb0="20002A87" w:usb1="00000000" w:usb2="00000000"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EE"/>
    <w:family w:val="auto"/>
    <w:notTrueType/>
    <w:pitch w:val="default"/>
    <w:sig w:usb0="00000005" w:usb1="00000000" w:usb2="00000000" w:usb3="00000000" w:csb0="00000002" w:csb1="00000000"/>
  </w:font>
  <w:font w:name="Arial-BoldMT">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98E" w:rsidRDefault="0001198E">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55E9D" w:rsidRPr="00CC370F" w:rsidRDefault="00FA06DC" w:rsidP="008A46A9">
    <w:pPr>
      <w:pStyle w:val="Zpat"/>
      <w:jc w:val="right"/>
      <w:rPr>
        <w:rFonts w:ascii="Arial" w:hAnsi="Arial" w:cs="Arial"/>
        <w:sz w:val="18"/>
        <w:szCs w:val="18"/>
      </w:rPr>
    </w:pPr>
    <w:sdt>
      <w:sdtPr>
        <w:rPr>
          <w:rFonts w:ascii="Arial" w:hAnsi="Arial" w:cs="Arial"/>
          <w:sz w:val="18"/>
          <w:szCs w:val="18"/>
        </w:rPr>
        <w:id w:val="1547331835"/>
        <w:docPartObj>
          <w:docPartGallery w:val="Page Numbers (Bottom of Page)"/>
          <w:docPartUnique/>
        </w:docPartObj>
      </w:sdtPr>
      <w:sdtEndPr/>
      <w:sdtContent>
        <w:r w:rsidR="00355E9D">
          <w:rPr>
            <w:rFonts w:ascii="Arial" w:hAnsi="Arial" w:cs="Arial"/>
            <w:sz w:val="18"/>
            <w:szCs w:val="18"/>
          </w:rPr>
          <w:t xml:space="preserve">                                   </w:t>
        </w:r>
        <w:r w:rsidR="00355E9D" w:rsidRPr="00CC370F">
          <w:rPr>
            <w:rFonts w:ascii="Arial" w:hAnsi="Arial" w:cs="Arial"/>
            <w:sz w:val="18"/>
            <w:szCs w:val="18"/>
          </w:rPr>
          <w:fldChar w:fldCharType="begin"/>
        </w:r>
        <w:r w:rsidR="00355E9D" w:rsidRPr="00CC370F">
          <w:rPr>
            <w:rFonts w:ascii="Arial" w:hAnsi="Arial" w:cs="Arial"/>
            <w:sz w:val="18"/>
            <w:szCs w:val="18"/>
          </w:rPr>
          <w:instrText>PAGE   \* MERGEFORMAT</w:instrText>
        </w:r>
        <w:r w:rsidR="00355E9D" w:rsidRPr="00CC370F">
          <w:rPr>
            <w:rFonts w:ascii="Arial" w:hAnsi="Arial" w:cs="Arial"/>
            <w:sz w:val="18"/>
            <w:szCs w:val="18"/>
          </w:rPr>
          <w:fldChar w:fldCharType="separate"/>
        </w:r>
        <w:r w:rsidR="0001198E">
          <w:rPr>
            <w:rFonts w:ascii="Arial" w:hAnsi="Arial" w:cs="Arial"/>
            <w:noProof/>
            <w:sz w:val="18"/>
            <w:szCs w:val="18"/>
          </w:rPr>
          <w:t>9</w:t>
        </w:r>
        <w:r w:rsidR="00355E9D" w:rsidRPr="00CC370F">
          <w:rPr>
            <w:rFonts w:ascii="Arial" w:hAnsi="Arial" w:cs="Arial"/>
            <w:sz w:val="18"/>
            <w:szCs w:val="18"/>
          </w:rPr>
          <w:fldChar w:fldCharType="end"/>
        </w:r>
        <w:r w:rsidR="00355E9D" w:rsidRPr="00CC370F">
          <w:rPr>
            <w:rFonts w:ascii="Arial" w:hAnsi="Arial" w:cs="Arial"/>
            <w:sz w:val="18"/>
            <w:szCs w:val="18"/>
          </w:rPr>
          <w:t xml:space="preserve"> / </w:t>
        </w:r>
        <w:r w:rsidR="00355E9D" w:rsidRPr="00CC370F">
          <w:rPr>
            <w:rFonts w:ascii="Arial" w:hAnsi="Arial" w:cs="Arial"/>
            <w:sz w:val="18"/>
            <w:szCs w:val="18"/>
          </w:rPr>
          <w:fldChar w:fldCharType="begin"/>
        </w:r>
        <w:r w:rsidR="00355E9D" w:rsidRPr="00CC370F">
          <w:rPr>
            <w:rFonts w:ascii="Arial" w:hAnsi="Arial" w:cs="Arial"/>
            <w:sz w:val="18"/>
            <w:szCs w:val="18"/>
          </w:rPr>
          <w:instrText xml:space="preserve"> NUMPAGES   \* MERGEFORMAT </w:instrText>
        </w:r>
        <w:r w:rsidR="00355E9D" w:rsidRPr="00CC370F">
          <w:rPr>
            <w:rFonts w:ascii="Arial" w:hAnsi="Arial" w:cs="Arial"/>
            <w:sz w:val="18"/>
            <w:szCs w:val="18"/>
          </w:rPr>
          <w:fldChar w:fldCharType="separate"/>
        </w:r>
        <w:r w:rsidR="0001198E">
          <w:rPr>
            <w:rFonts w:ascii="Arial" w:hAnsi="Arial" w:cs="Arial"/>
            <w:noProof/>
            <w:sz w:val="18"/>
            <w:szCs w:val="18"/>
          </w:rPr>
          <w:t>9</w:t>
        </w:r>
        <w:r w:rsidR="00355E9D" w:rsidRPr="00CC370F">
          <w:rPr>
            <w:rFonts w:ascii="Arial" w:hAnsi="Arial" w:cs="Arial"/>
            <w:sz w:val="18"/>
            <w:szCs w:val="18"/>
          </w:rPr>
          <w:fldChar w:fldCharType="end"/>
        </w:r>
      </w:sdtContent>
    </w:sdt>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355E9D" w:rsidRPr="00CC370F" w:rsidRDefault="00355E9D">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01198E">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01198E">
          <w:rPr>
            <w:rFonts w:ascii="Arial" w:hAnsi="Arial" w:cs="Arial"/>
            <w:noProof/>
            <w:sz w:val="18"/>
            <w:szCs w:val="18"/>
          </w:rPr>
          <w:t>9</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06DC" w:rsidRDefault="00FA06DC" w:rsidP="008F77F6">
      <w:r>
        <w:separator/>
      </w:r>
    </w:p>
  </w:footnote>
  <w:footnote w:type="continuationSeparator" w:id="0">
    <w:p w:rsidR="00FA06DC" w:rsidRDefault="00FA06DC" w:rsidP="008F77F6">
      <w:r>
        <w:continuationSeparator/>
      </w:r>
    </w:p>
  </w:footnote>
  <w:footnote w:type="continuationNotice" w:id="1">
    <w:p w:rsidR="00FA06DC" w:rsidRDefault="00FA06DC"/>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1198E" w:rsidRDefault="0001198E">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355E9D" w:rsidTr="009758E5">
      <w:trPr>
        <w:trHeight w:val="686"/>
      </w:trPr>
      <w:tc>
        <w:tcPr>
          <w:tcW w:w="8188" w:type="dxa"/>
          <w:tcBorders>
            <w:top w:val="nil"/>
            <w:left w:val="nil"/>
            <w:bottom w:val="nil"/>
            <w:right w:val="nil"/>
          </w:tcBorders>
          <w:vAlign w:val="center"/>
        </w:tcPr>
        <w:p w:rsidR="00355E9D" w:rsidRPr="009758E5" w:rsidRDefault="00355E9D" w:rsidP="00F97C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3EF25219" wp14:editId="71445415">
                <wp:simplePos x="0" y="0"/>
                <wp:positionH relativeFrom="column">
                  <wp:posOffset>635</wp:posOffset>
                </wp:positionH>
                <wp:positionV relativeFrom="paragraph">
                  <wp:posOffset>-68638</wp:posOffset>
                </wp:positionV>
                <wp:extent cx="914760" cy="277200"/>
                <wp:effectExtent l="0" t="0" r="0" b="889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355E9D" w:rsidRPr="00CC370F" w:rsidRDefault="00355E9D">
    <w:pPr>
      <w:pStyle w:val="Zhlav"/>
      <w:rPr>
        <w:rFonts w:ascii="Arial" w:hAnsi="Arial" w:cs="Arial"/>
        <w:b/>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355E9D" w:rsidTr="00B062DD">
      <w:trPr>
        <w:trHeight w:val="686"/>
      </w:trPr>
      <w:tc>
        <w:tcPr>
          <w:tcW w:w="8188" w:type="dxa"/>
          <w:tcBorders>
            <w:top w:val="nil"/>
            <w:left w:val="nil"/>
            <w:bottom w:val="nil"/>
            <w:right w:val="single" w:sz="6" w:space="0" w:color="auto"/>
          </w:tcBorders>
          <w:vAlign w:val="center"/>
        </w:tcPr>
        <w:p w:rsidR="00355E9D" w:rsidRPr="009758E5" w:rsidRDefault="00355E9D"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2A1871F0" wp14:editId="06D7D770">
                <wp:simplePos x="0" y="0"/>
                <wp:positionH relativeFrom="column">
                  <wp:posOffset>635</wp:posOffset>
                </wp:positionH>
                <wp:positionV relativeFrom="paragraph">
                  <wp:posOffset>-68638</wp:posOffset>
                </wp:positionV>
                <wp:extent cx="914760" cy="277200"/>
                <wp:effectExtent l="0" t="0" r="0" b="889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8DB3E2" w:themeFill="text2" w:themeFillTint="66"/>
          <w:vAlign w:val="center"/>
        </w:tcPr>
        <w:p w:rsidR="000817F1" w:rsidRPr="003C2A8E" w:rsidRDefault="00355E9D" w:rsidP="0001198E">
          <w:pPr>
            <w:pStyle w:val="Zhlav"/>
            <w:jc w:val="center"/>
            <w:rPr>
              <w:rFonts w:ascii="Arial" w:hAnsi="Arial" w:cs="Arial"/>
              <w:b/>
              <w:color w:val="0070C0"/>
              <w:sz w:val="28"/>
              <w:szCs w:val="28"/>
            </w:rPr>
          </w:pPr>
          <w:r>
            <w:rPr>
              <w:rFonts w:ascii="Arial" w:hAnsi="Arial" w:cs="Arial"/>
              <w:b/>
              <w:color w:val="0070C0"/>
              <w:sz w:val="28"/>
              <w:szCs w:val="28"/>
            </w:rPr>
            <w:t>38</w:t>
          </w:r>
          <w:r w:rsidR="0001198E">
            <w:rPr>
              <w:rFonts w:ascii="Arial" w:hAnsi="Arial" w:cs="Arial"/>
              <w:b/>
              <w:color w:val="0070C0"/>
              <w:sz w:val="28"/>
              <w:szCs w:val="28"/>
            </w:rPr>
            <w:t>6</w:t>
          </w:r>
          <w:r>
            <w:rPr>
              <w:rFonts w:ascii="Arial" w:hAnsi="Arial" w:cs="Arial"/>
              <w:b/>
              <w:color w:val="0070C0"/>
              <w:sz w:val="28"/>
              <w:szCs w:val="28"/>
            </w:rPr>
            <w:t>/A</w:t>
          </w:r>
          <w:r w:rsidR="0001198E">
            <w:rPr>
              <w:rFonts w:ascii="Arial" w:hAnsi="Arial" w:cs="Arial"/>
              <w:b/>
              <w:color w:val="0070C0"/>
              <w:sz w:val="28"/>
              <w:szCs w:val="28"/>
            </w:rPr>
            <w:t>7</w:t>
          </w:r>
          <w:bookmarkStart w:id="2" w:name="_GoBack"/>
          <w:bookmarkEnd w:id="2"/>
        </w:p>
      </w:tc>
    </w:tr>
  </w:tbl>
  <w:p w:rsidR="00355E9D" w:rsidRDefault="00355E9D">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A1AD9"/>
    <w:multiLevelType w:val="hybridMultilevel"/>
    <w:tmpl w:val="55285E0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nsid w:val="01EB3B96"/>
    <w:multiLevelType w:val="hybridMultilevel"/>
    <w:tmpl w:val="AE2ECB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04683615"/>
    <w:multiLevelType w:val="hybridMultilevel"/>
    <w:tmpl w:val="59E2AA06"/>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nsid w:val="0527698A"/>
    <w:multiLevelType w:val="multilevel"/>
    <w:tmpl w:val="457AB4FC"/>
    <w:lvl w:ilvl="0">
      <w:start w:val="1"/>
      <w:numFmt w:val="bullet"/>
      <w:lvlText w:val="o"/>
      <w:lvlJc w:val="left"/>
      <w:pPr>
        <w:ind w:left="360" w:hanging="360"/>
      </w:pPr>
      <w:rPr>
        <w:rFonts w:ascii="Courier New" w:hAnsi="Courier New" w:cs="Courier New" w:hint="default"/>
        <w:b/>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06845C84"/>
    <w:multiLevelType w:val="hybridMultilevel"/>
    <w:tmpl w:val="93094086"/>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7FC05A1"/>
    <w:multiLevelType w:val="hybridMultilevel"/>
    <w:tmpl w:val="4CBC47E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6">
    <w:nsid w:val="08F30EBE"/>
    <w:multiLevelType w:val="hybridMultilevel"/>
    <w:tmpl w:val="EC6C86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B742278"/>
    <w:multiLevelType w:val="hybridMultilevel"/>
    <w:tmpl w:val="AAE8F348"/>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nsid w:val="0BD778A9"/>
    <w:multiLevelType w:val="hybridMultilevel"/>
    <w:tmpl w:val="CF129A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0EC13422"/>
    <w:multiLevelType w:val="hybridMultilevel"/>
    <w:tmpl w:val="8146D5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1">
    <w:nsid w:val="13CE6C1A"/>
    <w:multiLevelType w:val="hybridMultilevel"/>
    <w:tmpl w:val="7110F3F0"/>
    <w:lvl w:ilvl="0" w:tplc="DF5C7398">
      <w:start w:val="1"/>
      <w:numFmt w:val="bullet"/>
      <w:lvlText w:val="o"/>
      <w:lvlJc w:val="left"/>
      <w:pPr>
        <w:ind w:left="1080" w:hanging="360"/>
      </w:pPr>
      <w:rPr>
        <w:rFonts w:ascii="Courier New" w:hAnsi="Courier New" w:cs="Courier New"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nsid w:val="1DBE4822"/>
    <w:multiLevelType w:val="hybridMultilevel"/>
    <w:tmpl w:val="717298C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nsid w:val="1E3F0891"/>
    <w:multiLevelType w:val="multilevel"/>
    <w:tmpl w:val="9F7E44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1FD851B5"/>
    <w:multiLevelType w:val="hybridMultilevel"/>
    <w:tmpl w:val="9C98D89C"/>
    <w:lvl w:ilvl="0" w:tplc="877296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nsid w:val="257C3489"/>
    <w:multiLevelType w:val="hybridMultilevel"/>
    <w:tmpl w:val="57360B9A"/>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nsid w:val="28283602"/>
    <w:multiLevelType w:val="hybridMultilevel"/>
    <w:tmpl w:val="13A87C92"/>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nsid w:val="2A052E3D"/>
    <w:multiLevelType w:val="hybridMultilevel"/>
    <w:tmpl w:val="1C94C4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391F11E0"/>
    <w:multiLevelType w:val="hybridMultilevel"/>
    <w:tmpl w:val="9B3863D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nsid w:val="4D68568A"/>
    <w:multiLevelType w:val="hybridMultilevel"/>
    <w:tmpl w:val="3E00D8C0"/>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nsid w:val="52BB0588"/>
    <w:multiLevelType w:val="hybridMultilevel"/>
    <w:tmpl w:val="A68CE4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549D5B2A"/>
    <w:multiLevelType w:val="hybridMultilevel"/>
    <w:tmpl w:val="420412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58C36704"/>
    <w:multiLevelType w:val="hybridMultilevel"/>
    <w:tmpl w:val="9C98D89C"/>
    <w:lvl w:ilvl="0" w:tplc="877296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nsid w:val="59A71A4D"/>
    <w:multiLevelType w:val="hybridMultilevel"/>
    <w:tmpl w:val="6C1290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6A325559"/>
    <w:multiLevelType w:val="hybridMultilevel"/>
    <w:tmpl w:val="AAE8F348"/>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nsid w:val="6FAD1941"/>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7">
    <w:nsid w:val="73671086"/>
    <w:multiLevelType w:val="multilevel"/>
    <w:tmpl w:val="76C84B24"/>
    <w:numStyleLink w:val="StylI-aa"/>
  </w:abstractNum>
  <w:abstractNum w:abstractNumId="28">
    <w:nsid w:val="74F706FA"/>
    <w:multiLevelType w:val="hybridMultilevel"/>
    <w:tmpl w:val="9EBC34D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nsid w:val="7B861E3A"/>
    <w:multiLevelType w:val="hybridMultilevel"/>
    <w:tmpl w:val="DA4071AA"/>
    <w:lvl w:ilvl="0" w:tplc="85F68F96">
      <w:start w:val="4"/>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0">
    <w:nsid w:val="7BF41FCE"/>
    <w:multiLevelType w:val="hybridMultilevel"/>
    <w:tmpl w:val="C92E89A8"/>
    <w:lvl w:ilvl="0" w:tplc="536244BA">
      <w:start w:val="1"/>
      <w:numFmt w:val="decimal"/>
      <w:lvlText w:val="%1."/>
      <w:lvlJc w:val="left"/>
      <w:pPr>
        <w:tabs>
          <w:tab w:val="num" w:pos="1827"/>
        </w:tabs>
        <w:ind w:left="1827"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1">
    <w:nsid w:val="7D24233D"/>
    <w:multiLevelType w:val="hybridMultilevel"/>
    <w:tmpl w:val="6C1290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31"/>
  </w:num>
  <w:num w:numId="3">
    <w:abstractNumId w:val="13"/>
  </w:num>
  <w:num w:numId="4">
    <w:abstractNumId w:val="14"/>
  </w:num>
  <w:num w:numId="5">
    <w:abstractNumId w:val="22"/>
  </w:num>
  <w:num w:numId="6">
    <w:abstractNumId w:val="27"/>
    <w:lvlOverride w:ilvl="0">
      <w:lvl w:ilvl="0">
        <w:start w:val="1"/>
        <w:numFmt w:val="upperRoman"/>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lvlText w:val="%3)"/>
        <w:lvlJc w:val="left"/>
        <w:pPr>
          <w:ind w:left="504" w:hanging="504"/>
        </w:pPr>
        <w:rPr>
          <w:rFonts w:hint="default"/>
        </w:rPr>
      </w:lvl>
    </w:lvlOverride>
    <w:lvlOverride w:ilvl="3">
      <w:lvl w:ilvl="3">
        <w:start w:val="1"/>
        <w:numFmt w:val="lowerLetter"/>
        <w:lvlText w:val="%3%4)"/>
        <w:lvlJc w:val="left"/>
        <w:pPr>
          <w:ind w:left="790"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
    <w:abstractNumId w:val="19"/>
    <w:lvlOverride w:ilvl="0">
      <w:lvl w:ilvl="0">
        <w:start w:val="1"/>
        <w:numFmt w:val="upperRoman"/>
        <w:pStyle w:val="StylI"/>
        <w:lvlText w:val="%1."/>
        <w:lvlJc w:val="left"/>
        <w:pPr>
          <w:ind w:left="502"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abstractNumId w:val="19"/>
  </w:num>
  <w:num w:numId="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0"/>
  </w:num>
  <w:num w:numId="12">
    <w:abstractNumId w:val="10"/>
  </w:num>
  <w:num w:numId="13">
    <w:abstractNumId w:val="23"/>
  </w:num>
  <w:num w:numId="14">
    <w:abstractNumId w:val="12"/>
  </w:num>
  <w:num w:numId="15">
    <w:abstractNumId w:val="6"/>
  </w:num>
  <w:num w:numId="16">
    <w:abstractNumId w:val="18"/>
  </w:num>
  <w:num w:numId="17">
    <w:abstractNumId w:val="28"/>
  </w:num>
  <w:num w:numId="18">
    <w:abstractNumId w:val="1"/>
  </w:num>
  <w:num w:numId="19">
    <w:abstractNumId w:val="29"/>
  </w:num>
  <w:num w:numId="20">
    <w:abstractNumId w:val="11"/>
  </w:num>
  <w:num w:numId="21">
    <w:abstractNumId w:val="7"/>
  </w:num>
  <w:num w:numId="22">
    <w:abstractNumId w:val="8"/>
  </w:num>
  <w:num w:numId="23">
    <w:abstractNumId w:val="17"/>
  </w:num>
  <w:num w:numId="24">
    <w:abstractNumId w:val="24"/>
  </w:num>
  <w:num w:numId="25">
    <w:abstractNumId w:val="9"/>
  </w:num>
  <w:num w:numId="26">
    <w:abstractNumId w:val="15"/>
  </w:num>
  <w:num w:numId="27">
    <w:abstractNumId w:val="2"/>
  </w:num>
  <w:num w:numId="28">
    <w:abstractNumId w:val="16"/>
  </w:num>
  <w:num w:numId="29">
    <w:abstractNumId w:val="5"/>
  </w:num>
  <w:num w:numId="30">
    <w:abstractNumId w:val="20"/>
  </w:num>
  <w:num w:numId="31">
    <w:abstractNumId w:val="25"/>
  </w:num>
  <w:num w:numId="32">
    <w:abstractNumId w:val="21"/>
  </w:num>
  <w:num w:numId="33">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1663"/>
    <w:rsid w:val="00001AA2"/>
    <w:rsid w:val="000023CB"/>
    <w:rsid w:val="00006623"/>
    <w:rsid w:val="00007D92"/>
    <w:rsid w:val="0001198E"/>
    <w:rsid w:val="000161F8"/>
    <w:rsid w:val="00016583"/>
    <w:rsid w:val="00017DBD"/>
    <w:rsid w:val="00023200"/>
    <w:rsid w:val="0002675F"/>
    <w:rsid w:val="0003465D"/>
    <w:rsid w:val="00036AA3"/>
    <w:rsid w:val="00037378"/>
    <w:rsid w:val="00040D44"/>
    <w:rsid w:val="000418E0"/>
    <w:rsid w:val="00046944"/>
    <w:rsid w:val="000556E4"/>
    <w:rsid w:val="00060C37"/>
    <w:rsid w:val="00062AE1"/>
    <w:rsid w:val="00063E76"/>
    <w:rsid w:val="00064AF4"/>
    <w:rsid w:val="00066C45"/>
    <w:rsid w:val="00073C1D"/>
    <w:rsid w:val="000754A0"/>
    <w:rsid w:val="00076764"/>
    <w:rsid w:val="000817F1"/>
    <w:rsid w:val="000879D3"/>
    <w:rsid w:val="000903FC"/>
    <w:rsid w:val="00090D61"/>
    <w:rsid w:val="00091624"/>
    <w:rsid w:val="00091C65"/>
    <w:rsid w:val="00091DF6"/>
    <w:rsid w:val="00093D79"/>
    <w:rsid w:val="000A193C"/>
    <w:rsid w:val="000A1C00"/>
    <w:rsid w:val="000A532A"/>
    <w:rsid w:val="000B0156"/>
    <w:rsid w:val="000B19B3"/>
    <w:rsid w:val="000B4308"/>
    <w:rsid w:val="000C0EFD"/>
    <w:rsid w:val="000C1639"/>
    <w:rsid w:val="000C4A33"/>
    <w:rsid w:val="000C616B"/>
    <w:rsid w:val="000C6F80"/>
    <w:rsid w:val="000D24AC"/>
    <w:rsid w:val="000D29F5"/>
    <w:rsid w:val="000D3143"/>
    <w:rsid w:val="000E04BA"/>
    <w:rsid w:val="000E131B"/>
    <w:rsid w:val="000E4608"/>
    <w:rsid w:val="000F780E"/>
    <w:rsid w:val="00107E37"/>
    <w:rsid w:val="00110E4F"/>
    <w:rsid w:val="0011334F"/>
    <w:rsid w:val="00117D7F"/>
    <w:rsid w:val="0012382B"/>
    <w:rsid w:val="001355AD"/>
    <w:rsid w:val="0014093A"/>
    <w:rsid w:val="0014317A"/>
    <w:rsid w:val="00143B5C"/>
    <w:rsid w:val="00144453"/>
    <w:rsid w:val="00153BD8"/>
    <w:rsid w:val="001559EF"/>
    <w:rsid w:val="0016439D"/>
    <w:rsid w:val="00166800"/>
    <w:rsid w:val="00167763"/>
    <w:rsid w:val="0017168B"/>
    <w:rsid w:val="0017542C"/>
    <w:rsid w:val="0019343C"/>
    <w:rsid w:val="001958D0"/>
    <w:rsid w:val="001958DC"/>
    <w:rsid w:val="00196CB2"/>
    <w:rsid w:val="001976BD"/>
    <w:rsid w:val="00197E58"/>
    <w:rsid w:val="001A1676"/>
    <w:rsid w:val="001B2F84"/>
    <w:rsid w:val="001C2A57"/>
    <w:rsid w:val="001D4CCF"/>
    <w:rsid w:val="001D537E"/>
    <w:rsid w:val="001D6C6C"/>
    <w:rsid w:val="001E1D3D"/>
    <w:rsid w:val="001E2536"/>
    <w:rsid w:val="001E62D8"/>
    <w:rsid w:val="00201A4E"/>
    <w:rsid w:val="002031B5"/>
    <w:rsid w:val="0020370B"/>
    <w:rsid w:val="00204D21"/>
    <w:rsid w:val="00210B42"/>
    <w:rsid w:val="0022328A"/>
    <w:rsid w:val="00232E5C"/>
    <w:rsid w:val="00235282"/>
    <w:rsid w:val="002366A4"/>
    <w:rsid w:val="00237006"/>
    <w:rsid w:val="002412B0"/>
    <w:rsid w:val="00254FF1"/>
    <w:rsid w:val="002604CB"/>
    <w:rsid w:val="00260C68"/>
    <w:rsid w:val="0026232B"/>
    <w:rsid w:val="00262B9B"/>
    <w:rsid w:val="00265521"/>
    <w:rsid w:val="002655F9"/>
    <w:rsid w:val="00265A36"/>
    <w:rsid w:val="0026791F"/>
    <w:rsid w:val="00267B73"/>
    <w:rsid w:val="00270AC1"/>
    <w:rsid w:val="0027273E"/>
    <w:rsid w:val="00276BC0"/>
    <w:rsid w:val="0028093B"/>
    <w:rsid w:val="00284865"/>
    <w:rsid w:val="00291D69"/>
    <w:rsid w:val="00294362"/>
    <w:rsid w:val="002944D7"/>
    <w:rsid w:val="0029508B"/>
    <w:rsid w:val="002A06C3"/>
    <w:rsid w:val="002A0C33"/>
    <w:rsid w:val="002A1E92"/>
    <w:rsid w:val="002A30DD"/>
    <w:rsid w:val="002A470F"/>
    <w:rsid w:val="002A4801"/>
    <w:rsid w:val="002A68FE"/>
    <w:rsid w:val="002B3079"/>
    <w:rsid w:val="002B35AB"/>
    <w:rsid w:val="002B543E"/>
    <w:rsid w:val="002C0616"/>
    <w:rsid w:val="002C0EE0"/>
    <w:rsid w:val="002D1D4B"/>
    <w:rsid w:val="002D2A6F"/>
    <w:rsid w:val="002D7614"/>
    <w:rsid w:val="002D76C6"/>
    <w:rsid w:val="002E0EB6"/>
    <w:rsid w:val="002E11DB"/>
    <w:rsid w:val="002E2591"/>
    <w:rsid w:val="002E43C5"/>
    <w:rsid w:val="002E4E01"/>
    <w:rsid w:val="002F13F7"/>
    <w:rsid w:val="002F4330"/>
    <w:rsid w:val="002F585D"/>
    <w:rsid w:val="0030694E"/>
    <w:rsid w:val="0031084C"/>
    <w:rsid w:val="0031520D"/>
    <w:rsid w:val="003178AF"/>
    <w:rsid w:val="0032026D"/>
    <w:rsid w:val="00320B4A"/>
    <w:rsid w:val="00321512"/>
    <w:rsid w:val="00321756"/>
    <w:rsid w:val="00322E4B"/>
    <w:rsid w:val="00322F72"/>
    <w:rsid w:val="0032496A"/>
    <w:rsid w:val="00325FDE"/>
    <w:rsid w:val="00330661"/>
    <w:rsid w:val="00331372"/>
    <w:rsid w:val="00331B8E"/>
    <w:rsid w:val="00336B06"/>
    <w:rsid w:val="00337783"/>
    <w:rsid w:val="00340510"/>
    <w:rsid w:val="00342DB2"/>
    <w:rsid w:val="00343A5B"/>
    <w:rsid w:val="00345C4F"/>
    <w:rsid w:val="00355E9D"/>
    <w:rsid w:val="00360293"/>
    <w:rsid w:val="00360CB1"/>
    <w:rsid w:val="003630ED"/>
    <w:rsid w:val="00370A46"/>
    <w:rsid w:val="00371036"/>
    <w:rsid w:val="00371539"/>
    <w:rsid w:val="00374148"/>
    <w:rsid w:val="00376ED0"/>
    <w:rsid w:val="00387B05"/>
    <w:rsid w:val="00390DAA"/>
    <w:rsid w:val="00392A71"/>
    <w:rsid w:val="003A54F9"/>
    <w:rsid w:val="003B08BA"/>
    <w:rsid w:val="003B3464"/>
    <w:rsid w:val="003B4292"/>
    <w:rsid w:val="003B6354"/>
    <w:rsid w:val="003C2862"/>
    <w:rsid w:val="003C2A8E"/>
    <w:rsid w:val="003D1434"/>
    <w:rsid w:val="003D5203"/>
    <w:rsid w:val="003E09B7"/>
    <w:rsid w:val="003E3504"/>
    <w:rsid w:val="003F38AF"/>
    <w:rsid w:val="003F47E6"/>
    <w:rsid w:val="003F4C52"/>
    <w:rsid w:val="003F757F"/>
    <w:rsid w:val="00405F84"/>
    <w:rsid w:val="00411664"/>
    <w:rsid w:val="00411CB5"/>
    <w:rsid w:val="00427918"/>
    <w:rsid w:val="00440B80"/>
    <w:rsid w:val="00440FD2"/>
    <w:rsid w:val="0045384E"/>
    <w:rsid w:val="00454F6C"/>
    <w:rsid w:val="00463033"/>
    <w:rsid w:val="00471208"/>
    <w:rsid w:val="004747B5"/>
    <w:rsid w:val="00475BBA"/>
    <w:rsid w:val="004779C3"/>
    <w:rsid w:val="00482005"/>
    <w:rsid w:val="004907F7"/>
    <w:rsid w:val="00490F0D"/>
    <w:rsid w:val="00491F88"/>
    <w:rsid w:val="004A062C"/>
    <w:rsid w:val="004A5DA4"/>
    <w:rsid w:val="004A6C92"/>
    <w:rsid w:val="004A7313"/>
    <w:rsid w:val="004B1B86"/>
    <w:rsid w:val="004B4802"/>
    <w:rsid w:val="004B7689"/>
    <w:rsid w:val="004D17B3"/>
    <w:rsid w:val="004D4D91"/>
    <w:rsid w:val="004D5934"/>
    <w:rsid w:val="004D5A6B"/>
    <w:rsid w:val="004E06F9"/>
    <w:rsid w:val="004F3650"/>
    <w:rsid w:val="004F4AC4"/>
    <w:rsid w:val="004F4DDB"/>
    <w:rsid w:val="004F7D65"/>
    <w:rsid w:val="00504DE3"/>
    <w:rsid w:val="00513D47"/>
    <w:rsid w:val="00514109"/>
    <w:rsid w:val="005169A7"/>
    <w:rsid w:val="005231B2"/>
    <w:rsid w:val="00526416"/>
    <w:rsid w:val="0053122B"/>
    <w:rsid w:val="005330A1"/>
    <w:rsid w:val="00536DA1"/>
    <w:rsid w:val="00543A05"/>
    <w:rsid w:val="00550D45"/>
    <w:rsid w:val="00557739"/>
    <w:rsid w:val="00563BD3"/>
    <w:rsid w:val="00573079"/>
    <w:rsid w:val="005736AB"/>
    <w:rsid w:val="00573D32"/>
    <w:rsid w:val="00574355"/>
    <w:rsid w:val="0057505C"/>
    <w:rsid w:val="005820B4"/>
    <w:rsid w:val="0058298B"/>
    <w:rsid w:val="0058543D"/>
    <w:rsid w:val="00594F9D"/>
    <w:rsid w:val="0059693D"/>
    <w:rsid w:val="005A2E79"/>
    <w:rsid w:val="005A4E69"/>
    <w:rsid w:val="005A4FFF"/>
    <w:rsid w:val="005A5563"/>
    <w:rsid w:val="005A6DF7"/>
    <w:rsid w:val="005A78D2"/>
    <w:rsid w:val="005B6685"/>
    <w:rsid w:val="005B6BC7"/>
    <w:rsid w:val="005B79E0"/>
    <w:rsid w:val="005C1991"/>
    <w:rsid w:val="005C227B"/>
    <w:rsid w:val="005C39B0"/>
    <w:rsid w:val="005C6F16"/>
    <w:rsid w:val="005C7C7E"/>
    <w:rsid w:val="005D4147"/>
    <w:rsid w:val="005D6B8B"/>
    <w:rsid w:val="005D7F05"/>
    <w:rsid w:val="005E43C2"/>
    <w:rsid w:val="005F0C60"/>
    <w:rsid w:val="005F5928"/>
    <w:rsid w:val="00603A32"/>
    <w:rsid w:val="00603DDE"/>
    <w:rsid w:val="006052F9"/>
    <w:rsid w:val="00606321"/>
    <w:rsid w:val="006075E6"/>
    <w:rsid w:val="00616978"/>
    <w:rsid w:val="00624BBF"/>
    <w:rsid w:val="00634C90"/>
    <w:rsid w:val="00637D93"/>
    <w:rsid w:val="00640B80"/>
    <w:rsid w:val="00650DA1"/>
    <w:rsid w:val="006553A0"/>
    <w:rsid w:val="00661823"/>
    <w:rsid w:val="0067279E"/>
    <w:rsid w:val="00680FF8"/>
    <w:rsid w:val="0068427A"/>
    <w:rsid w:val="0068505E"/>
    <w:rsid w:val="0069070E"/>
    <w:rsid w:val="0069586C"/>
    <w:rsid w:val="006964D2"/>
    <w:rsid w:val="00697D8E"/>
    <w:rsid w:val="006B0319"/>
    <w:rsid w:val="006B4414"/>
    <w:rsid w:val="006B6A25"/>
    <w:rsid w:val="006C12AD"/>
    <w:rsid w:val="006C1F4B"/>
    <w:rsid w:val="006C2B24"/>
    <w:rsid w:val="006D3F3F"/>
    <w:rsid w:val="006D6CBA"/>
    <w:rsid w:val="006E26F2"/>
    <w:rsid w:val="006E4079"/>
    <w:rsid w:val="006E7A6D"/>
    <w:rsid w:val="006F15AC"/>
    <w:rsid w:val="00704650"/>
    <w:rsid w:val="00710DD7"/>
    <w:rsid w:val="00713421"/>
    <w:rsid w:val="00715771"/>
    <w:rsid w:val="0071799F"/>
    <w:rsid w:val="007206E0"/>
    <w:rsid w:val="00720790"/>
    <w:rsid w:val="0072495F"/>
    <w:rsid w:val="00735480"/>
    <w:rsid w:val="007369A7"/>
    <w:rsid w:val="00737B79"/>
    <w:rsid w:val="00743832"/>
    <w:rsid w:val="00755C98"/>
    <w:rsid w:val="00757A93"/>
    <w:rsid w:val="0076550E"/>
    <w:rsid w:val="00765CBF"/>
    <w:rsid w:val="00771ECF"/>
    <w:rsid w:val="007726FF"/>
    <w:rsid w:val="0077648F"/>
    <w:rsid w:val="007769C3"/>
    <w:rsid w:val="00780422"/>
    <w:rsid w:val="0078058C"/>
    <w:rsid w:val="0078261A"/>
    <w:rsid w:val="00784240"/>
    <w:rsid w:val="00784BC3"/>
    <w:rsid w:val="007859A1"/>
    <w:rsid w:val="00786B51"/>
    <w:rsid w:val="0078750F"/>
    <w:rsid w:val="00787587"/>
    <w:rsid w:val="00791F6E"/>
    <w:rsid w:val="00793F74"/>
    <w:rsid w:val="007954A5"/>
    <w:rsid w:val="007A03DC"/>
    <w:rsid w:val="007A6B5B"/>
    <w:rsid w:val="007B1C90"/>
    <w:rsid w:val="007B21E4"/>
    <w:rsid w:val="007B2FC7"/>
    <w:rsid w:val="007B4C3D"/>
    <w:rsid w:val="007B65A8"/>
    <w:rsid w:val="007C0EC3"/>
    <w:rsid w:val="007C2157"/>
    <w:rsid w:val="007C5F64"/>
    <w:rsid w:val="007C6ABB"/>
    <w:rsid w:val="007D14DD"/>
    <w:rsid w:val="007D3803"/>
    <w:rsid w:val="007D652A"/>
    <w:rsid w:val="007D7C0F"/>
    <w:rsid w:val="007E0D92"/>
    <w:rsid w:val="007E4301"/>
    <w:rsid w:val="007E6570"/>
    <w:rsid w:val="007F078D"/>
    <w:rsid w:val="007F4462"/>
    <w:rsid w:val="007F5DD1"/>
    <w:rsid w:val="00802475"/>
    <w:rsid w:val="00803858"/>
    <w:rsid w:val="00810888"/>
    <w:rsid w:val="00810AA0"/>
    <w:rsid w:val="00812E43"/>
    <w:rsid w:val="00816758"/>
    <w:rsid w:val="00816844"/>
    <w:rsid w:val="008175BD"/>
    <w:rsid w:val="008234D1"/>
    <w:rsid w:val="00832A97"/>
    <w:rsid w:val="00842480"/>
    <w:rsid w:val="00842BF5"/>
    <w:rsid w:val="00850531"/>
    <w:rsid w:val="00861779"/>
    <w:rsid w:val="008666BF"/>
    <w:rsid w:val="00872597"/>
    <w:rsid w:val="0087304A"/>
    <w:rsid w:val="008733B5"/>
    <w:rsid w:val="00873853"/>
    <w:rsid w:val="00873E61"/>
    <w:rsid w:val="00874418"/>
    <w:rsid w:val="00876B4F"/>
    <w:rsid w:val="008800F7"/>
    <w:rsid w:val="008873C0"/>
    <w:rsid w:val="00890531"/>
    <w:rsid w:val="00896357"/>
    <w:rsid w:val="008A0E39"/>
    <w:rsid w:val="008A46A9"/>
    <w:rsid w:val="008A76F7"/>
    <w:rsid w:val="008C48D1"/>
    <w:rsid w:val="008C5426"/>
    <w:rsid w:val="008D0383"/>
    <w:rsid w:val="008D18C9"/>
    <w:rsid w:val="008D1D23"/>
    <w:rsid w:val="008D2D30"/>
    <w:rsid w:val="008D4667"/>
    <w:rsid w:val="008E2DE9"/>
    <w:rsid w:val="008F18A5"/>
    <w:rsid w:val="008F1D04"/>
    <w:rsid w:val="008F4F96"/>
    <w:rsid w:val="008F530C"/>
    <w:rsid w:val="008F535B"/>
    <w:rsid w:val="008F7463"/>
    <w:rsid w:val="008F77F6"/>
    <w:rsid w:val="009065ED"/>
    <w:rsid w:val="00907065"/>
    <w:rsid w:val="00914E04"/>
    <w:rsid w:val="009257AC"/>
    <w:rsid w:val="009264F8"/>
    <w:rsid w:val="00926FB3"/>
    <w:rsid w:val="00934DE6"/>
    <w:rsid w:val="00937305"/>
    <w:rsid w:val="009464C4"/>
    <w:rsid w:val="00947AB6"/>
    <w:rsid w:val="0095024F"/>
    <w:rsid w:val="00951A16"/>
    <w:rsid w:val="00951E7F"/>
    <w:rsid w:val="00952BBC"/>
    <w:rsid w:val="009546E4"/>
    <w:rsid w:val="009621F0"/>
    <w:rsid w:val="00972810"/>
    <w:rsid w:val="00972881"/>
    <w:rsid w:val="00975206"/>
    <w:rsid w:val="009758E5"/>
    <w:rsid w:val="00980EF3"/>
    <w:rsid w:val="00987147"/>
    <w:rsid w:val="00987288"/>
    <w:rsid w:val="00987BB9"/>
    <w:rsid w:val="00987E45"/>
    <w:rsid w:val="00990D92"/>
    <w:rsid w:val="00991935"/>
    <w:rsid w:val="00991C33"/>
    <w:rsid w:val="0099436E"/>
    <w:rsid w:val="009A0BD1"/>
    <w:rsid w:val="009A0D19"/>
    <w:rsid w:val="009A23F9"/>
    <w:rsid w:val="009B6CEE"/>
    <w:rsid w:val="009C0DA6"/>
    <w:rsid w:val="009C2656"/>
    <w:rsid w:val="009C2E30"/>
    <w:rsid w:val="009C59EE"/>
    <w:rsid w:val="009C7E02"/>
    <w:rsid w:val="009D4A72"/>
    <w:rsid w:val="009E1FC9"/>
    <w:rsid w:val="009E61F0"/>
    <w:rsid w:val="009F47F2"/>
    <w:rsid w:val="00A01513"/>
    <w:rsid w:val="00A20122"/>
    <w:rsid w:val="00A251E5"/>
    <w:rsid w:val="00A25F22"/>
    <w:rsid w:val="00A277A0"/>
    <w:rsid w:val="00A339E5"/>
    <w:rsid w:val="00A33F77"/>
    <w:rsid w:val="00A34068"/>
    <w:rsid w:val="00A42345"/>
    <w:rsid w:val="00A42473"/>
    <w:rsid w:val="00A44BCB"/>
    <w:rsid w:val="00A504A9"/>
    <w:rsid w:val="00A50CC6"/>
    <w:rsid w:val="00A51064"/>
    <w:rsid w:val="00A55AB3"/>
    <w:rsid w:val="00A638DD"/>
    <w:rsid w:val="00A710EC"/>
    <w:rsid w:val="00A836F5"/>
    <w:rsid w:val="00A90E23"/>
    <w:rsid w:val="00A9321F"/>
    <w:rsid w:val="00A9380D"/>
    <w:rsid w:val="00A96061"/>
    <w:rsid w:val="00A96499"/>
    <w:rsid w:val="00AA0955"/>
    <w:rsid w:val="00AA25F0"/>
    <w:rsid w:val="00AA6A69"/>
    <w:rsid w:val="00AA70AA"/>
    <w:rsid w:val="00AB20A3"/>
    <w:rsid w:val="00AB2224"/>
    <w:rsid w:val="00AB5796"/>
    <w:rsid w:val="00AB5C14"/>
    <w:rsid w:val="00AC0952"/>
    <w:rsid w:val="00AC23A5"/>
    <w:rsid w:val="00AC2AC8"/>
    <w:rsid w:val="00AC5906"/>
    <w:rsid w:val="00AC6194"/>
    <w:rsid w:val="00AD2FD3"/>
    <w:rsid w:val="00AD5458"/>
    <w:rsid w:val="00AE099B"/>
    <w:rsid w:val="00AE372F"/>
    <w:rsid w:val="00AE5AEB"/>
    <w:rsid w:val="00AF5D53"/>
    <w:rsid w:val="00B007D6"/>
    <w:rsid w:val="00B03450"/>
    <w:rsid w:val="00B062DD"/>
    <w:rsid w:val="00B1207E"/>
    <w:rsid w:val="00B13FC0"/>
    <w:rsid w:val="00B1574B"/>
    <w:rsid w:val="00B17D25"/>
    <w:rsid w:val="00B22DDC"/>
    <w:rsid w:val="00B26038"/>
    <w:rsid w:val="00B3286A"/>
    <w:rsid w:val="00B34399"/>
    <w:rsid w:val="00B3471F"/>
    <w:rsid w:val="00B45FDE"/>
    <w:rsid w:val="00B46482"/>
    <w:rsid w:val="00B55C65"/>
    <w:rsid w:val="00B56910"/>
    <w:rsid w:val="00B57058"/>
    <w:rsid w:val="00B601EF"/>
    <w:rsid w:val="00B619C2"/>
    <w:rsid w:val="00B664F5"/>
    <w:rsid w:val="00B71EB3"/>
    <w:rsid w:val="00B7410A"/>
    <w:rsid w:val="00B80804"/>
    <w:rsid w:val="00B84B26"/>
    <w:rsid w:val="00B952E6"/>
    <w:rsid w:val="00B97146"/>
    <w:rsid w:val="00B97F77"/>
    <w:rsid w:val="00BA03B1"/>
    <w:rsid w:val="00BA3FB1"/>
    <w:rsid w:val="00BA76EA"/>
    <w:rsid w:val="00BB03E5"/>
    <w:rsid w:val="00BB3B56"/>
    <w:rsid w:val="00BC5205"/>
    <w:rsid w:val="00BC5922"/>
    <w:rsid w:val="00BC7A45"/>
    <w:rsid w:val="00BD2828"/>
    <w:rsid w:val="00BD3D5D"/>
    <w:rsid w:val="00BD5E6B"/>
    <w:rsid w:val="00BD66D8"/>
    <w:rsid w:val="00BD6849"/>
    <w:rsid w:val="00BD6A56"/>
    <w:rsid w:val="00BE0504"/>
    <w:rsid w:val="00BE202B"/>
    <w:rsid w:val="00BE2DDC"/>
    <w:rsid w:val="00BE2F8C"/>
    <w:rsid w:val="00BE2FA2"/>
    <w:rsid w:val="00BE43C5"/>
    <w:rsid w:val="00BE6A10"/>
    <w:rsid w:val="00BF0DD0"/>
    <w:rsid w:val="00BF462F"/>
    <w:rsid w:val="00C1204D"/>
    <w:rsid w:val="00C13BD3"/>
    <w:rsid w:val="00C15553"/>
    <w:rsid w:val="00C159CC"/>
    <w:rsid w:val="00C23627"/>
    <w:rsid w:val="00C259C9"/>
    <w:rsid w:val="00C25A0A"/>
    <w:rsid w:val="00C25A73"/>
    <w:rsid w:val="00C26E56"/>
    <w:rsid w:val="00C42155"/>
    <w:rsid w:val="00C46A7C"/>
    <w:rsid w:val="00C4746A"/>
    <w:rsid w:val="00C5404C"/>
    <w:rsid w:val="00C5503A"/>
    <w:rsid w:val="00C62B77"/>
    <w:rsid w:val="00C63124"/>
    <w:rsid w:val="00C80D16"/>
    <w:rsid w:val="00C93B56"/>
    <w:rsid w:val="00C9481A"/>
    <w:rsid w:val="00CA56DB"/>
    <w:rsid w:val="00CA7253"/>
    <w:rsid w:val="00CC0E76"/>
    <w:rsid w:val="00CC2A72"/>
    <w:rsid w:val="00CC370F"/>
    <w:rsid w:val="00CC5C6A"/>
    <w:rsid w:val="00CD34D3"/>
    <w:rsid w:val="00CD3B4A"/>
    <w:rsid w:val="00CE18F3"/>
    <w:rsid w:val="00CE5282"/>
    <w:rsid w:val="00CE5C9C"/>
    <w:rsid w:val="00CF1A5D"/>
    <w:rsid w:val="00CF5D97"/>
    <w:rsid w:val="00D03844"/>
    <w:rsid w:val="00D1103B"/>
    <w:rsid w:val="00D112BD"/>
    <w:rsid w:val="00D217CB"/>
    <w:rsid w:val="00D27408"/>
    <w:rsid w:val="00D36217"/>
    <w:rsid w:val="00D36306"/>
    <w:rsid w:val="00D3726C"/>
    <w:rsid w:val="00D461D9"/>
    <w:rsid w:val="00D5593F"/>
    <w:rsid w:val="00D605E2"/>
    <w:rsid w:val="00D64443"/>
    <w:rsid w:val="00D6447E"/>
    <w:rsid w:val="00D673CA"/>
    <w:rsid w:val="00D67904"/>
    <w:rsid w:val="00D74A59"/>
    <w:rsid w:val="00D80972"/>
    <w:rsid w:val="00D9058B"/>
    <w:rsid w:val="00D97777"/>
    <w:rsid w:val="00DA562B"/>
    <w:rsid w:val="00DA7B3C"/>
    <w:rsid w:val="00DB05DE"/>
    <w:rsid w:val="00DB2EEE"/>
    <w:rsid w:val="00DC5FE9"/>
    <w:rsid w:val="00DC67CF"/>
    <w:rsid w:val="00DC6FB8"/>
    <w:rsid w:val="00DD39A3"/>
    <w:rsid w:val="00DD543F"/>
    <w:rsid w:val="00DE331D"/>
    <w:rsid w:val="00DF2654"/>
    <w:rsid w:val="00E02C6B"/>
    <w:rsid w:val="00E042AE"/>
    <w:rsid w:val="00E06317"/>
    <w:rsid w:val="00E10E61"/>
    <w:rsid w:val="00E111C0"/>
    <w:rsid w:val="00E36691"/>
    <w:rsid w:val="00E37AC8"/>
    <w:rsid w:val="00E400DF"/>
    <w:rsid w:val="00E41754"/>
    <w:rsid w:val="00E4196C"/>
    <w:rsid w:val="00E43459"/>
    <w:rsid w:val="00E43DFF"/>
    <w:rsid w:val="00E47D80"/>
    <w:rsid w:val="00E63C59"/>
    <w:rsid w:val="00E6489D"/>
    <w:rsid w:val="00E76533"/>
    <w:rsid w:val="00E76626"/>
    <w:rsid w:val="00E82C93"/>
    <w:rsid w:val="00E90863"/>
    <w:rsid w:val="00E91AAF"/>
    <w:rsid w:val="00E93E65"/>
    <w:rsid w:val="00E943EA"/>
    <w:rsid w:val="00E94E93"/>
    <w:rsid w:val="00E95804"/>
    <w:rsid w:val="00E96EEC"/>
    <w:rsid w:val="00EB064E"/>
    <w:rsid w:val="00EB2336"/>
    <w:rsid w:val="00EC2E7B"/>
    <w:rsid w:val="00EC3B82"/>
    <w:rsid w:val="00EC5C5C"/>
    <w:rsid w:val="00EC6B99"/>
    <w:rsid w:val="00EC7EF6"/>
    <w:rsid w:val="00ED0134"/>
    <w:rsid w:val="00ED11B9"/>
    <w:rsid w:val="00ED4458"/>
    <w:rsid w:val="00EE4119"/>
    <w:rsid w:val="00EE7EE7"/>
    <w:rsid w:val="00F0046B"/>
    <w:rsid w:val="00F0209F"/>
    <w:rsid w:val="00F03F29"/>
    <w:rsid w:val="00F055E5"/>
    <w:rsid w:val="00F1087F"/>
    <w:rsid w:val="00F11D23"/>
    <w:rsid w:val="00F13E07"/>
    <w:rsid w:val="00F1625C"/>
    <w:rsid w:val="00F16E2B"/>
    <w:rsid w:val="00F23E61"/>
    <w:rsid w:val="00F249A3"/>
    <w:rsid w:val="00F24C5F"/>
    <w:rsid w:val="00F25A3A"/>
    <w:rsid w:val="00F25AFC"/>
    <w:rsid w:val="00F27770"/>
    <w:rsid w:val="00F32721"/>
    <w:rsid w:val="00F32836"/>
    <w:rsid w:val="00F33622"/>
    <w:rsid w:val="00F35974"/>
    <w:rsid w:val="00F37605"/>
    <w:rsid w:val="00F45C23"/>
    <w:rsid w:val="00F519AB"/>
    <w:rsid w:val="00F54F31"/>
    <w:rsid w:val="00F55031"/>
    <w:rsid w:val="00F57E89"/>
    <w:rsid w:val="00F60A14"/>
    <w:rsid w:val="00F65BB1"/>
    <w:rsid w:val="00F77877"/>
    <w:rsid w:val="00F77C86"/>
    <w:rsid w:val="00F801F0"/>
    <w:rsid w:val="00F85F64"/>
    <w:rsid w:val="00F9506D"/>
    <w:rsid w:val="00F97C83"/>
    <w:rsid w:val="00FA06DC"/>
    <w:rsid w:val="00FA202A"/>
    <w:rsid w:val="00FB2659"/>
    <w:rsid w:val="00FB4178"/>
    <w:rsid w:val="00FB5D93"/>
    <w:rsid w:val="00FC07E0"/>
    <w:rsid w:val="00FC2921"/>
    <w:rsid w:val="00FC7E67"/>
    <w:rsid w:val="00FD0AAB"/>
    <w:rsid w:val="00FE3E9C"/>
    <w:rsid w:val="00FE6240"/>
    <w:rsid w:val="00FE7265"/>
    <w:rsid w:val="00FF0122"/>
    <w:rsid w:val="00FF2E4C"/>
    <w:rsid w:val="00FF3F02"/>
    <w:rsid w:val="00FF6C2B"/>
    <w:rsid w:val="00FF704B"/>
    <w:rsid w:val="00FF75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C0EFD"/>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C7C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C155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F97C83"/>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uiPriority w:val="9"/>
    <w:semiHidden/>
    <w:unhideWhenUsed/>
    <w:qFormat/>
    <w:rsid w:val="00F97C83"/>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link w:val="Nadpis5Char"/>
    <w:uiPriority w:val="9"/>
    <w:qFormat/>
    <w:rsid w:val="007B4C3D"/>
    <w:pPr>
      <w:spacing w:before="100" w:beforeAutospacing="1" w:after="100" w:afterAutospacing="1"/>
      <w:outlineLvl w:val="4"/>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3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dsazen">
    <w:name w:val="Normal odsazený"/>
    <w:basedOn w:val="Normln"/>
    <w:qFormat/>
    <w:rsid w:val="00001AA2"/>
    <w:pPr>
      <w:spacing w:line="360" w:lineRule="auto"/>
      <w:ind w:firstLine="567"/>
      <w:jc w:val="both"/>
    </w:pPr>
    <w:rPr>
      <w:rFonts w:ascii="Arial" w:eastAsia="Arial" w:hAnsi="Arial" w:cs="Arial"/>
      <w:sz w:val="22"/>
      <w:lang w:eastAsia="en-US"/>
    </w:rPr>
  </w:style>
  <w:style w:type="paragraph" w:styleId="Odstavecseseznamem">
    <w:name w:val="List Paragraph"/>
    <w:aliases w:val="Nad,List Paragraph (Czech Tourism),A-Odrážky1,Odstavec_muj,_Odstavec se seznamem,Odstavec_muj1,Odstavec_muj2,Odstavec_muj3,Nad1,List Paragraph1,Odstavec_muj4,Nad2,List Paragraph2,Odstavec_muj5,Odstavec_muj6"/>
    <w:basedOn w:val="Normln"/>
    <w:link w:val="OdstavecseseznamemChar"/>
    <w:uiPriority w:val="99"/>
    <w:qFormat/>
    <w:rsid w:val="00001AA2"/>
    <w:pPr>
      <w:ind w:left="720"/>
      <w:contextualSpacing/>
    </w:pPr>
  </w:style>
  <w:style w:type="paragraph" w:styleId="Zkladntext2">
    <w:name w:val="Body Text 2"/>
    <w:basedOn w:val="Normln"/>
    <w:link w:val="Zkladntext2Char"/>
    <w:rsid w:val="00060C37"/>
    <w:rPr>
      <w:szCs w:val="20"/>
    </w:rPr>
  </w:style>
  <w:style w:type="character" w:customStyle="1" w:styleId="Zkladntext2Char">
    <w:name w:val="Základní text 2 Char"/>
    <w:basedOn w:val="Standardnpsmoodstavce"/>
    <w:link w:val="Zkladntext2"/>
    <w:rsid w:val="00060C37"/>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CharChar">
    <w:name w:val="Char Char Char Char Char Char Char Char Char Char Char Char Char Char Char1 Char Char Char Char Char Char Char Char Char Char Char Char1 Char Char Char Char Char Char Char Char"/>
    <w:basedOn w:val="Normln"/>
    <w:rsid w:val="00060C37"/>
    <w:pPr>
      <w:spacing w:after="160" w:line="240" w:lineRule="exact"/>
    </w:pPr>
    <w:rPr>
      <w:rFonts w:ascii="Tahoma" w:hAnsi="Tahoma"/>
      <w:sz w:val="20"/>
      <w:szCs w:val="20"/>
      <w:lang w:val="en-US" w:eastAsia="en-US"/>
    </w:rPr>
  </w:style>
  <w:style w:type="paragraph" w:styleId="Zkladntext">
    <w:name w:val="Body Text"/>
    <w:basedOn w:val="Normln"/>
    <w:link w:val="ZkladntextChar"/>
    <w:uiPriority w:val="99"/>
    <w:unhideWhenUsed/>
    <w:rsid w:val="004F4AC4"/>
    <w:pPr>
      <w:spacing w:after="120"/>
    </w:pPr>
  </w:style>
  <w:style w:type="character" w:customStyle="1" w:styleId="ZkladntextChar">
    <w:name w:val="Základní text Char"/>
    <w:basedOn w:val="Standardnpsmoodstavce"/>
    <w:link w:val="Zkladntext"/>
    <w:uiPriority w:val="99"/>
    <w:rsid w:val="004F4AC4"/>
    <w:rPr>
      <w:rFonts w:ascii="Times New Roman" w:eastAsia="Times New Roman" w:hAnsi="Times New Roman" w:cs="Times New Roman"/>
      <w:sz w:val="24"/>
      <w:szCs w:val="24"/>
      <w:lang w:eastAsia="cs-CZ"/>
    </w:rPr>
  </w:style>
  <w:style w:type="character" w:styleId="Odkaznakoment">
    <w:name w:val="annotation reference"/>
    <w:uiPriority w:val="99"/>
    <w:rsid w:val="00E43DFF"/>
    <w:rPr>
      <w:sz w:val="16"/>
      <w:szCs w:val="16"/>
    </w:rPr>
  </w:style>
  <w:style w:type="paragraph" w:styleId="Textkomente">
    <w:name w:val="annotation text"/>
    <w:basedOn w:val="Normln"/>
    <w:link w:val="TextkomenteChar"/>
    <w:uiPriority w:val="99"/>
    <w:rsid w:val="00E43DFF"/>
    <w:rPr>
      <w:rFonts w:ascii="Arial" w:eastAsia="Calibri" w:hAnsi="Arial"/>
      <w:sz w:val="20"/>
      <w:szCs w:val="20"/>
      <w:lang w:eastAsia="en-US"/>
    </w:rPr>
  </w:style>
  <w:style w:type="character" w:customStyle="1" w:styleId="TextkomenteChar">
    <w:name w:val="Text komentáře Char"/>
    <w:basedOn w:val="Standardnpsmoodstavce"/>
    <w:link w:val="Textkomente"/>
    <w:uiPriority w:val="99"/>
    <w:rsid w:val="00E43DFF"/>
    <w:rPr>
      <w:rFonts w:ascii="Arial" w:eastAsia="Calibri" w:hAnsi="Arial" w:cs="Times New Roman"/>
      <w:sz w:val="20"/>
      <w:szCs w:val="20"/>
    </w:rPr>
  </w:style>
  <w:style w:type="paragraph" w:styleId="Textpoznpodarou">
    <w:name w:val="footnote text"/>
    <w:basedOn w:val="Normln"/>
    <w:link w:val="TextpoznpodarouChar"/>
    <w:rsid w:val="008F7463"/>
    <w:rPr>
      <w:sz w:val="20"/>
      <w:szCs w:val="20"/>
    </w:rPr>
  </w:style>
  <w:style w:type="character" w:customStyle="1" w:styleId="TextpoznpodarouChar">
    <w:name w:val="Text pozn. pod čarou Char"/>
    <w:basedOn w:val="Standardnpsmoodstavce"/>
    <w:link w:val="Textpoznpodarou"/>
    <w:rsid w:val="008F7463"/>
    <w:rPr>
      <w:rFonts w:ascii="Times New Roman" w:eastAsia="Times New Roman" w:hAnsi="Times New Roman" w:cs="Times New Roman"/>
      <w:sz w:val="20"/>
      <w:szCs w:val="20"/>
      <w:lang w:eastAsia="cs-CZ"/>
    </w:rPr>
  </w:style>
  <w:style w:type="character" w:styleId="Znakapoznpodarou">
    <w:name w:val="footnote reference"/>
    <w:rsid w:val="008F7463"/>
    <w:rPr>
      <w:vertAlign w:val="superscript"/>
    </w:rPr>
  </w:style>
  <w:style w:type="paragraph" w:customStyle="1" w:styleId="Default">
    <w:name w:val="Default"/>
    <w:rsid w:val="00F57E89"/>
    <w:pPr>
      <w:autoSpaceDE w:val="0"/>
      <w:autoSpaceDN w:val="0"/>
      <w:adjustRightInd w:val="0"/>
      <w:spacing w:after="0" w:line="240" w:lineRule="auto"/>
    </w:pPr>
    <w:rPr>
      <w:rFonts w:ascii="EUAlbertina" w:hAnsi="EUAlbertina" w:cs="EUAlbertina"/>
      <w:color w:val="000000"/>
      <w:sz w:val="24"/>
      <w:szCs w:val="24"/>
    </w:rPr>
  </w:style>
  <w:style w:type="character" w:customStyle="1" w:styleId="Nadpis5Char">
    <w:name w:val="Nadpis 5 Char"/>
    <w:basedOn w:val="Standardnpsmoodstavce"/>
    <w:link w:val="Nadpis5"/>
    <w:uiPriority w:val="9"/>
    <w:rsid w:val="007B4C3D"/>
    <w:rPr>
      <w:rFonts w:ascii="Times New Roman" w:eastAsia="Times New Roman" w:hAnsi="Times New Roman" w:cs="Times New Roman"/>
      <w:b/>
      <w:bCs/>
      <w:sz w:val="20"/>
      <w:szCs w:val="20"/>
      <w:lang w:eastAsia="cs-CZ"/>
    </w:rPr>
  </w:style>
  <w:style w:type="paragraph" w:styleId="Normlnweb">
    <w:name w:val="Normal (Web)"/>
    <w:basedOn w:val="Normln"/>
    <w:uiPriority w:val="99"/>
    <w:unhideWhenUsed/>
    <w:rsid w:val="007B4C3D"/>
    <w:pPr>
      <w:spacing w:before="100" w:beforeAutospacing="1" w:after="100" w:afterAutospacing="1"/>
    </w:pPr>
  </w:style>
  <w:style w:type="paragraph" w:customStyle="1" w:styleId="CharCharCharCharCharCharCharCharCharCharCharChar">
    <w:name w:val="Char Char Char Char Char Char Char Char Char Char Char Char"/>
    <w:basedOn w:val="Normln"/>
    <w:rsid w:val="00A9321F"/>
    <w:pPr>
      <w:spacing w:after="160" w:line="240" w:lineRule="exact"/>
    </w:pPr>
    <w:rPr>
      <w:rFonts w:ascii="Tahoma" w:hAnsi="Tahoma"/>
      <w:sz w:val="20"/>
      <w:szCs w:val="20"/>
      <w:lang w:val="en-US" w:eastAsia="en-US"/>
    </w:rPr>
  </w:style>
  <w:style w:type="character" w:customStyle="1" w:styleId="Nadpis1Char">
    <w:name w:val="Nadpis 1 Char"/>
    <w:basedOn w:val="Standardnpsmoodstavce"/>
    <w:link w:val="Nadpis1"/>
    <w:uiPriority w:val="9"/>
    <w:rsid w:val="005C7C7E"/>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uiPriority w:val="99"/>
    <w:rsid w:val="005C7C7E"/>
    <w:rPr>
      <w:color w:val="0000FF"/>
      <w:u w:val="single"/>
    </w:rPr>
  </w:style>
  <w:style w:type="numbering" w:customStyle="1" w:styleId="StylI-aa">
    <w:name w:val="Styl I-aa)"/>
    <w:uiPriority w:val="99"/>
    <w:rsid w:val="00B17D25"/>
    <w:pPr>
      <w:numPr>
        <w:numId w:val="8"/>
      </w:numPr>
    </w:pPr>
  </w:style>
  <w:style w:type="paragraph" w:customStyle="1" w:styleId="StylI">
    <w:name w:val="Styl I."/>
    <w:basedOn w:val="Odstavecseseznamem"/>
    <w:link w:val="StylIChar"/>
    <w:qFormat/>
    <w:rsid w:val="00B17D25"/>
    <w:pPr>
      <w:numPr>
        <w:numId w:val="7"/>
      </w:numPr>
      <w:spacing w:before="120" w:after="240"/>
      <w:ind w:left="357" w:hanging="357"/>
      <w:contextualSpacing w:val="0"/>
      <w:jc w:val="both"/>
    </w:pPr>
    <w:rPr>
      <w:rFonts w:ascii="Arial" w:eastAsia="Calibri" w:hAnsi="Arial"/>
      <w:sz w:val="22"/>
      <w:szCs w:val="22"/>
      <w:lang w:val="x-none" w:eastAsia="en-US"/>
    </w:rPr>
  </w:style>
  <w:style w:type="character" w:customStyle="1" w:styleId="StylIChar">
    <w:name w:val="Styl I. Char"/>
    <w:link w:val="StylI"/>
    <w:rsid w:val="00B17D25"/>
    <w:rPr>
      <w:rFonts w:ascii="Arial" w:eastAsia="Calibri" w:hAnsi="Arial" w:cs="Times New Roman"/>
      <w:lang w:val="x-none"/>
    </w:rPr>
  </w:style>
  <w:style w:type="paragraph" w:customStyle="1" w:styleId="Stylaa">
    <w:name w:val="Styl aa)"/>
    <w:basedOn w:val="Odstavecseseznamem"/>
    <w:qFormat/>
    <w:rsid w:val="00B17D25"/>
    <w:pPr>
      <w:numPr>
        <w:ilvl w:val="3"/>
        <w:numId w:val="7"/>
      </w:numPr>
      <w:spacing w:before="120" w:after="240"/>
      <w:ind w:left="357" w:hanging="357"/>
      <w:contextualSpacing w:val="0"/>
      <w:jc w:val="both"/>
    </w:pPr>
    <w:rPr>
      <w:rFonts w:ascii="Arial" w:eastAsia="Calibri" w:hAnsi="Arial"/>
      <w:sz w:val="22"/>
      <w:szCs w:val="22"/>
      <w:lang w:val="x-none" w:eastAsia="en-US"/>
    </w:rPr>
  </w:style>
  <w:style w:type="paragraph" w:customStyle="1" w:styleId="Styla">
    <w:name w:val="Styl a)"/>
    <w:basedOn w:val="Odstavecseseznamem"/>
    <w:qFormat/>
    <w:rsid w:val="00B17D25"/>
    <w:pPr>
      <w:numPr>
        <w:ilvl w:val="2"/>
        <w:numId w:val="7"/>
      </w:numPr>
      <w:spacing w:before="120" w:after="240"/>
      <w:ind w:left="357" w:hanging="357"/>
      <w:contextualSpacing w:val="0"/>
      <w:jc w:val="both"/>
    </w:pPr>
    <w:rPr>
      <w:rFonts w:ascii="Arial" w:eastAsia="Calibri" w:hAnsi="Arial"/>
      <w:sz w:val="22"/>
      <w:szCs w:val="22"/>
      <w:lang w:val="x-none" w:eastAsia="en-US"/>
    </w:rPr>
  </w:style>
  <w:style w:type="character" w:styleId="Siln">
    <w:name w:val="Strong"/>
    <w:uiPriority w:val="22"/>
    <w:qFormat/>
    <w:rsid w:val="00803858"/>
    <w:rPr>
      <w:b/>
      <w:bCs/>
    </w:rPr>
  </w:style>
  <w:style w:type="paragraph" w:customStyle="1" w:styleId="Odstavecseseznamem1">
    <w:name w:val="Odstavec se seznamem1"/>
    <w:basedOn w:val="Normln"/>
    <w:rsid w:val="00803858"/>
    <w:pPr>
      <w:spacing w:after="200" w:line="276" w:lineRule="auto"/>
      <w:ind w:left="720"/>
      <w:contextualSpacing/>
    </w:pPr>
    <w:rPr>
      <w:rFonts w:ascii="Calibri" w:hAnsi="Calibri" w:cs="Calibri"/>
      <w:sz w:val="22"/>
      <w:szCs w:val="22"/>
      <w:lang w:eastAsia="en-US"/>
    </w:rPr>
  </w:style>
  <w:style w:type="paragraph" w:styleId="Pedmtkomente">
    <w:name w:val="annotation subject"/>
    <w:basedOn w:val="Textkomente"/>
    <w:next w:val="Textkomente"/>
    <w:link w:val="PedmtkomenteChar"/>
    <w:uiPriority w:val="99"/>
    <w:semiHidden/>
    <w:unhideWhenUsed/>
    <w:rsid w:val="00650DA1"/>
    <w:rPr>
      <w:rFonts w:ascii="Times New Roman" w:eastAsia="Times New Roman" w:hAnsi="Times New Roman"/>
      <w:b/>
      <w:bCs/>
      <w:lang w:eastAsia="cs-CZ"/>
    </w:rPr>
  </w:style>
  <w:style w:type="character" w:customStyle="1" w:styleId="PedmtkomenteChar">
    <w:name w:val="Předmět komentáře Char"/>
    <w:basedOn w:val="TextkomenteChar"/>
    <w:link w:val="Pedmtkomente"/>
    <w:uiPriority w:val="99"/>
    <w:semiHidden/>
    <w:rsid w:val="00650DA1"/>
    <w:rPr>
      <w:rFonts w:ascii="Times New Roman" w:eastAsia="Times New Roman" w:hAnsi="Times New Roman" w:cs="Times New Roman"/>
      <w:b/>
      <w:bCs/>
      <w:sz w:val="20"/>
      <w:szCs w:val="20"/>
      <w:lang w:eastAsia="cs-CZ"/>
    </w:rPr>
  </w:style>
  <w:style w:type="character" w:customStyle="1" w:styleId="Nadpis2Char">
    <w:name w:val="Nadpis 2 Char"/>
    <w:basedOn w:val="Standardnpsmoodstavce"/>
    <w:link w:val="Nadpis2"/>
    <w:uiPriority w:val="9"/>
    <w:rsid w:val="00C15553"/>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0">
    <w:name w:val="Char Char Char Char Char Char Char Char Char Char Char Char"/>
    <w:basedOn w:val="Normln"/>
    <w:rsid w:val="00F77877"/>
    <w:pPr>
      <w:spacing w:after="160" w:line="240" w:lineRule="exact"/>
    </w:pPr>
    <w:rPr>
      <w:rFonts w:ascii="Tahoma" w:hAnsi="Tahoma"/>
      <w:sz w:val="20"/>
      <w:szCs w:val="20"/>
      <w:lang w:val="en-US" w:eastAsia="en-US"/>
    </w:rPr>
  </w:style>
  <w:style w:type="character" w:customStyle="1" w:styleId="OdstavecseseznamemChar">
    <w:name w:val="Odstavec se seznamem Char"/>
    <w:aliases w:val="Nad Char,List Paragraph (Czech Tourism) Char,A-Odrážky1 Char,Odstavec_muj Char,_Odstavec se seznamem Char,Odstavec_muj1 Char,Odstavec_muj2 Char,Odstavec_muj3 Char,Nad1 Char,List Paragraph1 Char,Odstavec_muj4 Char,Nad2 Char"/>
    <w:link w:val="Odstavecseseznamem"/>
    <w:uiPriority w:val="99"/>
    <w:locked/>
    <w:rsid w:val="008C5426"/>
    <w:rPr>
      <w:rFonts w:ascii="Times New Roman" w:eastAsia="Times New Roman" w:hAnsi="Times New Roman" w:cs="Times New Roman"/>
      <w:sz w:val="24"/>
      <w:szCs w:val="24"/>
      <w:lang w:eastAsia="cs-CZ"/>
    </w:rPr>
  </w:style>
  <w:style w:type="paragraph" w:styleId="Textvysvtlivek">
    <w:name w:val="endnote text"/>
    <w:basedOn w:val="Normln"/>
    <w:link w:val="TextvysvtlivekChar"/>
    <w:uiPriority w:val="99"/>
    <w:semiHidden/>
    <w:unhideWhenUsed/>
    <w:rsid w:val="00816844"/>
    <w:rPr>
      <w:sz w:val="20"/>
      <w:szCs w:val="20"/>
    </w:rPr>
  </w:style>
  <w:style w:type="character" w:customStyle="1" w:styleId="TextvysvtlivekChar">
    <w:name w:val="Text vysvětlivek Char"/>
    <w:basedOn w:val="Standardnpsmoodstavce"/>
    <w:link w:val="Textvysvtlivek"/>
    <w:uiPriority w:val="99"/>
    <w:semiHidden/>
    <w:rsid w:val="00816844"/>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816844"/>
    <w:rPr>
      <w:vertAlign w:val="superscript"/>
    </w:rPr>
  </w:style>
  <w:style w:type="character" w:customStyle="1" w:styleId="Kurzva">
    <w:name w:val="Kurzíva"/>
    <w:uiPriority w:val="99"/>
    <w:rsid w:val="00873E61"/>
    <w:rPr>
      <w:i/>
    </w:rPr>
  </w:style>
  <w:style w:type="character" w:customStyle="1" w:styleId="Nadpis4Char">
    <w:name w:val="Nadpis 4 Char"/>
    <w:basedOn w:val="Standardnpsmoodstavce"/>
    <w:link w:val="Nadpis4"/>
    <w:uiPriority w:val="9"/>
    <w:semiHidden/>
    <w:rsid w:val="00F97C83"/>
    <w:rPr>
      <w:rFonts w:asciiTheme="majorHAnsi" w:eastAsiaTheme="majorEastAsia" w:hAnsiTheme="majorHAnsi" w:cstheme="majorBidi"/>
      <w:i/>
      <w:iCs/>
      <w:color w:val="365F91" w:themeColor="accent1" w:themeShade="BF"/>
      <w:sz w:val="24"/>
      <w:szCs w:val="24"/>
      <w:lang w:eastAsia="cs-CZ"/>
    </w:rPr>
  </w:style>
  <w:style w:type="character" w:customStyle="1" w:styleId="Nadpis3Char">
    <w:name w:val="Nadpis 3 Char"/>
    <w:basedOn w:val="Standardnpsmoodstavce"/>
    <w:link w:val="Nadpis3"/>
    <w:uiPriority w:val="9"/>
    <w:semiHidden/>
    <w:rsid w:val="00F97C83"/>
    <w:rPr>
      <w:rFonts w:asciiTheme="majorHAnsi" w:eastAsiaTheme="majorEastAsia" w:hAnsiTheme="majorHAnsi" w:cstheme="majorBidi"/>
      <w:color w:val="243F60" w:themeColor="accent1" w:themeShade="7F"/>
      <w:sz w:val="24"/>
      <w:szCs w:val="24"/>
      <w:lang w:eastAsia="cs-CZ"/>
    </w:rPr>
  </w:style>
  <w:style w:type="character" w:customStyle="1" w:styleId="dn">
    <w:name w:val="Žádný"/>
    <w:rsid w:val="00F97C83"/>
  </w:style>
  <w:style w:type="paragraph" w:styleId="Revize">
    <w:name w:val="Revision"/>
    <w:hidden/>
    <w:uiPriority w:val="99"/>
    <w:semiHidden/>
    <w:rsid w:val="000D29F5"/>
    <w:pPr>
      <w:spacing w:after="0" w:line="240" w:lineRule="auto"/>
    </w:pPr>
    <w:rPr>
      <w:rFonts w:ascii="Times New Roman" w:eastAsia="Times New Roman" w:hAnsi="Times New Roman" w:cs="Times New Roman"/>
      <w:sz w:val="24"/>
      <w:szCs w:val="24"/>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C0EFD"/>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C7C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C155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F97C83"/>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uiPriority w:val="9"/>
    <w:semiHidden/>
    <w:unhideWhenUsed/>
    <w:qFormat/>
    <w:rsid w:val="00F97C83"/>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link w:val="Nadpis5Char"/>
    <w:uiPriority w:val="9"/>
    <w:qFormat/>
    <w:rsid w:val="007B4C3D"/>
    <w:pPr>
      <w:spacing w:before="100" w:beforeAutospacing="1" w:after="100" w:afterAutospacing="1"/>
      <w:outlineLvl w:val="4"/>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3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dsazen">
    <w:name w:val="Normal odsazený"/>
    <w:basedOn w:val="Normln"/>
    <w:qFormat/>
    <w:rsid w:val="00001AA2"/>
    <w:pPr>
      <w:spacing w:line="360" w:lineRule="auto"/>
      <w:ind w:firstLine="567"/>
      <w:jc w:val="both"/>
    </w:pPr>
    <w:rPr>
      <w:rFonts w:ascii="Arial" w:eastAsia="Arial" w:hAnsi="Arial" w:cs="Arial"/>
      <w:sz w:val="22"/>
      <w:lang w:eastAsia="en-US"/>
    </w:rPr>
  </w:style>
  <w:style w:type="paragraph" w:styleId="Odstavecseseznamem">
    <w:name w:val="List Paragraph"/>
    <w:aliases w:val="Nad,List Paragraph (Czech Tourism),A-Odrážky1,Odstavec_muj,_Odstavec se seznamem,Odstavec_muj1,Odstavec_muj2,Odstavec_muj3,Nad1,List Paragraph1,Odstavec_muj4,Nad2,List Paragraph2,Odstavec_muj5,Odstavec_muj6"/>
    <w:basedOn w:val="Normln"/>
    <w:link w:val="OdstavecseseznamemChar"/>
    <w:uiPriority w:val="99"/>
    <w:qFormat/>
    <w:rsid w:val="00001AA2"/>
    <w:pPr>
      <w:ind w:left="720"/>
      <w:contextualSpacing/>
    </w:pPr>
  </w:style>
  <w:style w:type="paragraph" w:styleId="Zkladntext2">
    <w:name w:val="Body Text 2"/>
    <w:basedOn w:val="Normln"/>
    <w:link w:val="Zkladntext2Char"/>
    <w:rsid w:val="00060C37"/>
    <w:rPr>
      <w:szCs w:val="20"/>
    </w:rPr>
  </w:style>
  <w:style w:type="character" w:customStyle="1" w:styleId="Zkladntext2Char">
    <w:name w:val="Základní text 2 Char"/>
    <w:basedOn w:val="Standardnpsmoodstavce"/>
    <w:link w:val="Zkladntext2"/>
    <w:rsid w:val="00060C37"/>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CharChar">
    <w:name w:val="Char Char Char Char Char Char Char Char Char Char Char Char Char Char Char1 Char Char Char Char Char Char Char Char Char Char Char Char1 Char Char Char Char Char Char Char Char"/>
    <w:basedOn w:val="Normln"/>
    <w:rsid w:val="00060C37"/>
    <w:pPr>
      <w:spacing w:after="160" w:line="240" w:lineRule="exact"/>
    </w:pPr>
    <w:rPr>
      <w:rFonts w:ascii="Tahoma" w:hAnsi="Tahoma"/>
      <w:sz w:val="20"/>
      <w:szCs w:val="20"/>
      <w:lang w:val="en-US" w:eastAsia="en-US"/>
    </w:rPr>
  </w:style>
  <w:style w:type="paragraph" w:styleId="Zkladntext">
    <w:name w:val="Body Text"/>
    <w:basedOn w:val="Normln"/>
    <w:link w:val="ZkladntextChar"/>
    <w:uiPriority w:val="99"/>
    <w:unhideWhenUsed/>
    <w:rsid w:val="004F4AC4"/>
    <w:pPr>
      <w:spacing w:after="120"/>
    </w:pPr>
  </w:style>
  <w:style w:type="character" w:customStyle="1" w:styleId="ZkladntextChar">
    <w:name w:val="Základní text Char"/>
    <w:basedOn w:val="Standardnpsmoodstavce"/>
    <w:link w:val="Zkladntext"/>
    <w:uiPriority w:val="99"/>
    <w:rsid w:val="004F4AC4"/>
    <w:rPr>
      <w:rFonts w:ascii="Times New Roman" w:eastAsia="Times New Roman" w:hAnsi="Times New Roman" w:cs="Times New Roman"/>
      <w:sz w:val="24"/>
      <w:szCs w:val="24"/>
      <w:lang w:eastAsia="cs-CZ"/>
    </w:rPr>
  </w:style>
  <w:style w:type="character" w:styleId="Odkaznakoment">
    <w:name w:val="annotation reference"/>
    <w:uiPriority w:val="99"/>
    <w:rsid w:val="00E43DFF"/>
    <w:rPr>
      <w:sz w:val="16"/>
      <w:szCs w:val="16"/>
    </w:rPr>
  </w:style>
  <w:style w:type="paragraph" w:styleId="Textkomente">
    <w:name w:val="annotation text"/>
    <w:basedOn w:val="Normln"/>
    <w:link w:val="TextkomenteChar"/>
    <w:uiPriority w:val="99"/>
    <w:rsid w:val="00E43DFF"/>
    <w:rPr>
      <w:rFonts w:ascii="Arial" w:eastAsia="Calibri" w:hAnsi="Arial"/>
      <w:sz w:val="20"/>
      <w:szCs w:val="20"/>
      <w:lang w:eastAsia="en-US"/>
    </w:rPr>
  </w:style>
  <w:style w:type="character" w:customStyle="1" w:styleId="TextkomenteChar">
    <w:name w:val="Text komentáře Char"/>
    <w:basedOn w:val="Standardnpsmoodstavce"/>
    <w:link w:val="Textkomente"/>
    <w:uiPriority w:val="99"/>
    <w:rsid w:val="00E43DFF"/>
    <w:rPr>
      <w:rFonts w:ascii="Arial" w:eastAsia="Calibri" w:hAnsi="Arial" w:cs="Times New Roman"/>
      <w:sz w:val="20"/>
      <w:szCs w:val="20"/>
    </w:rPr>
  </w:style>
  <w:style w:type="paragraph" w:styleId="Textpoznpodarou">
    <w:name w:val="footnote text"/>
    <w:basedOn w:val="Normln"/>
    <w:link w:val="TextpoznpodarouChar"/>
    <w:rsid w:val="008F7463"/>
    <w:rPr>
      <w:sz w:val="20"/>
      <w:szCs w:val="20"/>
    </w:rPr>
  </w:style>
  <w:style w:type="character" w:customStyle="1" w:styleId="TextpoznpodarouChar">
    <w:name w:val="Text pozn. pod čarou Char"/>
    <w:basedOn w:val="Standardnpsmoodstavce"/>
    <w:link w:val="Textpoznpodarou"/>
    <w:rsid w:val="008F7463"/>
    <w:rPr>
      <w:rFonts w:ascii="Times New Roman" w:eastAsia="Times New Roman" w:hAnsi="Times New Roman" w:cs="Times New Roman"/>
      <w:sz w:val="20"/>
      <w:szCs w:val="20"/>
      <w:lang w:eastAsia="cs-CZ"/>
    </w:rPr>
  </w:style>
  <w:style w:type="character" w:styleId="Znakapoznpodarou">
    <w:name w:val="footnote reference"/>
    <w:rsid w:val="008F7463"/>
    <w:rPr>
      <w:vertAlign w:val="superscript"/>
    </w:rPr>
  </w:style>
  <w:style w:type="paragraph" w:customStyle="1" w:styleId="Default">
    <w:name w:val="Default"/>
    <w:rsid w:val="00F57E89"/>
    <w:pPr>
      <w:autoSpaceDE w:val="0"/>
      <w:autoSpaceDN w:val="0"/>
      <w:adjustRightInd w:val="0"/>
      <w:spacing w:after="0" w:line="240" w:lineRule="auto"/>
    </w:pPr>
    <w:rPr>
      <w:rFonts w:ascii="EUAlbertina" w:hAnsi="EUAlbertina" w:cs="EUAlbertina"/>
      <w:color w:val="000000"/>
      <w:sz w:val="24"/>
      <w:szCs w:val="24"/>
    </w:rPr>
  </w:style>
  <w:style w:type="character" w:customStyle="1" w:styleId="Nadpis5Char">
    <w:name w:val="Nadpis 5 Char"/>
    <w:basedOn w:val="Standardnpsmoodstavce"/>
    <w:link w:val="Nadpis5"/>
    <w:uiPriority w:val="9"/>
    <w:rsid w:val="007B4C3D"/>
    <w:rPr>
      <w:rFonts w:ascii="Times New Roman" w:eastAsia="Times New Roman" w:hAnsi="Times New Roman" w:cs="Times New Roman"/>
      <w:b/>
      <w:bCs/>
      <w:sz w:val="20"/>
      <w:szCs w:val="20"/>
      <w:lang w:eastAsia="cs-CZ"/>
    </w:rPr>
  </w:style>
  <w:style w:type="paragraph" w:styleId="Normlnweb">
    <w:name w:val="Normal (Web)"/>
    <w:basedOn w:val="Normln"/>
    <w:uiPriority w:val="99"/>
    <w:unhideWhenUsed/>
    <w:rsid w:val="007B4C3D"/>
    <w:pPr>
      <w:spacing w:before="100" w:beforeAutospacing="1" w:after="100" w:afterAutospacing="1"/>
    </w:pPr>
  </w:style>
  <w:style w:type="paragraph" w:customStyle="1" w:styleId="CharCharCharCharCharCharCharCharCharCharCharChar">
    <w:name w:val="Char Char Char Char Char Char Char Char Char Char Char Char"/>
    <w:basedOn w:val="Normln"/>
    <w:rsid w:val="00A9321F"/>
    <w:pPr>
      <w:spacing w:after="160" w:line="240" w:lineRule="exact"/>
    </w:pPr>
    <w:rPr>
      <w:rFonts w:ascii="Tahoma" w:hAnsi="Tahoma"/>
      <w:sz w:val="20"/>
      <w:szCs w:val="20"/>
      <w:lang w:val="en-US" w:eastAsia="en-US"/>
    </w:rPr>
  </w:style>
  <w:style w:type="character" w:customStyle="1" w:styleId="Nadpis1Char">
    <w:name w:val="Nadpis 1 Char"/>
    <w:basedOn w:val="Standardnpsmoodstavce"/>
    <w:link w:val="Nadpis1"/>
    <w:uiPriority w:val="9"/>
    <w:rsid w:val="005C7C7E"/>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uiPriority w:val="99"/>
    <w:rsid w:val="005C7C7E"/>
    <w:rPr>
      <w:color w:val="0000FF"/>
      <w:u w:val="single"/>
    </w:rPr>
  </w:style>
  <w:style w:type="numbering" w:customStyle="1" w:styleId="StylI-aa">
    <w:name w:val="Styl I-aa)"/>
    <w:uiPriority w:val="99"/>
    <w:rsid w:val="00B17D25"/>
    <w:pPr>
      <w:numPr>
        <w:numId w:val="8"/>
      </w:numPr>
    </w:pPr>
  </w:style>
  <w:style w:type="paragraph" w:customStyle="1" w:styleId="StylI">
    <w:name w:val="Styl I."/>
    <w:basedOn w:val="Odstavecseseznamem"/>
    <w:link w:val="StylIChar"/>
    <w:qFormat/>
    <w:rsid w:val="00B17D25"/>
    <w:pPr>
      <w:numPr>
        <w:numId w:val="7"/>
      </w:numPr>
      <w:spacing w:before="120" w:after="240"/>
      <w:ind w:left="357" w:hanging="357"/>
      <w:contextualSpacing w:val="0"/>
      <w:jc w:val="both"/>
    </w:pPr>
    <w:rPr>
      <w:rFonts w:ascii="Arial" w:eastAsia="Calibri" w:hAnsi="Arial"/>
      <w:sz w:val="22"/>
      <w:szCs w:val="22"/>
      <w:lang w:val="x-none" w:eastAsia="en-US"/>
    </w:rPr>
  </w:style>
  <w:style w:type="character" w:customStyle="1" w:styleId="StylIChar">
    <w:name w:val="Styl I. Char"/>
    <w:link w:val="StylI"/>
    <w:rsid w:val="00B17D25"/>
    <w:rPr>
      <w:rFonts w:ascii="Arial" w:eastAsia="Calibri" w:hAnsi="Arial" w:cs="Times New Roman"/>
      <w:lang w:val="x-none"/>
    </w:rPr>
  </w:style>
  <w:style w:type="paragraph" w:customStyle="1" w:styleId="Stylaa">
    <w:name w:val="Styl aa)"/>
    <w:basedOn w:val="Odstavecseseznamem"/>
    <w:qFormat/>
    <w:rsid w:val="00B17D25"/>
    <w:pPr>
      <w:numPr>
        <w:ilvl w:val="3"/>
        <w:numId w:val="7"/>
      </w:numPr>
      <w:spacing w:before="120" w:after="240"/>
      <w:ind w:left="357" w:hanging="357"/>
      <w:contextualSpacing w:val="0"/>
      <w:jc w:val="both"/>
    </w:pPr>
    <w:rPr>
      <w:rFonts w:ascii="Arial" w:eastAsia="Calibri" w:hAnsi="Arial"/>
      <w:sz w:val="22"/>
      <w:szCs w:val="22"/>
      <w:lang w:val="x-none" w:eastAsia="en-US"/>
    </w:rPr>
  </w:style>
  <w:style w:type="paragraph" w:customStyle="1" w:styleId="Styla">
    <w:name w:val="Styl a)"/>
    <w:basedOn w:val="Odstavecseseznamem"/>
    <w:qFormat/>
    <w:rsid w:val="00B17D25"/>
    <w:pPr>
      <w:numPr>
        <w:ilvl w:val="2"/>
        <w:numId w:val="7"/>
      </w:numPr>
      <w:spacing w:before="120" w:after="240"/>
      <w:ind w:left="357" w:hanging="357"/>
      <w:contextualSpacing w:val="0"/>
      <w:jc w:val="both"/>
    </w:pPr>
    <w:rPr>
      <w:rFonts w:ascii="Arial" w:eastAsia="Calibri" w:hAnsi="Arial"/>
      <w:sz w:val="22"/>
      <w:szCs w:val="22"/>
      <w:lang w:val="x-none" w:eastAsia="en-US"/>
    </w:rPr>
  </w:style>
  <w:style w:type="character" w:styleId="Siln">
    <w:name w:val="Strong"/>
    <w:uiPriority w:val="22"/>
    <w:qFormat/>
    <w:rsid w:val="00803858"/>
    <w:rPr>
      <w:b/>
      <w:bCs/>
    </w:rPr>
  </w:style>
  <w:style w:type="paragraph" w:customStyle="1" w:styleId="Odstavecseseznamem1">
    <w:name w:val="Odstavec se seznamem1"/>
    <w:basedOn w:val="Normln"/>
    <w:rsid w:val="00803858"/>
    <w:pPr>
      <w:spacing w:after="200" w:line="276" w:lineRule="auto"/>
      <w:ind w:left="720"/>
      <w:contextualSpacing/>
    </w:pPr>
    <w:rPr>
      <w:rFonts w:ascii="Calibri" w:hAnsi="Calibri" w:cs="Calibri"/>
      <w:sz w:val="22"/>
      <w:szCs w:val="22"/>
      <w:lang w:eastAsia="en-US"/>
    </w:rPr>
  </w:style>
  <w:style w:type="paragraph" w:styleId="Pedmtkomente">
    <w:name w:val="annotation subject"/>
    <w:basedOn w:val="Textkomente"/>
    <w:next w:val="Textkomente"/>
    <w:link w:val="PedmtkomenteChar"/>
    <w:uiPriority w:val="99"/>
    <w:semiHidden/>
    <w:unhideWhenUsed/>
    <w:rsid w:val="00650DA1"/>
    <w:rPr>
      <w:rFonts w:ascii="Times New Roman" w:eastAsia="Times New Roman" w:hAnsi="Times New Roman"/>
      <w:b/>
      <w:bCs/>
      <w:lang w:eastAsia="cs-CZ"/>
    </w:rPr>
  </w:style>
  <w:style w:type="character" w:customStyle="1" w:styleId="PedmtkomenteChar">
    <w:name w:val="Předmět komentáře Char"/>
    <w:basedOn w:val="TextkomenteChar"/>
    <w:link w:val="Pedmtkomente"/>
    <w:uiPriority w:val="99"/>
    <w:semiHidden/>
    <w:rsid w:val="00650DA1"/>
    <w:rPr>
      <w:rFonts w:ascii="Times New Roman" w:eastAsia="Times New Roman" w:hAnsi="Times New Roman" w:cs="Times New Roman"/>
      <w:b/>
      <w:bCs/>
      <w:sz w:val="20"/>
      <w:szCs w:val="20"/>
      <w:lang w:eastAsia="cs-CZ"/>
    </w:rPr>
  </w:style>
  <w:style w:type="character" w:customStyle="1" w:styleId="Nadpis2Char">
    <w:name w:val="Nadpis 2 Char"/>
    <w:basedOn w:val="Standardnpsmoodstavce"/>
    <w:link w:val="Nadpis2"/>
    <w:uiPriority w:val="9"/>
    <w:rsid w:val="00C15553"/>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0">
    <w:name w:val="Char Char Char Char Char Char Char Char Char Char Char Char"/>
    <w:basedOn w:val="Normln"/>
    <w:rsid w:val="00F77877"/>
    <w:pPr>
      <w:spacing w:after="160" w:line="240" w:lineRule="exact"/>
    </w:pPr>
    <w:rPr>
      <w:rFonts w:ascii="Tahoma" w:hAnsi="Tahoma"/>
      <w:sz w:val="20"/>
      <w:szCs w:val="20"/>
      <w:lang w:val="en-US" w:eastAsia="en-US"/>
    </w:rPr>
  </w:style>
  <w:style w:type="character" w:customStyle="1" w:styleId="OdstavecseseznamemChar">
    <w:name w:val="Odstavec se seznamem Char"/>
    <w:aliases w:val="Nad Char,List Paragraph (Czech Tourism) Char,A-Odrážky1 Char,Odstavec_muj Char,_Odstavec se seznamem Char,Odstavec_muj1 Char,Odstavec_muj2 Char,Odstavec_muj3 Char,Nad1 Char,List Paragraph1 Char,Odstavec_muj4 Char,Nad2 Char"/>
    <w:link w:val="Odstavecseseznamem"/>
    <w:uiPriority w:val="99"/>
    <w:locked/>
    <w:rsid w:val="008C5426"/>
    <w:rPr>
      <w:rFonts w:ascii="Times New Roman" w:eastAsia="Times New Roman" w:hAnsi="Times New Roman" w:cs="Times New Roman"/>
      <w:sz w:val="24"/>
      <w:szCs w:val="24"/>
      <w:lang w:eastAsia="cs-CZ"/>
    </w:rPr>
  </w:style>
  <w:style w:type="paragraph" w:styleId="Textvysvtlivek">
    <w:name w:val="endnote text"/>
    <w:basedOn w:val="Normln"/>
    <w:link w:val="TextvysvtlivekChar"/>
    <w:uiPriority w:val="99"/>
    <w:semiHidden/>
    <w:unhideWhenUsed/>
    <w:rsid w:val="00816844"/>
    <w:rPr>
      <w:sz w:val="20"/>
      <w:szCs w:val="20"/>
    </w:rPr>
  </w:style>
  <w:style w:type="character" w:customStyle="1" w:styleId="TextvysvtlivekChar">
    <w:name w:val="Text vysvětlivek Char"/>
    <w:basedOn w:val="Standardnpsmoodstavce"/>
    <w:link w:val="Textvysvtlivek"/>
    <w:uiPriority w:val="99"/>
    <w:semiHidden/>
    <w:rsid w:val="00816844"/>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816844"/>
    <w:rPr>
      <w:vertAlign w:val="superscript"/>
    </w:rPr>
  </w:style>
  <w:style w:type="character" w:customStyle="1" w:styleId="Kurzva">
    <w:name w:val="Kurzíva"/>
    <w:uiPriority w:val="99"/>
    <w:rsid w:val="00873E61"/>
    <w:rPr>
      <w:i/>
    </w:rPr>
  </w:style>
  <w:style w:type="character" w:customStyle="1" w:styleId="Nadpis4Char">
    <w:name w:val="Nadpis 4 Char"/>
    <w:basedOn w:val="Standardnpsmoodstavce"/>
    <w:link w:val="Nadpis4"/>
    <w:uiPriority w:val="9"/>
    <w:semiHidden/>
    <w:rsid w:val="00F97C83"/>
    <w:rPr>
      <w:rFonts w:asciiTheme="majorHAnsi" w:eastAsiaTheme="majorEastAsia" w:hAnsiTheme="majorHAnsi" w:cstheme="majorBidi"/>
      <w:i/>
      <w:iCs/>
      <w:color w:val="365F91" w:themeColor="accent1" w:themeShade="BF"/>
      <w:sz w:val="24"/>
      <w:szCs w:val="24"/>
      <w:lang w:eastAsia="cs-CZ"/>
    </w:rPr>
  </w:style>
  <w:style w:type="character" w:customStyle="1" w:styleId="Nadpis3Char">
    <w:name w:val="Nadpis 3 Char"/>
    <w:basedOn w:val="Standardnpsmoodstavce"/>
    <w:link w:val="Nadpis3"/>
    <w:uiPriority w:val="9"/>
    <w:semiHidden/>
    <w:rsid w:val="00F97C83"/>
    <w:rPr>
      <w:rFonts w:asciiTheme="majorHAnsi" w:eastAsiaTheme="majorEastAsia" w:hAnsiTheme="majorHAnsi" w:cstheme="majorBidi"/>
      <w:color w:val="243F60" w:themeColor="accent1" w:themeShade="7F"/>
      <w:sz w:val="24"/>
      <w:szCs w:val="24"/>
      <w:lang w:eastAsia="cs-CZ"/>
    </w:rPr>
  </w:style>
  <w:style w:type="character" w:customStyle="1" w:styleId="dn">
    <w:name w:val="Žádný"/>
    <w:rsid w:val="00F97C83"/>
  </w:style>
  <w:style w:type="paragraph" w:styleId="Revize">
    <w:name w:val="Revision"/>
    <w:hidden/>
    <w:uiPriority w:val="99"/>
    <w:semiHidden/>
    <w:rsid w:val="000D29F5"/>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4366">
      <w:bodyDiv w:val="1"/>
      <w:marLeft w:val="0"/>
      <w:marRight w:val="0"/>
      <w:marTop w:val="0"/>
      <w:marBottom w:val="0"/>
      <w:divBdr>
        <w:top w:val="none" w:sz="0" w:space="0" w:color="auto"/>
        <w:left w:val="none" w:sz="0" w:space="0" w:color="auto"/>
        <w:bottom w:val="none" w:sz="0" w:space="0" w:color="auto"/>
        <w:right w:val="none" w:sz="0" w:space="0" w:color="auto"/>
      </w:divBdr>
    </w:div>
    <w:div w:id="442916572">
      <w:bodyDiv w:val="1"/>
      <w:marLeft w:val="0"/>
      <w:marRight w:val="0"/>
      <w:marTop w:val="0"/>
      <w:marBottom w:val="0"/>
      <w:divBdr>
        <w:top w:val="none" w:sz="0" w:space="0" w:color="auto"/>
        <w:left w:val="none" w:sz="0" w:space="0" w:color="auto"/>
        <w:bottom w:val="none" w:sz="0" w:space="0" w:color="auto"/>
        <w:right w:val="none" w:sz="0" w:space="0" w:color="auto"/>
      </w:divBdr>
    </w:div>
    <w:div w:id="1021474126">
      <w:bodyDiv w:val="1"/>
      <w:marLeft w:val="0"/>
      <w:marRight w:val="0"/>
      <w:marTop w:val="0"/>
      <w:marBottom w:val="0"/>
      <w:divBdr>
        <w:top w:val="none" w:sz="0" w:space="0" w:color="auto"/>
        <w:left w:val="none" w:sz="0" w:space="0" w:color="auto"/>
        <w:bottom w:val="none" w:sz="0" w:space="0" w:color="auto"/>
        <w:right w:val="none" w:sz="0" w:space="0" w:color="auto"/>
      </w:divBdr>
    </w:div>
    <w:div w:id="1065252342">
      <w:bodyDiv w:val="1"/>
      <w:marLeft w:val="0"/>
      <w:marRight w:val="0"/>
      <w:marTop w:val="0"/>
      <w:marBottom w:val="0"/>
      <w:divBdr>
        <w:top w:val="none" w:sz="0" w:space="0" w:color="auto"/>
        <w:left w:val="none" w:sz="0" w:space="0" w:color="auto"/>
        <w:bottom w:val="none" w:sz="0" w:space="0" w:color="auto"/>
        <w:right w:val="none" w:sz="0" w:space="0" w:color="auto"/>
      </w:divBdr>
    </w:div>
    <w:div w:id="1464155033">
      <w:bodyDiv w:val="1"/>
      <w:marLeft w:val="0"/>
      <w:marRight w:val="0"/>
      <w:marTop w:val="0"/>
      <w:marBottom w:val="0"/>
      <w:divBdr>
        <w:top w:val="none" w:sz="0" w:space="0" w:color="auto"/>
        <w:left w:val="none" w:sz="0" w:space="0" w:color="auto"/>
        <w:bottom w:val="none" w:sz="0" w:space="0" w:color="auto"/>
        <w:right w:val="none" w:sz="0" w:space="0" w:color="auto"/>
      </w:divBdr>
      <w:divsChild>
        <w:div w:id="36659716">
          <w:marLeft w:val="0"/>
          <w:marRight w:val="0"/>
          <w:marTop w:val="0"/>
          <w:marBottom w:val="0"/>
          <w:divBdr>
            <w:top w:val="none" w:sz="0" w:space="0" w:color="auto"/>
            <w:left w:val="none" w:sz="0" w:space="0" w:color="auto"/>
            <w:bottom w:val="none" w:sz="0" w:space="0" w:color="auto"/>
            <w:right w:val="none" w:sz="0" w:space="0" w:color="auto"/>
          </w:divBdr>
          <w:divsChild>
            <w:div w:id="1361468976">
              <w:marLeft w:val="0"/>
              <w:marRight w:val="0"/>
              <w:marTop w:val="0"/>
              <w:marBottom w:val="0"/>
              <w:divBdr>
                <w:top w:val="none" w:sz="0" w:space="0" w:color="auto"/>
                <w:left w:val="none" w:sz="0" w:space="0" w:color="auto"/>
                <w:bottom w:val="none" w:sz="0" w:space="0" w:color="auto"/>
                <w:right w:val="none" w:sz="0" w:space="0" w:color="auto"/>
              </w:divBdr>
              <w:divsChild>
                <w:div w:id="2098017035">
                  <w:marLeft w:val="0"/>
                  <w:marRight w:val="0"/>
                  <w:marTop w:val="0"/>
                  <w:marBottom w:val="0"/>
                  <w:divBdr>
                    <w:top w:val="none" w:sz="0" w:space="0" w:color="auto"/>
                    <w:left w:val="none" w:sz="0" w:space="0" w:color="auto"/>
                    <w:bottom w:val="none" w:sz="0" w:space="0" w:color="auto"/>
                    <w:right w:val="none" w:sz="0" w:space="0" w:color="auto"/>
                  </w:divBdr>
                  <w:divsChild>
                    <w:div w:id="1951663414">
                      <w:marLeft w:val="0"/>
                      <w:marRight w:val="0"/>
                      <w:marTop w:val="0"/>
                      <w:marBottom w:val="0"/>
                      <w:divBdr>
                        <w:top w:val="none" w:sz="0" w:space="0" w:color="auto"/>
                        <w:left w:val="none" w:sz="0" w:space="0" w:color="auto"/>
                        <w:bottom w:val="none" w:sz="0" w:space="0" w:color="auto"/>
                        <w:right w:val="none" w:sz="0" w:space="0" w:color="auto"/>
                      </w:divBdr>
                      <w:divsChild>
                        <w:div w:id="204151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66506229">
      <w:bodyDiv w:val="1"/>
      <w:marLeft w:val="0"/>
      <w:marRight w:val="0"/>
      <w:marTop w:val="0"/>
      <w:marBottom w:val="0"/>
      <w:divBdr>
        <w:top w:val="none" w:sz="0" w:space="0" w:color="auto"/>
        <w:left w:val="none" w:sz="0" w:space="0" w:color="auto"/>
        <w:bottom w:val="none" w:sz="0" w:space="0" w:color="auto"/>
        <w:right w:val="none" w:sz="0" w:space="0" w:color="auto"/>
      </w:divBdr>
    </w:div>
    <w:div w:id="1808620165">
      <w:bodyDiv w:val="1"/>
      <w:marLeft w:val="0"/>
      <w:marRight w:val="0"/>
      <w:marTop w:val="0"/>
      <w:marBottom w:val="0"/>
      <w:divBdr>
        <w:top w:val="none" w:sz="0" w:space="0" w:color="auto"/>
        <w:left w:val="none" w:sz="0" w:space="0" w:color="auto"/>
        <w:bottom w:val="none" w:sz="0" w:space="0" w:color="auto"/>
        <w:right w:val="none" w:sz="0" w:space="0" w:color="auto"/>
      </w:divBdr>
    </w:div>
    <w:div w:id="1836072451">
      <w:bodyDiv w:val="1"/>
      <w:marLeft w:val="0"/>
      <w:marRight w:val="0"/>
      <w:marTop w:val="0"/>
      <w:marBottom w:val="0"/>
      <w:divBdr>
        <w:top w:val="none" w:sz="0" w:space="0" w:color="auto"/>
        <w:left w:val="none" w:sz="0" w:space="0" w:color="auto"/>
        <w:bottom w:val="none" w:sz="0" w:space="0" w:color="auto"/>
        <w:right w:val="none" w:sz="0" w:space="0" w:color="auto"/>
      </w:divBdr>
    </w:div>
    <w:div w:id="200042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27F456-BF6A-4204-8432-29AE00FAF4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3068</Words>
  <Characters>18102</Characters>
  <Application>Microsoft Office Word</Application>
  <DocSecurity>0</DocSecurity>
  <Lines>150</Lines>
  <Paragraphs>42</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21128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Luboš Sychra</dc:creator>
  <cp:lastModifiedBy>Moravcová Lenka</cp:lastModifiedBy>
  <cp:revision>3</cp:revision>
  <cp:lastPrinted>2023-01-09T07:32:00Z</cp:lastPrinted>
  <dcterms:created xsi:type="dcterms:W3CDTF">2023-01-13T14:07:00Z</dcterms:created>
  <dcterms:modified xsi:type="dcterms:W3CDTF">2023-01-23T07:16:00Z</dcterms:modified>
</cp:coreProperties>
</file>