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03AE56BC" w14:textId="77777777" w:rsidTr="00E16134">
        <w:trPr>
          <w:trHeight w:val="370"/>
        </w:trPr>
        <w:tc>
          <w:tcPr>
            <w:tcW w:w="9639" w:type="dxa"/>
            <w:tcBorders>
              <w:top w:val="nil"/>
              <w:bottom w:val="single" w:sz="4" w:space="0" w:color="161A48"/>
            </w:tcBorders>
          </w:tcPr>
          <w:p w14:paraId="768266CA" w14:textId="77777777" w:rsidR="00B13622" w:rsidRPr="008517B5" w:rsidRDefault="00B13622" w:rsidP="00E16134">
            <w:pPr>
              <w:pStyle w:val="Nadpisobsahu"/>
              <w:tabs>
                <w:tab w:val="left" w:pos="6300"/>
                <w:tab w:val="left" w:pos="8395"/>
              </w:tabs>
            </w:pPr>
            <w:r>
              <w:tab/>
            </w:r>
            <w:r>
              <w:tab/>
            </w:r>
          </w:p>
        </w:tc>
      </w:tr>
      <w:tr w:rsidR="00B13622" w14:paraId="4FE42AED" w14:textId="77777777" w:rsidTr="00E16134">
        <w:trPr>
          <w:trHeight w:val="370"/>
        </w:trPr>
        <w:tc>
          <w:tcPr>
            <w:tcW w:w="9639" w:type="dxa"/>
            <w:tcBorders>
              <w:top w:val="single" w:sz="4" w:space="0" w:color="161A48"/>
              <w:bottom w:val="single" w:sz="18" w:space="0" w:color="161A48"/>
            </w:tcBorders>
          </w:tcPr>
          <w:p w14:paraId="52422DCE" w14:textId="77777777" w:rsidR="00B13622" w:rsidRDefault="00B13622" w:rsidP="00E16134">
            <w:pPr>
              <w:pStyle w:val="tvar"/>
              <w:spacing w:before="120" w:after="120"/>
              <w:ind w:left="-109"/>
            </w:pPr>
            <w:r>
              <w:t>Rada pro výzkum, vývoj a inovace</w:t>
            </w:r>
          </w:p>
        </w:tc>
      </w:tr>
    </w:tbl>
    <w:p w14:paraId="2523333B" w14:textId="0BEB2963" w:rsidR="008627FE" w:rsidRDefault="00816EF0" w:rsidP="008627FE">
      <w:pPr>
        <w:autoSpaceDE w:val="0"/>
        <w:autoSpaceDN w:val="0"/>
        <w:adjustRightInd w:val="0"/>
        <w:spacing w:before="120" w:after="120" w:line="276" w:lineRule="auto"/>
        <w:jc w:val="center"/>
        <w:rPr>
          <w:rFonts w:ascii="Arial" w:hAnsi="Arial" w:cs="Arial"/>
          <w:b/>
          <w:color w:val="0070C0"/>
          <w:sz w:val="28"/>
          <w:szCs w:val="28"/>
        </w:rPr>
      </w:pPr>
      <w:r>
        <w:rPr>
          <w:rFonts w:ascii="Arial" w:hAnsi="Arial" w:cs="Arial"/>
          <w:b/>
          <w:color w:val="0070C0"/>
          <w:sz w:val="28"/>
          <w:szCs w:val="28"/>
        </w:rPr>
        <w:t>Draghiho zpráva</w:t>
      </w:r>
    </w:p>
    <w:p w14:paraId="7F2F035F" w14:textId="77777777" w:rsidR="00816EF0" w:rsidRPr="00816EF0" w:rsidRDefault="00681BC4" w:rsidP="00816EF0">
      <w:pPr>
        <w:pStyle w:val="Normlnweb"/>
        <w:shd w:val="clear" w:color="auto" w:fill="FFFFFF"/>
        <w:spacing w:after="390" w:line="276" w:lineRule="auto"/>
        <w:jc w:val="both"/>
        <w:rPr>
          <w:rFonts w:ascii="Arial" w:hAnsi="Arial" w:cs="Arial"/>
          <w:bCs/>
          <w:sz w:val="22"/>
          <w:szCs w:val="22"/>
        </w:rPr>
      </w:pPr>
      <w:r w:rsidRPr="00816EF0">
        <w:rPr>
          <w:rFonts w:ascii="Arial" w:hAnsi="Arial" w:cs="Arial"/>
          <w:bCs/>
          <w:sz w:val="22"/>
          <w:szCs w:val="22"/>
        </w:rPr>
        <w:t xml:space="preserve">Radě pro výzkum, vývoj a inovace (dále jen „Rada“) </w:t>
      </w:r>
      <w:r w:rsidR="009063AF" w:rsidRPr="00816EF0">
        <w:rPr>
          <w:rFonts w:ascii="Arial" w:hAnsi="Arial" w:cs="Arial"/>
          <w:bCs/>
          <w:sz w:val="22"/>
          <w:szCs w:val="22"/>
        </w:rPr>
        <w:t>se předkládá</w:t>
      </w:r>
      <w:r w:rsidR="0072499F" w:rsidRPr="00816EF0">
        <w:rPr>
          <w:rFonts w:ascii="Arial" w:hAnsi="Arial" w:cs="Arial"/>
          <w:bCs/>
          <w:sz w:val="22"/>
          <w:szCs w:val="22"/>
        </w:rPr>
        <w:t xml:space="preserve"> pro informaci </w:t>
      </w:r>
      <w:r w:rsidR="00816EF0" w:rsidRPr="00816EF0">
        <w:rPr>
          <w:rFonts w:ascii="Arial" w:hAnsi="Arial" w:cs="Arial"/>
          <w:bCs/>
          <w:sz w:val="22"/>
          <w:szCs w:val="22"/>
        </w:rPr>
        <w:t xml:space="preserve">stručný souhrn zprávy vydané pod vedením Maria Draghiho. </w:t>
      </w:r>
    </w:p>
    <w:p w14:paraId="2B14415D" w14:textId="0DB1F5CA" w:rsidR="00816EF0" w:rsidRPr="00816EF0" w:rsidRDefault="00816EF0" w:rsidP="00816EF0">
      <w:pPr>
        <w:pStyle w:val="Normlnweb"/>
        <w:shd w:val="clear" w:color="auto" w:fill="FFFFFF"/>
        <w:spacing w:after="390" w:line="276" w:lineRule="auto"/>
        <w:jc w:val="both"/>
        <w:rPr>
          <w:rFonts w:ascii="Arial" w:hAnsi="Arial" w:cs="Arial"/>
          <w:bCs/>
          <w:color w:val="222222"/>
          <w:sz w:val="22"/>
          <w:szCs w:val="22"/>
        </w:rPr>
      </w:pPr>
      <w:r w:rsidRPr="00816EF0">
        <w:rPr>
          <w:rFonts w:ascii="Arial" w:hAnsi="Arial" w:cs="Arial"/>
          <w:bCs/>
          <w:color w:val="222222"/>
          <w:sz w:val="22"/>
          <w:szCs w:val="22"/>
        </w:rPr>
        <w:t xml:space="preserve">Dne 9. září 2024 zveřejnila EK zprávu o konkurenceschopnosti Evropy, kterou vypracoval Mario Draghi (dále jen „autor“), bývalý italský premiér a šéf Evropské centrální banky. </w:t>
      </w:r>
    </w:p>
    <w:p w14:paraId="431C4C2D" w14:textId="77777777" w:rsid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bCs/>
          <w:color w:val="222222"/>
          <w:sz w:val="22"/>
          <w:szCs w:val="22"/>
        </w:rPr>
        <w:t>Zpráva se zabývá technologiemi a zaměřuje se převážně na překonání rozdílu v produktivitě mezi EU a USA, který, jak autor uvádí, „je z velké části způsoben technologickým sektorem“, resp. jeho relativním nedostatkem v Evropě. Kromě zdůraznění, že Evropa musí překonat „inovační mezeru oproti USA a Číně, zejména v oblasti vyspělých technologií“, jsou podle autora dalšími důležitými oblastmi, v nichž je třeba jednat, „dekarbonizace a konkurenceschopnost“ a „zvýšení bezpečnosti a snížení závislostí“. Jako výhodu, kterou nelze Evropě vzít, autor zmiňuje vyšší sociální zabezpečení, ale varuje, že bez drastického zlepšení růstu a produktivity je schopnost Evropy financovat sociální zabezpečení ohrožena.</w:t>
      </w:r>
      <w:r>
        <w:rPr>
          <w:rFonts w:ascii="Arial" w:hAnsi="Arial" w:cs="Arial"/>
          <w:color w:val="222222"/>
          <w:sz w:val="22"/>
          <w:szCs w:val="22"/>
        </w:rPr>
        <w:t xml:space="preserve"> </w:t>
      </w:r>
    </w:p>
    <w:p w14:paraId="2FA32773" w14:textId="77777777" w:rsidR="00816EF0" w:rsidRPr="00816EF0" w:rsidRDefault="00816EF0" w:rsidP="00816EF0">
      <w:pPr>
        <w:pStyle w:val="Normlnweb"/>
        <w:shd w:val="clear" w:color="auto" w:fill="FFFFFF"/>
        <w:spacing w:after="390" w:line="276" w:lineRule="auto"/>
        <w:jc w:val="both"/>
        <w:rPr>
          <w:rFonts w:ascii="Arial" w:hAnsi="Arial" w:cs="Arial"/>
          <w:bCs/>
          <w:color w:val="222222"/>
          <w:sz w:val="22"/>
          <w:szCs w:val="22"/>
        </w:rPr>
      </w:pPr>
      <w:r w:rsidRPr="00816EF0">
        <w:rPr>
          <w:rFonts w:ascii="Arial" w:hAnsi="Arial" w:cs="Arial"/>
          <w:bCs/>
          <w:color w:val="222222"/>
          <w:sz w:val="22"/>
          <w:szCs w:val="22"/>
        </w:rPr>
        <w:t>Hlavní doporučení se týkají posílení technologických inovací využitím klíčových oblastí, v nichž je Evropa pravděpodobně schopna konkurovat USA a Číně, konkrétně rozvoje umělé inteligence a čistých technologií, jako jsou elektromobily. To vyžaduje rozsáhlé financování jak z veřejného, tak ze soukromého sektoru. Autor doporučuje masivní zvýšení společného zadlužování a „integraci evropských kapitálových trhů, aby bylo možné lépe nasměrovat vysoké úspory domácností do produktivních investic“. Požaduje, aby se do vysoce rizikových projektů investovalo mnohem více rizikového kapitálu, protože jeho nedostatek způsobil, že začínající podniky byly více závislé na bankovních úvěrech, které se pro financování takových podniků nehodí. Vyzývá rovněž k určité deregulaci nebo alespoň ke zjednodušení regulace, neboť regulaci považuje za obzvlášť velkou překážku pro technologické inovace. Kromě toho si přeje, aby bylo schváleno více fúzí, zejména v oblasti telekomunikací.</w:t>
      </w:r>
    </w:p>
    <w:p w14:paraId="212D3D19" w14:textId="77777777" w:rsidR="00816EF0" w:rsidRPr="00816EF0" w:rsidRDefault="00816EF0" w:rsidP="00816EF0">
      <w:pPr>
        <w:pStyle w:val="Normlnweb"/>
        <w:shd w:val="clear" w:color="auto" w:fill="FFFFFF"/>
        <w:spacing w:after="390" w:line="276" w:lineRule="auto"/>
        <w:jc w:val="both"/>
        <w:rPr>
          <w:rFonts w:ascii="Arial" w:hAnsi="Arial" w:cs="Arial"/>
          <w:b/>
          <w:color w:val="222222"/>
          <w:sz w:val="22"/>
          <w:szCs w:val="22"/>
          <w:u w:val="single"/>
        </w:rPr>
      </w:pPr>
      <w:r w:rsidRPr="00816EF0">
        <w:rPr>
          <w:rFonts w:ascii="Arial" w:hAnsi="Arial" w:cs="Arial"/>
          <w:b/>
          <w:color w:val="222222"/>
          <w:sz w:val="22"/>
          <w:szCs w:val="22"/>
          <w:u w:val="single"/>
        </w:rPr>
        <w:t>Hlavní teze autora</w:t>
      </w:r>
    </w:p>
    <w:p w14:paraId="5F8DA526" w14:textId="77777777" w:rsidR="00816EF0" w:rsidRPr="00816EF0" w:rsidRDefault="00816EF0" w:rsidP="00816EF0">
      <w:pPr>
        <w:spacing w:line="276" w:lineRule="auto"/>
        <w:jc w:val="both"/>
        <w:rPr>
          <w:rFonts w:ascii="Arial" w:hAnsi="Arial" w:cs="Arial"/>
          <w:sz w:val="22"/>
          <w:szCs w:val="22"/>
        </w:rPr>
      </w:pPr>
      <w:r w:rsidRPr="00816EF0">
        <w:rPr>
          <w:rFonts w:ascii="Arial" w:hAnsi="Arial" w:cs="Arial"/>
          <w:b/>
          <w:bCs/>
          <w:sz w:val="22"/>
          <w:szCs w:val="22"/>
        </w:rPr>
        <w:t>Důraz na odstranění inovační mezery:</w:t>
      </w:r>
      <w:r w:rsidRPr="00816EF0">
        <w:rPr>
          <w:rFonts w:ascii="Arial" w:hAnsi="Arial" w:cs="Arial"/>
          <w:sz w:val="22"/>
          <w:szCs w:val="22"/>
        </w:rPr>
        <w:t xml:space="preserve"> potřeba, aby Evropa nebyla závislá na USA a Číně v oblasti vyspělých technologií. </w:t>
      </w:r>
    </w:p>
    <w:p w14:paraId="58057E11" w14:textId="77777777" w:rsidR="00816EF0" w:rsidRPr="00816EF0" w:rsidRDefault="00816EF0" w:rsidP="00816EF0">
      <w:pPr>
        <w:spacing w:line="276" w:lineRule="auto"/>
        <w:jc w:val="both"/>
        <w:rPr>
          <w:rFonts w:ascii="Arial" w:hAnsi="Arial" w:cs="Arial"/>
          <w:sz w:val="22"/>
          <w:szCs w:val="22"/>
        </w:rPr>
      </w:pPr>
      <w:r w:rsidRPr="00816EF0">
        <w:rPr>
          <w:rFonts w:ascii="Arial" w:hAnsi="Arial" w:cs="Arial"/>
          <w:b/>
          <w:bCs/>
          <w:sz w:val="22"/>
          <w:szCs w:val="22"/>
        </w:rPr>
        <w:t>Investice jako klíčový faktor:</w:t>
      </w:r>
      <w:r w:rsidRPr="00816EF0">
        <w:rPr>
          <w:rFonts w:ascii="Arial" w:hAnsi="Arial" w:cs="Arial"/>
          <w:sz w:val="22"/>
          <w:szCs w:val="22"/>
        </w:rPr>
        <w:t xml:space="preserve"> rozsáhlé veřejné i soukromé investice do technologických inovací.</w:t>
      </w:r>
    </w:p>
    <w:p w14:paraId="65C23527" w14:textId="77777777" w:rsidR="00816EF0" w:rsidRPr="00816EF0" w:rsidRDefault="00816EF0" w:rsidP="00816EF0">
      <w:pPr>
        <w:spacing w:line="276" w:lineRule="auto"/>
        <w:jc w:val="both"/>
        <w:rPr>
          <w:rFonts w:ascii="Arial" w:hAnsi="Arial" w:cs="Arial"/>
          <w:sz w:val="22"/>
          <w:szCs w:val="22"/>
        </w:rPr>
      </w:pPr>
      <w:r w:rsidRPr="00816EF0">
        <w:rPr>
          <w:rFonts w:ascii="Arial" w:hAnsi="Arial" w:cs="Arial"/>
          <w:b/>
          <w:bCs/>
          <w:sz w:val="22"/>
          <w:szCs w:val="22"/>
        </w:rPr>
        <w:t>Deregulace a zjednodušení:</w:t>
      </w:r>
      <w:r w:rsidRPr="00816EF0">
        <w:rPr>
          <w:rFonts w:ascii="Arial" w:hAnsi="Arial" w:cs="Arial"/>
          <w:sz w:val="22"/>
          <w:szCs w:val="22"/>
        </w:rPr>
        <w:t xml:space="preserve"> současná regulace je příliš složitá a brzdící inovace. Navrhuje zjednodušení a cílenější regulaci, zejména v oblasti technologií.</w:t>
      </w:r>
    </w:p>
    <w:p w14:paraId="667E1758" w14:textId="77777777" w:rsidR="00816EF0" w:rsidRPr="00816EF0" w:rsidRDefault="00816EF0" w:rsidP="00816EF0">
      <w:pPr>
        <w:spacing w:line="276" w:lineRule="auto"/>
        <w:jc w:val="both"/>
        <w:rPr>
          <w:rFonts w:ascii="Arial" w:hAnsi="Arial" w:cs="Arial"/>
          <w:sz w:val="22"/>
          <w:szCs w:val="22"/>
        </w:rPr>
      </w:pPr>
      <w:r w:rsidRPr="00816EF0">
        <w:rPr>
          <w:rFonts w:ascii="Arial" w:hAnsi="Arial" w:cs="Arial"/>
          <w:b/>
          <w:bCs/>
          <w:sz w:val="22"/>
          <w:szCs w:val="22"/>
        </w:rPr>
        <w:t>Role jednotného trhu:</w:t>
      </w:r>
      <w:r w:rsidRPr="00816EF0">
        <w:rPr>
          <w:rFonts w:ascii="Arial" w:hAnsi="Arial" w:cs="Arial"/>
          <w:sz w:val="22"/>
          <w:szCs w:val="22"/>
        </w:rPr>
        <w:t xml:space="preserve"> důraz na význam jednotného trhu pro zvýšení konkurenceschopnosti a přilákání investic.</w:t>
      </w:r>
    </w:p>
    <w:p w14:paraId="0F05706B" w14:textId="19816D56" w:rsidR="00816EF0" w:rsidRPr="00816EF0" w:rsidRDefault="00816EF0" w:rsidP="00816EF0">
      <w:pPr>
        <w:spacing w:line="276" w:lineRule="auto"/>
        <w:jc w:val="both"/>
        <w:rPr>
          <w:rFonts w:ascii="Arial" w:hAnsi="Arial" w:cs="Arial"/>
          <w:sz w:val="22"/>
          <w:szCs w:val="22"/>
        </w:rPr>
      </w:pPr>
      <w:r w:rsidRPr="00816EF0">
        <w:rPr>
          <w:rFonts w:ascii="Arial" w:hAnsi="Arial" w:cs="Arial"/>
          <w:b/>
          <w:bCs/>
          <w:sz w:val="22"/>
          <w:szCs w:val="22"/>
        </w:rPr>
        <w:t>Obavy o sociální zabezpečení:</w:t>
      </w:r>
      <w:r w:rsidRPr="00816EF0">
        <w:rPr>
          <w:rFonts w:ascii="Arial" w:hAnsi="Arial" w:cs="Arial"/>
          <w:sz w:val="22"/>
          <w:szCs w:val="22"/>
        </w:rPr>
        <w:t xml:space="preserve"> I když se zpráva zaměřuje především na ekonomický růst, autor upozorňuje na nutnost udržitelnosti sociálního systému.</w:t>
      </w:r>
    </w:p>
    <w:p w14:paraId="56657266" w14:textId="77777777" w:rsidR="00816EF0" w:rsidRDefault="00816EF0" w:rsidP="00816EF0">
      <w:pPr>
        <w:pStyle w:val="Normlnweb"/>
        <w:shd w:val="clear" w:color="auto" w:fill="FFFFFF"/>
        <w:spacing w:after="390" w:line="276" w:lineRule="auto"/>
        <w:jc w:val="both"/>
        <w:rPr>
          <w:rFonts w:ascii="Arial" w:hAnsi="Arial" w:cs="Arial"/>
          <w:b/>
          <w:color w:val="222222"/>
          <w:sz w:val="22"/>
          <w:szCs w:val="22"/>
          <w:u w:val="single"/>
        </w:rPr>
      </w:pPr>
      <w:r w:rsidRPr="00816EF0">
        <w:rPr>
          <w:rFonts w:ascii="Arial" w:hAnsi="Arial" w:cs="Arial"/>
          <w:b/>
          <w:color w:val="222222"/>
          <w:sz w:val="22"/>
          <w:szCs w:val="22"/>
          <w:u w:val="single"/>
        </w:rPr>
        <w:t>Podrobnější popis:</w:t>
      </w:r>
    </w:p>
    <w:p w14:paraId="19E5874C" w14:textId="2944FB32" w:rsidR="00816EF0" w:rsidRPr="00816EF0" w:rsidRDefault="00816EF0" w:rsidP="00816EF0">
      <w:pPr>
        <w:pStyle w:val="Normlnweb"/>
        <w:shd w:val="clear" w:color="auto" w:fill="FFFFFF"/>
        <w:spacing w:after="390" w:line="276" w:lineRule="auto"/>
        <w:jc w:val="both"/>
        <w:rPr>
          <w:rFonts w:ascii="Arial" w:hAnsi="Arial" w:cs="Arial"/>
          <w:b/>
          <w:color w:val="222222"/>
          <w:sz w:val="22"/>
          <w:szCs w:val="22"/>
          <w:u w:val="single"/>
        </w:rPr>
      </w:pPr>
      <w:r w:rsidRPr="00816EF0">
        <w:rPr>
          <w:rFonts w:ascii="Arial" w:hAnsi="Arial" w:cs="Arial"/>
          <w:b/>
          <w:color w:val="222222"/>
          <w:sz w:val="22"/>
          <w:szCs w:val="22"/>
        </w:rPr>
        <w:lastRenderedPageBreak/>
        <w:t>Inovace a investice</w:t>
      </w:r>
    </w:p>
    <w:p w14:paraId="1584277C"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Inovační rozdíl mezi EU a USA se zvětšuje v důsledku relativně stagnujících investic do výzkumu a inovací. Zatímco během posledních dvou desetiletí se „trojice největších amerických společností, které vynakládají nejvíce prostředků na výzkum a inovace,  od roku 2000 přesunuly z automobilového a farmaceutického průmyslu k softwarovým a hardwarovým společnostem ke konci první dekády a poté do digitálního sektoru ve dvacátých letech“, v EU naopak „zůstává na stejné úrovni, přičemž automobilové společnosti trvale dominují trojici největších poskytovatelů prostředků na výzkum a inovace“. Evropa tedy utrácí pouze za „vyspělé technologie“, kde se produktivita zpomaluje. K tomuto problému se přidávají „regulační a jurisdikční překážky“, které brání rozšiřování nových technologií. Lituje, že kvůli nedostatku investičních příležitostí „mnoho inovativních společností nakonec hledá financování u amerických investorů rizikového kapitálu a expanzi na velkém americkém trhu považují za výhodnější variantu než řešení roztříštěných trhů EU“.</w:t>
      </w:r>
    </w:p>
    <w:p w14:paraId="09EB6E5B"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Kromě nedostatku investic rizikového kapitálu tvrdí, že veřejné výdaje jsou nedostatečné. Program financování EU Horizon Europe má sice rozpočet 100 miliard eur, ale „je rozprostřen do příliš mnoha oblastí a přístup k němu je příliš složitý a byrokratický. Je také nedostatečně zaměřen na převratné inovace.“</w:t>
      </w:r>
    </w:p>
    <w:p w14:paraId="27F55647"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V zájmu zlepšení evropského financování vyzývá k jednotě finančních nástrojů, které jsou v současnosti „rozděleny podle jednotlivých států a mezi členské státy a EU“. Roztříštěnost podle něj nepřispívá k rozšiřování nových technologií, blokuje vytváření velkých investičních fondů a vytváří „zbytečnou složitost a byrokracii pro soukromý sektor“.</w:t>
      </w:r>
    </w:p>
    <w:p w14:paraId="09FBA4A2"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 xml:space="preserve">Vyslovuje se pro plné zavedení jednotného trhu, neboť roztříštěnost v rámci EU zhoršuje neschopnost masivního růstu a snižuje poptávku po financování. Například „společnosti z EU s vysokým růstovým potenciálem raději hledají financování u amerických rizikových fondů a rozšiřují svou činnost na americkém trhu, kde mohou snadněji dosáhnout širokého záběru na trhu a rychleji dosáhnout ziskovosti. </w:t>
      </w:r>
    </w:p>
    <w:p w14:paraId="15E78F3B" w14:textId="77777777" w:rsidR="00816EF0" w:rsidRPr="00816EF0" w:rsidRDefault="00816EF0" w:rsidP="00816EF0">
      <w:pPr>
        <w:pStyle w:val="Normlnweb"/>
        <w:shd w:val="clear" w:color="auto" w:fill="FFFFFF"/>
        <w:spacing w:after="390" w:line="276" w:lineRule="auto"/>
        <w:jc w:val="both"/>
        <w:rPr>
          <w:rFonts w:ascii="Arial" w:hAnsi="Arial" w:cs="Arial"/>
          <w:b/>
          <w:color w:val="222222"/>
          <w:sz w:val="22"/>
          <w:szCs w:val="22"/>
        </w:rPr>
      </w:pPr>
      <w:r w:rsidRPr="00816EF0">
        <w:rPr>
          <w:rFonts w:ascii="Arial" w:hAnsi="Arial" w:cs="Arial"/>
          <w:b/>
          <w:color w:val="222222"/>
          <w:sz w:val="22"/>
          <w:szCs w:val="22"/>
        </w:rPr>
        <w:t>Regulatorní zátěž</w:t>
      </w:r>
    </w:p>
    <w:p w14:paraId="6F6E7CA2"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 xml:space="preserve">Vyzývá ke zjednodušení pravidel na trhu s technologiemi. Uvádí, že „regulatorní postoj EU vůči technologickým společnostem brání inovacím“, a naráží na to, že regulatorní prostředí je příliš roztříštěné a složité. Nesouhlasí s „preventivním přístupem“ zákonů, které nařizují „konkrétní obchodní postupy ex ante, aby se předešlo potenciálním rizikům ex post. Zákon o umělé inteligenci například ukládá dodatečné regulatorní požadavky na modely umělé inteligence pro obecné účely, které překračují předem stanovenou hranici výpočetního výkonu – hranici, kterou některé nejmodernější modely již překračují.“ Autor to považuje za přehnané, zejména proto, že umělou inteligenci považuje za potenciální oblast růstu. Vyzývá k přehodnocení potřebných právních nástrojů a tvrdí, že je „zásadní snížit regulační zátěž podniků“. </w:t>
      </w:r>
    </w:p>
    <w:p w14:paraId="7CB04783"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 xml:space="preserve">Oblastí, v níž autor navrhuje přehodnocení regulace, je hospodářská soutěž. Tvrdí, že pro „prioritní odvětví“, jako jsou digitální technologie, „by měla být regulace navržena tak, aby usnadnila vstup na trh“ a „nestala se překážkou pro dosažení evropských cílů“. V závěru uvádí, že „vzhledem k tomu, že inovace v technologickém sektoru jsou rychlé a kladou vysoké </w:t>
      </w:r>
      <w:r w:rsidRPr="00816EF0">
        <w:rPr>
          <w:rFonts w:ascii="Arial" w:hAnsi="Arial" w:cs="Arial"/>
          <w:color w:val="222222"/>
          <w:sz w:val="22"/>
          <w:szCs w:val="22"/>
        </w:rPr>
        <w:lastRenderedPageBreak/>
        <w:t>nároky na rozpočet, mělo by se při hodnocení fúzí posuzovat, jak navrhované spojení ovlivní budoucí inovační potenciál v kritických inovačních oblastech“. Jednou z oblastí, která je podle autora zralá pro usnadnění konsolidace, je telekomunikační sektor, což je podle něj požadavek „na zajištění vyšší míry investic do konektivity“.</w:t>
      </w:r>
    </w:p>
    <w:p w14:paraId="11B465C1" w14:textId="77777777" w:rsidR="00816EF0" w:rsidRPr="00816EF0" w:rsidRDefault="00816EF0" w:rsidP="00816EF0">
      <w:pPr>
        <w:pStyle w:val="Normlnweb"/>
        <w:shd w:val="clear" w:color="auto" w:fill="FFFFFF"/>
        <w:spacing w:after="390" w:line="276" w:lineRule="auto"/>
        <w:jc w:val="both"/>
        <w:rPr>
          <w:rFonts w:ascii="Arial" w:hAnsi="Arial" w:cs="Arial"/>
          <w:b/>
          <w:color w:val="222222"/>
          <w:sz w:val="22"/>
          <w:szCs w:val="22"/>
        </w:rPr>
      </w:pPr>
      <w:r w:rsidRPr="00816EF0">
        <w:rPr>
          <w:rFonts w:ascii="Arial" w:hAnsi="Arial" w:cs="Arial"/>
          <w:b/>
          <w:color w:val="222222"/>
          <w:sz w:val="22"/>
          <w:szCs w:val="22"/>
        </w:rPr>
        <w:t>Umělá inteligence</w:t>
      </w:r>
    </w:p>
    <w:p w14:paraId="50B045A6"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 xml:space="preserve">Ačkoli se čistá energie nabízí jako potenciální oblast růstu pro průmysl EU, zpráva trvá na tom, aby se EU zaměřila na rozvoj umělé inteligence. Autor tvrdí, že EU by měla využít tohoto okamžiku, který považuje za „předěl další digitální revoluce“. EU se nestala lídrem v „první digitální revoluci vedené internetem“ ani v oblasti cloud </w:t>
      </w:r>
      <w:proofErr w:type="spellStart"/>
      <w:r w:rsidRPr="00816EF0">
        <w:rPr>
          <w:rFonts w:ascii="Arial" w:hAnsi="Arial" w:cs="Arial"/>
          <w:color w:val="222222"/>
          <w:sz w:val="22"/>
          <w:szCs w:val="22"/>
        </w:rPr>
        <w:t>computingu</w:t>
      </w:r>
      <w:proofErr w:type="spellEnd"/>
      <w:r w:rsidRPr="00816EF0">
        <w:rPr>
          <w:rFonts w:ascii="Arial" w:hAnsi="Arial" w:cs="Arial"/>
          <w:color w:val="222222"/>
          <w:sz w:val="22"/>
          <w:szCs w:val="22"/>
        </w:rPr>
        <w:t>. Tvrdí, že Evropa má čas dohnat náskok ve využití umělé inteligence, které podle něj „způsobí revoluci v několika odvětvích, na něž se Evropa specializuje, a budou mít zásadní význam pro schopnost společností v EU zůstat lídry ve svém odvětví“.</w:t>
      </w:r>
    </w:p>
    <w:p w14:paraId="156CD569" w14:textId="77777777" w:rsidR="00816EF0" w:rsidRPr="00816EF0" w:rsidRDefault="00816EF0" w:rsidP="00816EF0">
      <w:pPr>
        <w:pStyle w:val="Normlnweb"/>
        <w:shd w:val="clear" w:color="auto" w:fill="FFFFFF"/>
        <w:spacing w:after="390" w:line="276" w:lineRule="auto"/>
        <w:jc w:val="both"/>
        <w:rPr>
          <w:rFonts w:ascii="Arial" w:hAnsi="Arial" w:cs="Arial"/>
          <w:color w:val="222222"/>
          <w:sz w:val="22"/>
          <w:szCs w:val="22"/>
        </w:rPr>
      </w:pPr>
      <w:r w:rsidRPr="00816EF0">
        <w:rPr>
          <w:rFonts w:ascii="Arial" w:hAnsi="Arial" w:cs="Arial"/>
          <w:color w:val="222222"/>
          <w:sz w:val="22"/>
          <w:szCs w:val="22"/>
        </w:rPr>
        <w:t>Aby Evropa tuto vizi naplnila, měla by „podporovat mezioborovou koordinaci a sdílení dat, aby se urychlila integrace AI do evropského průmyslu“, a také by měla využít své kapacity superpočítačů tím, že je rozšíří na „inovativní začínající podniky“. Tím, že by „veřejný sektor umožnil poskytovat ‚výpočetní kapitál inovativním malým a středním podnikům výměnou za finanční výnosy“, by EU mohla navázat na svou iniciativu továren na umělou inteligenci (AI </w:t>
      </w:r>
      <w:proofErr w:type="spellStart"/>
      <w:r w:rsidRPr="00816EF0">
        <w:rPr>
          <w:rFonts w:ascii="Arial" w:hAnsi="Arial" w:cs="Arial"/>
          <w:color w:val="222222"/>
          <w:sz w:val="22"/>
          <w:szCs w:val="22"/>
        </w:rPr>
        <w:t>factory</w:t>
      </w:r>
      <w:proofErr w:type="spellEnd"/>
      <w:r w:rsidRPr="00816EF0">
        <w:rPr>
          <w:rFonts w:ascii="Arial" w:hAnsi="Arial" w:cs="Arial"/>
          <w:color w:val="222222"/>
          <w:sz w:val="22"/>
          <w:szCs w:val="22"/>
        </w:rPr>
        <w:t xml:space="preserve">), která má být financována z fondů programu Horizont Evropa. Sdílení dat a průmyslovou spolupráci by podpořil „plán vertikálních priorit v oblasti AI“, jehož cílem je „urychlit vývoj AI v deseti strategických odvětvích, v nichž budou obchodní modely EU nejvíce těžit z rychlého zavádění AI (automobilový průmysl, pokročilá výroba a robotika, energetika, telekomunikace, zemědělství, letecký a kosmický průmysl, obrana, prognózy v oblasti životního prostředí, farmacie a zdravotnictví)“. Průmysl by spolupracoval tím, že by poskytoval data ze svého odvětví pro trénování modelů AI. Autor tvrdí, že účastníci by měli být vyňati z vymáhání práva na ochranu hospodářské soutěže ze strany regulačních orgánů, a operuje s pojmem „režim AI </w:t>
      </w:r>
      <w:proofErr w:type="spellStart"/>
      <w:r w:rsidRPr="00816EF0">
        <w:rPr>
          <w:rFonts w:ascii="Arial" w:hAnsi="Arial" w:cs="Arial"/>
          <w:color w:val="222222"/>
          <w:sz w:val="22"/>
          <w:szCs w:val="22"/>
        </w:rPr>
        <w:t>Sandbox</w:t>
      </w:r>
      <w:proofErr w:type="spellEnd"/>
      <w:r w:rsidRPr="00816EF0">
        <w:rPr>
          <w:rFonts w:ascii="Arial" w:hAnsi="Arial" w:cs="Arial"/>
          <w:color w:val="222222"/>
          <w:sz w:val="22"/>
          <w:szCs w:val="22"/>
        </w:rPr>
        <w:t xml:space="preserve">“, který by „umožnil pravidelné posuzování regulačních překážek vyplývajících z právních předpisů EU nebo vnitrostátních právních předpisů a poskytoval regulačním orgánům zpětnou vazbu od soukromých společností a výzkumných center“. </w:t>
      </w:r>
    </w:p>
    <w:p w14:paraId="0B43EA66" w14:textId="77777777" w:rsidR="00816EF0" w:rsidRPr="00816EF0" w:rsidRDefault="00816EF0" w:rsidP="00816EF0">
      <w:pPr>
        <w:pStyle w:val="Normlnweb"/>
        <w:shd w:val="clear" w:color="auto" w:fill="FFFFFF"/>
        <w:spacing w:after="390" w:line="276" w:lineRule="auto"/>
        <w:jc w:val="both"/>
        <w:rPr>
          <w:rFonts w:ascii="Arial" w:hAnsi="Arial" w:cs="Arial"/>
          <w:b/>
          <w:color w:val="222222"/>
          <w:sz w:val="22"/>
          <w:szCs w:val="22"/>
        </w:rPr>
      </w:pPr>
      <w:r w:rsidRPr="00816EF0">
        <w:rPr>
          <w:rFonts w:ascii="Arial" w:hAnsi="Arial" w:cs="Arial"/>
          <w:b/>
          <w:color w:val="222222"/>
          <w:sz w:val="22"/>
          <w:szCs w:val="22"/>
        </w:rPr>
        <w:t>Polovodiče</w:t>
      </w:r>
    </w:p>
    <w:p w14:paraId="5957CF72" w14:textId="0CE2869A" w:rsidR="0010248D" w:rsidRPr="00816EF0" w:rsidRDefault="00816EF0" w:rsidP="00816EF0">
      <w:pPr>
        <w:autoSpaceDE w:val="0"/>
        <w:autoSpaceDN w:val="0"/>
        <w:adjustRightInd w:val="0"/>
        <w:spacing w:before="120" w:after="120" w:line="276" w:lineRule="auto"/>
        <w:jc w:val="both"/>
        <w:rPr>
          <w:rFonts w:ascii="Arial" w:hAnsi="Arial" w:cs="Arial"/>
          <w:bCs/>
          <w:sz w:val="22"/>
          <w:szCs w:val="22"/>
        </w:rPr>
      </w:pPr>
      <w:r w:rsidRPr="00816EF0">
        <w:rPr>
          <w:rFonts w:ascii="Arial" w:hAnsi="Arial" w:cs="Arial"/>
          <w:color w:val="222222"/>
          <w:sz w:val="22"/>
          <w:szCs w:val="22"/>
        </w:rPr>
        <w:t xml:space="preserve">V souvislosti s polovodiči autor upozorňuje především na nutnost zbavit se rizik strategické závislosti v této oblasti. EU by proto měla posílit výzkum a vývoj ve vybraných hlavních a inovativních produktových segmentech, kde je EU již přítomna. Dále by měla EU usilovat o vybudování suverénního postavení v designu a výrobních procesech a podporovat transfer technologií pouze pro novější výrobní technologie. V neposlední řadě autor poukazuje i na nutnost posílení podpory unijních podniků v této oblasti a bránit jejich exportní ambice. K dosažení těchto cílů zpráva navrhuje zrevidování zákona o čipech (the EU Chips </w:t>
      </w:r>
      <w:proofErr w:type="spellStart"/>
      <w:r w:rsidRPr="00816EF0">
        <w:rPr>
          <w:rFonts w:ascii="Arial" w:hAnsi="Arial" w:cs="Arial"/>
          <w:color w:val="222222"/>
          <w:sz w:val="22"/>
          <w:szCs w:val="22"/>
        </w:rPr>
        <w:t>Act</w:t>
      </w:r>
      <w:proofErr w:type="spellEnd"/>
      <w:r w:rsidRPr="00816EF0">
        <w:rPr>
          <w:rFonts w:ascii="Arial" w:hAnsi="Arial" w:cs="Arial"/>
          <w:color w:val="222222"/>
          <w:sz w:val="22"/>
          <w:szCs w:val="22"/>
        </w:rPr>
        <w:t>) a navýšit financování, koordinaci a rychlost spolupráce veřejného a soukromého sektoru a soustředit se na společnou podporu posílení inovací v oblasti polovodičů.</w:t>
      </w:r>
      <w:r w:rsidR="0072499F" w:rsidRPr="00816EF0">
        <w:rPr>
          <w:rFonts w:ascii="Arial" w:hAnsi="Arial" w:cs="Arial"/>
          <w:bCs/>
          <w:sz w:val="22"/>
          <w:szCs w:val="22"/>
        </w:rPr>
        <w:t xml:space="preserve"> </w:t>
      </w:r>
    </w:p>
    <w:sectPr w:rsidR="0010248D" w:rsidRPr="00816EF0" w:rsidSect="009758E5">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2E909" w14:textId="77777777" w:rsidR="0075038D" w:rsidRDefault="0075038D" w:rsidP="008F77F6">
      <w:r>
        <w:separator/>
      </w:r>
    </w:p>
  </w:endnote>
  <w:endnote w:type="continuationSeparator" w:id="0">
    <w:p w14:paraId="04907690" w14:textId="77777777" w:rsidR="0075038D" w:rsidRDefault="0075038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7D590" w14:textId="77777777"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Content/>
    </w:sdt>
  </w:p>
  <w:sdt>
    <w:sdtPr>
      <w:rPr>
        <w:rFonts w:ascii="Arial" w:hAnsi="Arial" w:cs="Arial"/>
        <w:sz w:val="18"/>
        <w:szCs w:val="18"/>
      </w:rPr>
      <w:id w:val="1122730018"/>
      <w:docPartObj>
        <w:docPartGallery w:val="Page Numbers (Bottom of Page)"/>
        <w:docPartUnique/>
      </w:docPartObj>
    </w:sdtPr>
    <w:sdtContent>
      <w:sdt>
        <w:sdtPr>
          <w:rPr>
            <w:rFonts w:ascii="Arial" w:hAnsi="Arial" w:cs="Arial"/>
          </w:rPr>
          <w:id w:val="3491130"/>
          <w:docPartObj>
            <w:docPartGallery w:val="Page Numbers (Top of Page)"/>
            <w:docPartUnique/>
          </w:docPartObj>
        </w:sdtPr>
        <w:sdtContent>
          <w:p w14:paraId="4FA8BB85" w14:textId="4D97FEDF"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700D24EB" wp14:editId="434E2DC1">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1FCB25"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Content>
                <w:r w:rsidRPr="00B13622">
                  <w:rPr>
                    <w:rFonts w:ascii="Arial" w:hAnsi="Arial" w:cs="Arial"/>
                    <w:noProof/>
                    <w:color w:val="002060"/>
                    <w:sz w:val="16"/>
                    <w:szCs w:val="16"/>
                  </w:rPr>
                  <mc:AlternateContent>
                    <mc:Choice Requires="wps">
                      <w:drawing>
                        <wp:anchor distT="0" distB="0" distL="114300" distR="114300" simplePos="0" relativeHeight="251661312" behindDoc="0" locked="0" layoutInCell="1" allowOverlap="1" wp14:anchorId="293E0B9F" wp14:editId="4C50A9AE">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56856"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724436" w:rsidRPr="0010248D">
                  <w:rPr>
                    <w:rFonts w:ascii="Arial" w:hAnsi="Arial" w:cs="Arial"/>
                    <w:noProof/>
                    <w:color w:val="002060"/>
                    <w:sz w:val="16"/>
                    <w:szCs w:val="16"/>
                  </w:rPr>
                  <mc:AlternateContent>
                    <mc:Choice Requires="wps">
                      <w:drawing>
                        <wp:anchor distT="0" distB="0" distL="114300" distR="114300" simplePos="0" relativeHeight="251663360" behindDoc="0" locked="0" layoutInCell="1" allowOverlap="1" wp14:anchorId="06CB2C5C" wp14:editId="3B7188A2">
                          <wp:simplePos x="0" y="0"/>
                          <wp:positionH relativeFrom="margin">
                            <wp:posOffset>0</wp:posOffset>
                          </wp:positionH>
                          <wp:positionV relativeFrom="paragraph">
                            <wp:posOffset>-87366</wp:posOffset>
                          </wp:positionV>
                          <wp:extent cx="6120130" cy="0"/>
                          <wp:effectExtent l="0" t="0" r="0" b="0"/>
                          <wp:wrapNone/>
                          <wp:docPr id="1872055004"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2BE04E" id="Přímá spojnice 2"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816EF0" w:rsidRPr="0010248D">
                  <w:rPr>
                    <w:rFonts w:ascii="Arial" w:hAnsi="Arial" w:cs="Arial"/>
                    <w:noProof/>
                    <w:color w:val="002060"/>
                    <w:sz w:val="16"/>
                    <w:szCs w:val="16"/>
                  </w:rPr>
                  <mc:AlternateContent>
                    <mc:Choice Requires="wps">
                      <w:drawing>
                        <wp:anchor distT="0" distB="0" distL="114300" distR="114300" simplePos="0" relativeHeight="251665408" behindDoc="0" locked="0" layoutInCell="1" allowOverlap="1" wp14:anchorId="30569B1F" wp14:editId="0589CF4E">
                          <wp:simplePos x="0" y="0"/>
                          <wp:positionH relativeFrom="margin">
                            <wp:posOffset>0</wp:posOffset>
                          </wp:positionH>
                          <wp:positionV relativeFrom="paragraph">
                            <wp:posOffset>-87366</wp:posOffset>
                          </wp:positionV>
                          <wp:extent cx="6120130" cy="0"/>
                          <wp:effectExtent l="0" t="0" r="0" b="0"/>
                          <wp:wrapNone/>
                          <wp:docPr id="214614716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AD1ACD" id="Přímá spojnice 2" o:spid="_x0000_s1026"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816EF0">
                  <w:rPr>
                    <w:rFonts w:ascii="Arial" w:hAnsi="Arial" w:cs="Arial"/>
                    <w:bCs/>
                    <w:sz w:val="16"/>
                    <w:szCs w:val="16"/>
                  </w:rPr>
                  <w:t>Strategický rámec politiky soudržnosti 2028+ v ČR (Příloha č. 6 Draghiho zpráva)</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Content>
      <w:sdt>
        <w:sdtPr>
          <w:rPr>
            <w:rFonts w:ascii="Arial" w:hAnsi="Arial" w:cs="Arial"/>
          </w:rPr>
          <w:id w:val="-1705238520"/>
          <w:docPartObj>
            <w:docPartGallery w:val="Page Numbers (Top of Page)"/>
            <w:docPartUnique/>
          </w:docPartObj>
        </w:sdtPr>
        <w:sdtContent>
          <w:p w14:paraId="6C41B402" w14:textId="0F0B52C3" w:rsidR="00B13622" w:rsidRPr="00E254A5" w:rsidRDefault="00B13622" w:rsidP="00B13622">
            <w:pPr>
              <w:pStyle w:val="Zpat"/>
              <w:rPr>
                <w:rFonts w:ascii="Arial" w:hAnsi="Arial" w:cs="Arial"/>
              </w:rPr>
            </w:pPr>
            <w:r w:rsidRPr="0010248D">
              <w:rPr>
                <w:rFonts w:ascii="Arial" w:hAnsi="Arial" w:cs="Arial"/>
                <w:noProof/>
                <w:color w:val="002060"/>
                <w:sz w:val="16"/>
                <w:szCs w:val="16"/>
              </w:rPr>
              <mc:AlternateContent>
                <mc:Choice Requires="wps">
                  <w:drawing>
                    <wp:anchor distT="0" distB="0" distL="114300" distR="114300" simplePos="0" relativeHeight="251653120" behindDoc="0" locked="0" layoutInCell="1" allowOverlap="1" wp14:anchorId="25E4A63A" wp14:editId="4FC9BD43">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950B4F" id="Přímá spojnice 2" o:spid="_x0000_s1026" style="position:absolute;flip:y;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00724436">
              <w:rPr>
                <w:rFonts w:ascii="Arial" w:hAnsi="Arial" w:cs="Arial"/>
                <w:bCs/>
                <w:sz w:val="16"/>
                <w:szCs w:val="16"/>
              </w:rPr>
              <w:t>Strategický rámec politiky soudržnosti 2028+ v</w:t>
            </w:r>
            <w:r w:rsidR="00816EF0">
              <w:rPr>
                <w:rFonts w:ascii="Arial" w:hAnsi="Arial" w:cs="Arial"/>
                <w:bCs/>
                <w:sz w:val="16"/>
                <w:szCs w:val="16"/>
              </w:rPr>
              <w:t> </w:t>
            </w:r>
            <w:r w:rsidR="00724436">
              <w:rPr>
                <w:rFonts w:ascii="Arial" w:hAnsi="Arial" w:cs="Arial"/>
                <w:bCs/>
                <w:sz w:val="16"/>
                <w:szCs w:val="16"/>
              </w:rPr>
              <w:t>ČR</w:t>
            </w:r>
            <w:r w:rsidR="00816EF0">
              <w:rPr>
                <w:rFonts w:ascii="Arial" w:hAnsi="Arial" w:cs="Arial"/>
                <w:bCs/>
                <w:sz w:val="16"/>
                <w:szCs w:val="16"/>
              </w:rPr>
              <w:t xml:space="preserve"> (Příloha č. 6 Draghiho zpráva)</w:t>
            </w:r>
            <w:sdt>
              <w:sdtPr>
                <w:rPr>
                  <w:rFonts w:ascii="Arial" w:hAnsi="Arial" w:cs="Arial"/>
                </w:rPr>
                <w:id w:val="-522399202"/>
                <w:docPartObj>
                  <w:docPartGallery w:val="Page Numbers (Top of Page)"/>
                  <w:docPartUnique/>
                </w:docPartObj>
              </w:sdtPr>
              <w:sdtContent>
                <w:r w:rsidRPr="00B13622">
                  <w:rPr>
                    <w:rFonts w:ascii="Arial" w:hAnsi="Arial" w:cs="Arial"/>
                    <w:noProof/>
                    <w:color w:val="002060"/>
                    <w:sz w:val="16"/>
                    <w:szCs w:val="16"/>
                  </w:rPr>
                  <mc:AlternateContent>
                    <mc:Choice Requires="wps">
                      <w:drawing>
                        <wp:anchor distT="0" distB="0" distL="114300" distR="114300" simplePos="0" relativeHeight="251654144" behindDoc="0" locked="0" layoutInCell="1" allowOverlap="1" wp14:anchorId="096E840B" wp14:editId="6FCC3F28">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07316" id="Přímá spojnice 2" o:spid="_x0000_s1026" style="position:absolute;flip:y;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ab/>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sidRPr="00B13622">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sidRPr="00B13622">
                  <w:rPr>
                    <w:rFonts w:ascii="Arial" w:hAnsi="Arial" w:cs="Arial"/>
                    <w:sz w:val="16"/>
                    <w:szCs w:val="16"/>
                  </w:rPr>
                  <w:t>5</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A824D" w14:textId="77777777" w:rsidR="0075038D" w:rsidRDefault="0075038D" w:rsidP="008F77F6">
      <w:r>
        <w:separator/>
      </w:r>
    </w:p>
  </w:footnote>
  <w:footnote w:type="continuationSeparator" w:id="0">
    <w:p w14:paraId="66532248" w14:textId="77777777" w:rsidR="0075038D" w:rsidRDefault="0075038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79E23" w14:textId="77777777" w:rsidR="00B13622" w:rsidRDefault="00B13622">
    <w:pPr>
      <w:pStyle w:val="Zhlav"/>
    </w:pPr>
    <w:r>
      <w:rPr>
        <w:noProof/>
      </w:rPr>
      <mc:AlternateContent>
        <mc:Choice Requires="wps">
          <w:drawing>
            <wp:anchor distT="0" distB="0" distL="0" distR="0" simplePos="0" relativeHeight="251614720" behindDoc="1" locked="0" layoutInCell="1" allowOverlap="1" wp14:anchorId="4D8A46A9" wp14:editId="4CC5A20D">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099FE555" w14:textId="307A1BD6"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B70179">
                            <w:rPr>
                              <w:rFonts w:ascii="Arial" w:hAnsi="Arial" w:cs="Arial"/>
                              <w:b/>
                              <w:color w:val="161A48"/>
                              <w:sz w:val="28"/>
                              <w:szCs w:val="28"/>
                            </w:rPr>
                            <w:t>6</w:t>
                          </w:r>
                        </w:p>
                      </w:txbxContent>
                    </wps:txbx>
                    <wps:bodyPr wrap="square" lIns="0" tIns="0" rIns="0" bIns="0" rtlCol="0">
                      <a:noAutofit/>
                    </wps:bodyPr>
                  </wps:wsp>
                </a:graphicData>
              </a:graphic>
              <wp14:sizeRelH relativeFrom="margin">
                <wp14:pctWidth>0</wp14:pctWidth>
              </wp14:sizeRelH>
            </wp:anchor>
          </w:drawing>
        </mc:Choice>
        <mc:Fallback>
          <w:pict>
            <v:shapetype w14:anchorId="4D8A46A9"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099FE555" w14:textId="307A1BD6"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681BC4">
                      <w:rPr>
                        <w:rFonts w:ascii="Arial" w:hAnsi="Arial" w:cs="Arial"/>
                        <w:b/>
                        <w:color w:val="161A48"/>
                        <w:sz w:val="28"/>
                        <w:szCs w:val="28"/>
                      </w:rPr>
                      <w:t>2</w:t>
                    </w:r>
                    <w:r w:rsidRPr="00B13622">
                      <w:rPr>
                        <w:rFonts w:ascii="Arial" w:hAnsi="Arial" w:cs="Arial"/>
                        <w:b/>
                        <w:color w:val="161A48"/>
                        <w:sz w:val="28"/>
                        <w:szCs w:val="28"/>
                      </w:rPr>
                      <w:t>/</w:t>
                    </w:r>
                    <w:r>
                      <w:rPr>
                        <w:rFonts w:ascii="Arial" w:hAnsi="Arial" w:cs="Arial"/>
                        <w:b/>
                        <w:color w:val="161A48"/>
                        <w:sz w:val="28"/>
                        <w:szCs w:val="28"/>
                      </w:rPr>
                      <w:t>C</w:t>
                    </w:r>
                    <w:r w:rsidR="00B70179">
                      <w:rPr>
                        <w:rFonts w:ascii="Arial" w:hAnsi="Arial" w:cs="Arial"/>
                        <w:b/>
                        <w:color w:val="161A48"/>
                        <w:sz w:val="28"/>
                        <w:szCs w:val="28"/>
                      </w:rPr>
                      <w:t>6</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54E6B2B3" wp14:editId="31625F09">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D7E647F"/>
    <w:multiLevelType w:val="hybridMultilevel"/>
    <w:tmpl w:val="8182B5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CD7CA8"/>
    <w:multiLevelType w:val="hybridMultilevel"/>
    <w:tmpl w:val="F8F20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6E60381C"/>
    <w:multiLevelType w:val="hybridMultilevel"/>
    <w:tmpl w:val="D1EA9C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7"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4"/>
  </w:num>
  <w:num w:numId="3" w16cid:durableId="1098527943">
    <w:abstractNumId w:val="7"/>
  </w:num>
  <w:num w:numId="4" w16cid:durableId="90512263">
    <w:abstractNumId w:val="8"/>
  </w:num>
  <w:num w:numId="5" w16cid:durableId="1430348738">
    <w:abstractNumId w:val="15"/>
  </w:num>
  <w:num w:numId="6" w16cid:durableId="984699852">
    <w:abstractNumId w:val="0"/>
  </w:num>
  <w:num w:numId="7" w16cid:durableId="553009888">
    <w:abstractNumId w:val="6"/>
  </w:num>
  <w:num w:numId="8" w16cid:durableId="572007924">
    <w:abstractNumId w:val="19"/>
  </w:num>
  <w:num w:numId="9" w16cid:durableId="1881090194">
    <w:abstractNumId w:val="9"/>
  </w:num>
  <w:num w:numId="10" w16cid:durableId="1309558488">
    <w:abstractNumId w:val="20"/>
  </w:num>
  <w:num w:numId="11" w16cid:durableId="90128545">
    <w:abstractNumId w:val="18"/>
  </w:num>
  <w:num w:numId="12" w16cid:durableId="778766677">
    <w:abstractNumId w:val="22"/>
  </w:num>
  <w:num w:numId="13" w16cid:durableId="167139912">
    <w:abstractNumId w:val="17"/>
  </w:num>
  <w:num w:numId="14" w16cid:durableId="305205252">
    <w:abstractNumId w:val="26"/>
  </w:num>
  <w:num w:numId="15" w16cid:durableId="864824891">
    <w:abstractNumId w:val="12"/>
  </w:num>
  <w:num w:numId="16" w16cid:durableId="437145923">
    <w:abstractNumId w:val="1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0"/>
  </w:num>
  <w:num w:numId="18" w16cid:durableId="1607349755">
    <w:abstractNumId w:val="27"/>
  </w:num>
  <w:num w:numId="19" w16cid:durableId="1598558212">
    <w:abstractNumId w:val="2"/>
  </w:num>
  <w:num w:numId="20" w16cid:durableId="1255482614">
    <w:abstractNumId w:val="5"/>
  </w:num>
  <w:num w:numId="21" w16cid:durableId="1423188385">
    <w:abstractNumId w:val="24"/>
  </w:num>
  <w:num w:numId="22" w16cid:durableId="99686336">
    <w:abstractNumId w:val="23"/>
  </w:num>
  <w:num w:numId="23" w16cid:durableId="1493335194">
    <w:abstractNumId w:val="4"/>
  </w:num>
  <w:num w:numId="24" w16cid:durableId="786581191">
    <w:abstractNumId w:val="1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888029181">
    <w:abstractNumId w:val="25"/>
  </w:num>
  <w:num w:numId="27" w16cid:durableId="1605531147">
    <w:abstractNumId w:val="21"/>
  </w:num>
  <w:num w:numId="28" w16cid:durableId="3883085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FE"/>
    <w:rsid w:val="0000012F"/>
    <w:rsid w:val="000120D6"/>
    <w:rsid w:val="00016B78"/>
    <w:rsid w:val="0002313D"/>
    <w:rsid w:val="00033327"/>
    <w:rsid w:val="00035EFD"/>
    <w:rsid w:val="00041AC0"/>
    <w:rsid w:val="00043BB4"/>
    <w:rsid w:val="000472F8"/>
    <w:rsid w:val="000538C6"/>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58E0"/>
    <w:rsid w:val="000E7427"/>
    <w:rsid w:val="0010248D"/>
    <w:rsid w:val="001029D8"/>
    <w:rsid w:val="0010695C"/>
    <w:rsid w:val="001125CD"/>
    <w:rsid w:val="001129EF"/>
    <w:rsid w:val="00113A3F"/>
    <w:rsid w:val="00113FB3"/>
    <w:rsid w:val="001151F0"/>
    <w:rsid w:val="001153DA"/>
    <w:rsid w:val="001160B1"/>
    <w:rsid w:val="001268F8"/>
    <w:rsid w:val="001272E3"/>
    <w:rsid w:val="001342FD"/>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2DBC"/>
    <w:rsid w:val="001B32DA"/>
    <w:rsid w:val="001B78C5"/>
    <w:rsid w:val="001C04DF"/>
    <w:rsid w:val="001C3564"/>
    <w:rsid w:val="001C65C0"/>
    <w:rsid w:val="001D03E6"/>
    <w:rsid w:val="001D0791"/>
    <w:rsid w:val="001D1E7E"/>
    <w:rsid w:val="001D2DF6"/>
    <w:rsid w:val="001D34CE"/>
    <w:rsid w:val="001D3920"/>
    <w:rsid w:val="001D43F8"/>
    <w:rsid w:val="001E38CB"/>
    <w:rsid w:val="001F190C"/>
    <w:rsid w:val="001F25B2"/>
    <w:rsid w:val="001F38CB"/>
    <w:rsid w:val="00200490"/>
    <w:rsid w:val="00201B1F"/>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012B"/>
    <w:rsid w:val="0030455B"/>
    <w:rsid w:val="00307014"/>
    <w:rsid w:val="003070F6"/>
    <w:rsid w:val="00310690"/>
    <w:rsid w:val="00312168"/>
    <w:rsid w:val="00315BD6"/>
    <w:rsid w:val="003403ED"/>
    <w:rsid w:val="003538D0"/>
    <w:rsid w:val="00356C81"/>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1123"/>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351"/>
    <w:rsid w:val="00440882"/>
    <w:rsid w:val="00441F71"/>
    <w:rsid w:val="00443D2C"/>
    <w:rsid w:val="004511DF"/>
    <w:rsid w:val="0045567B"/>
    <w:rsid w:val="004600B2"/>
    <w:rsid w:val="0046041D"/>
    <w:rsid w:val="00465CFE"/>
    <w:rsid w:val="00475B41"/>
    <w:rsid w:val="0048037B"/>
    <w:rsid w:val="004804E7"/>
    <w:rsid w:val="00486F44"/>
    <w:rsid w:val="00491080"/>
    <w:rsid w:val="0049162B"/>
    <w:rsid w:val="0049236E"/>
    <w:rsid w:val="00493CD2"/>
    <w:rsid w:val="004945C1"/>
    <w:rsid w:val="00494F11"/>
    <w:rsid w:val="0049707B"/>
    <w:rsid w:val="004A2DB8"/>
    <w:rsid w:val="004A467E"/>
    <w:rsid w:val="004B0DCC"/>
    <w:rsid w:val="004C2973"/>
    <w:rsid w:val="004C32A7"/>
    <w:rsid w:val="004C3B35"/>
    <w:rsid w:val="004C7CD8"/>
    <w:rsid w:val="004D0F2A"/>
    <w:rsid w:val="004D1459"/>
    <w:rsid w:val="004D3463"/>
    <w:rsid w:val="004D4214"/>
    <w:rsid w:val="004D49EC"/>
    <w:rsid w:val="004D62CB"/>
    <w:rsid w:val="004E0FCE"/>
    <w:rsid w:val="004E3EF3"/>
    <w:rsid w:val="004E4018"/>
    <w:rsid w:val="004F1EAF"/>
    <w:rsid w:val="004F281D"/>
    <w:rsid w:val="004F33D8"/>
    <w:rsid w:val="004F4CB6"/>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2DAF"/>
    <w:rsid w:val="00534D6C"/>
    <w:rsid w:val="00546E0C"/>
    <w:rsid w:val="00551DD3"/>
    <w:rsid w:val="00554B95"/>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5F6D"/>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1BC4"/>
    <w:rsid w:val="006830AB"/>
    <w:rsid w:val="00683EBD"/>
    <w:rsid w:val="006900DD"/>
    <w:rsid w:val="0069489B"/>
    <w:rsid w:val="006B0034"/>
    <w:rsid w:val="006B073F"/>
    <w:rsid w:val="006B14C8"/>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1399"/>
    <w:rsid w:val="0072400A"/>
    <w:rsid w:val="00724436"/>
    <w:rsid w:val="0072499F"/>
    <w:rsid w:val="00724F50"/>
    <w:rsid w:val="00730D2C"/>
    <w:rsid w:val="00731B52"/>
    <w:rsid w:val="00733928"/>
    <w:rsid w:val="007369D7"/>
    <w:rsid w:val="007375EF"/>
    <w:rsid w:val="00741440"/>
    <w:rsid w:val="00741CEE"/>
    <w:rsid w:val="00745BA7"/>
    <w:rsid w:val="0075038D"/>
    <w:rsid w:val="007550B7"/>
    <w:rsid w:val="00756CAA"/>
    <w:rsid w:val="0076014B"/>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16EF0"/>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27FE"/>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063AF"/>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278D"/>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E45E7"/>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179"/>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4135"/>
    <w:rsid w:val="00BE5DED"/>
    <w:rsid w:val="00BE65DF"/>
    <w:rsid w:val="00BF0A10"/>
    <w:rsid w:val="00BF106C"/>
    <w:rsid w:val="00BF112D"/>
    <w:rsid w:val="00BF4D4F"/>
    <w:rsid w:val="00BF715D"/>
    <w:rsid w:val="00C04FC3"/>
    <w:rsid w:val="00C07A72"/>
    <w:rsid w:val="00C100F3"/>
    <w:rsid w:val="00C10AD2"/>
    <w:rsid w:val="00C1136C"/>
    <w:rsid w:val="00C1219A"/>
    <w:rsid w:val="00C12F55"/>
    <w:rsid w:val="00C14C28"/>
    <w:rsid w:val="00C15EB2"/>
    <w:rsid w:val="00C16518"/>
    <w:rsid w:val="00C26D21"/>
    <w:rsid w:val="00C307C8"/>
    <w:rsid w:val="00C33A80"/>
    <w:rsid w:val="00C40669"/>
    <w:rsid w:val="00C42228"/>
    <w:rsid w:val="00C42C24"/>
    <w:rsid w:val="00C42D67"/>
    <w:rsid w:val="00C472D5"/>
    <w:rsid w:val="00C51698"/>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03B11"/>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0FF3"/>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430"/>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14D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2EF19"/>
  <w15:docId w15:val="{F7844811-D4A5-4A47-BF29-C97BBABD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List Paragraph (Czech Tourism),A-Odrážky1,Odstavec_muj1,Odstavec_muj2,Odstavec_muj3,Nad1,Odstavec_muj4,Nad2,List Paragraph2"/>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List Paragraph (Czech Tourism) Char,A-Odrážky1 Char,Odstavec_muj1 Char"/>
    <w:basedOn w:val="Standardnpsmoodstavce"/>
    <w:link w:val="Odstavecseseznamem"/>
    <w:uiPriority w:val="34"/>
    <w:rsid w:val="0010248D"/>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816E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435441795">
      <w:bodyDiv w:val="1"/>
      <w:marLeft w:val="0"/>
      <w:marRight w:val="0"/>
      <w:marTop w:val="0"/>
      <w:marBottom w:val="0"/>
      <w:divBdr>
        <w:top w:val="none" w:sz="0" w:space="0" w:color="auto"/>
        <w:left w:val="none" w:sz="0" w:space="0" w:color="auto"/>
        <w:bottom w:val="none" w:sz="0" w:space="0" w:color="auto"/>
        <w:right w:val="none" w:sz="0" w:space="0" w:color="auto"/>
      </w:divBdr>
    </w:div>
    <w:div w:id="604922842">
      <w:bodyDiv w:val="1"/>
      <w:marLeft w:val="0"/>
      <w:marRight w:val="0"/>
      <w:marTop w:val="0"/>
      <w:marBottom w:val="0"/>
      <w:divBdr>
        <w:top w:val="none" w:sz="0" w:space="0" w:color="auto"/>
        <w:left w:val="none" w:sz="0" w:space="0" w:color="auto"/>
        <w:bottom w:val="none" w:sz="0" w:space="0" w:color="auto"/>
        <w:right w:val="none" w:sz="0" w:space="0" w:color="auto"/>
      </w:divBdr>
    </w:div>
    <w:div w:id="946157480">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518693415">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RVVI\&#352;ABLONY\RVV%20SABLONY%202025_AK\4xx%20xx%20material%20RVVI_vz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4xx xx material RVVI_vz25.dotx</Template>
  <TotalTime>240</TotalTime>
  <Pages>1</Pages>
  <Words>1334</Words>
  <Characters>7877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dc:creator>
  <cp:lastModifiedBy>Bříza Aleš</cp:lastModifiedBy>
  <cp:revision>10</cp:revision>
  <cp:lastPrinted>2020-10-29T10:28:00Z</cp:lastPrinted>
  <dcterms:created xsi:type="dcterms:W3CDTF">2025-04-07T06:00:00Z</dcterms:created>
  <dcterms:modified xsi:type="dcterms:W3CDTF">2025-05-14T08:45:00Z</dcterms:modified>
</cp:coreProperties>
</file>