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28" w:rsidRPr="0047611F" w:rsidRDefault="00BB1628" w:rsidP="00BB1628">
      <w:pPr>
        <w:pStyle w:val="Nadpis1"/>
        <w:numPr>
          <w:ilvl w:val="0"/>
          <w:numId w:val="0"/>
        </w:numPr>
        <w:rPr>
          <w:rFonts w:ascii="Arial" w:hAnsi="Arial" w:cs="Arial"/>
          <w:color w:val="0070C0"/>
        </w:rPr>
      </w:pPr>
      <w:bookmarkStart w:id="0" w:name="_Toc345079586"/>
      <w:bookmarkStart w:id="1" w:name="_Toc347252626"/>
      <w:bookmarkStart w:id="2" w:name="_Toc347252639"/>
      <w:bookmarkStart w:id="3" w:name="_Toc351989224"/>
      <w:bookmarkStart w:id="4" w:name="_GoBack"/>
      <w:bookmarkEnd w:id="4"/>
      <w:r w:rsidRPr="0047611F">
        <w:rPr>
          <w:rFonts w:ascii="Arial" w:hAnsi="Arial" w:cs="Arial"/>
          <w:color w:val="0070C0"/>
        </w:rPr>
        <w:t>Implementační část</w:t>
      </w:r>
      <w:r w:rsidRPr="0047611F">
        <w:rPr>
          <w:rFonts w:ascii="Arial" w:hAnsi="Arial" w:cs="Arial"/>
          <w:color w:val="0070C0"/>
          <w:vertAlign w:val="superscript"/>
        </w:rPr>
        <w:footnoteReference w:id="1"/>
      </w:r>
      <w:bookmarkEnd w:id="0"/>
      <w:bookmarkEnd w:id="1"/>
      <w:bookmarkEnd w:id="2"/>
      <w:bookmarkEnd w:id="3"/>
    </w:p>
    <w:p w:rsidR="00BB1628" w:rsidRPr="0047611F" w:rsidRDefault="00BB1628" w:rsidP="00BB1628">
      <w:pPr>
        <w:spacing w:before="120" w:after="120"/>
        <w:jc w:val="both"/>
        <w:rPr>
          <w:rFonts w:ascii="Arial" w:hAnsi="Arial" w:cs="Arial"/>
        </w:rPr>
      </w:pPr>
      <w:r w:rsidRPr="0047611F">
        <w:rPr>
          <w:rFonts w:ascii="Arial" w:hAnsi="Arial" w:cs="Arial"/>
        </w:rPr>
        <w:t xml:space="preserve">V implementační části jsou přehledně uvedena opatření, která přispějí ke splnění cílů stanovených v aktualizované NP </w:t>
      </w:r>
      <w:proofErr w:type="spellStart"/>
      <w:r w:rsidRPr="0047611F">
        <w:rPr>
          <w:rFonts w:ascii="Arial" w:hAnsi="Arial" w:cs="Arial"/>
        </w:rPr>
        <w:t>VaVaI</w:t>
      </w:r>
      <w:proofErr w:type="spellEnd"/>
      <w:r w:rsidRPr="0047611F">
        <w:rPr>
          <w:rFonts w:ascii="Arial" w:hAnsi="Arial" w:cs="Arial"/>
        </w:rPr>
        <w:t>. Pro větší přehlednost, jednodušší implementaci a kontrolu plnění jsou opatření koncipována tak, že svým zaměřením pokrývají konkrétní oblast (jako je například aktualizace zákona, programová podpora konkrétních aktivit apod.). U každého opatření je zároveň stanoven termín jeho splnění, ukazatele plnění a konkrétní orgán, který je odpovědný za splnění opatření.</w:t>
      </w:r>
    </w:p>
    <w:p w:rsidR="00BB1628" w:rsidRPr="0047611F" w:rsidRDefault="00BB1628" w:rsidP="00BB1628">
      <w:pPr>
        <w:spacing w:before="120" w:after="120"/>
        <w:jc w:val="both"/>
        <w:rPr>
          <w:rFonts w:ascii="Arial" w:hAnsi="Arial" w:cs="Arial"/>
        </w:rPr>
      </w:pPr>
      <w:r w:rsidRPr="0047611F">
        <w:rPr>
          <w:rFonts w:ascii="Arial" w:hAnsi="Arial" w:cs="Arial"/>
        </w:rPr>
        <w:t xml:space="preserve">Vzhledem k tomu, že řada opatření přispívá ke splnění více cílů aktualizované NP </w:t>
      </w:r>
      <w:proofErr w:type="spellStart"/>
      <w:r w:rsidRPr="0047611F">
        <w:rPr>
          <w:rFonts w:ascii="Arial" w:hAnsi="Arial" w:cs="Arial"/>
        </w:rPr>
        <w:t>VaVaI</w:t>
      </w:r>
      <w:proofErr w:type="spellEnd"/>
      <w:r w:rsidRPr="0047611F">
        <w:rPr>
          <w:rFonts w:ascii="Arial" w:hAnsi="Arial" w:cs="Arial"/>
        </w:rPr>
        <w:t xml:space="preserve">, je u každého opatření specifikováno, na které cíle reaguje. U opatření je též uvedeno, zda navazuje na opatření navržená v původní NP </w:t>
      </w:r>
      <w:proofErr w:type="spellStart"/>
      <w:r w:rsidRPr="0047611F">
        <w:rPr>
          <w:rFonts w:ascii="Arial" w:hAnsi="Arial" w:cs="Arial"/>
        </w:rPr>
        <w:t>VaVaI</w:t>
      </w:r>
      <w:proofErr w:type="spellEnd"/>
      <w:r w:rsidRPr="0047611F">
        <w:rPr>
          <w:rStyle w:val="Znakapoznpodarou"/>
          <w:rFonts w:ascii="Arial" w:hAnsi="Arial" w:cs="Arial"/>
        </w:rPr>
        <w:footnoteReference w:id="2"/>
      </w:r>
      <w:r w:rsidRPr="0047611F">
        <w:rPr>
          <w:rFonts w:ascii="Arial" w:hAnsi="Arial" w:cs="Arial"/>
        </w:rPr>
        <w:t xml:space="preserve"> z roku 2009, či</w:t>
      </w:r>
      <w:r w:rsidR="0047611F">
        <w:rPr>
          <w:rFonts w:ascii="Arial" w:hAnsi="Arial" w:cs="Arial"/>
        </w:rPr>
        <w:t> </w:t>
      </w:r>
      <w:r w:rsidRPr="0047611F">
        <w:rPr>
          <w:rFonts w:ascii="Arial" w:hAnsi="Arial" w:cs="Arial"/>
        </w:rPr>
        <w:t>zda se jedná o nové opatření. Navržená opatření jsou strukturována do dvou bloků – finanční opatření a systémová opatření, která jsou dále rozdělena podle svého zaměření do několika skupin.</w:t>
      </w:r>
    </w:p>
    <w:p w:rsidR="00BB1628" w:rsidRPr="0047611F" w:rsidRDefault="00BB1628" w:rsidP="00602C1A">
      <w:pPr>
        <w:pStyle w:val="Nadpis1"/>
        <w:spacing w:before="240"/>
        <w:ind w:left="357" w:hanging="357"/>
        <w:rPr>
          <w:rFonts w:ascii="Arial" w:hAnsi="Arial" w:cs="Arial"/>
          <w:color w:val="0070C0"/>
          <w:sz w:val="24"/>
          <w:szCs w:val="24"/>
        </w:rPr>
      </w:pPr>
      <w:bookmarkStart w:id="5" w:name="_Toc348601515"/>
      <w:bookmarkStart w:id="6" w:name="_Toc349228888"/>
      <w:bookmarkStart w:id="7" w:name="_Toc349228957"/>
      <w:bookmarkStart w:id="8" w:name="_Toc349230352"/>
      <w:bookmarkStart w:id="9" w:name="_Toc349232942"/>
      <w:bookmarkStart w:id="10" w:name="_Toc351989225"/>
      <w:bookmarkEnd w:id="5"/>
      <w:bookmarkEnd w:id="6"/>
      <w:bookmarkEnd w:id="7"/>
      <w:bookmarkEnd w:id="8"/>
      <w:bookmarkEnd w:id="9"/>
      <w:r w:rsidRPr="0047611F">
        <w:rPr>
          <w:rFonts w:ascii="Arial" w:hAnsi="Arial" w:cs="Arial"/>
          <w:color w:val="0070C0"/>
          <w:sz w:val="24"/>
          <w:szCs w:val="24"/>
        </w:rPr>
        <w:t>Finanční opatření</w:t>
      </w:r>
      <w:bookmarkEnd w:id="10"/>
    </w:p>
    <w:p w:rsidR="00BB1628" w:rsidRPr="0047611F" w:rsidRDefault="00BB1628" w:rsidP="00BB1628">
      <w:pPr>
        <w:pStyle w:val="Nadpis2"/>
        <w:rPr>
          <w:rFonts w:ascii="Arial" w:hAnsi="Arial" w:cs="Arial"/>
          <w:sz w:val="24"/>
          <w:szCs w:val="24"/>
        </w:rPr>
      </w:pPr>
      <w:r w:rsidRPr="0047611F">
        <w:rPr>
          <w:rFonts w:ascii="Arial" w:hAnsi="Arial" w:cs="Arial"/>
          <w:sz w:val="24"/>
          <w:szCs w:val="24"/>
        </w:rPr>
        <w:t xml:space="preserve">Státní rozpočet na </w:t>
      </w:r>
      <w:proofErr w:type="spellStart"/>
      <w:r w:rsidRPr="0047611F">
        <w:rPr>
          <w:rFonts w:ascii="Arial" w:hAnsi="Arial" w:cs="Arial"/>
          <w:sz w:val="24"/>
          <w:szCs w:val="24"/>
        </w:rPr>
        <w:t>VaVaI</w:t>
      </w:r>
      <w:proofErr w:type="spellEnd"/>
      <w:r w:rsidRPr="0047611F">
        <w:rPr>
          <w:rFonts w:ascii="Arial" w:hAnsi="Arial" w:cs="Arial"/>
          <w:sz w:val="24"/>
          <w:szCs w:val="24"/>
        </w:rPr>
        <w:t xml:space="preserve"> a zajištění veřejných prostředků na splnění cílů aktualizované NP </w:t>
      </w:r>
      <w:proofErr w:type="spellStart"/>
      <w:r w:rsidRPr="0047611F">
        <w:rPr>
          <w:rFonts w:ascii="Arial" w:hAnsi="Arial" w:cs="Arial"/>
          <w:sz w:val="24"/>
          <w:szCs w:val="24"/>
        </w:rPr>
        <w:t>VaVaI</w:t>
      </w:r>
      <w:proofErr w:type="spellEnd"/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Ve střednědobém výhledu výdajů státního rozpočtu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návazně ve výdajích státního rozpočtu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na další rok pravidelně zvyšovat výdaje počínaje rokem 2014 tak, aby do roku 2020 bylo dosaženo požadované úrovně veřejných výdajů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ve výši 1 % HDP.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Zvýšení výdajů státního rozpočtu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daném roce oproti předchozímu období (v % a v podílu na HDP)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RVVI, spolupracuje MF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BB1628">
            <w:pPr>
              <w:numPr>
                <w:ilvl w:val="0"/>
                <w:numId w:val="4"/>
              </w:numPr>
              <w:spacing w:before="60" w:after="60"/>
              <w:ind w:left="282" w:hanging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Zajistit vyčlenění finančních prostředků na implementaci Národních priorit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ve střednědobém výhledu výdajů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ze státního rozpočtu, zohlednit priority ve všech relevantních programech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které jsou již vyhlášeny nebo připravovány, a zapracovat priority při přípravě všech nových programů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1628" w:rsidRPr="0047611F" w:rsidTr="00796BDB">
        <w:trPr>
          <w:trHeight w:val="7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Vyčlenění finančních prostředků na implementaci Národních priorit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ve střednědobém výhledu výdajů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ze státního rozpočtu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Zohlednění Národních priorit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ve všech vyhlášených nebo připravovaných programech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Zapracování Národních priorit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do nových programů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RVVI, spolupracují MŠMT a ostatní posky</w:t>
            </w:r>
            <w:r w:rsidRPr="0047611F">
              <w:rPr>
                <w:rFonts w:ascii="Arial" w:hAnsi="Arial" w:cs="Arial"/>
                <w:sz w:val="20"/>
                <w:szCs w:val="20"/>
              </w:rPr>
              <w:softHyphen/>
              <w:t>tovatelé úče</w:t>
            </w:r>
            <w:r w:rsidRPr="0047611F">
              <w:rPr>
                <w:rFonts w:ascii="Arial" w:hAnsi="Arial" w:cs="Arial"/>
                <w:sz w:val="20"/>
                <w:szCs w:val="20"/>
              </w:rPr>
              <w:softHyphen/>
              <w:t>lové podpory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BB1628">
            <w:pPr>
              <w:numPr>
                <w:ilvl w:val="0"/>
                <w:numId w:val="4"/>
              </w:numPr>
              <w:spacing w:before="60" w:after="60"/>
              <w:ind w:left="282" w:hanging="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Zajistit ve výdajích rozpočtové kapitoly MŠMT výdaje na rozvoj výzkumných center v Praze na principu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adicionality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evropských a národních zdrojů.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Zapracování výše uvedených aktivit do státního rozpočtu ČR 2015 - 2017 a pro další roky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Odpovědnost: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RVVI, spolupracuje MŠMT</w:t>
            </w:r>
          </w:p>
        </w:tc>
      </w:tr>
    </w:tbl>
    <w:p w:rsidR="00BB1628" w:rsidRPr="0047611F" w:rsidRDefault="00BB1628" w:rsidP="00BB1628">
      <w:pPr>
        <w:shd w:val="clear" w:color="auto" w:fill="FFFFFF"/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Zajistit ve výdajích rozpočtové kapitoly MŠMT a v navazujících aktivitách podporovaných ze SR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do roku 2020 výdaje na udržitelnost center vybudovaných z OP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VaVpI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Zapracování výše uvedených aktivit do výdajů SR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2015 - 2017 a pro další roky ve výši zajišťující udržitelnost center se současným využitím zahraničních a soukromých zdrojů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Zajištění udržitelnosti činnosti 48 center (zajištěna/nezajištěna) vybudovaných z OP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RVVI, spolupracuje MŠMT</w:t>
            </w:r>
          </w:p>
        </w:tc>
      </w:tr>
    </w:tbl>
    <w:p w:rsidR="00BB1628" w:rsidRPr="0047611F" w:rsidRDefault="00BB1628" w:rsidP="00BB1628">
      <w:pPr>
        <w:pStyle w:val="Nadpis2"/>
        <w:rPr>
          <w:rFonts w:ascii="Arial" w:hAnsi="Arial" w:cs="Arial"/>
          <w:sz w:val="24"/>
          <w:szCs w:val="24"/>
        </w:rPr>
      </w:pPr>
      <w:r w:rsidRPr="0047611F">
        <w:rPr>
          <w:rFonts w:ascii="Arial" w:hAnsi="Arial" w:cs="Arial"/>
          <w:sz w:val="24"/>
          <w:szCs w:val="24"/>
        </w:rPr>
        <w:t>Programové nástroje</w:t>
      </w: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Prostřednictvím programů podporovat v ČR, včetně Prahy, následující aktivity: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V oblasti rozvoje lidských zdrojů pro </w:t>
            </w:r>
            <w:proofErr w:type="spellStart"/>
            <w:r w:rsidRPr="0047611F">
              <w:rPr>
                <w:rFonts w:ascii="Arial" w:hAnsi="Arial" w:cs="Arial"/>
                <w:b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posílení výzkumných týmů o kvalitní výzkumné pracovníky ze zahraničí a domácí výzkumníky vracející se z dlouhodobých pobytů na zahraničních pracovištích;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posílení výzkumných týmů o špičkové absolventy doktorských studií z ČR a ze zahraničí;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vytvoření podmínek pro větší zastoupení žen ve výzkumu;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posílení výzkumných týmů o kvalitní technické pracovníky;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zapojování vysokoškolských studentů do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zvyšování kvality řízení výzkumných center, včetně obsazování vedoucích funkcí špičkovými odborníky ze zahraničí a z tuzemska;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vytváření a realizace systémů odměňování výzkumných pracovníků zohledňujících kvalitu dosahovaných výzkumných výsledků, zapojení do mezinárodních aktivit, spolupráci s aplikační sférou;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zajištění kvality doktorského studia a adekvátního počtu absolventů vzhledem ke kapacitám organizací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dlouhodobé stáže doktorandů na zahraničních výzkumných pracovištích;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dostupnost dalšího vzdělávání pro pracovníky VO, organizací poskytujících podpůrné služby pro komercializaci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podniků zacílené na zavádění výsledků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do praxe;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horizontální mobilita pracovníků mezi akademickou a aplikační sférou v celé škále známých opatření;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programy zaměřené na zvýšení uplatnění nových absolventů magisterského a doktorského studia v inovačních MSP;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vyhledávání a práce s talenty na jednotlivých stupních vzdělávání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lastRenderedPageBreak/>
              <w:t>zvyšování zájmu mládeže o technické a přírodní vědy;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V oblasti rozvoje infrastruktury pro </w:t>
            </w:r>
            <w:proofErr w:type="spellStart"/>
            <w:r w:rsidRPr="0047611F">
              <w:rPr>
                <w:rFonts w:ascii="Arial" w:hAnsi="Arial" w:cs="Arial"/>
                <w:b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 a realizace výzkumných aktivit: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zpracování nové meziresortní koncepce podpory velkých infrastruktur pro výzkum, experimentální vývoj a inovace na léta 2016 – 2020;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zkvalitnění přístrojového vybavení a výzkumného zázemí, jejich obnova a efektivní využití;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zajištění informační infrastruktury pro systém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 ČR včetně přístupu ke zdrojům a databázím vědeckých informací;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rozvoj výzkumných center v Praze;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realizace strategicky zaměřených projektů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odpovídajících dlouhodobým potřebám společnosti stanoveným v Národních prioritách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realizace zvláštního programu s dlouhou dobou trvání (2014 až 2024) na podporu rozvoje vzájemně spolupracujících VO, provádějících excelentní výzkum v prioritních oblastech;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V oblasti internacionalizace výzkumu: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zavedení fungování výzkumných center (zejména center excelence) na principu otevřeného přístupu;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vytvoření dlouhodobých strategií VO zaměřených na rozvoj mezinárodní spolupráce ve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zapojení výzkumných center do mezinárodních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, včetně mobility;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vybudování odborného a administrativního zázemí ve VO pro podporu výzkumných pracovníků při zapojování do mezinárodní spolupráce ve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internacionalizace doktorských studií;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tvorba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postdoktorských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míst při systémovém zajištění jejich otevřenosti pro domácí i zahraniční uchazeče;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V oblasti transferu výsledků </w:t>
            </w:r>
            <w:proofErr w:type="spellStart"/>
            <w:r w:rsidRPr="0047611F">
              <w:rPr>
                <w:rFonts w:ascii="Arial" w:hAnsi="Arial" w:cs="Arial"/>
                <w:b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 do praxe a spolupráce s aplikačním sektorem bude ve veřejných VO podpořeno: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vytvoření dlouhodobých strategií VO zaměřených na uplatňování třetí role a rozvoj vazeb na ostatní subjekty inovačního systému přednostně v regionu (v souladu se strategií inteligentní specializace), včetně vazeb na nadnárodní společnosti;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zavedení systému pro nakládání s výsledky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ve VO, včetně vytvoření pravidel pro rozdělování příjmů z těchto aktivit;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rozvoj a činnost infrastruktury pro komercializaci a transfer znalostí (CTT) ve vazbě na zpracované strategie a systémy pro komercializaci;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poskytování kvalitních poradenských služeb zaměřených na komercializaci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transfer znalostí a uplatnění poznatků v praxi, včetně poradenství pro zahájení vlastního podnikání;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vytváření sítí CTT podobného zaměření působících v různých organizacích;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vytvoření komplexního nástroje na podporu všech fází komercializace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na VO.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lastRenderedPageBreak/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Zapracování výše uvedených aktivit do relevantních programů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Vyhlášení výzev na podporu výše uvedených aktivit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Čerpání zdrojů na podporu výše uvedených aktivit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MŠMT,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spolupracují RVVI, MHMP, MPO, MMR, TA ČR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keepNext/>
              <w:ind w:left="357" w:hanging="357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Prostřednictvím programů podporovat následující aktivity: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V oblasti rozvoje infrastruktury pro </w:t>
            </w:r>
            <w:proofErr w:type="spellStart"/>
            <w:r w:rsidRPr="0047611F">
              <w:rPr>
                <w:rFonts w:ascii="Arial" w:hAnsi="Arial" w:cs="Arial"/>
                <w:b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 a realizace aktivit </w:t>
            </w:r>
            <w:proofErr w:type="spellStart"/>
            <w:r w:rsidRPr="0047611F">
              <w:rPr>
                <w:rFonts w:ascii="Arial" w:hAnsi="Arial" w:cs="Arial"/>
                <w:b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b/>
                <w:sz w:val="20"/>
                <w:szCs w:val="20"/>
              </w:rPr>
              <w:t xml:space="preserve"> v podnikovém sektoru: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strategicky zaměřené projekty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odpovídající dlouhodobým potřebám společnosti stanoveným v Národních prioritách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rozvoj infrastruktury pro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podnikovém sektoru;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lastRenderedPageBreak/>
              <w:t>vytvoření uceleného systému finančních nástrojů pokrývajících tři fáze rozvoje firem – založení, počáteční rozvoj a expanzi;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poskytování zvýhodněných úvěrů a bankovní záruk podnikům na realizaci projektů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796BD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V oblasti rozvoje inovační infrastruktury a poradenských služeb pro podniky: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rozvoj a činnost infrastruktury pro transfer znalostí - podnikatelské inkubátory, inovační centra, vědecké parky apod.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rozvoj poradenské infrastruktury a poskytování kvalitních poradenských služeb;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zapojení technologických platforem a dalších platforem spolupráce do strategicky zaměřeného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zapojení technologických platforem a dalších platforem spolupráce do mezinárodních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obdobných uskupení působících na nadnárodní úrovni;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zapojení CTT vytvořených na VO do platforem spolupráce;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vytvoření platformy k implementaci S3 strategie, do které budou zapojeni zástupci VO, podniků, regionální samosprávy a státní správy;</w:t>
            </w:r>
          </w:p>
          <w:p w:rsidR="00BB1628" w:rsidRPr="0047611F" w:rsidRDefault="00BB1628" w:rsidP="00BB1628">
            <w:pPr>
              <w:numPr>
                <w:ilvl w:val="0"/>
                <w:numId w:val="2"/>
              </w:numPr>
              <w:spacing w:before="60"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identifikace klíčových technologických oblastí s ohledem na globální trendy a situaci v ČR pro optimální zacílení veřejné podpory podnikání 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lastRenderedPageBreak/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Zapracování výše uvedených aktivit do relevantních programů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Vyhlášení výzev na podporu výše uvedených aktivit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Čerpání zdrojů na podporu výše uvedených aktivit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MPO, spolupracují MŠMT a MHMP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Připravit a vyhlásit program na podporu aplikovaného výzkumu a experimentálního vývoje pro potřeby průmyslu za účelem posílení konkurenceschopnosti ČR.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Vyhlášení výše uvedeného programu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Čerpání finančních prostředků z programu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MPO a TA ČR, 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Ve vazbě na úpravu zákona č. 130/2002 Sb. řešenou v opatření č. 12 zpracovat návrh programu pro financování inovačních projektů MSP prostřednictvím veřejných zakázek na nákup inovativních řešení/produktů a návrh novelizace právních předpisů pro jeho implementaci v ČR.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Zpracování návrhu uvedeného programu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TA ČR, spolupracují další správní úřady odpovědné za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keepNext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lastRenderedPageBreak/>
              <w:t xml:space="preserve">Vyhlásit systém investičních pobídek pro zahraniční investory, které je budou stimulovat k investicím a lokalizaci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ČR.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keepNext/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keepNext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Vyhlášení systému investičních pobídek, které budou zahraniční investory stimulovat k investicím a lokalizaci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1628" w:rsidRPr="0047611F" w:rsidRDefault="00BB1628" w:rsidP="00796BDB">
            <w:pPr>
              <w:keepNext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Využívání systému investičních pobídek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Podporovat aktivity napomáhající v zapojení subjektů z ČR do mezinárodního výzkumu (zejména do programu Horizont 2020) a zajistit odborné zázemí pro reprezentanty ČR pro jednání a další akce realizované na úrovni EK související s formováním ERA.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Poskytnutí podpory pro výše uvedené aktivity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MŠMT, spolupracují všichni poskytovatelé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Podporovat aktivity napomáhající zapojení subjektů z ČR do mezinárodních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mezinárodního transferu technologií, včetně prezentace ČR v zahraničí a zlepšování její image.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Poskytnutí podpory na činnost sítě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Enterprise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Europe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Network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Realizace akcí zaměřených na prezentaci ČR v zahraničí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MPO, spolupracují </w:t>
            </w:r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další správní úřady odpovědné za </w:t>
            </w:r>
            <w:proofErr w:type="spellStart"/>
            <w:r w:rsidRPr="0047611F">
              <w:rPr>
                <w:rFonts w:ascii="Arial" w:hAnsi="Arial" w:cs="Arial"/>
                <w:bCs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193616" w:rsidRDefault="00BB1628" w:rsidP="00BB1628">
      <w:pPr>
        <w:pStyle w:val="Nadpis1"/>
        <w:rPr>
          <w:rFonts w:ascii="Arial" w:hAnsi="Arial" w:cs="Arial"/>
          <w:color w:val="0070C0"/>
          <w:sz w:val="24"/>
          <w:szCs w:val="24"/>
        </w:rPr>
      </w:pPr>
      <w:bookmarkStart w:id="11" w:name="_Toc348601517"/>
      <w:bookmarkStart w:id="12" w:name="_Toc349228890"/>
      <w:bookmarkStart w:id="13" w:name="_Toc349228959"/>
      <w:bookmarkStart w:id="14" w:name="_Toc349230354"/>
      <w:bookmarkStart w:id="15" w:name="_Toc349232944"/>
      <w:bookmarkStart w:id="16" w:name="_Toc348601518"/>
      <w:bookmarkStart w:id="17" w:name="_Toc349228891"/>
      <w:bookmarkStart w:id="18" w:name="_Toc349228960"/>
      <w:bookmarkStart w:id="19" w:name="_Toc349230355"/>
      <w:bookmarkStart w:id="20" w:name="_Toc349232945"/>
      <w:bookmarkStart w:id="21" w:name="_Toc35198922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193616">
        <w:rPr>
          <w:rFonts w:ascii="Arial" w:hAnsi="Arial" w:cs="Arial"/>
          <w:color w:val="0070C0"/>
          <w:sz w:val="24"/>
          <w:szCs w:val="24"/>
        </w:rPr>
        <w:t>Systémová opatření</w:t>
      </w:r>
      <w:bookmarkEnd w:id="21"/>
    </w:p>
    <w:p w:rsidR="00BB1628" w:rsidRPr="00193616" w:rsidRDefault="00BB1628" w:rsidP="00BB1628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193616">
        <w:rPr>
          <w:rFonts w:ascii="Arial" w:hAnsi="Arial" w:cs="Arial"/>
          <w:color w:val="0070C0"/>
          <w:sz w:val="24"/>
          <w:szCs w:val="24"/>
        </w:rPr>
        <w:t>Změny právních předpisů</w:t>
      </w: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0"/>
        <w:gridCol w:w="2410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c>
          <w:tcPr>
            <w:tcW w:w="9320" w:type="dxa"/>
            <w:gridSpan w:val="2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Ve vazbě na cíle a opatření navržená v aktualizované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novelizovat zákon č. 130/2002 Sb. tak, aby umožnil optimální využití veřejných prostředků, včetně kohezních fondů, v oblasti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, a soukromých zdrojů a reflektoval změny evropských předpisů připravované pro toto období.</w:t>
            </w:r>
          </w:p>
          <w:p w:rsidR="00BB1628" w:rsidRPr="0047611F" w:rsidRDefault="00BB1628" w:rsidP="00796BDB">
            <w:pPr>
              <w:spacing w:before="6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978"/>
        </w:trPr>
        <w:tc>
          <w:tcPr>
            <w:tcW w:w="6910" w:type="dxa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Příprava věcného záměru novelizace zákona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Předložení novely zákona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Nabytí účinnosti novely zákona</w:t>
            </w:r>
          </w:p>
        </w:tc>
        <w:tc>
          <w:tcPr>
            <w:tcW w:w="2410" w:type="dxa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</w:tr>
      <w:tr w:rsidR="00BB1628" w:rsidRPr="0047611F" w:rsidTr="00796BDB">
        <w:trPr>
          <w:trHeight w:val="396"/>
        </w:trPr>
        <w:tc>
          <w:tcPr>
            <w:tcW w:w="9320" w:type="dxa"/>
            <w:gridSpan w:val="2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Odpovědnost: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bCs/>
                <w:sz w:val="20"/>
                <w:szCs w:val="20"/>
              </w:rPr>
              <w:t>RVVI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0"/>
        <w:gridCol w:w="2410"/>
      </w:tblGrid>
      <w:tr w:rsidR="00BB1628" w:rsidRPr="0047611F" w:rsidTr="00796BDB">
        <w:trPr>
          <w:trHeight w:val="23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  <w:b/>
              </w:rPr>
            </w:pPr>
          </w:p>
        </w:tc>
      </w:tr>
      <w:tr w:rsidR="00BB1628" w:rsidRPr="0047611F" w:rsidTr="00796BDB">
        <w:trPr>
          <w:trHeight w:val="850"/>
        </w:trPr>
        <w:tc>
          <w:tcPr>
            <w:tcW w:w="9320" w:type="dxa"/>
            <w:gridSpan w:val="2"/>
          </w:tcPr>
          <w:p w:rsidR="00BB1628" w:rsidRPr="0047611F" w:rsidRDefault="00BB1628" w:rsidP="00796B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lastRenderedPageBreak/>
              <w:t>Novelizovat zákon č. 111/1998 Sb. o vysokých školách a o změně a doplnění dalších zákonů (zákon o vysokých školách), ve znění pozdějších předpisů, a zákon č. 341/2005 Sb. o veřejných výzkumných institucích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tak, aby bylo umožněno zakládání vnitřních fondů VO, které budou využívány VO pro financování aktivit souvisejících s komercializací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1628" w:rsidRPr="0047611F" w:rsidTr="00796BDB">
        <w:tc>
          <w:tcPr>
            <w:tcW w:w="6910" w:type="dxa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Předložení novely zákona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Nabytí účinnosti novely zákona</w:t>
            </w:r>
          </w:p>
        </w:tc>
        <w:tc>
          <w:tcPr>
            <w:tcW w:w="2410" w:type="dxa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</w:tr>
      <w:tr w:rsidR="00BB1628" w:rsidRPr="0047611F" w:rsidTr="00796BDB">
        <w:tc>
          <w:tcPr>
            <w:tcW w:w="9320" w:type="dxa"/>
            <w:gridSpan w:val="2"/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bCs/>
                <w:sz w:val="20"/>
                <w:szCs w:val="20"/>
              </w:rPr>
              <w:t>Odpovědnost: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MŠMT, spolupracuje RVVI</w:t>
            </w:r>
          </w:p>
        </w:tc>
      </w:tr>
    </w:tbl>
    <w:p w:rsidR="00BB1628" w:rsidRPr="0047611F" w:rsidRDefault="00BB1628" w:rsidP="00BB1628">
      <w:pPr>
        <w:pStyle w:val="Nadpis2"/>
        <w:rPr>
          <w:rFonts w:ascii="Arial" w:hAnsi="Arial" w:cs="Arial"/>
          <w:sz w:val="24"/>
          <w:szCs w:val="24"/>
        </w:rPr>
      </w:pPr>
      <w:r w:rsidRPr="0047611F">
        <w:rPr>
          <w:rFonts w:ascii="Arial" w:hAnsi="Arial" w:cs="Arial"/>
          <w:sz w:val="24"/>
          <w:szCs w:val="24"/>
        </w:rPr>
        <w:t xml:space="preserve">Řízení a koordinace systému </w:t>
      </w:r>
      <w:proofErr w:type="spellStart"/>
      <w:r w:rsidRPr="0047611F">
        <w:rPr>
          <w:rFonts w:ascii="Arial" w:hAnsi="Arial" w:cs="Arial"/>
          <w:sz w:val="24"/>
          <w:szCs w:val="24"/>
        </w:rPr>
        <w:t>VaVaI</w:t>
      </w:r>
      <w:proofErr w:type="spellEnd"/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Zajistit účinnou koordinaci mezi RVVI, MŠMT, MPO a dalšími orgány státní správy a poskytovateli pro koordinaci aktivit zaměřených na: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přípravu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jejích nástrojů, včetně zajištění vazeb na politiku EU;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realizaci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implementaci všech programů a dalších nástrojů na podporu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(zejména nástrojů navržených v aktualizované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), včetně koordinovaného využívání národních a evropských zdrojů;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přenos informací a soulad všech aktivit zaměřených na posilování pozice ČR v ERA, včetně jednotného přístupu poskytovatelů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k iniciativám zaměřeným na propojování národních programů;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zapojení ČR do mezinárodní výzkumné spolupráce se zeměmi mimo EU.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Vytvoření příslušných koordinačních mechanismů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RVVI, spolupracují MŠMT, MPO a další správní úřady odpovědné za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  <w:sz w:val="20"/>
          <w:szCs w:val="20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Předložit vládě návrhy na úpravu struktury a systému řízení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 ČR, které budou zahrnovat: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posílení role MŠMT jako ústředního správního úřadu odpovědného za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převedením některých aktivit RVVI na MŠMT; 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stanovení MPO jako ústředního správního úřadu odpovědného za podporu inovací;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posílení úlohy poskytovatelů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oblasti hodnocení VO, které získávají institucionální podporu z jejich rozpočtové kapitoly, a vnitřního členění výdajů na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rámci svých rozpočtových kapitol;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koncentraci koncepčních a strategických činností na RVVI ve vazbě na převod některých jejích činností na příslušné ústřední správní orgány a poskytovatele;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posílení kapacit zejména MŠMT, MPO, RVVI (resp. Úřadu vlády ČR) a poskytovatelů účelové podpory meziresortních programů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pro efektivnější zabezpečení vymezených rolí přesunem funkčních míst z jiných oblastí státní správy bez zvýšeného požadavku na limit počtu pracovníků; 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zastoupení ústředních orgánů státní správy odpovědných za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poskytovatelů veřejné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 zřizovatelů VO, kteří v souvislosti s Reformou systému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přestali být poskytovateli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, ve Výzkumné radě TA ČR;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rozhodnutí o zřízení či nezřízení Agentury pro zdravotnický výzkum ČR ve vazbě na výsledky připomínkové řízení k novele zákona č. 130/2002 Sb.;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vymezení role různých typů VO.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lastRenderedPageBreak/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Rozhodnutí o zřízení/nezřízení Agentury pro zdravotnický výzkum ČR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Předložení návrhů úprav struktury a řízení systému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zahrnujících výše uvedené body vládě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2013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RVVI, spolupracují MŠMT, MPO, AV ČR a další správní úřady odpovědné za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 oblasti svých působností.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Zpracovat meziresortní komplexní strategii pro internacionalizaci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která bude zahrnovat oblast mezinárodní spolupráce ve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vysokoškolského vzdělávání a podnikání. Ve strategii budou zohledněny Národní priority orientovaného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stanoveny cíle pro spolupráci se zeměmi mimo EU a dlouhodobá koncepce rozvoje členství ČR v mezinárodních organizacích a zapojení ČR v evropských iniciativách zaměřených na propojování národních programů (zejména ERA-NET, ERA-NET Plus, JPI a programy dle čl. 185 Smlouvy o fungování EU), včetně identifikace a odstranění překážek účasti poskytovatelů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v těchto iniciativách.</w:t>
            </w:r>
          </w:p>
        </w:tc>
      </w:tr>
      <w:tr w:rsidR="00BB1628" w:rsidRPr="0047611F" w:rsidTr="00796BDB">
        <w:trPr>
          <w:trHeight w:val="723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Zapracování strategie pro internacionalizaci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MŠMT</w:t>
            </w:r>
          </w:p>
        </w:tc>
      </w:tr>
    </w:tbl>
    <w:p w:rsidR="00BB1628" w:rsidRPr="0047611F" w:rsidRDefault="00BB1628" w:rsidP="00BB1628">
      <w:pPr>
        <w:pStyle w:val="Nadpis2"/>
        <w:rPr>
          <w:rFonts w:ascii="Arial" w:hAnsi="Arial" w:cs="Arial"/>
          <w:sz w:val="24"/>
          <w:szCs w:val="24"/>
        </w:rPr>
      </w:pPr>
      <w:r w:rsidRPr="0047611F">
        <w:rPr>
          <w:rFonts w:ascii="Arial" w:hAnsi="Arial" w:cs="Arial"/>
          <w:sz w:val="24"/>
          <w:szCs w:val="24"/>
        </w:rPr>
        <w:t xml:space="preserve">Hodnocení </w:t>
      </w:r>
      <w:proofErr w:type="spellStart"/>
      <w:r w:rsidRPr="0047611F">
        <w:rPr>
          <w:rFonts w:ascii="Arial" w:hAnsi="Arial" w:cs="Arial"/>
          <w:sz w:val="24"/>
          <w:szCs w:val="24"/>
        </w:rPr>
        <w:t>VaVaI</w:t>
      </w:r>
      <w:proofErr w:type="spellEnd"/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  <w:b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Zavést novou metodiku hodnocení VO a jejich výsledků, která bude hodnotit výsledky a plnění cílů základního výzkumu a výsledky a plnění cílů aplikovaného výzkumu diferencovaně pro skupiny vědních oborů a která bude VO stimulovat jak k dosažení excelence, tak i k produkci aplikovatelných výsledků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spolupráci s aplikačním sektorem a k realizaci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podle potřeb společnosti a podniků. Do této metodiky také zapracovat: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zapojení do mezinárodních programů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dalších mezinárodních aktivit;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vytvoření strategie VO zaměřené na uplatňování třetí role, zavedení systému pro nakládání s výsledky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transfer poznatků do praxe.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Zapracování výše uvedených bodů do metodiky hodnocení VO a rozdělování institucionální podpory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Schválení nové metodiky hodnocení VO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Provedení hodnocení podle nové metodiky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Promítnutí výsledků hodnocení do institucionální podpory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2016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RVVI, spolupracuje MŠMT </w:t>
            </w:r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a další správní úřady odpovědné za </w:t>
            </w:r>
            <w:proofErr w:type="spellStart"/>
            <w:r w:rsidRPr="0047611F">
              <w:rPr>
                <w:rFonts w:ascii="Arial" w:hAnsi="Arial" w:cs="Arial"/>
                <w:bCs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Zavést novou metodiku přípravy a hodnocení programů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, které bude zahrnovat ex-ante, průběžné a ex-post hodnocení (výstupů, výsledků a dopadů).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Schválení nové metodiky přípravy a hodnocení programů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Provedení hodnocení všech programů účelové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podle nové metodiky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Promítnutí výsledků hodnocení do účelové podpory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RVVI, spolupracují </w:t>
            </w:r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další správní úřady odpovědné za </w:t>
            </w:r>
            <w:proofErr w:type="spellStart"/>
            <w:r w:rsidRPr="0047611F">
              <w:rPr>
                <w:rFonts w:ascii="Arial" w:hAnsi="Arial" w:cs="Arial"/>
                <w:bCs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Průběžně monitorovat a vyhodnocovat všechny strategie a politiky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připravené na národní, regionální a resortní úrovni (včetně vyhodnocování jejich dopadů) a pravidelně provádět komplexní hodnocení celého systému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. Výsledky využívat pro kvalifikovanou tvorbu politiky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, a zároveň zajistit veřejný přístup k výsledkům těchto analýz a dalších studií zaměřených na tvorbu a realizaci politiky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Provedení vyhodnocení všech strategií a politik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připravených na národní, regionální a resortní úrovni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Zajištění veřejného přístupu k uvedeným informacím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Aktualizace strategií a politik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připravených na národní, regionální a resortní úrovni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Provedení komplexního hodnocení systému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2015 a dále každé 4 roky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RVVI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Provádět důsledné hodnocení poskytovatelů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zaměřené na efektivitu vynakládaných prostředků. Toto hodnocení bude zahrnovat také: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hodnocení činnosti všech organizací poskytujících podporu pro zapojení ČR do mezinárodních aktivit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hodnocení činnosti inovační infrastruktury podporované MŠMT a kvality poskytovaných služeb;</w:t>
            </w:r>
          </w:p>
          <w:p w:rsidR="00BB1628" w:rsidRPr="0047611F" w:rsidRDefault="00BB1628" w:rsidP="00BB1628">
            <w:pPr>
              <w:numPr>
                <w:ilvl w:val="0"/>
                <w:numId w:val="3"/>
              </w:numPr>
              <w:spacing w:before="60" w:after="60"/>
              <w:ind w:left="43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hodnocení činnosti subjektů inovační infrastruktury podporované MPO a kvality poskytovaných služeb. </w:t>
            </w:r>
          </w:p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Provedení hodnocení poskytovatelů podpory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2014 a dále každoročně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RVVI, spolupracují poskytovatelé podpory a </w:t>
            </w:r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další správní úřady odpovědné za </w:t>
            </w:r>
            <w:proofErr w:type="spellStart"/>
            <w:r w:rsidRPr="0047611F">
              <w:rPr>
                <w:rFonts w:ascii="Arial" w:hAnsi="Arial" w:cs="Arial"/>
                <w:bCs/>
                <w:sz w:val="20"/>
                <w:szCs w:val="20"/>
              </w:rPr>
              <w:t>VaV</w:t>
            </w:r>
            <w:proofErr w:type="spellEnd"/>
            <w:r w:rsidRPr="0047611F">
              <w:rPr>
                <w:rFonts w:ascii="Arial" w:hAnsi="Arial" w:cs="Arial"/>
                <w:bCs/>
                <w:sz w:val="20"/>
                <w:szCs w:val="20"/>
              </w:rPr>
              <w:t xml:space="preserve"> v oblasti svých působností</w:t>
            </w:r>
          </w:p>
        </w:tc>
      </w:tr>
    </w:tbl>
    <w:p w:rsidR="00BB1628" w:rsidRPr="0047611F" w:rsidRDefault="00BB1628" w:rsidP="00BB1628">
      <w:pPr>
        <w:rPr>
          <w:rFonts w:ascii="Arial" w:hAnsi="Arial" w:cs="Arial"/>
          <w:color w:val="00B050"/>
        </w:rPr>
      </w:pP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19"/>
        <w:gridCol w:w="1701"/>
      </w:tblGrid>
      <w:tr w:rsidR="00BB1628" w:rsidRPr="0047611F" w:rsidTr="00796BDB">
        <w:trPr>
          <w:trHeight w:val="134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B1628" w:rsidRPr="0047611F" w:rsidRDefault="00BB1628" w:rsidP="00796BDB">
            <w:pPr>
              <w:pStyle w:val="Opaten"/>
              <w:rPr>
                <w:rFonts w:ascii="Arial" w:hAnsi="Arial" w:cs="Arial"/>
              </w:rPr>
            </w:pPr>
          </w:p>
        </w:tc>
      </w:tr>
      <w:tr w:rsidR="00BB1628" w:rsidRPr="0047611F" w:rsidTr="00796BDB">
        <w:trPr>
          <w:trHeight w:val="425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28" w:rsidRPr="0047611F" w:rsidRDefault="00BB1628" w:rsidP="00796B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Vytvořit postup pro hodnocení realizace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  <w:r w:rsidRPr="0047611F">
              <w:rPr>
                <w:rFonts w:ascii="Arial" w:hAnsi="Arial" w:cs="Arial"/>
                <w:sz w:val="20"/>
                <w:szCs w:val="20"/>
              </w:rPr>
              <w:t xml:space="preserve"> a stanovit cílové hodnoty sledovaných indikátorů ve vazbě na hodnoty těchto indikátorů ve vzorku srovnatelných zemí.</w:t>
            </w:r>
          </w:p>
        </w:tc>
      </w:tr>
      <w:tr w:rsidR="00BB1628" w:rsidRPr="0047611F" w:rsidTr="00796BDB">
        <w:trPr>
          <w:trHeight w:val="850"/>
        </w:trPr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Ukazatele plnění: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 xml:space="preserve">Vytvoření způsobu měření a cílových hodnot indikátorů pro hodnocení realizace NP </w:t>
            </w:r>
            <w:proofErr w:type="spellStart"/>
            <w:r w:rsidRPr="0047611F">
              <w:rPr>
                <w:rFonts w:ascii="Arial" w:hAnsi="Arial" w:cs="Arial"/>
                <w:sz w:val="20"/>
                <w:szCs w:val="20"/>
              </w:rPr>
              <w:t>VaVaI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Termín:</w:t>
            </w:r>
          </w:p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</w:tr>
      <w:tr w:rsidR="00BB1628" w:rsidRPr="0047611F" w:rsidTr="00796BDB">
        <w:trPr>
          <w:trHeight w:val="472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B1628" w:rsidRPr="0047611F" w:rsidRDefault="00BB1628" w:rsidP="00796BD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b/>
                <w:sz w:val="20"/>
                <w:szCs w:val="20"/>
              </w:rPr>
              <w:t>Odpovědnost:</w:t>
            </w:r>
            <w:r w:rsidRPr="004761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B1628" w:rsidRPr="0047611F" w:rsidRDefault="00BB1628" w:rsidP="00796BD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611F">
              <w:rPr>
                <w:rFonts w:ascii="Arial" w:hAnsi="Arial" w:cs="Arial"/>
                <w:sz w:val="20"/>
                <w:szCs w:val="20"/>
              </w:rPr>
              <w:t>RVVI</w:t>
            </w:r>
          </w:p>
        </w:tc>
      </w:tr>
    </w:tbl>
    <w:p w:rsidR="00BB1628" w:rsidRPr="0047611F" w:rsidRDefault="00BB1628" w:rsidP="00BB1628">
      <w:pPr>
        <w:pStyle w:val="Nadpis1"/>
        <w:numPr>
          <w:ilvl w:val="0"/>
          <w:numId w:val="0"/>
        </w:numPr>
        <w:rPr>
          <w:rFonts w:ascii="Arial" w:hAnsi="Arial" w:cs="Arial"/>
        </w:rPr>
      </w:pPr>
    </w:p>
    <w:sectPr w:rsidR="00BB1628" w:rsidRPr="0047611F" w:rsidSect="00602C1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D2" w:rsidRDefault="008F2CD2" w:rsidP="008F77F6">
      <w:r>
        <w:separator/>
      </w:r>
    </w:p>
  </w:endnote>
  <w:endnote w:type="continuationSeparator" w:id="0">
    <w:p w:rsidR="008F2CD2" w:rsidRDefault="008F2CD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3D6AB6" w:rsidP="00F85F64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8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8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D6AB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D6AB6">
          <w:rPr>
            <w:rFonts w:ascii="Arial" w:hAnsi="Arial" w:cs="Arial"/>
            <w:noProof/>
            <w:sz w:val="18"/>
            <w:szCs w:val="18"/>
          </w:rPr>
          <w:t>8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D2" w:rsidRDefault="008F2CD2" w:rsidP="008F77F6">
      <w:r>
        <w:separator/>
      </w:r>
    </w:p>
  </w:footnote>
  <w:footnote w:type="continuationSeparator" w:id="0">
    <w:p w:rsidR="008F2CD2" w:rsidRDefault="008F2CD2" w:rsidP="008F77F6">
      <w:r>
        <w:continuationSeparator/>
      </w:r>
    </w:p>
  </w:footnote>
  <w:footnote w:id="1">
    <w:p w:rsidR="00BB1628" w:rsidRDefault="00BB1628" w:rsidP="00BB162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A1693">
        <w:t xml:space="preserve">Vzhledem k tomu, že jde o Aktualizaci NP </w:t>
      </w:r>
      <w:proofErr w:type="spellStart"/>
      <w:r w:rsidRPr="001A1693">
        <w:t>VaVaI</w:t>
      </w:r>
      <w:proofErr w:type="spellEnd"/>
      <w:r w:rsidRPr="001A1693">
        <w:t xml:space="preserve"> 2009 - 2015, jsou v implementační části uvedena opatření a akce, které lze realizovat do roku 2015.</w:t>
      </w:r>
    </w:p>
  </w:footnote>
  <w:footnote w:id="2">
    <w:p w:rsidR="00BB1628" w:rsidRDefault="00BB1628" w:rsidP="00BB1628">
      <w:pPr>
        <w:pStyle w:val="Textpoznpodarou"/>
      </w:pPr>
      <w:r>
        <w:rPr>
          <w:rStyle w:val="Znakapoznpodarou"/>
        </w:rPr>
        <w:footnoteRef/>
      </w:r>
      <w:r>
        <w:t xml:space="preserve"> V původní NP </w:t>
      </w:r>
      <w:proofErr w:type="spellStart"/>
      <w:r>
        <w:t>VaVaI</w:t>
      </w:r>
      <w:proofErr w:type="spellEnd"/>
      <w:r>
        <w:t xml:space="preserve"> jsou opatření nazývána „aktivity“.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FE0546E" wp14:editId="1C13E07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E0C6D96" wp14:editId="0DD4D41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7611F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303/</w:t>
          </w:r>
          <w:r w:rsidR="007644F2">
            <w:rPr>
              <w:rFonts w:ascii="Arial" w:hAnsi="Arial" w:cs="Arial"/>
              <w:b/>
              <w:color w:val="0070C0"/>
              <w:sz w:val="28"/>
              <w:szCs w:val="28"/>
            </w:rPr>
            <w:t>B1</w:t>
          </w:r>
          <w:r w:rsidR="003D6AB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Příloha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74399"/>
    <w:multiLevelType w:val="hybridMultilevel"/>
    <w:tmpl w:val="C094A684"/>
    <w:lvl w:ilvl="0" w:tplc="91D6234E">
      <w:start w:val="1"/>
      <w:numFmt w:val="decimal"/>
      <w:pStyle w:val="Opaten"/>
      <w:lvlText w:val="Opatření %1"/>
      <w:lvlJc w:val="left"/>
      <w:pPr>
        <w:ind w:left="358" w:hanging="360"/>
      </w:pPr>
      <w:rPr>
        <w:rFonts w:ascii="Calibri" w:hAnsi="Calibri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F35EE"/>
    <w:multiLevelType w:val="hybridMultilevel"/>
    <w:tmpl w:val="49A0E442"/>
    <w:lvl w:ilvl="0" w:tplc="49406E8C">
      <w:numFmt w:val="bullet"/>
      <w:lvlText w:val="-"/>
      <w:lvlJc w:val="left"/>
      <w:pPr>
        <w:ind w:left="2130" w:hanging="705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3">
    <w:nsid w:val="3D147B06"/>
    <w:multiLevelType w:val="multilevel"/>
    <w:tmpl w:val="58DEBD4C"/>
    <w:lvl w:ilvl="0">
      <w:start w:val="1"/>
      <w:numFmt w:val="upperRoman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Nadpis2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4F9F547D"/>
    <w:multiLevelType w:val="hybridMultilevel"/>
    <w:tmpl w:val="EE20DE38"/>
    <w:lvl w:ilvl="0" w:tplc="B26ED04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93616"/>
    <w:rsid w:val="00237006"/>
    <w:rsid w:val="00265A36"/>
    <w:rsid w:val="002E2591"/>
    <w:rsid w:val="00360293"/>
    <w:rsid w:val="00387B05"/>
    <w:rsid w:val="003C2A8E"/>
    <w:rsid w:val="003D6AB6"/>
    <w:rsid w:val="0047611F"/>
    <w:rsid w:val="005E43C2"/>
    <w:rsid w:val="00602C1A"/>
    <w:rsid w:val="00616978"/>
    <w:rsid w:val="00720790"/>
    <w:rsid w:val="007644F2"/>
    <w:rsid w:val="00810AA0"/>
    <w:rsid w:val="008D0383"/>
    <w:rsid w:val="008F2CD2"/>
    <w:rsid w:val="008F77F6"/>
    <w:rsid w:val="009758E5"/>
    <w:rsid w:val="00AA6A69"/>
    <w:rsid w:val="00AB62D9"/>
    <w:rsid w:val="00AD5458"/>
    <w:rsid w:val="00BA59DB"/>
    <w:rsid w:val="00BB1628"/>
    <w:rsid w:val="00CC370F"/>
    <w:rsid w:val="00DC5FE9"/>
    <w:rsid w:val="00E82C93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1628"/>
    <w:pPr>
      <w:keepNext/>
      <w:keepLines/>
      <w:numPr>
        <w:numId w:val="5"/>
      </w:numPr>
      <w:spacing w:before="480" w:after="120"/>
      <w:outlineLvl w:val="0"/>
    </w:pPr>
    <w:rPr>
      <w:rFonts w:ascii="Calibri" w:hAnsi="Calibri"/>
      <w:b/>
      <w:color w:val="1F497D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BB1628"/>
    <w:pPr>
      <w:keepNext/>
      <w:keepLines/>
      <w:numPr>
        <w:ilvl w:val="1"/>
        <w:numId w:val="5"/>
      </w:numPr>
      <w:spacing w:before="360" w:after="60"/>
      <w:outlineLvl w:val="1"/>
    </w:pPr>
    <w:rPr>
      <w:rFonts w:ascii="Calibri" w:hAnsi="Calibri"/>
      <w:b/>
      <w:color w:val="4F81BD"/>
      <w:sz w:val="26"/>
      <w:szCs w:val="20"/>
    </w:rPr>
  </w:style>
  <w:style w:type="paragraph" w:styleId="Nadpis3">
    <w:name w:val="heading 3"/>
    <w:basedOn w:val="Normln"/>
    <w:next w:val="Normln"/>
    <w:link w:val="Nadpis3Char"/>
    <w:qFormat/>
    <w:rsid w:val="00BB1628"/>
    <w:pPr>
      <w:keepNext/>
      <w:keepLines/>
      <w:numPr>
        <w:ilvl w:val="2"/>
        <w:numId w:val="5"/>
      </w:numPr>
      <w:spacing w:before="360" w:after="240"/>
      <w:outlineLvl w:val="2"/>
    </w:pPr>
    <w:rPr>
      <w:rFonts w:ascii="Calibri" w:hAnsi="Calibri"/>
      <w:b/>
      <w:color w:val="4F81BD"/>
      <w:szCs w:val="20"/>
    </w:rPr>
  </w:style>
  <w:style w:type="paragraph" w:styleId="Nadpis4">
    <w:name w:val="heading 4"/>
    <w:basedOn w:val="Normln"/>
    <w:next w:val="Normln"/>
    <w:link w:val="Nadpis4Char"/>
    <w:qFormat/>
    <w:rsid w:val="00BB1628"/>
    <w:pPr>
      <w:keepNext/>
      <w:keepLines/>
      <w:numPr>
        <w:ilvl w:val="3"/>
        <w:numId w:val="5"/>
      </w:numPr>
      <w:spacing w:before="200" w:after="60"/>
      <w:outlineLvl w:val="3"/>
    </w:pPr>
    <w:rPr>
      <w:rFonts w:ascii="Calibri" w:hAnsi="Calibri"/>
      <w:b/>
      <w:color w:val="4F81BD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BB1628"/>
    <w:rPr>
      <w:rFonts w:ascii="Calibri" w:eastAsia="Times New Roman" w:hAnsi="Calibri" w:cs="Times New Roman"/>
      <w:b/>
      <w:color w:val="1F497D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B1628"/>
    <w:rPr>
      <w:rFonts w:ascii="Calibri" w:eastAsia="Times New Roman" w:hAnsi="Calibri" w:cs="Times New Roman"/>
      <w:b/>
      <w:color w:val="4F81BD"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B1628"/>
    <w:rPr>
      <w:rFonts w:ascii="Calibri" w:eastAsia="Times New Roman" w:hAnsi="Calibri" w:cs="Times New Roman"/>
      <w:b/>
      <w:color w:val="4F81BD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B1628"/>
    <w:rPr>
      <w:rFonts w:ascii="Calibri" w:eastAsia="Times New Roman" w:hAnsi="Calibri" w:cs="Times New Roman"/>
      <w:b/>
      <w:color w:val="4F81BD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BB1628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1628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BB1628"/>
    <w:rPr>
      <w:vertAlign w:val="superscript"/>
    </w:rPr>
  </w:style>
  <w:style w:type="paragraph" w:customStyle="1" w:styleId="Opaten">
    <w:name w:val="Opatření"/>
    <w:basedOn w:val="Normln"/>
    <w:link w:val="OpatenChar"/>
    <w:qFormat/>
    <w:rsid w:val="00BB1628"/>
    <w:pPr>
      <w:numPr>
        <w:numId w:val="4"/>
      </w:numPr>
      <w:spacing w:before="60" w:after="60"/>
    </w:pPr>
    <w:rPr>
      <w:rFonts w:ascii="Calibri" w:hAnsi="Calibri" w:cs="Calibri"/>
      <w:sz w:val="20"/>
      <w:szCs w:val="20"/>
      <w:lang w:eastAsia="en-US"/>
    </w:rPr>
  </w:style>
  <w:style w:type="character" w:customStyle="1" w:styleId="OpatenChar">
    <w:name w:val="Opatření Char"/>
    <w:link w:val="Opaten"/>
    <w:rsid w:val="00BB1628"/>
    <w:rPr>
      <w:rFonts w:ascii="Calibri" w:eastAsia="Times New Roman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1628"/>
    <w:pPr>
      <w:keepNext/>
      <w:keepLines/>
      <w:numPr>
        <w:numId w:val="5"/>
      </w:numPr>
      <w:spacing w:before="480" w:after="120"/>
      <w:outlineLvl w:val="0"/>
    </w:pPr>
    <w:rPr>
      <w:rFonts w:ascii="Calibri" w:hAnsi="Calibri"/>
      <w:b/>
      <w:color w:val="1F497D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BB1628"/>
    <w:pPr>
      <w:keepNext/>
      <w:keepLines/>
      <w:numPr>
        <w:ilvl w:val="1"/>
        <w:numId w:val="5"/>
      </w:numPr>
      <w:spacing w:before="360" w:after="60"/>
      <w:outlineLvl w:val="1"/>
    </w:pPr>
    <w:rPr>
      <w:rFonts w:ascii="Calibri" w:hAnsi="Calibri"/>
      <w:b/>
      <w:color w:val="4F81BD"/>
      <w:sz w:val="26"/>
      <w:szCs w:val="20"/>
    </w:rPr>
  </w:style>
  <w:style w:type="paragraph" w:styleId="Nadpis3">
    <w:name w:val="heading 3"/>
    <w:basedOn w:val="Normln"/>
    <w:next w:val="Normln"/>
    <w:link w:val="Nadpis3Char"/>
    <w:qFormat/>
    <w:rsid w:val="00BB1628"/>
    <w:pPr>
      <w:keepNext/>
      <w:keepLines/>
      <w:numPr>
        <w:ilvl w:val="2"/>
        <w:numId w:val="5"/>
      </w:numPr>
      <w:spacing w:before="360" w:after="240"/>
      <w:outlineLvl w:val="2"/>
    </w:pPr>
    <w:rPr>
      <w:rFonts w:ascii="Calibri" w:hAnsi="Calibri"/>
      <w:b/>
      <w:color w:val="4F81BD"/>
      <w:szCs w:val="20"/>
    </w:rPr>
  </w:style>
  <w:style w:type="paragraph" w:styleId="Nadpis4">
    <w:name w:val="heading 4"/>
    <w:basedOn w:val="Normln"/>
    <w:next w:val="Normln"/>
    <w:link w:val="Nadpis4Char"/>
    <w:qFormat/>
    <w:rsid w:val="00BB1628"/>
    <w:pPr>
      <w:keepNext/>
      <w:keepLines/>
      <w:numPr>
        <w:ilvl w:val="3"/>
        <w:numId w:val="5"/>
      </w:numPr>
      <w:spacing w:before="200" w:after="60"/>
      <w:outlineLvl w:val="3"/>
    </w:pPr>
    <w:rPr>
      <w:rFonts w:ascii="Calibri" w:hAnsi="Calibri"/>
      <w:b/>
      <w:color w:val="4F81BD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BB1628"/>
    <w:rPr>
      <w:rFonts w:ascii="Calibri" w:eastAsia="Times New Roman" w:hAnsi="Calibri" w:cs="Times New Roman"/>
      <w:b/>
      <w:color w:val="1F497D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B1628"/>
    <w:rPr>
      <w:rFonts w:ascii="Calibri" w:eastAsia="Times New Roman" w:hAnsi="Calibri" w:cs="Times New Roman"/>
      <w:b/>
      <w:color w:val="4F81BD"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B1628"/>
    <w:rPr>
      <w:rFonts w:ascii="Calibri" w:eastAsia="Times New Roman" w:hAnsi="Calibri" w:cs="Times New Roman"/>
      <w:b/>
      <w:color w:val="4F81BD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B1628"/>
    <w:rPr>
      <w:rFonts w:ascii="Calibri" w:eastAsia="Times New Roman" w:hAnsi="Calibri" w:cs="Times New Roman"/>
      <w:b/>
      <w:color w:val="4F81BD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BB1628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1628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BB1628"/>
    <w:rPr>
      <w:vertAlign w:val="superscript"/>
    </w:rPr>
  </w:style>
  <w:style w:type="paragraph" w:customStyle="1" w:styleId="Opaten">
    <w:name w:val="Opatření"/>
    <w:basedOn w:val="Normln"/>
    <w:link w:val="OpatenChar"/>
    <w:qFormat/>
    <w:rsid w:val="00BB1628"/>
    <w:pPr>
      <w:numPr>
        <w:numId w:val="4"/>
      </w:numPr>
      <w:spacing w:before="60" w:after="60"/>
    </w:pPr>
    <w:rPr>
      <w:rFonts w:ascii="Calibri" w:hAnsi="Calibri" w:cs="Calibri"/>
      <w:sz w:val="20"/>
      <w:szCs w:val="20"/>
      <w:lang w:eastAsia="en-US"/>
    </w:rPr>
  </w:style>
  <w:style w:type="character" w:customStyle="1" w:styleId="OpatenChar">
    <w:name w:val="Opatření Char"/>
    <w:link w:val="Opaten"/>
    <w:rsid w:val="00BB1628"/>
    <w:rPr>
      <w:rFonts w:ascii="Calibri" w:eastAsia="Times New Roman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F831-49F2-4E22-80D1-97F96098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2699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20</cp:revision>
  <cp:lastPrinted>2015-03-11T10:27:00Z</cp:lastPrinted>
  <dcterms:created xsi:type="dcterms:W3CDTF">2015-02-17T16:38:00Z</dcterms:created>
  <dcterms:modified xsi:type="dcterms:W3CDTF">2015-03-11T10:27:00Z</dcterms:modified>
</cp:coreProperties>
</file>